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3D0F9" w14:textId="45AAC33A" w:rsidR="00294000" w:rsidRPr="00AA5CB5" w:rsidRDefault="00294000" w:rsidP="00294000">
      <w:pPr>
        <w:pStyle w:val="Coverheading1"/>
      </w:pPr>
      <w:r w:rsidRPr="00AA5CB5">
        <w:rPr>
          <w:noProof/>
        </w:rPr>
        <w:drawing>
          <wp:anchor distT="0" distB="0" distL="114300" distR="114300" simplePos="0" relativeHeight="251658240" behindDoc="1" locked="0" layoutInCell="1" allowOverlap="1" wp14:anchorId="29DAF140" wp14:editId="037B5C82">
            <wp:simplePos x="0" y="0"/>
            <wp:positionH relativeFrom="margin">
              <wp:align>center</wp:align>
            </wp:positionH>
            <wp:positionV relativeFrom="paragraph">
              <wp:posOffset>-6488166</wp:posOffset>
            </wp:positionV>
            <wp:extent cx="7596188" cy="10691495"/>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96188" cy="10691495"/>
                    </a:xfrm>
                    <a:prstGeom prst="rect">
                      <a:avLst/>
                    </a:prstGeom>
                  </pic:spPr>
                </pic:pic>
              </a:graphicData>
            </a:graphic>
            <wp14:sizeRelH relativeFrom="margin">
              <wp14:pctWidth>0</wp14:pctWidth>
            </wp14:sizeRelH>
            <wp14:sizeRelV relativeFrom="margin">
              <wp14:pctHeight>0</wp14:pctHeight>
            </wp14:sizeRelV>
          </wp:anchor>
        </w:drawing>
      </w:r>
      <w:r w:rsidR="00C54AA5" w:rsidRPr="00AA5CB5">
        <w:t>Emissions Reporting Framework</w:t>
      </w:r>
    </w:p>
    <w:p w14:paraId="2F328829" w14:textId="07B7F114" w:rsidR="000815AA" w:rsidRPr="000815AA" w:rsidRDefault="000815AA" w:rsidP="000815AA">
      <w:pPr>
        <w:pStyle w:val="BodyText"/>
      </w:pPr>
      <w:r>
        <w:t xml:space="preserve">2024-25 Reporting </w:t>
      </w:r>
      <w:r w:rsidR="00C53D7F">
        <w:t>Period</w:t>
      </w:r>
    </w:p>
    <w:p w14:paraId="0B633108" w14:textId="635A49C2" w:rsidR="0008352D" w:rsidRPr="00AA5CB5" w:rsidRDefault="0008352D">
      <w:pPr>
        <w:sectPr w:rsidR="0008352D" w:rsidRPr="00AA5CB5" w:rsidSect="003652D7">
          <w:headerReference w:type="even" r:id="rId14"/>
          <w:headerReference w:type="default" r:id="rId15"/>
          <w:footerReference w:type="even" r:id="rId16"/>
          <w:footerReference w:type="default" r:id="rId17"/>
          <w:headerReference w:type="first" r:id="rId18"/>
          <w:footerReference w:type="first" r:id="rId19"/>
          <w:pgSz w:w="11906" w:h="16838"/>
          <w:pgMar w:top="10206" w:right="1247" w:bottom="1247" w:left="1247" w:header="709" w:footer="709" w:gutter="0"/>
          <w:cols w:space="708"/>
          <w:docGrid w:linePitch="360"/>
        </w:sectPr>
      </w:pPr>
    </w:p>
    <w:p w14:paraId="18029B13" w14:textId="77777777" w:rsidR="00FC52AD" w:rsidRPr="00AA5CB5" w:rsidRDefault="00FC52AD" w:rsidP="00FC52AD">
      <w:pPr>
        <w:spacing w:before="0" w:after="160" w:line="259" w:lineRule="auto"/>
      </w:pPr>
    </w:p>
    <w:p w14:paraId="2D9BC087" w14:textId="77777777" w:rsidR="00FC52AD" w:rsidRPr="00AA5CB5" w:rsidRDefault="00FC52AD" w:rsidP="00FC52AD">
      <w:pPr>
        <w:spacing w:before="0" w:after="160" w:line="259" w:lineRule="auto"/>
      </w:pPr>
    </w:p>
    <w:p w14:paraId="68FB8D61" w14:textId="77777777" w:rsidR="00FC52AD" w:rsidRPr="00AA5CB5" w:rsidRDefault="00FC52AD" w:rsidP="00FC52AD">
      <w:pPr>
        <w:spacing w:before="0" w:after="160" w:line="259" w:lineRule="auto"/>
      </w:pPr>
    </w:p>
    <w:p w14:paraId="5DCAEBDD" w14:textId="77777777" w:rsidR="00FC52AD" w:rsidRPr="00AA5CB5" w:rsidRDefault="00FC52AD" w:rsidP="00FC52AD">
      <w:pPr>
        <w:spacing w:before="0" w:after="160" w:line="259" w:lineRule="auto"/>
      </w:pPr>
    </w:p>
    <w:p w14:paraId="09D089B4" w14:textId="77777777" w:rsidR="00FC52AD" w:rsidRPr="00AA5CB5" w:rsidRDefault="00FC52AD" w:rsidP="00FC52AD">
      <w:pPr>
        <w:spacing w:before="0" w:after="160" w:line="259" w:lineRule="auto"/>
      </w:pPr>
    </w:p>
    <w:p w14:paraId="3E957116" w14:textId="77777777" w:rsidR="00FC52AD" w:rsidRPr="00AA5CB5" w:rsidRDefault="00FC52AD" w:rsidP="00FC52AD">
      <w:pPr>
        <w:spacing w:before="0" w:after="160" w:line="259" w:lineRule="auto"/>
      </w:pPr>
    </w:p>
    <w:p w14:paraId="1B621187" w14:textId="77777777" w:rsidR="00FC52AD" w:rsidRPr="00AA5CB5" w:rsidRDefault="00FC52AD" w:rsidP="00FC52AD">
      <w:pPr>
        <w:spacing w:before="0" w:after="160" w:line="259" w:lineRule="auto"/>
      </w:pPr>
    </w:p>
    <w:p w14:paraId="72EE4155" w14:textId="77777777" w:rsidR="00FC52AD" w:rsidRPr="00AA5CB5" w:rsidRDefault="00FC52AD" w:rsidP="00FC52AD">
      <w:pPr>
        <w:spacing w:before="0" w:after="160" w:line="259" w:lineRule="auto"/>
      </w:pPr>
    </w:p>
    <w:p w14:paraId="67EA44EC" w14:textId="77777777" w:rsidR="00FC52AD" w:rsidRPr="00AA5CB5" w:rsidRDefault="00FC52AD" w:rsidP="00FC52AD">
      <w:pPr>
        <w:spacing w:before="0" w:after="160" w:line="259" w:lineRule="auto"/>
      </w:pPr>
    </w:p>
    <w:p w14:paraId="6E5B30E3" w14:textId="77777777" w:rsidR="00FC52AD" w:rsidRPr="00AA5CB5" w:rsidRDefault="00FC52AD" w:rsidP="00FC52AD">
      <w:pPr>
        <w:spacing w:before="0" w:after="160" w:line="259" w:lineRule="auto"/>
      </w:pPr>
    </w:p>
    <w:p w14:paraId="3AA29AE9" w14:textId="77777777" w:rsidR="00FC52AD" w:rsidRPr="00AA5CB5" w:rsidRDefault="00FC52AD" w:rsidP="00FC52AD">
      <w:pPr>
        <w:spacing w:before="0" w:after="160" w:line="259" w:lineRule="auto"/>
      </w:pPr>
    </w:p>
    <w:p w14:paraId="0CE330C0" w14:textId="77777777" w:rsidR="00FC52AD" w:rsidRPr="00AA5CB5" w:rsidRDefault="00FC52AD" w:rsidP="00FC52AD">
      <w:pPr>
        <w:spacing w:before="0" w:after="160" w:line="259" w:lineRule="auto"/>
      </w:pPr>
    </w:p>
    <w:p w14:paraId="49CD892A" w14:textId="77777777" w:rsidR="00FC52AD" w:rsidRPr="00AA5CB5" w:rsidRDefault="00FC52AD" w:rsidP="00FC52AD">
      <w:pPr>
        <w:spacing w:before="0" w:after="160" w:line="259" w:lineRule="auto"/>
      </w:pPr>
    </w:p>
    <w:p w14:paraId="3102BE82" w14:textId="77777777" w:rsidR="00FC52AD" w:rsidRPr="00AA5CB5" w:rsidRDefault="00FC52AD" w:rsidP="00FC52AD">
      <w:pPr>
        <w:spacing w:before="0" w:after="160" w:line="259" w:lineRule="auto"/>
      </w:pPr>
    </w:p>
    <w:p w14:paraId="026F942B" w14:textId="77777777" w:rsidR="00FC52AD" w:rsidRPr="00AA5CB5" w:rsidRDefault="00FC52AD" w:rsidP="00FC52AD">
      <w:pPr>
        <w:spacing w:before="0" w:after="160" w:line="259" w:lineRule="auto"/>
      </w:pPr>
    </w:p>
    <w:p w14:paraId="7C570D4A" w14:textId="77777777" w:rsidR="00FC52AD" w:rsidRPr="00AA5CB5" w:rsidRDefault="00FC52AD" w:rsidP="00FC52AD">
      <w:pPr>
        <w:spacing w:before="0" w:after="160" w:line="259" w:lineRule="auto"/>
      </w:pPr>
    </w:p>
    <w:p w14:paraId="1EF8C4A2" w14:textId="77777777" w:rsidR="00FC52AD" w:rsidRPr="00AA5CB5" w:rsidRDefault="00FC52AD" w:rsidP="00FC52AD">
      <w:pPr>
        <w:spacing w:before="0" w:after="160" w:line="259" w:lineRule="auto"/>
      </w:pPr>
    </w:p>
    <w:p w14:paraId="2ED48E35" w14:textId="77777777" w:rsidR="00FC52AD" w:rsidRPr="00AA5CB5" w:rsidRDefault="00FC52AD" w:rsidP="00FC52AD">
      <w:pPr>
        <w:spacing w:before="0" w:after="160" w:line="259" w:lineRule="auto"/>
      </w:pPr>
    </w:p>
    <w:p w14:paraId="2C3FFE78" w14:textId="77777777" w:rsidR="00FC52AD" w:rsidRPr="00AA5CB5" w:rsidRDefault="00FC52AD" w:rsidP="00FC52AD">
      <w:pPr>
        <w:spacing w:before="0" w:after="160" w:line="259" w:lineRule="auto"/>
      </w:pPr>
    </w:p>
    <w:p w14:paraId="05437F10" w14:textId="77777777" w:rsidR="00FC52AD" w:rsidRPr="00AA5CB5" w:rsidRDefault="00FC52AD" w:rsidP="00FC52AD">
      <w:pPr>
        <w:spacing w:before="0" w:after="160" w:line="259" w:lineRule="auto"/>
      </w:pPr>
    </w:p>
    <w:p w14:paraId="66C380C4" w14:textId="77777777" w:rsidR="00FC52AD" w:rsidRPr="00AA5CB5" w:rsidRDefault="00FC52AD" w:rsidP="00FC52AD">
      <w:pPr>
        <w:spacing w:before="0" w:after="160" w:line="259" w:lineRule="auto"/>
      </w:pPr>
    </w:p>
    <w:p w14:paraId="46082812" w14:textId="77777777" w:rsidR="00FC52AD" w:rsidRPr="00AA5CB5" w:rsidRDefault="00FC52AD" w:rsidP="00FC52AD">
      <w:pPr>
        <w:spacing w:before="0" w:after="160" w:line="259" w:lineRule="auto"/>
      </w:pPr>
    </w:p>
    <w:p w14:paraId="03409EEB" w14:textId="77777777" w:rsidR="00FC52AD" w:rsidRPr="00AA5CB5" w:rsidRDefault="00FC52AD" w:rsidP="00FC52AD">
      <w:pPr>
        <w:spacing w:before="0" w:after="160" w:line="259" w:lineRule="auto"/>
      </w:pPr>
    </w:p>
    <w:p w14:paraId="728E0D2C" w14:textId="156BA5F9" w:rsidR="00FC52AD" w:rsidRPr="00AA5CB5" w:rsidRDefault="00FC52AD" w:rsidP="00FC52AD">
      <w:pPr>
        <w:spacing w:before="0" w:after="160" w:line="259" w:lineRule="auto"/>
      </w:pPr>
      <w:r w:rsidRPr="00AA5CB5">
        <w:t>© Commonwealth of Australia 2025 Ownership of intellectual property rights unless otherwise noted, copyright (and any other intellectual property rights) in this publication is owned by the Commonwealth of Australia (referred to as the Commonwealth).  </w:t>
      </w:r>
    </w:p>
    <w:p w14:paraId="4E9C35B0" w14:textId="031A4CCC" w:rsidR="00FC52AD" w:rsidRPr="00AA5CB5" w:rsidRDefault="00FC52AD" w:rsidP="00FC52AD">
      <w:pPr>
        <w:spacing w:before="0" w:after="160" w:line="259" w:lineRule="auto"/>
      </w:pPr>
      <w:r w:rsidRPr="00AA5CB5">
        <w:t>Creative Commons licence</w:t>
      </w:r>
      <w:r w:rsidR="00080EF5">
        <w:t>.</w:t>
      </w:r>
      <w:r w:rsidRPr="00AA5CB5">
        <w:t xml:space="preserve"> All material in this publication is licensed under a Creative Commons Attribution 4.0 International Licence except content supplied by third parties, logos and the Commonwealth Coat of Arms.  </w:t>
      </w:r>
    </w:p>
    <w:p w14:paraId="59C47F92" w14:textId="0C4AA918" w:rsidR="00FC52AD" w:rsidRPr="00DF55FB" w:rsidRDefault="00FC52AD" w:rsidP="00FC52AD">
      <w:pPr>
        <w:spacing w:before="0" w:after="160" w:line="259" w:lineRule="auto"/>
        <w:rPr>
          <w:color w:val="00338D" w:themeColor="accent3"/>
        </w:rPr>
      </w:pPr>
      <w:r w:rsidRPr="00AA5CB5">
        <w:t xml:space="preserve">Inquiries about the licence and any </w:t>
      </w:r>
      <w:r w:rsidRPr="00AA5CB5">
        <w:rPr>
          <w:szCs w:val="20"/>
        </w:rPr>
        <w:t xml:space="preserve">use of this document should be emailed to </w:t>
      </w:r>
      <w:hyperlink r:id="rId20" w:tgtFrame="_blank" w:history="1">
        <w:r w:rsidRPr="00FA208E">
          <w:rPr>
            <w:rStyle w:val="Hyperlink1"/>
            <w:sz w:val="20"/>
            <w:szCs w:val="20"/>
          </w:rPr>
          <w:t>climateaction@finance.gov.au</w:t>
        </w:r>
      </w:hyperlink>
      <w:r w:rsidRPr="00FA208E">
        <w:rPr>
          <w:rStyle w:val="Hyperlink1"/>
        </w:rPr>
        <w:t>.  </w:t>
      </w:r>
    </w:p>
    <w:p w14:paraId="625EEDB0" w14:textId="54D5FD49" w:rsidR="00FC52AD" w:rsidRPr="00AA5CB5" w:rsidRDefault="00FC52AD" w:rsidP="00545F85">
      <w:pPr>
        <w:spacing w:after="160" w:line="259" w:lineRule="auto"/>
      </w:pPr>
      <w:r w:rsidRPr="00AA5CB5">
        <w:t>ISSN</w:t>
      </w:r>
      <w:r w:rsidR="00321F3E" w:rsidRPr="00AA5CB5">
        <w:t xml:space="preserve">: </w:t>
      </w:r>
      <w:r w:rsidR="000861ED" w:rsidRPr="00AA5CB5">
        <w:t>978-1-925205-68-8</w:t>
      </w:r>
    </w:p>
    <w:p w14:paraId="482A4851" w14:textId="2F36970F" w:rsidR="00B56BB6" w:rsidRPr="00AA5CB5" w:rsidRDefault="00FC52AD">
      <w:pPr>
        <w:spacing w:before="0" w:after="160" w:line="259" w:lineRule="auto"/>
        <w:rPr>
          <w:rFonts w:asciiTheme="majorHAnsi" w:eastAsiaTheme="majorEastAsia" w:hAnsiTheme="majorHAnsi" w:cstheme="majorBidi"/>
          <w:b/>
          <w:color w:val="359D9A" w:themeColor="accent2"/>
          <w:sz w:val="72"/>
          <w:szCs w:val="72"/>
        </w:rPr>
      </w:pPr>
      <w:r w:rsidRPr="00AA5CB5">
        <w:t>Disclaimer: The Australian Government acting through the Department of Finance has exercised due care and skill in preparing and compiling the information and data in this publication. Notwithstanding, Finance,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  </w:t>
      </w:r>
      <w:r w:rsidR="00B56BB6" w:rsidRPr="00AA5CB5">
        <w:br w:type="page"/>
      </w:r>
    </w:p>
    <w:p w14:paraId="39A0CC25" w14:textId="61605859" w:rsidR="00294000" w:rsidRPr="002B2058" w:rsidRDefault="00294000" w:rsidP="002B2058">
      <w:pPr>
        <w:pStyle w:val="Heading1Noshow"/>
      </w:pPr>
      <w:r w:rsidRPr="002B2058">
        <w:lastRenderedPageBreak/>
        <w:t>Contents</w:t>
      </w:r>
    </w:p>
    <w:p w14:paraId="7BB89EFE" w14:textId="268D4BA2" w:rsidR="00082F9E" w:rsidRDefault="00B5428E">
      <w:pPr>
        <w:pStyle w:val="TOC1"/>
        <w:rPr>
          <w:rFonts w:eastAsiaTheme="minorEastAsia"/>
          <w:b w:val="0"/>
          <w:kern w:val="2"/>
          <w:lang w:eastAsia="en-AU"/>
          <w14:ligatures w14:val="standardContextual"/>
        </w:rPr>
      </w:pPr>
      <w:r w:rsidRPr="00AA5CB5">
        <w:rPr>
          <w:noProof w:val="0"/>
        </w:rPr>
        <w:fldChar w:fldCharType="begin"/>
      </w:r>
      <w:r w:rsidR="0030644C" w:rsidRPr="00AA5CB5">
        <w:rPr>
          <w:noProof w:val="0"/>
        </w:rPr>
        <w:instrText>TOC \o "1-2" \z \u \h</w:instrText>
      </w:r>
      <w:r w:rsidRPr="00AA5CB5">
        <w:rPr>
          <w:noProof w:val="0"/>
        </w:rPr>
        <w:fldChar w:fldCharType="separate"/>
      </w:r>
      <w:hyperlink w:anchor="_Toc201927332" w:history="1">
        <w:r w:rsidR="00082F9E" w:rsidRPr="00A17227">
          <w:rPr>
            <w:rStyle w:val="Hyperlink"/>
          </w:rPr>
          <w:t>Overview</w:t>
        </w:r>
        <w:r w:rsidR="00082F9E">
          <w:rPr>
            <w:webHidden/>
          </w:rPr>
          <w:tab/>
        </w:r>
        <w:r w:rsidR="00082F9E">
          <w:rPr>
            <w:webHidden/>
          </w:rPr>
          <w:fldChar w:fldCharType="begin"/>
        </w:r>
        <w:r w:rsidR="00082F9E">
          <w:rPr>
            <w:webHidden/>
          </w:rPr>
          <w:instrText xml:space="preserve"> PAGEREF _Toc201927332 \h </w:instrText>
        </w:r>
        <w:r w:rsidR="00082F9E">
          <w:rPr>
            <w:webHidden/>
          </w:rPr>
        </w:r>
        <w:r w:rsidR="00082F9E">
          <w:rPr>
            <w:webHidden/>
          </w:rPr>
          <w:fldChar w:fldCharType="separate"/>
        </w:r>
        <w:r w:rsidR="00422A37">
          <w:rPr>
            <w:webHidden/>
          </w:rPr>
          <w:t>5</w:t>
        </w:r>
        <w:r w:rsidR="00082F9E">
          <w:rPr>
            <w:webHidden/>
          </w:rPr>
          <w:fldChar w:fldCharType="end"/>
        </w:r>
      </w:hyperlink>
    </w:p>
    <w:p w14:paraId="74B87892" w14:textId="549C5A31" w:rsidR="00082F9E" w:rsidRDefault="00082F9E">
      <w:pPr>
        <w:pStyle w:val="TOC2"/>
        <w:rPr>
          <w:rFonts w:eastAsiaTheme="minorEastAsia"/>
          <w:kern w:val="2"/>
          <w:lang w:eastAsia="en-AU"/>
          <w14:ligatures w14:val="standardContextual"/>
        </w:rPr>
      </w:pPr>
      <w:hyperlink w:anchor="_Toc201927333" w:history="1">
        <w:r w:rsidRPr="00A17227">
          <w:rPr>
            <w:rStyle w:val="Hyperlink"/>
          </w:rPr>
          <w:t>Related polices and standards</w:t>
        </w:r>
        <w:r>
          <w:rPr>
            <w:webHidden/>
          </w:rPr>
          <w:tab/>
        </w:r>
        <w:r>
          <w:rPr>
            <w:webHidden/>
          </w:rPr>
          <w:fldChar w:fldCharType="begin"/>
        </w:r>
        <w:r>
          <w:rPr>
            <w:webHidden/>
          </w:rPr>
          <w:instrText xml:space="preserve"> PAGEREF _Toc201927333 \h </w:instrText>
        </w:r>
        <w:r>
          <w:rPr>
            <w:webHidden/>
          </w:rPr>
        </w:r>
        <w:r>
          <w:rPr>
            <w:webHidden/>
          </w:rPr>
          <w:fldChar w:fldCharType="separate"/>
        </w:r>
        <w:r w:rsidR="00422A37">
          <w:rPr>
            <w:webHidden/>
          </w:rPr>
          <w:t>5</w:t>
        </w:r>
        <w:r>
          <w:rPr>
            <w:webHidden/>
          </w:rPr>
          <w:fldChar w:fldCharType="end"/>
        </w:r>
      </w:hyperlink>
    </w:p>
    <w:p w14:paraId="63F67472" w14:textId="730A26DA" w:rsidR="00082F9E" w:rsidRDefault="00082F9E">
      <w:pPr>
        <w:pStyle w:val="TOC1"/>
        <w:rPr>
          <w:rFonts w:eastAsiaTheme="minorEastAsia"/>
          <w:b w:val="0"/>
          <w:kern w:val="2"/>
          <w:lang w:eastAsia="en-AU"/>
          <w14:ligatures w14:val="standardContextual"/>
        </w:rPr>
      </w:pPr>
      <w:hyperlink w:anchor="_Toc201927334" w:history="1">
        <w:r w:rsidRPr="00A17227">
          <w:rPr>
            <w:rStyle w:val="Hyperlink"/>
          </w:rPr>
          <w:t>GHG emissions accounting and inventory principles</w:t>
        </w:r>
        <w:r>
          <w:rPr>
            <w:webHidden/>
          </w:rPr>
          <w:tab/>
        </w:r>
        <w:r>
          <w:rPr>
            <w:webHidden/>
          </w:rPr>
          <w:fldChar w:fldCharType="begin"/>
        </w:r>
        <w:r>
          <w:rPr>
            <w:webHidden/>
          </w:rPr>
          <w:instrText xml:space="preserve"> PAGEREF _Toc201927334 \h </w:instrText>
        </w:r>
        <w:r>
          <w:rPr>
            <w:webHidden/>
          </w:rPr>
        </w:r>
        <w:r>
          <w:rPr>
            <w:webHidden/>
          </w:rPr>
          <w:fldChar w:fldCharType="separate"/>
        </w:r>
        <w:r w:rsidR="00422A37">
          <w:rPr>
            <w:webHidden/>
          </w:rPr>
          <w:t>8</w:t>
        </w:r>
        <w:r>
          <w:rPr>
            <w:webHidden/>
          </w:rPr>
          <w:fldChar w:fldCharType="end"/>
        </w:r>
      </w:hyperlink>
    </w:p>
    <w:p w14:paraId="00DE198D" w14:textId="6BF01D40" w:rsidR="00082F9E" w:rsidRDefault="00082F9E">
      <w:pPr>
        <w:pStyle w:val="TOC1"/>
        <w:rPr>
          <w:rFonts w:eastAsiaTheme="minorEastAsia"/>
          <w:b w:val="0"/>
          <w:kern w:val="2"/>
          <w:lang w:eastAsia="en-AU"/>
          <w14:ligatures w14:val="standardContextual"/>
        </w:rPr>
      </w:pPr>
      <w:hyperlink w:anchor="_Toc201927335" w:history="1">
        <w:r w:rsidRPr="00A17227">
          <w:rPr>
            <w:rStyle w:val="Hyperlink"/>
          </w:rPr>
          <w:t>Framework boundary</w:t>
        </w:r>
        <w:r>
          <w:rPr>
            <w:webHidden/>
          </w:rPr>
          <w:tab/>
        </w:r>
        <w:r>
          <w:rPr>
            <w:webHidden/>
          </w:rPr>
          <w:fldChar w:fldCharType="begin"/>
        </w:r>
        <w:r>
          <w:rPr>
            <w:webHidden/>
          </w:rPr>
          <w:instrText xml:space="preserve"> PAGEREF _Toc201927335 \h </w:instrText>
        </w:r>
        <w:r>
          <w:rPr>
            <w:webHidden/>
          </w:rPr>
        </w:r>
        <w:r>
          <w:rPr>
            <w:webHidden/>
          </w:rPr>
          <w:fldChar w:fldCharType="separate"/>
        </w:r>
        <w:r w:rsidR="00422A37">
          <w:rPr>
            <w:webHidden/>
          </w:rPr>
          <w:t>11</w:t>
        </w:r>
        <w:r>
          <w:rPr>
            <w:webHidden/>
          </w:rPr>
          <w:fldChar w:fldCharType="end"/>
        </w:r>
      </w:hyperlink>
    </w:p>
    <w:p w14:paraId="6386EB6B" w14:textId="70E41F8B" w:rsidR="00082F9E" w:rsidRDefault="00082F9E">
      <w:pPr>
        <w:pStyle w:val="TOC2"/>
        <w:rPr>
          <w:rFonts w:eastAsiaTheme="minorEastAsia"/>
          <w:kern w:val="2"/>
          <w:lang w:eastAsia="en-AU"/>
          <w14:ligatures w14:val="standardContextual"/>
        </w:rPr>
      </w:pPr>
      <w:hyperlink w:anchor="_Toc201927336" w:history="1">
        <w:r w:rsidRPr="00A17227">
          <w:rPr>
            <w:rStyle w:val="Hyperlink"/>
          </w:rPr>
          <w:t>International context</w:t>
        </w:r>
        <w:r>
          <w:rPr>
            <w:webHidden/>
          </w:rPr>
          <w:tab/>
        </w:r>
        <w:r>
          <w:rPr>
            <w:webHidden/>
          </w:rPr>
          <w:fldChar w:fldCharType="begin"/>
        </w:r>
        <w:r>
          <w:rPr>
            <w:webHidden/>
          </w:rPr>
          <w:instrText xml:space="preserve"> PAGEREF _Toc201927336 \h </w:instrText>
        </w:r>
        <w:r>
          <w:rPr>
            <w:webHidden/>
          </w:rPr>
        </w:r>
        <w:r>
          <w:rPr>
            <w:webHidden/>
          </w:rPr>
          <w:fldChar w:fldCharType="separate"/>
        </w:r>
        <w:r w:rsidR="00422A37">
          <w:rPr>
            <w:webHidden/>
          </w:rPr>
          <w:t>11</w:t>
        </w:r>
        <w:r>
          <w:rPr>
            <w:webHidden/>
          </w:rPr>
          <w:fldChar w:fldCharType="end"/>
        </w:r>
      </w:hyperlink>
    </w:p>
    <w:p w14:paraId="4A0266BA" w14:textId="28599D43" w:rsidR="00082F9E" w:rsidRDefault="00082F9E">
      <w:pPr>
        <w:pStyle w:val="TOC2"/>
        <w:rPr>
          <w:rFonts w:eastAsiaTheme="minorEastAsia"/>
          <w:kern w:val="2"/>
          <w:lang w:eastAsia="en-AU"/>
          <w14:ligatures w14:val="standardContextual"/>
        </w:rPr>
      </w:pPr>
      <w:hyperlink w:anchor="_Toc201927337" w:history="1">
        <w:r w:rsidRPr="00A17227">
          <w:rPr>
            <w:rStyle w:val="Hyperlink"/>
          </w:rPr>
          <w:t>Organisational boundaries using the operational control approach</w:t>
        </w:r>
        <w:r>
          <w:rPr>
            <w:webHidden/>
          </w:rPr>
          <w:tab/>
        </w:r>
        <w:r>
          <w:rPr>
            <w:webHidden/>
          </w:rPr>
          <w:fldChar w:fldCharType="begin"/>
        </w:r>
        <w:r>
          <w:rPr>
            <w:webHidden/>
          </w:rPr>
          <w:instrText xml:space="preserve"> PAGEREF _Toc201927337 \h </w:instrText>
        </w:r>
        <w:r>
          <w:rPr>
            <w:webHidden/>
          </w:rPr>
        </w:r>
        <w:r>
          <w:rPr>
            <w:webHidden/>
          </w:rPr>
          <w:fldChar w:fldCharType="separate"/>
        </w:r>
        <w:r w:rsidR="00422A37">
          <w:rPr>
            <w:webHidden/>
          </w:rPr>
          <w:t>11</w:t>
        </w:r>
        <w:r>
          <w:rPr>
            <w:webHidden/>
          </w:rPr>
          <w:fldChar w:fldCharType="end"/>
        </w:r>
      </w:hyperlink>
    </w:p>
    <w:p w14:paraId="592BC05D" w14:textId="509365A0" w:rsidR="00082F9E" w:rsidRDefault="00082F9E">
      <w:pPr>
        <w:pStyle w:val="TOC2"/>
        <w:rPr>
          <w:rFonts w:eastAsiaTheme="minorEastAsia"/>
          <w:kern w:val="2"/>
          <w:lang w:eastAsia="en-AU"/>
          <w14:ligatures w14:val="standardContextual"/>
        </w:rPr>
      </w:pPr>
      <w:hyperlink w:anchor="_Toc201927338" w:history="1">
        <w:r w:rsidRPr="00A17227">
          <w:rPr>
            <w:rStyle w:val="Hyperlink"/>
          </w:rPr>
          <w:t>Greenhouse gases</w:t>
        </w:r>
        <w:r>
          <w:rPr>
            <w:webHidden/>
          </w:rPr>
          <w:tab/>
        </w:r>
        <w:r>
          <w:rPr>
            <w:webHidden/>
          </w:rPr>
          <w:fldChar w:fldCharType="begin"/>
        </w:r>
        <w:r>
          <w:rPr>
            <w:webHidden/>
          </w:rPr>
          <w:instrText xml:space="preserve"> PAGEREF _Toc201927338 \h </w:instrText>
        </w:r>
        <w:r>
          <w:rPr>
            <w:webHidden/>
          </w:rPr>
        </w:r>
        <w:r>
          <w:rPr>
            <w:webHidden/>
          </w:rPr>
          <w:fldChar w:fldCharType="separate"/>
        </w:r>
        <w:r w:rsidR="00422A37">
          <w:rPr>
            <w:webHidden/>
          </w:rPr>
          <w:t>12</w:t>
        </w:r>
        <w:r>
          <w:rPr>
            <w:webHidden/>
          </w:rPr>
          <w:fldChar w:fldCharType="end"/>
        </w:r>
      </w:hyperlink>
    </w:p>
    <w:p w14:paraId="7E7FA4F8" w14:textId="61DBEA9F" w:rsidR="00082F9E" w:rsidRDefault="00082F9E">
      <w:pPr>
        <w:pStyle w:val="TOC2"/>
        <w:rPr>
          <w:rFonts w:eastAsiaTheme="minorEastAsia"/>
          <w:kern w:val="2"/>
          <w:lang w:eastAsia="en-AU"/>
          <w14:ligatures w14:val="standardContextual"/>
        </w:rPr>
      </w:pPr>
      <w:hyperlink w:anchor="_Toc201927339" w:history="1">
        <w:r w:rsidRPr="00A17227">
          <w:rPr>
            <w:rStyle w:val="Hyperlink"/>
          </w:rPr>
          <w:t>Emissions sources</w:t>
        </w:r>
        <w:r>
          <w:rPr>
            <w:webHidden/>
          </w:rPr>
          <w:tab/>
        </w:r>
        <w:r>
          <w:rPr>
            <w:webHidden/>
          </w:rPr>
          <w:fldChar w:fldCharType="begin"/>
        </w:r>
        <w:r>
          <w:rPr>
            <w:webHidden/>
          </w:rPr>
          <w:instrText xml:space="preserve"> PAGEREF _Toc201927339 \h </w:instrText>
        </w:r>
        <w:r>
          <w:rPr>
            <w:webHidden/>
          </w:rPr>
        </w:r>
        <w:r>
          <w:rPr>
            <w:webHidden/>
          </w:rPr>
          <w:fldChar w:fldCharType="separate"/>
        </w:r>
        <w:r w:rsidR="00422A37">
          <w:rPr>
            <w:webHidden/>
          </w:rPr>
          <w:t>13</w:t>
        </w:r>
        <w:r>
          <w:rPr>
            <w:webHidden/>
          </w:rPr>
          <w:fldChar w:fldCharType="end"/>
        </w:r>
      </w:hyperlink>
    </w:p>
    <w:p w14:paraId="01E8C199" w14:textId="32FE5CAF" w:rsidR="00082F9E" w:rsidRDefault="00082F9E">
      <w:pPr>
        <w:pStyle w:val="TOC2"/>
        <w:rPr>
          <w:rFonts w:eastAsiaTheme="minorEastAsia"/>
          <w:kern w:val="2"/>
          <w:lang w:eastAsia="en-AU"/>
          <w14:ligatures w14:val="standardContextual"/>
        </w:rPr>
      </w:pPr>
      <w:hyperlink w:anchor="_Toc201927340" w:history="1">
        <w:r w:rsidRPr="00A17227">
          <w:rPr>
            <w:rStyle w:val="Hyperlink"/>
          </w:rPr>
          <w:t>Scope 3 emissions exclusions</w:t>
        </w:r>
        <w:r>
          <w:rPr>
            <w:webHidden/>
          </w:rPr>
          <w:tab/>
        </w:r>
        <w:r>
          <w:rPr>
            <w:webHidden/>
          </w:rPr>
          <w:fldChar w:fldCharType="begin"/>
        </w:r>
        <w:r>
          <w:rPr>
            <w:webHidden/>
          </w:rPr>
          <w:instrText xml:space="preserve"> PAGEREF _Toc201927340 \h </w:instrText>
        </w:r>
        <w:r>
          <w:rPr>
            <w:webHidden/>
          </w:rPr>
        </w:r>
        <w:r>
          <w:rPr>
            <w:webHidden/>
          </w:rPr>
          <w:fldChar w:fldCharType="separate"/>
        </w:r>
        <w:r w:rsidR="00422A37">
          <w:rPr>
            <w:webHidden/>
          </w:rPr>
          <w:t>14</w:t>
        </w:r>
        <w:r>
          <w:rPr>
            <w:webHidden/>
          </w:rPr>
          <w:fldChar w:fldCharType="end"/>
        </w:r>
      </w:hyperlink>
    </w:p>
    <w:p w14:paraId="5957B5AA" w14:textId="3B86A568" w:rsidR="00082F9E" w:rsidRDefault="00082F9E">
      <w:pPr>
        <w:pStyle w:val="TOC2"/>
        <w:rPr>
          <w:rFonts w:eastAsiaTheme="minorEastAsia"/>
          <w:kern w:val="2"/>
          <w:lang w:eastAsia="en-AU"/>
          <w14:ligatures w14:val="standardContextual"/>
        </w:rPr>
      </w:pPr>
      <w:hyperlink w:anchor="_Toc201927341" w:history="1">
        <w:r w:rsidRPr="00A17227">
          <w:rPr>
            <w:rStyle w:val="Hyperlink"/>
          </w:rPr>
          <w:t>Land Use, Land Use Change, and Forestry and agricultural emissions</w:t>
        </w:r>
        <w:r>
          <w:rPr>
            <w:webHidden/>
          </w:rPr>
          <w:tab/>
        </w:r>
        <w:r>
          <w:rPr>
            <w:webHidden/>
          </w:rPr>
          <w:fldChar w:fldCharType="begin"/>
        </w:r>
        <w:r>
          <w:rPr>
            <w:webHidden/>
          </w:rPr>
          <w:instrText xml:space="preserve"> PAGEREF _Toc201927341 \h </w:instrText>
        </w:r>
        <w:r>
          <w:rPr>
            <w:webHidden/>
          </w:rPr>
        </w:r>
        <w:r>
          <w:rPr>
            <w:webHidden/>
          </w:rPr>
          <w:fldChar w:fldCharType="separate"/>
        </w:r>
        <w:r w:rsidR="00422A37">
          <w:rPr>
            <w:webHidden/>
          </w:rPr>
          <w:t>15</w:t>
        </w:r>
        <w:r>
          <w:rPr>
            <w:webHidden/>
          </w:rPr>
          <w:fldChar w:fldCharType="end"/>
        </w:r>
      </w:hyperlink>
    </w:p>
    <w:p w14:paraId="14E1259C" w14:textId="6B5C125D" w:rsidR="00082F9E" w:rsidRDefault="00082F9E">
      <w:pPr>
        <w:pStyle w:val="TOC1"/>
        <w:rPr>
          <w:rFonts w:eastAsiaTheme="minorEastAsia"/>
          <w:b w:val="0"/>
          <w:kern w:val="2"/>
          <w:lang w:eastAsia="en-AU"/>
          <w14:ligatures w14:val="standardContextual"/>
        </w:rPr>
      </w:pPr>
      <w:hyperlink w:anchor="_Toc201927342" w:history="1">
        <w:r w:rsidRPr="00A17227">
          <w:rPr>
            <w:rStyle w:val="Hyperlink"/>
          </w:rPr>
          <w:t>Activity data processes</w:t>
        </w:r>
        <w:r>
          <w:rPr>
            <w:webHidden/>
          </w:rPr>
          <w:tab/>
        </w:r>
        <w:r>
          <w:rPr>
            <w:webHidden/>
          </w:rPr>
          <w:fldChar w:fldCharType="begin"/>
        </w:r>
        <w:r>
          <w:rPr>
            <w:webHidden/>
          </w:rPr>
          <w:instrText xml:space="preserve"> PAGEREF _Toc201927342 \h </w:instrText>
        </w:r>
        <w:r>
          <w:rPr>
            <w:webHidden/>
          </w:rPr>
        </w:r>
        <w:r>
          <w:rPr>
            <w:webHidden/>
          </w:rPr>
          <w:fldChar w:fldCharType="separate"/>
        </w:r>
        <w:r w:rsidR="00422A37">
          <w:rPr>
            <w:webHidden/>
          </w:rPr>
          <w:t>16</w:t>
        </w:r>
        <w:r>
          <w:rPr>
            <w:webHidden/>
          </w:rPr>
          <w:fldChar w:fldCharType="end"/>
        </w:r>
      </w:hyperlink>
    </w:p>
    <w:p w14:paraId="1C6C9CE7" w14:textId="247D0282" w:rsidR="00082F9E" w:rsidRDefault="00082F9E">
      <w:pPr>
        <w:pStyle w:val="TOC2"/>
        <w:rPr>
          <w:rFonts w:eastAsiaTheme="minorEastAsia"/>
          <w:kern w:val="2"/>
          <w:lang w:eastAsia="en-AU"/>
          <w14:ligatures w14:val="standardContextual"/>
        </w:rPr>
      </w:pPr>
      <w:hyperlink w:anchor="_Toc201927343" w:history="1">
        <w:r w:rsidRPr="00A17227">
          <w:rPr>
            <w:rStyle w:val="Hyperlink"/>
          </w:rPr>
          <w:t>Reporting period</w:t>
        </w:r>
        <w:r>
          <w:rPr>
            <w:webHidden/>
          </w:rPr>
          <w:tab/>
        </w:r>
        <w:r>
          <w:rPr>
            <w:webHidden/>
          </w:rPr>
          <w:fldChar w:fldCharType="begin"/>
        </w:r>
        <w:r>
          <w:rPr>
            <w:webHidden/>
          </w:rPr>
          <w:instrText xml:space="preserve"> PAGEREF _Toc201927343 \h </w:instrText>
        </w:r>
        <w:r>
          <w:rPr>
            <w:webHidden/>
          </w:rPr>
        </w:r>
        <w:r>
          <w:rPr>
            <w:webHidden/>
          </w:rPr>
          <w:fldChar w:fldCharType="separate"/>
        </w:r>
        <w:r w:rsidR="00422A37">
          <w:rPr>
            <w:webHidden/>
          </w:rPr>
          <w:t>16</w:t>
        </w:r>
        <w:r>
          <w:rPr>
            <w:webHidden/>
          </w:rPr>
          <w:fldChar w:fldCharType="end"/>
        </w:r>
      </w:hyperlink>
    </w:p>
    <w:p w14:paraId="0DCC0B7C" w14:textId="2B447374" w:rsidR="00082F9E" w:rsidRDefault="00082F9E">
      <w:pPr>
        <w:pStyle w:val="TOC2"/>
        <w:rPr>
          <w:rFonts w:eastAsiaTheme="minorEastAsia"/>
          <w:kern w:val="2"/>
          <w:lang w:eastAsia="en-AU"/>
          <w14:ligatures w14:val="standardContextual"/>
        </w:rPr>
      </w:pPr>
      <w:hyperlink w:anchor="_Toc201927344" w:history="1">
        <w:r w:rsidRPr="00A17227">
          <w:rPr>
            <w:rStyle w:val="Hyperlink"/>
          </w:rPr>
          <w:t>Actual data</w:t>
        </w:r>
        <w:r>
          <w:rPr>
            <w:webHidden/>
          </w:rPr>
          <w:tab/>
        </w:r>
        <w:r>
          <w:rPr>
            <w:webHidden/>
          </w:rPr>
          <w:fldChar w:fldCharType="begin"/>
        </w:r>
        <w:r>
          <w:rPr>
            <w:webHidden/>
          </w:rPr>
          <w:instrText xml:space="preserve"> PAGEREF _Toc201927344 \h </w:instrText>
        </w:r>
        <w:r>
          <w:rPr>
            <w:webHidden/>
          </w:rPr>
        </w:r>
        <w:r>
          <w:rPr>
            <w:webHidden/>
          </w:rPr>
          <w:fldChar w:fldCharType="separate"/>
        </w:r>
        <w:r w:rsidR="00422A37">
          <w:rPr>
            <w:webHidden/>
          </w:rPr>
          <w:t>16</w:t>
        </w:r>
        <w:r>
          <w:rPr>
            <w:webHidden/>
          </w:rPr>
          <w:fldChar w:fldCharType="end"/>
        </w:r>
      </w:hyperlink>
    </w:p>
    <w:p w14:paraId="67E1450C" w14:textId="3CA15661" w:rsidR="00082F9E" w:rsidRDefault="00082F9E">
      <w:pPr>
        <w:pStyle w:val="TOC2"/>
        <w:rPr>
          <w:rFonts w:eastAsiaTheme="minorEastAsia"/>
          <w:kern w:val="2"/>
          <w:lang w:eastAsia="en-AU"/>
          <w14:ligatures w14:val="standardContextual"/>
        </w:rPr>
      </w:pPr>
      <w:hyperlink w:anchor="_Toc201927345" w:history="1">
        <w:r w:rsidRPr="00A17227">
          <w:rPr>
            <w:rStyle w:val="Hyperlink"/>
          </w:rPr>
          <w:t>Primary data</w:t>
        </w:r>
        <w:r>
          <w:rPr>
            <w:webHidden/>
          </w:rPr>
          <w:tab/>
        </w:r>
        <w:r>
          <w:rPr>
            <w:webHidden/>
          </w:rPr>
          <w:fldChar w:fldCharType="begin"/>
        </w:r>
        <w:r>
          <w:rPr>
            <w:webHidden/>
          </w:rPr>
          <w:instrText xml:space="preserve"> PAGEREF _Toc201927345 \h </w:instrText>
        </w:r>
        <w:r>
          <w:rPr>
            <w:webHidden/>
          </w:rPr>
        </w:r>
        <w:r>
          <w:rPr>
            <w:webHidden/>
          </w:rPr>
          <w:fldChar w:fldCharType="separate"/>
        </w:r>
        <w:r w:rsidR="00422A37">
          <w:rPr>
            <w:webHidden/>
          </w:rPr>
          <w:t>17</w:t>
        </w:r>
        <w:r>
          <w:rPr>
            <w:webHidden/>
          </w:rPr>
          <w:fldChar w:fldCharType="end"/>
        </w:r>
      </w:hyperlink>
    </w:p>
    <w:p w14:paraId="4822D59E" w14:textId="64BFDADE" w:rsidR="00082F9E" w:rsidRDefault="00082F9E">
      <w:pPr>
        <w:pStyle w:val="TOC2"/>
        <w:rPr>
          <w:rFonts w:eastAsiaTheme="minorEastAsia"/>
          <w:kern w:val="2"/>
          <w:lang w:eastAsia="en-AU"/>
          <w14:ligatures w14:val="standardContextual"/>
        </w:rPr>
      </w:pPr>
      <w:hyperlink w:anchor="_Toc201927346" w:history="1">
        <w:r w:rsidRPr="00A17227">
          <w:rPr>
            <w:rStyle w:val="Hyperlink"/>
          </w:rPr>
          <w:t>Secondary data</w:t>
        </w:r>
        <w:r>
          <w:rPr>
            <w:webHidden/>
          </w:rPr>
          <w:tab/>
        </w:r>
        <w:r>
          <w:rPr>
            <w:webHidden/>
          </w:rPr>
          <w:fldChar w:fldCharType="begin"/>
        </w:r>
        <w:r>
          <w:rPr>
            <w:webHidden/>
          </w:rPr>
          <w:instrText xml:space="preserve"> PAGEREF _Toc201927346 \h </w:instrText>
        </w:r>
        <w:r>
          <w:rPr>
            <w:webHidden/>
          </w:rPr>
        </w:r>
        <w:r>
          <w:rPr>
            <w:webHidden/>
          </w:rPr>
          <w:fldChar w:fldCharType="separate"/>
        </w:r>
        <w:r w:rsidR="00422A37">
          <w:rPr>
            <w:webHidden/>
          </w:rPr>
          <w:t>17</w:t>
        </w:r>
        <w:r>
          <w:rPr>
            <w:webHidden/>
          </w:rPr>
          <w:fldChar w:fldCharType="end"/>
        </w:r>
      </w:hyperlink>
    </w:p>
    <w:p w14:paraId="7B69FCB1" w14:textId="3C1BACB7" w:rsidR="00082F9E" w:rsidRDefault="00082F9E">
      <w:pPr>
        <w:pStyle w:val="TOC2"/>
        <w:rPr>
          <w:rFonts w:eastAsiaTheme="minorEastAsia"/>
          <w:kern w:val="2"/>
          <w:lang w:eastAsia="en-AU"/>
          <w14:ligatures w14:val="standardContextual"/>
        </w:rPr>
      </w:pPr>
      <w:hyperlink w:anchor="_Toc201927347" w:history="1">
        <w:r w:rsidRPr="00A17227">
          <w:rPr>
            <w:rStyle w:val="Hyperlink"/>
          </w:rPr>
          <w:t>Audit readiness</w:t>
        </w:r>
        <w:r>
          <w:rPr>
            <w:webHidden/>
          </w:rPr>
          <w:tab/>
        </w:r>
        <w:r>
          <w:rPr>
            <w:webHidden/>
          </w:rPr>
          <w:fldChar w:fldCharType="begin"/>
        </w:r>
        <w:r>
          <w:rPr>
            <w:webHidden/>
          </w:rPr>
          <w:instrText xml:space="preserve"> PAGEREF _Toc201927347 \h </w:instrText>
        </w:r>
        <w:r>
          <w:rPr>
            <w:webHidden/>
          </w:rPr>
        </w:r>
        <w:r>
          <w:rPr>
            <w:webHidden/>
          </w:rPr>
          <w:fldChar w:fldCharType="separate"/>
        </w:r>
        <w:r w:rsidR="00422A37">
          <w:rPr>
            <w:webHidden/>
          </w:rPr>
          <w:t>18</w:t>
        </w:r>
        <w:r>
          <w:rPr>
            <w:webHidden/>
          </w:rPr>
          <w:fldChar w:fldCharType="end"/>
        </w:r>
      </w:hyperlink>
    </w:p>
    <w:p w14:paraId="2C0FFA87" w14:textId="65C0A1E0" w:rsidR="00082F9E" w:rsidRDefault="00082F9E">
      <w:pPr>
        <w:pStyle w:val="TOC2"/>
        <w:rPr>
          <w:rFonts w:eastAsiaTheme="minorEastAsia"/>
          <w:kern w:val="2"/>
          <w:lang w:eastAsia="en-AU"/>
          <w14:ligatures w14:val="standardContextual"/>
        </w:rPr>
      </w:pPr>
      <w:hyperlink w:anchor="_Toc201927348" w:history="1">
        <w:r w:rsidRPr="00A17227">
          <w:rPr>
            <w:rStyle w:val="Hyperlink"/>
          </w:rPr>
          <w:t>Data collection period</w:t>
        </w:r>
        <w:r>
          <w:rPr>
            <w:webHidden/>
          </w:rPr>
          <w:tab/>
        </w:r>
        <w:r>
          <w:rPr>
            <w:webHidden/>
          </w:rPr>
          <w:fldChar w:fldCharType="begin"/>
        </w:r>
        <w:r>
          <w:rPr>
            <w:webHidden/>
          </w:rPr>
          <w:instrText xml:space="preserve"> PAGEREF _Toc201927348 \h </w:instrText>
        </w:r>
        <w:r>
          <w:rPr>
            <w:webHidden/>
          </w:rPr>
        </w:r>
        <w:r>
          <w:rPr>
            <w:webHidden/>
          </w:rPr>
          <w:fldChar w:fldCharType="separate"/>
        </w:r>
        <w:r w:rsidR="00422A37">
          <w:rPr>
            <w:webHidden/>
          </w:rPr>
          <w:t>19</w:t>
        </w:r>
        <w:r>
          <w:rPr>
            <w:webHidden/>
          </w:rPr>
          <w:fldChar w:fldCharType="end"/>
        </w:r>
      </w:hyperlink>
    </w:p>
    <w:p w14:paraId="7C0AD9FE" w14:textId="1AAA03BD" w:rsidR="00082F9E" w:rsidRDefault="00082F9E">
      <w:pPr>
        <w:pStyle w:val="TOC2"/>
        <w:rPr>
          <w:rFonts w:eastAsiaTheme="minorEastAsia"/>
          <w:kern w:val="2"/>
          <w:lang w:eastAsia="en-AU"/>
          <w14:ligatures w14:val="standardContextual"/>
        </w:rPr>
      </w:pPr>
      <w:hyperlink w:anchor="_Toc201927349" w:history="1">
        <w:r w:rsidRPr="00A17227">
          <w:rPr>
            <w:rStyle w:val="Hyperlink"/>
          </w:rPr>
          <w:t>Data sign off and submission</w:t>
        </w:r>
        <w:r>
          <w:rPr>
            <w:webHidden/>
          </w:rPr>
          <w:tab/>
        </w:r>
        <w:r>
          <w:rPr>
            <w:webHidden/>
          </w:rPr>
          <w:fldChar w:fldCharType="begin"/>
        </w:r>
        <w:r>
          <w:rPr>
            <w:webHidden/>
          </w:rPr>
          <w:instrText xml:space="preserve"> PAGEREF _Toc201927349 \h </w:instrText>
        </w:r>
        <w:r>
          <w:rPr>
            <w:webHidden/>
          </w:rPr>
        </w:r>
        <w:r>
          <w:rPr>
            <w:webHidden/>
          </w:rPr>
          <w:fldChar w:fldCharType="separate"/>
        </w:r>
        <w:r w:rsidR="00422A37">
          <w:rPr>
            <w:webHidden/>
          </w:rPr>
          <w:t>20</w:t>
        </w:r>
        <w:r>
          <w:rPr>
            <w:webHidden/>
          </w:rPr>
          <w:fldChar w:fldCharType="end"/>
        </w:r>
      </w:hyperlink>
    </w:p>
    <w:p w14:paraId="4759D404" w14:textId="431FFBE7" w:rsidR="00082F9E" w:rsidRDefault="00082F9E">
      <w:pPr>
        <w:pStyle w:val="TOC1"/>
        <w:rPr>
          <w:rFonts w:eastAsiaTheme="minorEastAsia"/>
          <w:b w:val="0"/>
          <w:kern w:val="2"/>
          <w:lang w:eastAsia="en-AU"/>
          <w14:ligatures w14:val="standardContextual"/>
        </w:rPr>
      </w:pPr>
      <w:hyperlink w:anchor="_Toc201927350" w:history="1">
        <w:r w:rsidRPr="00A17227">
          <w:rPr>
            <w:rStyle w:val="Hyperlink"/>
          </w:rPr>
          <w:t>Emissions Calculations</w:t>
        </w:r>
        <w:r>
          <w:rPr>
            <w:webHidden/>
          </w:rPr>
          <w:tab/>
        </w:r>
        <w:r>
          <w:rPr>
            <w:webHidden/>
          </w:rPr>
          <w:fldChar w:fldCharType="begin"/>
        </w:r>
        <w:r>
          <w:rPr>
            <w:webHidden/>
          </w:rPr>
          <w:instrText xml:space="preserve"> PAGEREF _Toc201927350 \h </w:instrText>
        </w:r>
        <w:r>
          <w:rPr>
            <w:webHidden/>
          </w:rPr>
        </w:r>
        <w:r>
          <w:rPr>
            <w:webHidden/>
          </w:rPr>
          <w:fldChar w:fldCharType="separate"/>
        </w:r>
        <w:r w:rsidR="00422A37">
          <w:rPr>
            <w:webHidden/>
          </w:rPr>
          <w:t>21</w:t>
        </w:r>
        <w:r>
          <w:rPr>
            <w:webHidden/>
          </w:rPr>
          <w:fldChar w:fldCharType="end"/>
        </w:r>
      </w:hyperlink>
    </w:p>
    <w:p w14:paraId="5C278946" w14:textId="19979384" w:rsidR="00082F9E" w:rsidRDefault="00082F9E">
      <w:pPr>
        <w:pStyle w:val="TOC2"/>
        <w:rPr>
          <w:rFonts w:eastAsiaTheme="minorEastAsia"/>
          <w:kern w:val="2"/>
          <w:lang w:eastAsia="en-AU"/>
          <w14:ligatures w14:val="standardContextual"/>
        </w:rPr>
      </w:pPr>
      <w:hyperlink w:anchor="_Toc201927351" w:history="1">
        <w:r w:rsidRPr="00A17227">
          <w:rPr>
            <w:rStyle w:val="Hyperlink"/>
          </w:rPr>
          <w:t>Data validation</w:t>
        </w:r>
        <w:r>
          <w:rPr>
            <w:webHidden/>
          </w:rPr>
          <w:tab/>
        </w:r>
        <w:r>
          <w:rPr>
            <w:webHidden/>
          </w:rPr>
          <w:fldChar w:fldCharType="begin"/>
        </w:r>
        <w:r>
          <w:rPr>
            <w:webHidden/>
          </w:rPr>
          <w:instrText xml:space="preserve"> PAGEREF _Toc201927351 \h </w:instrText>
        </w:r>
        <w:r>
          <w:rPr>
            <w:webHidden/>
          </w:rPr>
        </w:r>
        <w:r>
          <w:rPr>
            <w:webHidden/>
          </w:rPr>
          <w:fldChar w:fldCharType="separate"/>
        </w:r>
        <w:r w:rsidR="00422A37">
          <w:rPr>
            <w:webHidden/>
          </w:rPr>
          <w:t>21</w:t>
        </w:r>
        <w:r>
          <w:rPr>
            <w:webHidden/>
          </w:rPr>
          <w:fldChar w:fldCharType="end"/>
        </w:r>
      </w:hyperlink>
    </w:p>
    <w:p w14:paraId="73CA2AE0" w14:textId="78C03913" w:rsidR="00082F9E" w:rsidRDefault="00082F9E">
      <w:pPr>
        <w:pStyle w:val="TOC2"/>
        <w:rPr>
          <w:rFonts w:eastAsiaTheme="minorEastAsia"/>
          <w:kern w:val="2"/>
          <w:lang w:eastAsia="en-AU"/>
          <w14:ligatures w14:val="standardContextual"/>
        </w:rPr>
      </w:pPr>
      <w:hyperlink w:anchor="_Toc201927352" w:history="1">
        <w:r w:rsidRPr="00A17227">
          <w:rPr>
            <w:rStyle w:val="Hyperlink"/>
          </w:rPr>
          <w:t>Emissions calculations</w:t>
        </w:r>
        <w:r>
          <w:rPr>
            <w:webHidden/>
          </w:rPr>
          <w:tab/>
        </w:r>
        <w:r>
          <w:rPr>
            <w:webHidden/>
          </w:rPr>
          <w:fldChar w:fldCharType="begin"/>
        </w:r>
        <w:r>
          <w:rPr>
            <w:webHidden/>
          </w:rPr>
          <w:instrText xml:space="preserve"> PAGEREF _Toc201927352 \h </w:instrText>
        </w:r>
        <w:r>
          <w:rPr>
            <w:webHidden/>
          </w:rPr>
        </w:r>
        <w:r>
          <w:rPr>
            <w:webHidden/>
          </w:rPr>
          <w:fldChar w:fldCharType="separate"/>
        </w:r>
        <w:r w:rsidR="00422A37">
          <w:rPr>
            <w:webHidden/>
          </w:rPr>
          <w:t>21</w:t>
        </w:r>
        <w:r>
          <w:rPr>
            <w:webHidden/>
          </w:rPr>
          <w:fldChar w:fldCharType="end"/>
        </w:r>
      </w:hyperlink>
    </w:p>
    <w:p w14:paraId="2DDBDB85" w14:textId="061C60D3" w:rsidR="00082F9E" w:rsidRDefault="00082F9E">
      <w:pPr>
        <w:pStyle w:val="TOC1"/>
        <w:rPr>
          <w:rFonts w:eastAsiaTheme="minorEastAsia"/>
          <w:b w:val="0"/>
          <w:kern w:val="2"/>
          <w:lang w:eastAsia="en-AU"/>
          <w14:ligatures w14:val="standardContextual"/>
        </w:rPr>
      </w:pPr>
      <w:hyperlink w:anchor="_Toc201927353" w:history="1">
        <w:r w:rsidRPr="00A17227">
          <w:rPr>
            <w:rStyle w:val="Hyperlink"/>
          </w:rPr>
          <w:t>Annual report requirements 2024-25</w:t>
        </w:r>
        <w:r>
          <w:rPr>
            <w:webHidden/>
          </w:rPr>
          <w:tab/>
        </w:r>
        <w:r>
          <w:rPr>
            <w:webHidden/>
          </w:rPr>
          <w:fldChar w:fldCharType="begin"/>
        </w:r>
        <w:r>
          <w:rPr>
            <w:webHidden/>
          </w:rPr>
          <w:instrText xml:space="preserve"> PAGEREF _Toc201927353 \h </w:instrText>
        </w:r>
        <w:r>
          <w:rPr>
            <w:webHidden/>
          </w:rPr>
        </w:r>
        <w:r>
          <w:rPr>
            <w:webHidden/>
          </w:rPr>
          <w:fldChar w:fldCharType="separate"/>
        </w:r>
        <w:r w:rsidR="00422A37">
          <w:rPr>
            <w:webHidden/>
          </w:rPr>
          <w:t>23</w:t>
        </w:r>
        <w:r>
          <w:rPr>
            <w:webHidden/>
          </w:rPr>
          <w:fldChar w:fldCharType="end"/>
        </w:r>
      </w:hyperlink>
    </w:p>
    <w:p w14:paraId="668158CD" w14:textId="6C28E88B" w:rsidR="00082F9E" w:rsidRDefault="00082F9E">
      <w:pPr>
        <w:pStyle w:val="TOC2"/>
        <w:rPr>
          <w:rFonts w:eastAsiaTheme="minorEastAsia"/>
          <w:kern w:val="2"/>
          <w:lang w:eastAsia="en-AU"/>
          <w14:ligatures w14:val="standardContextual"/>
        </w:rPr>
      </w:pPr>
      <w:hyperlink w:anchor="_Toc201927354" w:history="1">
        <w:r w:rsidRPr="00A17227">
          <w:rPr>
            <w:rStyle w:val="Hyperlink"/>
          </w:rPr>
          <w:t>Climate Statement Template for 2024-25 Reporting Period</w:t>
        </w:r>
        <w:r>
          <w:rPr>
            <w:webHidden/>
          </w:rPr>
          <w:tab/>
        </w:r>
        <w:r>
          <w:rPr>
            <w:webHidden/>
          </w:rPr>
          <w:fldChar w:fldCharType="begin"/>
        </w:r>
        <w:r>
          <w:rPr>
            <w:webHidden/>
          </w:rPr>
          <w:instrText xml:space="preserve"> PAGEREF _Toc201927354 \h </w:instrText>
        </w:r>
        <w:r>
          <w:rPr>
            <w:webHidden/>
          </w:rPr>
        </w:r>
        <w:r>
          <w:rPr>
            <w:webHidden/>
          </w:rPr>
          <w:fldChar w:fldCharType="separate"/>
        </w:r>
        <w:r w:rsidR="00422A37">
          <w:rPr>
            <w:webHidden/>
          </w:rPr>
          <w:t>25</w:t>
        </w:r>
        <w:r>
          <w:rPr>
            <w:webHidden/>
          </w:rPr>
          <w:fldChar w:fldCharType="end"/>
        </w:r>
      </w:hyperlink>
    </w:p>
    <w:p w14:paraId="0B38A85D" w14:textId="330CFBCD" w:rsidR="00082F9E" w:rsidRDefault="00082F9E">
      <w:pPr>
        <w:pStyle w:val="TOC1"/>
        <w:rPr>
          <w:rFonts w:eastAsiaTheme="minorEastAsia"/>
          <w:b w:val="0"/>
          <w:kern w:val="2"/>
          <w:lang w:eastAsia="en-AU"/>
          <w14:ligatures w14:val="standardContextual"/>
        </w:rPr>
      </w:pPr>
      <w:hyperlink w:anchor="_Toc201927355" w:history="1">
        <w:r w:rsidRPr="00A17227">
          <w:rPr>
            <w:rStyle w:val="Hyperlink"/>
          </w:rPr>
          <w:t>Continuous Improvement</w:t>
        </w:r>
        <w:r>
          <w:rPr>
            <w:webHidden/>
          </w:rPr>
          <w:tab/>
        </w:r>
        <w:r>
          <w:rPr>
            <w:webHidden/>
          </w:rPr>
          <w:fldChar w:fldCharType="begin"/>
        </w:r>
        <w:r>
          <w:rPr>
            <w:webHidden/>
          </w:rPr>
          <w:instrText xml:space="preserve"> PAGEREF _Toc201927355 \h </w:instrText>
        </w:r>
        <w:r>
          <w:rPr>
            <w:webHidden/>
          </w:rPr>
        </w:r>
        <w:r>
          <w:rPr>
            <w:webHidden/>
          </w:rPr>
          <w:fldChar w:fldCharType="separate"/>
        </w:r>
        <w:r w:rsidR="00422A37">
          <w:rPr>
            <w:webHidden/>
          </w:rPr>
          <w:t>27</w:t>
        </w:r>
        <w:r>
          <w:rPr>
            <w:webHidden/>
          </w:rPr>
          <w:fldChar w:fldCharType="end"/>
        </w:r>
      </w:hyperlink>
    </w:p>
    <w:p w14:paraId="179F9CE1" w14:textId="5F753E9D" w:rsidR="00082F9E" w:rsidRDefault="00082F9E">
      <w:pPr>
        <w:pStyle w:val="TOC2"/>
        <w:rPr>
          <w:rFonts w:eastAsiaTheme="minorEastAsia"/>
          <w:kern w:val="2"/>
          <w:lang w:eastAsia="en-AU"/>
          <w14:ligatures w14:val="standardContextual"/>
        </w:rPr>
      </w:pPr>
      <w:hyperlink w:anchor="_Toc201927356" w:history="1">
        <w:r w:rsidRPr="00A17227">
          <w:rPr>
            <w:rStyle w:val="Hyperlink"/>
          </w:rPr>
          <w:t>Time series consistency</w:t>
        </w:r>
        <w:r>
          <w:rPr>
            <w:webHidden/>
          </w:rPr>
          <w:tab/>
        </w:r>
        <w:r>
          <w:rPr>
            <w:webHidden/>
          </w:rPr>
          <w:fldChar w:fldCharType="begin"/>
        </w:r>
        <w:r>
          <w:rPr>
            <w:webHidden/>
          </w:rPr>
          <w:instrText xml:space="preserve"> PAGEREF _Toc201927356 \h </w:instrText>
        </w:r>
        <w:r>
          <w:rPr>
            <w:webHidden/>
          </w:rPr>
        </w:r>
        <w:r>
          <w:rPr>
            <w:webHidden/>
          </w:rPr>
          <w:fldChar w:fldCharType="separate"/>
        </w:r>
        <w:r w:rsidR="00422A37">
          <w:rPr>
            <w:webHidden/>
          </w:rPr>
          <w:t>27</w:t>
        </w:r>
        <w:r>
          <w:rPr>
            <w:webHidden/>
          </w:rPr>
          <w:fldChar w:fldCharType="end"/>
        </w:r>
      </w:hyperlink>
    </w:p>
    <w:p w14:paraId="615213D7" w14:textId="2555C490" w:rsidR="00082F9E" w:rsidRDefault="00082F9E">
      <w:pPr>
        <w:pStyle w:val="TOC2"/>
        <w:rPr>
          <w:rFonts w:eastAsiaTheme="minorEastAsia"/>
          <w:kern w:val="2"/>
          <w:lang w:eastAsia="en-AU"/>
          <w14:ligatures w14:val="standardContextual"/>
        </w:rPr>
      </w:pPr>
      <w:hyperlink w:anchor="_Toc201927357" w:history="1">
        <w:r w:rsidRPr="00A17227">
          <w:rPr>
            <w:rStyle w:val="Hyperlink"/>
          </w:rPr>
          <w:t>Data amendment process</w:t>
        </w:r>
        <w:r>
          <w:rPr>
            <w:webHidden/>
          </w:rPr>
          <w:tab/>
        </w:r>
        <w:r>
          <w:rPr>
            <w:webHidden/>
          </w:rPr>
          <w:fldChar w:fldCharType="begin"/>
        </w:r>
        <w:r>
          <w:rPr>
            <w:webHidden/>
          </w:rPr>
          <w:instrText xml:space="preserve"> PAGEREF _Toc201927357 \h </w:instrText>
        </w:r>
        <w:r>
          <w:rPr>
            <w:webHidden/>
          </w:rPr>
        </w:r>
        <w:r>
          <w:rPr>
            <w:webHidden/>
          </w:rPr>
          <w:fldChar w:fldCharType="separate"/>
        </w:r>
        <w:r w:rsidR="00422A37">
          <w:rPr>
            <w:webHidden/>
          </w:rPr>
          <w:t>27</w:t>
        </w:r>
        <w:r>
          <w:rPr>
            <w:webHidden/>
          </w:rPr>
          <w:fldChar w:fldCharType="end"/>
        </w:r>
      </w:hyperlink>
    </w:p>
    <w:p w14:paraId="24D01079" w14:textId="6B6783B9" w:rsidR="00082F9E" w:rsidRDefault="00082F9E">
      <w:pPr>
        <w:pStyle w:val="TOC1"/>
        <w:rPr>
          <w:rFonts w:eastAsiaTheme="minorEastAsia"/>
          <w:b w:val="0"/>
          <w:kern w:val="2"/>
          <w:lang w:eastAsia="en-AU"/>
          <w14:ligatures w14:val="standardContextual"/>
        </w:rPr>
      </w:pPr>
      <w:hyperlink w:anchor="_Toc201927358" w:history="1">
        <w:r w:rsidRPr="00A17227">
          <w:rPr>
            <w:rStyle w:val="Hyperlink"/>
          </w:rPr>
          <w:t>Annex A: Scope 3 categories in Greenhouse Gas Protocol and Framework</w:t>
        </w:r>
        <w:r>
          <w:rPr>
            <w:webHidden/>
          </w:rPr>
          <w:tab/>
        </w:r>
        <w:r>
          <w:rPr>
            <w:webHidden/>
          </w:rPr>
          <w:fldChar w:fldCharType="begin"/>
        </w:r>
        <w:r>
          <w:rPr>
            <w:webHidden/>
          </w:rPr>
          <w:instrText xml:space="preserve"> PAGEREF _Toc201927358 \h </w:instrText>
        </w:r>
        <w:r>
          <w:rPr>
            <w:webHidden/>
          </w:rPr>
        </w:r>
        <w:r>
          <w:rPr>
            <w:webHidden/>
          </w:rPr>
          <w:fldChar w:fldCharType="separate"/>
        </w:r>
        <w:r w:rsidR="00422A37">
          <w:rPr>
            <w:webHidden/>
          </w:rPr>
          <w:t>29</w:t>
        </w:r>
        <w:r>
          <w:rPr>
            <w:webHidden/>
          </w:rPr>
          <w:fldChar w:fldCharType="end"/>
        </w:r>
      </w:hyperlink>
    </w:p>
    <w:p w14:paraId="5D14C4FA" w14:textId="01AB1A46" w:rsidR="00082F9E" w:rsidRDefault="00082F9E">
      <w:pPr>
        <w:pStyle w:val="TOC1"/>
        <w:rPr>
          <w:rFonts w:eastAsiaTheme="minorEastAsia"/>
          <w:b w:val="0"/>
          <w:kern w:val="2"/>
          <w:lang w:eastAsia="en-AU"/>
          <w14:ligatures w14:val="standardContextual"/>
        </w:rPr>
      </w:pPr>
      <w:hyperlink w:anchor="_Toc201927359" w:history="1">
        <w:r w:rsidRPr="00A17227">
          <w:rPr>
            <w:rStyle w:val="Hyperlink"/>
          </w:rPr>
          <w:t>Annex B: Operational Control Scorecard</w:t>
        </w:r>
        <w:r>
          <w:rPr>
            <w:webHidden/>
          </w:rPr>
          <w:tab/>
        </w:r>
        <w:r>
          <w:rPr>
            <w:webHidden/>
          </w:rPr>
          <w:fldChar w:fldCharType="begin"/>
        </w:r>
        <w:r>
          <w:rPr>
            <w:webHidden/>
          </w:rPr>
          <w:instrText xml:space="preserve"> PAGEREF _Toc201927359 \h </w:instrText>
        </w:r>
        <w:r>
          <w:rPr>
            <w:webHidden/>
          </w:rPr>
        </w:r>
        <w:r>
          <w:rPr>
            <w:webHidden/>
          </w:rPr>
          <w:fldChar w:fldCharType="separate"/>
        </w:r>
        <w:r w:rsidR="00422A37">
          <w:rPr>
            <w:webHidden/>
          </w:rPr>
          <w:t>34</w:t>
        </w:r>
        <w:r>
          <w:rPr>
            <w:webHidden/>
          </w:rPr>
          <w:fldChar w:fldCharType="end"/>
        </w:r>
      </w:hyperlink>
    </w:p>
    <w:p w14:paraId="00D58E8E" w14:textId="6C36E517" w:rsidR="00082F9E" w:rsidRDefault="00082F9E">
      <w:pPr>
        <w:pStyle w:val="TOC2"/>
        <w:rPr>
          <w:rFonts w:eastAsiaTheme="minorEastAsia"/>
          <w:kern w:val="2"/>
          <w:lang w:eastAsia="en-AU"/>
          <w14:ligatures w14:val="standardContextual"/>
        </w:rPr>
      </w:pPr>
      <w:hyperlink w:anchor="_Toc201927360" w:history="1">
        <w:r w:rsidRPr="00A17227">
          <w:rPr>
            <w:rStyle w:val="Hyperlink"/>
          </w:rPr>
          <w:t>Overview</w:t>
        </w:r>
        <w:r>
          <w:rPr>
            <w:webHidden/>
          </w:rPr>
          <w:tab/>
        </w:r>
        <w:r>
          <w:rPr>
            <w:webHidden/>
          </w:rPr>
          <w:fldChar w:fldCharType="begin"/>
        </w:r>
        <w:r>
          <w:rPr>
            <w:webHidden/>
          </w:rPr>
          <w:instrText xml:space="preserve"> PAGEREF _Toc201927360 \h </w:instrText>
        </w:r>
        <w:r>
          <w:rPr>
            <w:webHidden/>
          </w:rPr>
        </w:r>
        <w:r>
          <w:rPr>
            <w:webHidden/>
          </w:rPr>
          <w:fldChar w:fldCharType="separate"/>
        </w:r>
        <w:r w:rsidR="00422A37">
          <w:rPr>
            <w:webHidden/>
          </w:rPr>
          <w:t>34</w:t>
        </w:r>
        <w:r>
          <w:rPr>
            <w:webHidden/>
          </w:rPr>
          <w:fldChar w:fldCharType="end"/>
        </w:r>
      </w:hyperlink>
    </w:p>
    <w:p w14:paraId="1BCA87FF" w14:textId="37B17376" w:rsidR="00082F9E" w:rsidRDefault="00082F9E">
      <w:pPr>
        <w:pStyle w:val="TOC2"/>
        <w:rPr>
          <w:rFonts w:eastAsiaTheme="minorEastAsia"/>
          <w:kern w:val="2"/>
          <w:lang w:eastAsia="en-AU"/>
          <w14:ligatures w14:val="standardContextual"/>
        </w:rPr>
      </w:pPr>
      <w:hyperlink w:anchor="_Toc201927361" w:history="1">
        <w:r w:rsidRPr="00A17227">
          <w:rPr>
            <w:rStyle w:val="Hyperlink"/>
          </w:rPr>
          <w:t>Instructions</w:t>
        </w:r>
        <w:r>
          <w:rPr>
            <w:webHidden/>
          </w:rPr>
          <w:tab/>
        </w:r>
        <w:r>
          <w:rPr>
            <w:webHidden/>
          </w:rPr>
          <w:fldChar w:fldCharType="begin"/>
        </w:r>
        <w:r>
          <w:rPr>
            <w:webHidden/>
          </w:rPr>
          <w:instrText xml:space="preserve"> PAGEREF _Toc201927361 \h </w:instrText>
        </w:r>
        <w:r>
          <w:rPr>
            <w:webHidden/>
          </w:rPr>
        </w:r>
        <w:r>
          <w:rPr>
            <w:webHidden/>
          </w:rPr>
          <w:fldChar w:fldCharType="separate"/>
        </w:r>
        <w:r w:rsidR="00422A37">
          <w:rPr>
            <w:webHidden/>
          </w:rPr>
          <w:t>34</w:t>
        </w:r>
        <w:r>
          <w:rPr>
            <w:webHidden/>
          </w:rPr>
          <w:fldChar w:fldCharType="end"/>
        </w:r>
      </w:hyperlink>
    </w:p>
    <w:p w14:paraId="43D01422" w14:textId="0656482E" w:rsidR="00082F9E" w:rsidRDefault="00082F9E">
      <w:pPr>
        <w:pStyle w:val="TOC2"/>
        <w:rPr>
          <w:rFonts w:eastAsiaTheme="minorEastAsia"/>
          <w:kern w:val="2"/>
          <w:lang w:eastAsia="en-AU"/>
          <w14:ligatures w14:val="standardContextual"/>
        </w:rPr>
      </w:pPr>
      <w:hyperlink w:anchor="_Toc201927362" w:history="1">
        <w:r w:rsidRPr="00A17227">
          <w:rPr>
            <w:rStyle w:val="Hyperlink"/>
          </w:rPr>
          <w:t>Operational Control Scorecard</w:t>
        </w:r>
        <w:r>
          <w:rPr>
            <w:webHidden/>
          </w:rPr>
          <w:tab/>
        </w:r>
        <w:r>
          <w:rPr>
            <w:webHidden/>
          </w:rPr>
          <w:fldChar w:fldCharType="begin"/>
        </w:r>
        <w:r>
          <w:rPr>
            <w:webHidden/>
          </w:rPr>
          <w:instrText xml:space="preserve"> PAGEREF _Toc201927362 \h </w:instrText>
        </w:r>
        <w:r>
          <w:rPr>
            <w:webHidden/>
          </w:rPr>
        </w:r>
        <w:r>
          <w:rPr>
            <w:webHidden/>
          </w:rPr>
          <w:fldChar w:fldCharType="separate"/>
        </w:r>
        <w:r w:rsidR="00422A37">
          <w:rPr>
            <w:webHidden/>
          </w:rPr>
          <w:t>35</w:t>
        </w:r>
        <w:r>
          <w:rPr>
            <w:webHidden/>
          </w:rPr>
          <w:fldChar w:fldCharType="end"/>
        </w:r>
      </w:hyperlink>
    </w:p>
    <w:p w14:paraId="20A1412B" w14:textId="3F411C41" w:rsidR="00082F9E" w:rsidRDefault="00082F9E">
      <w:pPr>
        <w:pStyle w:val="TOC1"/>
        <w:rPr>
          <w:rFonts w:eastAsiaTheme="minorEastAsia"/>
          <w:b w:val="0"/>
          <w:kern w:val="2"/>
          <w:lang w:eastAsia="en-AU"/>
          <w14:ligatures w14:val="standardContextual"/>
        </w:rPr>
      </w:pPr>
      <w:hyperlink w:anchor="_Toc201927363" w:history="1">
        <w:r w:rsidRPr="00A17227">
          <w:rPr>
            <w:rStyle w:val="Hyperlink"/>
          </w:rPr>
          <w:t>Annex C: Emissions calculations</w:t>
        </w:r>
        <w:r>
          <w:rPr>
            <w:webHidden/>
          </w:rPr>
          <w:tab/>
        </w:r>
        <w:r>
          <w:rPr>
            <w:webHidden/>
          </w:rPr>
          <w:fldChar w:fldCharType="begin"/>
        </w:r>
        <w:r>
          <w:rPr>
            <w:webHidden/>
          </w:rPr>
          <w:instrText xml:space="preserve"> PAGEREF _Toc201927363 \h </w:instrText>
        </w:r>
        <w:r>
          <w:rPr>
            <w:webHidden/>
          </w:rPr>
        </w:r>
        <w:r>
          <w:rPr>
            <w:webHidden/>
          </w:rPr>
          <w:fldChar w:fldCharType="separate"/>
        </w:r>
        <w:r w:rsidR="00422A37">
          <w:rPr>
            <w:webHidden/>
          </w:rPr>
          <w:t>38</w:t>
        </w:r>
        <w:r>
          <w:rPr>
            <w:webHidden/>
          </w:rPr>
          <w:fldChar w:fldCharType="end"/>
        </w:r>
      </w:hyperlink>
    </w:p>
    <w:p w14:paraId="654DE47D" w14:textId="6E3A1748" w:rsidR="00082F9E" w:rsidRDefault="00082F9E">
      <w:pPr>
        <w:pStyle w:val="TOC2"/>
        <w:rPr>
          <w:rFonts w:eastAsiaTheme="minorEastAsia"/>
          <w:kern w:val="2"/>
          <w:lang w:eastAsia="en-AU"/>
          <w14:ligatures w14:val="standardContextual"/>
        </w:rPr>
      </w:pPr>
      <w:hyperlink w:anchor="_Toc201927364" w:history="1">
        <w:r w:rsidRPr="00A17227">
          <w:rPr>
            <w:rStyle w:val="Hyperlink"/>
          </w:rPr>
          <w:t>Electricity</w:t>
        </w:r>
        <w:r>
          <w:rPr>
            <w:webHidden/>
          </w:rPr>
          <w:tab/>
        </w:r>
        <w:r>
          <w:rPr>
            <w:webHidden/>
          </w:rPr>
          <w:fldChar w:fldCharType="begin"/>
        </w:r>
        <w:r>
          <w:rPr>
            <w:webHidden/>
          </w:rPr>
          <w:instrText xml:space="preserve"> PAGEREF _Toc201927364 \h </w:instrText>
        </w:r>
        <w:r>
          <w:rPr>
            <w:webHidden/>
          </w:rPr>
        </w:r>
        <w:r>
          <w:rPr>
            <w:webHidden/>
          </w:rPr>
          <w:fldChar w:fldCharType="separate"/>
        </w:r>
        <w:r w:rsidR="00422A37">
          <w:rPr>
            <w:webHidden/>
          </w:rPr>
          <w:t>38</w:t>
        </w:r>
        <w:r>
          <w:rPr>
            <w:webHidden/>
          </w:rPr>
          <w:fldChar w:fldCharType="end"/>
        </w:r>
      </w:hyperlink>
    </w:p>
    <w:p w14:paraId="78436F64" w14:textId="10FBFB7D" w:rsidR="00082F9E" w:rsidRDefault="00082F9E">
      <w:pPr>
        <w:pStyle w:val="TOC2"/>
        <w:rPr>
          <w:rFonts w:eastAsiaTheme="minorEastAsia"/>
          <w:kern w:val="2"/>
          <w:lang w:eastAsia="en-AU"/>
          <w14:ligatures w14:val="standardContextual"/>
        </w:rPr>
      </w:pPr>
      <w:hyperlink w:anchor="_Toc201927365" w:history="1">
        <w:r w:rsidRPr="00A17227">
          <w:rPr>
            <w:rStyle w:val="Hyperlink"/>
          </w:rPr>
          <w:t>Natural gas</w:t>
        </w:r>
        <w:r>
          <w:rPr>
            <w:webHidden/>
          </w:rPr>
          <w:tab/>
        </w:r>
        <w:r>
          <w:rPr>
            <w:webHidden/>
          </w:rPr>
          <w:fldChar w:fldCharType="begin"/>
        </w:r>
        <w:r>
          <w:rPr>
            <w:webHidden/>
          </w:rPr>
          <w:instrText xml:space="preserve"> PAGEREF _Toc201927365 \h </w:instrText>
        </w:r>
        <w:r>
          <w:rPr>
            <w:webHidden/>
          </w:rPr>
        </w:r>
        <w:r>
          <w:rPr>
            <w:webHidden/>
          </w:rPr>
          <w:fldChar w:fldCharType="separate"/>
        </w:r>
        <w:r w:rsidR="00422A37">
          <w:rPr>
            <w:webHidden/>
          </w:rPr>
          <w:t>40</w:t>
        </w:r>
        <w:r>
          <w:rPr>
            <w:webHidden/>
          </w:rPr>
          <w:fldChar w:fldCharType="end"/>
        </w:r>
      </w:hyperlink>
    </w:p>
    <w:p w14:paraId="4E154351" w14:textId="41C48E45" w:rsidR="00082F9E" w:rsidRDefault="00082F9E">
      <w:pPr>
        <w:pStyle w:val="TOC2"/>
        <w:rPr>
          <w:rFonts w:eastAsiaTheme="minorEastAsia"/>
          <w:kern w:val="2"/>
          <w:lang w:eastAsia="en-AU"/>
          <w14:ligatures w14:val="standardContextual"/>
        </w:rPr>
      </w:pPr>
      <w:hyperlink w:anchor="_Toc201927366" w:history="1">
        <w:r w:rsidRPr="00A17227">
          <w:rPr>
            <w:rStyle w:val="Hyperlink"/>
          </w:rPr>
          <w:t>Solid waste disposal to landfill</w:t>
        </w:r>
        <w:r>
          <w:rPr>
            <w:webHidden/>
          </w:rPr>
          <w:tab/>
        </w:r>
        <w:r>
          <w:rPr>
            <w:webHidden/>
          </w:rPr>
          <w:fldChar w:fldCharType="begin"/>
        </w:r>
        <w:r>
          <w:rPr>
            <w:webHidden/>
          </w:rPr>
          <w:instrText xml:space="preserve"> PAGEREF _Toc201927366 \h </w:instrText>
        </w:r>
        <w:r>
          <w:rPr>
            <w:webHidden/>
          </w:rPr>
        </w:r>
        <w:r>
          <w:rPr>
            <w:webHidden/>
          </w:rPr>
          <w:fldChar w:fldCharType="separate"/>
        </w:r>
        <w:r w:rsidR="00422A37">
          <w:rPr>
            <w:webHidden/>
          </w:rPr>
          <w:t>41</w:t>
        </w:r>
        <w:r>
          <w:rPr>
            <w:webHidden/>
          </w:rPr>
          <w:fldChar w:fldCharType="end"/>
        </w:r>
      </w:hyperlink>
    </w:p>
    <w:p w14:paraId="20C45B29" w14:textId="13590150" w:rsidR="00082F9E" w:rsidRDefault="00082F9E">
      <w:pPr>
        <w:pStyle w:val="TOC2"/>
        <w:rPr>
          <w:rFonts w:eastAsiaTheme="minorEastAsia"/>
          <w:kern w:val="2"/>
          <w:lang w:eastAsia="en-AU"/>
          <w14:ligatures w14:val="standardContextual"/>
        </w:rPr>
      </w:pPr>
      <w:hyperlink w:anchor="_Toc201927367" w:history="1">
        <w:r w:rsidRPr="00A17227">
          <w:rPr>
            <w:rStyle w:val="Hyperlink"/>
          </w:rPr>
          <w:t>Refrigerants</w:t>
        </w:r>
        <w:r>
          <w:rPr>
            <w:webHidden/>
          </w:rPr>
          <w:tab/>
        </w:r>
        <w:r>
          <w:rPr>
            <w:webHidden/>
          </w:rPr>
          <w:fldChar w:fldCharType="begin"/>
        </w:r>
        <w:r>
          <w:rPr>
            <w:webHidden/>
          </w:rPr>
          <w:instrText xml:space="preserve"> PAGEREF _Toc201927367 \h </w:instrText>
        </w:r>
        <w:r>
          <w:rPr>
            <w:webHidden/>
          </w:rPr>
        </w:r>
        <w:r>
          <w:rPr>
            <w:webHidden/>
          </w:rPr>
          <w:fldChar w:fldCharType="separate"/>
        </w:r>
        <w:r w:rsidR="00422A37">
          <w:rPr>
            <w:webHidden/>
          </w:rPr>
          <w:t>42</w:t>
        </w:r>
        <w:r>
          <w:rPr>
            <w:webHidden/>
          </w:rPr>
          <w:fldChar w:fldCharType="end"/>
        </w:r>
      </w:hyperlink>
    </w:p>
    <w:p w14:paraId="27E9FA7B" w14:textId="44FD401A" w:rsidR="00082F9E" w:rsidRDefault="00082F9E">
      <w:pPr>
        <w:pStyle w:val="TOC2"/>
        <w:rPr>
          <w:rFonts w:eastAsiaTheme="minorEastAsia"/>
          <w:kern w:val="2"/>
          <w:lang w:eastAsia="en-AU"/>
          <w14:ligatures w14:val="standardContextual"/>
        </w:rPr>
      </w:pPr>
      <w:hyperlink w:anchor="_Toc201927368" w:history="1">
        <w:r w:rsidRPr="00A17227">
          <w:rPr>
            <w:rStyle w:val="Hyperlink"/>
          </w:rPr>
          <w:t>Fleet and other vehicles</w:t>
        </w:r>
        <w:r>
          <w:rPr>
            <w:webHidden/>
          </w:rPr>
          <w:tab/>
        </w:r>
        <w:r>
          <w:rPr>
            <w:webHidden/>
          </w:rPr>
          <w:fldChar w:fldCharType="begin"/>
        </w:r>
        <w:r>
          <w:rPr>
            <w:webHidden/>
          </w:rPr>
          <w:instrText xml:space="preserve"> PAGEREF _Toc201927368 \h </w:instrText>
        </w:r>
        <w:r>
          <w:rPr>
            <w:webHidden/>
          </w:rPr>
        </w:r>
        <w:r>
          <w:rPr>
            <w:webHidden/>
          </w:rPr>
          <w:fldChar w:fldCharType="separate"/>
        </w:r>
        <w:r w:rsidR="00422A37">
          <w:rPr>
            <w:webHidden/>
          </w:rPr>
          <w:t>44</w:t>
        </w:r>
        <w:r>
          <w:rPr>
            <w:webHidden/>
          </w:rPr>
          <w:fldChar w:fldCharType="end"/>
        </w:r>
      </w:hyperlink>
    </w:p>
    <w:p w14:paraId="563AF834" w14:textId="52532606" w:rsidR="00082F9E" w:rsidRDefault="00082F9E">
      <w:pPr>
        <w:pStyle w:val="TOC2"/>
        <w:rPr>
          <w:rFonts w:eastAsiaTheme="minorEastAsia"/>
          <w:kern w:val="2"/>
          <w:lang w:eastAsia="en-AU"/>
          <w14:ligatures w14:val="standardContextual"/>
        </w:rPr>
      </w:pPr>
      <w:hyperlink w:anchor="_Toc201927369" w:history="1">
        <w:r w:rsidRPr="00A17227">
          <w:rPr>
            <w:rStyle w:val="Hyperlink"/>
          </w:rPr>
          <w:t>Domestic commercial flights</w:t>
        </w:r>
        <w:r>
          <w:rPr>
            <w:webHidden/>
          </w:rPr>
          <w:tab/>
        </w:r>
        <w:r>
          <w:rPr>
            <w:webHidden/>
          </w:rPr>
          <w:fldChar w:fldCharType="begin"/>
        </w:r>
        <w:r>
          <w:rPr>
            <w:webHidden/>
          </w:rPr>
          <w:instrText xml:space="preserve"> PAGEREF _Toc201927369 \h </w:instrText>
        </w:r>
        <w:r>
          <w:rPr>
            <w:webHidden/>
          </w:rPr>
        </w:r>
        <w:r>
          <w:rPr>
            <w:webHidden/>
          </w:rPr>
          <w:fldChar w:fldCharType="separate"/>
        </w:r>
        <w:r w:rsidR="00422A37">
          <w:rPr>
            <w:webHidden/>
          </w:rPr>
          <w:t>47</w:t>
        </w:r>
        <w:r>
          <w:rPr>
            <w:webHidden/>
          </w:rPr>
          <w:fldChar w:fldCharType="end"/>
        </w:r>
      </w:hyperlink>
    </w:p>
    <w:p w14:paraId="2F50D396" w14:textId="5A75C0E4" w:rsidR="00082F9E" w:rsidRDefault="00082F9E">
      <w:pPr>
        <w:pStyle w:val="TOC2"/>
        <w:rPr>
          <w:rFonts w:eastAsiaTheme="minorEastAsia"/>
          <w:kern w:val="2"/>
          <w:lang w:eastAsia="en-AU"/>
          <w14:ligatures w14:val="standardContextual"/>
        </w:rPr>
      </w:pPr>
      <w:hyperlink w:anchor="_Toc201927370" w:history="1">
        <w:r w:rsidRPr="00A17227">
          <w:rPr>
            <w:rStyle w:val="Hyperlink"/>
          </w:rPr>
          <w:t>Domestic hire car</w:t>
        </w:r>
        <w:r>
          <w:rPr>
            <w:webHidden/>
          </w:rPr>
          <w:tab/>
        </w:r>
        <w:r>
          <w:rPr>
            <w:webHidden/>
          </w:rPr>
          <w:fldChar w:fldCharType="begin"/>
        </w:r>
        <w:r>
          <w:rPr>
            <w:webHidden/>
          </w:rPr>
          <w:instrText xml:space="preserve"> PAGEREF _Toc201927370 \h </w:instrText>
        </w:r>
        <w:r>
          <w:rPr>
            <w:webHidden/>
          </w:rPr>
        </w:r>
        <w:r>
          <w:rPr>
            <w:webHidden/>
          </w:rPr>
          <w:fldChar w:fldCharType="separate"/>
        </w:r>
        <w:r w:rsidR="00422A37">
          <w:rPr>
            <w:webHidden/>
          </w:rPr>
          <w:t>48</w:t>
        </w:r>
        <w:r>
          <w:rPr>
            <w:webHidden/>
          </w:rPr>
          <w:fldChar w:fldCharType="end"/>
        </w:r>
      </w:hyperlink>
    </w:p>
    <w:p w14:paraId="4AD1DC29" w14:textId="2DF4E40A" w:rsidR="00082F9E" w:rsidRDefault="00082F9E">
      <w:pPr>
        <w:pStyle w:val="TOC2"/>
        <w:rPr>
          <w:rFonts w:eastAsiaTheme="minorEastAsia"/>
          <w:kern w:val="2"/>
          <w:lang w:eastAsia="en-AU"/>
          <w14:ligatures w14:val="standardContextual"/>
        </w:rPr>
      </w:pPr>
      <w:hyperlink w:anchor="_Toc201927371" w:history="1">
        <w:r w:rsidRPr="00A17227">
          <w:rPr>
            <w:rStyle w:val="Hyperlink"/>
          </w:rPr>
          <w:t>Domestic travel accommodation</w:t>
        </w:r>
        <w:r>
          <w:rPr>
            <w:webHidden/>
          </w:rPr>
          <w:tab/>
        </w:r>
        <w:r>
          <w:rPr>
            <w:webHidden/>
          </w:rPr>
          <w:fldChar w:fldCharType="begin"/>
        </w:r>
        <w:r>
          <w:rPr>
            <w:webHidden/>
          </w:rPr>
          <w:instrText xml:space="preserve"> PAGEREF _Toc201927371 \h </w:instrText>
        </w:r>
        <w:r>
          <w:rPr>
            <w:webHidden/>
          </w:rPr>
        </w:r>
        <w:r>
          <w:rPr>
            <w:webHidden/>
          </w:rPr>
          <w:fldChar w:fldCharType="separate"/>
        </w:r>
        <w:r w:rsidR="00422A37">
          <w:rPr>
            <w:webHidden/>
          </w:rPr>
          <w:t>51</w:t>
        </w:r>
        <w:r>
          <w:rPr>
            <w:webHidden/>
          </w:rPr>
          <w:fldChar w:fldCharType="end"/>
        </w:r>
      </w:hyperlink>
    </w:p>
    <w:p w14:paraId="6FF7F359" w14:textId="0DE14FBC" w:rsidR="00082F9E" w:rsidRDefault="00082F9E">
      <w:pPr>
        <w:pStyle w:val="TOC2"/>
        <w:rPr>
          <w:rFonts w:eastAsiaTheme="minorEastAsia"/>
          <w:kern w:val="2"/>
          <w:lang w:eastAsia="en-AU"/>
          <w14:ligatures w14:val="standardContextual"/>
        </w:rPr>
      </w:pPr>
      <w:hyperlink w:anchor="_Toc201927372" w:history="1">
        <w:r w:rsidRPr="00A17227">
          <w:rPr>
            <w:rStyle w:val="Hyperlink"/>
          </w:rPr>
          <w:t>Other Energy</w:t>
        </w:r>
        <w:r>
          <w:rPr>
            <w:webHidden/>
          </w:rPr>
          <w:tab/>
        </w:r>
        <w:r>
          <w:rPr>
            <w:webHidden/>
          </w:rPr>
          <w:fldChar w:fldCharType="begin"/>
        </w:r>
        <w:r>
          <w:rPr>
            <w:webHidden/>
          </w:rPr>
          <w:instrText xml:space="preserve"> PAGEREF _Toc201927372 \h </w:instrText>
        </w:r>
        <w:r>
          <w:rPr>
            <w:webHidden/>
          </w:rPr>
        </w:r>
        <w:r>
          <w:rPr>
            <w:webHidden/>
          </w:rPr>
          <w:fldChar w:fldCharType="separate"/>
        </w:r>
        <w:r w:rsidR="00422A37">
          <w:rPr>
            <w:webHidden/>
          </w:rPr>
          <w:t>52</w:t>
        </w:r>
        <w:r>
          <w:rPr>
            <w:webHidden/>
          </w:rPr>
          <w:fldChar w:fldCharType="end"/>
        </w:r>
      </w:hyperlink>
    </w:p>
    <w:p w14:paraId="163F9119" w14:textId="3B992219" w:rsidR="00082F9E" w:rsidRDefault="00082F9E">
      <w:pPr>
        <w:pStyle w:val="TOC1"/>
        <w:rPr>
          <w:rFonts w:eastAsiaTheme="minorEastAsia"/>
          <w:b w:val="0"/>
          <w:kern w:val="2"/>
          <w:lang w:eastAsia="en-AU"/>
          <w14:ligatures w14:val="standardContextual"/>
        </w:rPr>
      </w:pPr>
      <w:hyperlink w:anchor="_Toc201927373" w:history="1">
        <w:r w:rsidRPr="00A17227">
          <w:rPr>
            <w:rStyle w:val="Hyperlink"/>
          </w:rPr>
          <w:t>Glossary</w:t>
        </w:r>
        <w:r>
          <w:rPr>
            <w:webHidden/>
          </w:rPr>
          <w:tab/>
        </w:r>
        <w:r>
          <w:rPr>
            <w:webHidden/>
          </w:rPr>
          <w:fldChar w:fldCharType="begin"/>
        </w:r>
        <w:r>
          <w:rPr>
            <w:webHidden/>
          </w:rPr>
          <w:instrText xml:space="preserve"> PAGEREF _Toc201927373 \h </w:instrText>
        </w:r>
        <w:r>
          <w:rPr>
            <w:webHidden/>
          </w:rPr>
        </w:r>
        <w:r>
          <w:rPr>
            <w:webHidden/>
          </w:rPr>
          <w:fldChar w:fldCharType="separate"/>
        </w:r>
        <w:r w:rsidR="00422A37">
          <w:rPr>
            <w:webHidden/>
          </w:rPr>
          <w:t>55</w:t>
        </w:r>
        <w:r>
          <w:rPr>
            <w:webHidden/>
          </w:rPr>
          <w:fldChar w:fldCharType="end"/>
        </w:r>
      </w:hyperlink>
    </w:p>
    <w:p w14:paraId="1A34E8A1" w14:textId="1FAE37FD" w:rsidR="00FC52AD" w:rsidRDefault="00B5428E" w:rsidP="00C43DB1">
      <w:pPr>
        <w:pStyle w:val="TOC1"/>
        <w:spacing w:line="276" w:lineRule="auto"/>
        <w:rPr>
          <w:noProof w:val="0"/>
        </w:rPr>
      </w:pPr>
      <w:r w:rsidRPr="00AA5CB5">
        <w:rPr>
          <w:noProof w:val="0"/>
        </w:rPr>
        <w:fldChar w:fldCharType="end"/>
      </w:r>
    </w:p>
    <w:p w14:paraId="4DE03D5F" w14:textId="6814C3CA" w:rsidR="00B73460" w:rsidRPr="002B2058" w:rsidRDefault="00B73460" w:rsidP="002B2058">
      <w:pPr>
        <w:pStyle w:val="Heading1Noshow"/>
      </w:pPr>
      <w:r w:rsidRPr="002B2058">
        <w:t>Table</w:t>
      </w:r>
      <w:r w:rsidR="00CD76A7">
        <w:t>s</w:t>
      </w:r>
    </w:p>
    <w:p w14:paraId="240ACDFF" w14:textId="076ABE29" w:rsidR="00082F9E" w:rsidRDefault="00B73460">
      <w:pPr>
        <w:pStyle w:val="TableofFigures"/>
        <w:tabs>
          <w:tab w:val="right" w:leader="dot" w:pos="9402"/>
        </w:tabs>
        <w:rPr>
          <w:rFonts w:eastAsiaTheme="minorEastAsia" w:cstheme="minorBidi"/>
          <w:noProof/>
          <w:kern w:val="2"/>
          <w:sz w:val="24"/>
          <w:szCs w:val="24"/>
          <w:lang w:eastAsia="en-AU"/>
          <w14:ligatures w14:val="standardContextual"/>
        </w:rPr>
      </w:pPr>
      <w:r w:rsidRPr="00AA5CB5">
        <w:fldChar w:fldCharType="begin"/>
      </w:r>
      <w:r w:rsidRPr="00AA5CB5">
        <w:instrText xml:space="preserve"> TOC \h \z \c "Table" </w:instrText>
      </w:r>
      <w:r w:rsidRPr="00AA5CB5">
        <w:fldChar w:fldCharType="separate"/>
      </w:r>
      <w:hyperlink w:anchor="_Toc201927374" w:history="1">
        <w:r w:rsidR="00082F9E" w:rsidRPr="003972FF">
          <w:rPr>
            <w:rStyle w:val="Hyperlink"/>
            <w:noProof/>
          </w:rPr>
          <w:t>Table 1: Emissions accounting and GHG inventory principles</w:t>
        </w:r>
        <w:r w:rsidR="00082F9E">
          <w:rPr>
            <w:noProof/>
            <w:webHidden/>
          </w:rPr>
          <w:tab/>
        </w:r>
        <w:r w:rsidR="00082F9E">
          <w:rPr>
            <w:noProof/>
            <w:webHidden/>
          </w:rPr>
          <w:fldChar w:fldCharType="begin"/>
        </w:r>
        <w:r w:rsidR="00082F9E">
          <w:rPr>
            <w:noProof/>
            <w:webHidden/>
          </w:rPr>
          <w:instrText xml:space="preserve"> PAGEREF _Toc201927374 \h </w:instrText>
        </w:r>
        <w:r w:rsidR="00082F9E">
          <w:rPr>
            <w:noProof/>
            <w:webHidden/>
          </w:rPr>
        </w:r>
        <w:r w:rsidR="00082F9E">
          <w:rPr>
            <w:noProof/>
            <w:webHidden/>
          </w:rPr>
          <w:fldChar w:fldCharType="separate"/>
        </w:r>
        <w:r w:rsidR="00422A37">
          <w:rPr>
            <w:noProof/>
            <w:webHidden/>
          </w:rPr>
          <w:t>8</w:t>
        </w:r>
        <w:r w:rsidR="00082F9E">
          <w:rPr>
            <w:noProof/>
            <w:webHidden/>
          </w:rPr>
          <w:fldChar w:fldCharType="end"/>
        </w:r>
      </w:hyperlink>
    </w:p>
    <w:p w14:paraId="4D8D72D9" w14:textId="1ECE230F"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75" w:history="1">
        <w:r w:rsidRPr="003972FF">
          <w:rPr>
            <w:rStyle w:val="Hyperlink"/>
            <w:noProof/>
          </w:rPr>
          <w:t>Table 2: Responsibilities of reporting agencies</w:t>
        </w:r>
        <w:r>
          <w:rPr>
            <w:noProof/>
            <w:webHidden/>
          </w:rPr>
          <w:tab/>
        </w:r>
        <w:r>
          <w:rPr>
            <w:noProof/>
            <w:webHidden/>
          </w:rPr>
          <w:fldChar w:fldCharType="begin"/>
        </w:r>
        <w:r>
          <w:rPr>
            <w:noProof/>
            <w:webHidden/>
          </w:rPr>
          <w:instrText xml:space="preserve"> PAGEREF _Toc201927375 \h </w:instrText>
        </w:r>
        <w:r>
          <w:rPr>
            <w:noProof/>
            <w:webHidden/>
          </w:rPr>
        </w:r>
        <w:r>
          <w:rPr>
            <w:noProof/>
            <w:webHidden/>
          </w:rPr>
          <w:fldChar w:fldCharType="separate"/>
        </w:r>
        <w:r w:rsidR="00422A37">
          <w:rPr>
            <w:noProof/>
            <w:webHidden/>
          </w:rPr>
          <w:t>9</w:t>
        </w:r>
        <w:r>
          <w:rPr>
            <w:noProof/>
            <w:webHidden/>
          </w:rPr>
          <w:fldChar w:fldCharType="end"/>
        </w:r>
      </w:hyperlink>
    </w:p>
    <w:p w14:paraId="467BC60C" w14:textId="2631C424"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76" w:history="1">
        <w:r w:rsidRPr="003972FF">
          <w:rPr>
            <w:rStyle w:val="Hyperlink"/>
            <w:noProof/>
          </w:rPr>
          <w:t>Table 3: Responsibilities of Finance (through the CAIGO Unit).</w:t>
        </w:r>
        <w:r>
          <w:rPr>
            <w:noProof/>
            <w:webHidden/>
          </w:rPr>
          <w:tab/>
        </w:r>
        <w:r>
          <w:rPr>
            <w:noProof/>
            <w:webHidden/>
          </w:rPr>
          <w:fldChar w:fldCharType="begin"/>
        </w:r>
        <w:r>
          <w:rPr>
            <w:noProof/>
            <w:webHidden/>
          </w:rPr>
          <w:instrText xml:space="preserve"> PAGEREF _Toc201927376 \h </w:instrText>
        </w:r>
        <w:r>
          <w:rPr>
            <w:noProof/>
            <w:webHidden/>
          </w:rPr>
        </w:r>
        <w:r>
          <w:rPr>
            <w:noProof/>
            <w:webHidden/>
          </w:rPr>
          <w:fldChar w:fldCharType="separate"/>
        </w:r>
        <w:r w:rsidR="00422A37">
          <w:rPr>
            <w:noProof/>
            <w:webHidden/>
          </w:rPr>
          <w:t>10</w:t>
        </w:r>
        <w:r>
          <w:rPr>
            <w:noProof/>
            <w:webHidden/>
          </w:rPr>
          <w:fldChar w:fldCharType="end"/>
        </w:r>
      </w:hyperlink>
    </w:p>
    <w:p w14:paraId="1569A4AF" w14:textId="182288B7"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77" w:history="1">
        <w:r w:rsidRPr="003972FF">
          <w:rPr>
            <w:rStyle w:val="Hyperlink"/>
            <w:noProof/>
          </w:rPr>
          <w:t>Table 4: Refrigerants phased approach</w:t>
        </w:r>
        <w:r>
          <w:rPr>
            <w:noProof/>
            <w:webHidden/>
          </w:rPr>
          <w:tab/>
        </w:r>
        <w:r>
          <w:rPr>
            <w:noProof/>
            <w:webHidden/>
          </w:rPr>
          <w:fldChar w:fldCharType="begin"/>
        </w:r>
        <w:r>
          <w:rPr>
            <w:noProof/>
            <w:webHidden/>
          </w:rPr>
          <w:instrText xml:space="preserve"> PAGEREF _Toc201927377 \h </w:instrText>
        </w:r>
        <w:r>
          <w:rPr>
            <w:noProof/>
            <w:webHidden/>
          </w:rPr>
        </w:r>
        <w:r>
          <w:rPr>
            <w:noProof/>
            <w:webHidden/>
          </w:rPr>
          <w:fldChar w:fldCharType="separate"/>
        </w:r>
        <w:r w:rsidR="00422A37">
          <w:rPr>
            <w:noProof/>
            <w:webHidden/>
          </w:rPr>
          <w:t>13</w:t>
        </w:r>
        <w:r>
          <w:rPr>
            <w:noProof/>
            <w:webHidden/>
          </w:rPr>
          <w:fldChar w:fldCharType="end"/>
        </w:r>
      </w:hyperlink>
    </w:p>
    <w:p w14:paraId="10DF9DC0" w14:textId="5A280E0A"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78" w:history="1">
        <w:r w:rsidRPr="003972FF">
          <w:rPr>
            <w:rStyle w:val="Hyperlink"/>
            <w:noProof/>
          </w:rPr>
          <w:t>Table 5: Examples of activity data for emissions sources</w:t>
        </w:r>
        <w:r>
          <w:rPr>
            <w:noProof/>
            <w:webHidden/>
          </w:rPr>
          <w:tab/>
        </w:r>
        <w:r>
          <w:rPr>
            <w:noProof/>
            <w:webHidden/>
          </w:rPr>
          <w:fldChar w:fldCharType="begin"/>
        </w:r>
        <w:r>
          <w:rPr>
            <w:noProof/>
            <w:webHidden/>
          </w:rPr>
          <w:instrText xml:space="preserve"> PAGEREF _Toc201927378 \h </w:instrText>
        </w:r>
        <w:r>
          <w:rPr>
            <w:noProof/>
            <w:webHidden/>
          </w:rPr>
        </w:r>
        <w:r>
          <w:rPr>
            <w:noProof/>
            <w:webHidden/>
          </w:rPr>
          <w:fldChar w:fldCharType="separate"/>
        </w:r>
        <w:r w:rsidR="00422A37">
          <w:rPr>
            <w:noProof/>
            <w:webHidden/>
          </w:rPr>
          <w:t>16</w:t>
        </w:r>
        <w:r>
          <w:rPr>
            <w:noProof/>
            <w:webHidden/>
          </w:rPr>
          <w:fldChar w:fldCharType="end"/>
        </w:r>
      </w:hyperlink>
    </w:p>
    <w:p w14:paraId="6DB38FDC" w14:textId="62875642"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79" w:history="1">
        <w:r w:rsidRPr="003972FF">
          <w:rPr>
            <w:rStyle w:val="Hyperlink"/>
            <w:noProof/>
          </w:rPr>
          <w:t>Table 6: Location-based method emission factors</w:t>
        </w:r>
        <w:r>
          <w:rPr>
            <w:noProof/>
            <w:webHidden/>
          </w:rPr>
          <w:tab/>
        </w:r>
        <w:r>
          <w:rPr>
            <w:noProof/>
            <w:webHidden/>
          </w:rPr>
          <w:fldChar w:fldCharType="begin"/>
        </w:r>
        <w:r>
          <w:rPr>
            <w:noProof/>
            <w:webHidden/>
          </w:rPr>
          <w:instrText xml:space="preserve"> PAGEREF _Toc201927379 \h </w:instrText>
        </w:r>
        <w:r>
          <w:rPr>
            <w:noProof/>
            <w:webHidden/>
          </w:rPr>
        </w:r>
        <w:r>
          <w:rPr>
            <w:noProof/>
            <w:webHidden/>
          </w:rPr>
          <w:fldChar w:fldCharType="separate"/>
        </w:r>
        <w:r w:rsidR="00422A37">
          <w:rPr>
            <w:noProof/>
            <w:webHidden/>
          </w:rPr>
          <w:t>38</w:t>
        </w:r>
        <w:r>
          <w:rPr>
            <w:noProof/>
            <w:webHidden/>
          </w:rPr>
          <w:fldChar w:fldCharType="end"/>
        </w:r>
      </w:hyperlink>
    </w:p>
    <w:p w14:paraId="1CA2E535" w14:textId="47E91CCC"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80" w:history="1">
        <w:r w:rsidRPr="003972FF">
          <w:rPr>
            <w:rStyle w:val="Hyperlink"/>
            <w:noProof/>
          </w:rPr>
          <w:t>Table 7: Residual Mix Factors (RMF)</w:t>
        </w:r>
        <w:r>
          <w:rPr>
            <w:noProof/>
            <w:webHidden/>
          </w:rPr>
          <w:tab/>
        </w:r>
        <w:r>
          <w:rPr>
            <w:noProof/>
            <w:webHidden/>
          </w:rPr>
          <w:fldChar w:fldCharType="begin"/>
        </w:r>
        <w:r>
          <w:rPr>
            <w:noProof/>
            <w:webHidden/>
          </w:rPr>
          <w:instrText xml:space="preserve"> PAGEREF _Toc201927380 \h </w:instrText>
        </w:r>
        <w:r>
          <w:rPr>
            <w:noProof/>
            <w:webHidden/>
          </w:rPr>
        </w:r>
        <w:r>
          <w:rPr>
            <w:noProof/>
            <w:webHidden/>
          </w:rPr>
          <w:fldChar w:fldCharType="separate"/>
        </w:r>
        <w:r w:rsidR="00422A37">
          <w:rPr>
            <w:noProof/>
            <w:webHidden/>
          </w:rPr>
          <w:t>39</w:t>
        </w:r>
        <w:r>
          <w:rPr>
            <w:noProof/>
            <w:webHidden/>
          </w:rPr>
          <w:fldChar w:fldCharType="end"/>
        </w:r>
      </w:hyperlink>
    </w:p>
    <w:p w14:paraId="303FE684" w14:textId="614C82C6"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81" w:history="1">
        <w:r w:rsidRPr="003972FF">
          <w:rPr>
            <w:rStyle w:val="Hyperlink"/>
            <w:noProof/>
          </w:rPr>
          <w:t>Table 8: Renewable Power Percentage (RPP)</w:t>
        </w:r>
        <w:r>
          <w:rPr>
            <w:noProof/>
            <w:webHidden/>
          </w:rPr>
          <w:tab/>
        </w:r>
        <w:r>
          <w:rPr>
            <w:noProof/>
            <w:webHidden/>
          </w:rPr>
          <w:fldChar w:fldCharType="begin"/>
        </w:r>
        <w:r>
          <w:rPr>
            <w:noProof/>
            <w:webHidden/>
          </w:rPr>
          <w:instrText xml:space="preserve"> PAGEREF _Toc201927381 \h </w:instrText>
        </w:r>
        <w:r>
          <w:rPr>
            <w:noProof/>
            <w:webHidden/>
          </w:rPr>
        </w:r>
        <w:r>
          <w:rPr>
            <w:noProof/>
            <w:webHidden/>
          </w:rPr>
          <w:fldChar w:fldCharType="separate"/>
        </w:r>
        <w:r w:rsidR="00422A37">
          <w:rPr>
            <w:noProof/>
            <w:webHidden/>
          </w:rPr>
          <w:t>40</w:t>
        </w:r>
        <w:r>
          <w:rPr>
            <w:noProof/>
            <w:webHidden/>
          </w:rPr>
          <w:fldChar w:fldCharType="end"/>
        </w:r>
      </w:hyperlink>
    </w:p>
    <w:p w14:paraId="1E7B1BA4" w14:textId="29B9EAFB"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82" w:history="1">
        <w:r w:rsidRPr="003972FF">
          <w:rPr>
            <w:rStyle w:val="Hyperlink"/>
            <w:noProof/>
          </w:rPr>
          <w:t>Table 9: Jurisdictional Renewable Power Percentage (JRPP)</w:t>
        </w:r>
        <w:r>
          <w:rPr>
            <w:noProof/>
            <w:webHidden/>
          </w:rPr>
          <w:tab/>
        </w:r>
        <w:r>
          <w:rPr>
            <w:noProof/>
            <w:webHidden/>
          </w:rPr>
          <w:fldChar w:fldCharType="begin"/>
        </w:r>
        <w:r>
          <w:rPr>
            <w:noProof/>
            <w:webHidden/>
          </w:rPr>
          <w:instrText xml:space="preserve"> PAGEREF _Toc201927382 \h </w:instrText>
        </w:r>
        <w:r>
          <w:rPr>
            <w:noProof/>
            <w:webHidden/>
          </w:rPr>
        </w:r>
        <w:r>
          <w:rPr>
            <w:noProof/>
            <w:webHidden/>
          </w:rPr>
          <w:fldChar w:fldCharType="separate"/>
        </w:r>
        <w:r w:rsidR="00422A37">
          <w:rPr>
            <w:noProof/>
            <w:webHidden/>
          </w:rPr>
          <w:t>40</w:t>
        </w:r>
        <w:r>
          <w:rPr>
            <w:noProof/>
            <w:webHidden/>
          </w:rPr>
          <w:fldChar w:fldCharType="end"/>
        </w:r>
      </w:hyperlink>
    </w:p>
    <w:p w14:paraId="73E01334" w14:textId="10D3DA61"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83" w:history="1">
        <w:r w:rsidRPr="003972FF">
          <w:rPr>
            <w:rStyle w:val="Hyperlink"/>
            <w:noProof/>
          </w:rPr>
          <w:t>Table 10: Stationary combustion - emission factors of natural gas</w:t>
        </w:r>
        <w:r>
          <w:rPr>
            <w:noProof/>
            <w:webHidden/>
          </w:rPr>
          <w:tab/>
        </w:r>
        <w:r>
          <w:rPr>
            <w:noProof/>
            <w:webHidden/>
          </w:rPr>
          <w:fldChar w:fldCharType="begin"/>
        </w:r>
        <w:r>
          <w:rPr>
            <w:noProof/>
            <w:webHidden/>
          </w:rPr>
          <w:instrText xml:space="preserve"> PAGEREF _Toc201927383 \h </w:instrText>
        </w:r>
        <w:r>
          <w:rPr>
            <w:noProof/>
            <w:webHidden/>
          </w:rPr>
        </w:r>
        <w:r>
          <w:rPr>
            <w:noProof/>
            <w:webHidden/>
          </w:rPr>
          <w:fldChar w:fldCharType="separate"/>
        </w:r>
        <w:r w:rsidR="00422A37">
          <w:rPr>
            <w:noProof/>
            <w:webHidden/>
          </w:rPr>
          <w:t>40</w:t>
        </w:r>
        <w:r>
          <w:rPr>
            <w:noProof/>
            <w:webHidden/>
          </w:rPr>
          <w:fldChar w:fldCharType="end"/>
        </w:r>
      </w:hyperlink>
    </w:p>
    <w:p w14:paraId="764DADAB" w14:textId="42180158"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84" w:history="1">
        <w:r w:rsidRPr="003972FF">
          <w:rPr>
            <w:rStyle w:val="Hyperlink"/>
            <w:noProof/>
          </w:rPr>
          <w:t>Table 11: Solid waste disposal – waste type</w:t>
        </w:r>
        <w:r>
          <w:rPr>
            <w:noProof/>
            <w:webHidden/>
          </w:rPr>
          <w:tab/>
        </w:r>
        <w:r>
          <w:rPr>
            <w:noProof/>
            <w:webHidden/>
          </w:rPr>
          <w:fldChar w:fldCharType="begin"/>
        </w:r>
        <w:r>
          <w:rPr>
            <w:noProof/>
            <w:webHidden/>
          </w:rPr>
          <w:instrText xml:space="preserve"> PAGEREF _Toc201927384 \h </w:instrText>
        </w:r>
        <w:r>
          <w:rPr>
            <w:noProof/>
            <w:webHidden/>
          </w:rPr>
        </w:r>
        <w:r>
          <w:rPr>
            <w:noProof/>
            <w:webHidden/>
          </w:rPr>
          <w:fldChar w:fldCharType="separate"/>
        </w:r>
        <w:r w:rsidR="00422A37">
          <w:rPr>
            <w:noProof/>
            <w:webHidden/>
          </w:rPr>
          <w:t>41</w:t>
        </w:r>
        <w:r>
          <w:rPr>
            <w:noProof/>
            <w:webHidden/>
          </w:rPr>
          <w:fldChar w:fldCharType="end"/>
        </w:r>
      </w:hyperlink>
    </w:p>
    <w:p w14:paraId="1D0C7C06" w14:textId="2D3C687E"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85" w:history="1">
        <w:r w:rsidRPr="003972FF">
          <w:rPr>
            <w:rStyle w:val="Hyperlink"/>
            <w:noProof/>
          </w:rPr>
          <w:t>Table 12: Solid waste disposal – waste stream</w:t>
        </w:r>
        <w:r>
          <w:rPr>
            <w:noProof/>
            <w:webHidden/>
          </w:rPr>
          <w:tab/>
        </w:r>
        <w:r>
          <w:rPr>
            <w:noProof/>
            <w:webHidden/>
          </w:rPr>
          <w:fldChar w:fldCharType="begin"/>
        </w:r>
        <w:r>
          <w:rPr>
            <w:noProof/>
            <w:webHidden/>
          </w:rPr>
          <w:instrText xml:space="preserve"> PAGEREF _Toc201927385 \h </w:instrText>
        </w:r>
        <w:r>
          <w:rPr>
            <w:noProof/>
            <w:webHidden/>
          </w:rPr>
        </w:r>
        <w:r>
          <w:rPr>
            <w:noProof/>
            <w:webHidden/>
          </w:rPr>
          <w:fldChar w:fldCharType="separate"/>
        </w:r>
        <w:r w:rsidR="00422A37">
          <w:rPr>
            <w:noProof/>
            <w:webHidden/>
          </w:rPr>
          <w:t>42</w:t>
        </w:r>
        <w:r>
          <w:rPr>
            <w:noProof/>
            <w:webHidden/>
          </w:rPr>
          <w:fldChar w:fldCharType="end"/>
        </w:r>
      </w:hyperlink>
    </w:p>
    <w:p w14:paraId="02FEB23F" w14:textId="609D2FF7"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86" w:history="1">
        <w:r w:rsidRPr="003972FF">
          <w:rPr>
            <w:rStyle w:val="Hyperlink"/>
            <w:noProof/>
          </w:rPr>
          <w:t>Table 13: Refrigerant Global Warming Potentials</w:t>
        </w:r>
        <w:r>
          <w:rPr>
            <w:noProof/>
            <w:webHidden/>
          </w:rPr>
          <w:tab/>
        </w:r>
        <w:r>
          <w:rPr>
            <w:noProof/>
            <w:webHidden/>
          </w:rPr>
          <w:fldChar w:fldCharType="begin"/>
        </w:r>
        <w:r>
          <w:rPr>
            <w:noProof/>
            <w:webHidden/>
          </w:rPr>
          <w:instrText xml:space="preserve"> PAGEREF _Toc201927386 \h </w:instrText>
        </w:r>
        <w:r>
          <w:rPr>
            <w:noProof/>
            <w:webHidden/>
          </w:rPr>
        </w:r>
        <w:r>
          <w:rPr>
            <w:noProof/>
            <w:webHidden/>
          </w:rPr>
          <w:fldChar w:fldCharType="separate"/>
        </w:r>
        <w:r w:rsidR="00422A37">
          <w:rPr>
            <w:noProof/>
            <w:webHidden/>
          </w:rPr>
          <w:t>43</w:t>
        </w:r>
        <w:r>
          <w:rPr>
            <w:noProof/>
            <w:webHidden/>
          </w:rPr>
          <w:fldChar w:fldCharType="end"/>
        </w:r>
      </w:hyperlink>
    </w:p>
    <w:p w14:paraId="0008D9FB" w14:textId="5C55E0B9"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87" w:history="1">
        <w:r w:rsidRPr="003972FF">
          <w:rPr>
            <w:rStyle w:val="Hyperlink"/>
            <w:noProof/>
          </w:rPr>
          <w:t>Table 14: Refrigerants – equipment leakage rates</w:t>
        </w:r>
        <w:r>
          <w:rPr>
            <w:noProof/>
            <w:webHidden/>
          </w:rPr>
          <w:tab/>
        </w:r>
        <w:r>
          <w:rPr>
            <w:noProof/>
            <w:webHidden/>
          </w:rPr>
          <w:fldChar w:fldCharType="begin"/>
        </w:r>
        <w:r>
          <w:rPr>
            <w:noProof/>
            <w:webHidden/>
          </w:rPr>
          <w:instrText xml:space="preserve"> PAGEREF _Toc201927387 \h </w:instrText>
        </w:r>
        <w:r>
          <w:rPr>
            <w:noProof/>
            <w:webHidden/>
          </w:rPr>
        </w:r>
        <w:r>
          <w:rPr>
            <w:noProof/>
            <w:webHidden/>
          </w:rPr>
          <w:fldChar w:fldCharType="separate"/>
        </w:r>
        <w:r w:rsidR="00422A37">
          <w:rPr>
            <w:noProof/>
            <w:webHidden/>
          </w:rPr>
          <w:t>44</w:t>
        </w:r>
        <w:r>
          <w:rPr>
            <w:noProof/>
            <w:webHidden/>
          </w:rPr>
          <w:fldChar w:fldCharType="end"/>
        </w:r>
      </w:hyperlink>
    </w:p>
    <w:p w14:paraId="6E9F2369" w14:textId="07E8DCD1"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88" w:history="1">
        <w:r w:rsidRPr="003972FF">
          <w:rPr>
            <w:rStyle w:val="Hyperlink"/>
            <w:noProof/>
          </w:rPr>
          <w:t>Table 15: Mobile combustion – emission factors for vehicles where vehicle type is not known</w:t>
        </w:r>
        <w:r>
          <w:rPr>
            <w:noProof/>
            <w:webHidden/>
          </w:rPr>
          <w:tab/>
        </w:r>
        <w:r>
          <w:rPr>
            <w:noProof/>
            <w:webHidden/>
          </w:rPr>
          <w:fldChar w:fldCharType="begin"/>
        </w:r>
        <w:r>
          <w:rPr>
            <w:noProof/>
            <w:webHidden/>
          </w:rPr>
          <w:instrText xml:space="preserve"> PAGEREF _Toc201927388 \h </w:instrText>
        </w:r>
        <w:r>
          <w:rPr>
            <w:noProof/>
            <w:webHidden/>
          </w:rPr>
        </w:r>
        <w:r>
          <w:rPr>
            <w:noProof/>
            <w:webHidden/>
          </w:rPr>
          <w:fldChar w:fldCharType="separate"/>
        </w:r>
        <w:r w:rsidR="00422A37">
          <w:rPr>
            <w:noProof/>
            <w:webHidden/>
          </w:rPr>
          <w:t>44</w:t>
        </w:r>
        <w:r>
          <w:rPr>
            <w:noProof/>
            <w:webHidden/>
          </w:rPr>
          <w:fldChar w:fldCharType="end"/>
        </w:r>
      </w:hyperlink>
    </w:p>
    <w:p w14:paraId="6A1E70F1" w14:textId="44AEC9E5"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89" w:history="1">
        <w:r w:rsidRPr="003972FF">
          <w:rPr>
            <w:rStyle w:val="Hyperlink"/>
            <w:noProof/>
          </w:rPr>
          <w:t>Table 16: Mobile combustion –emission factors for cars and light commercial vehicles</w:t>
        </w:r>
        <w:r>
          <w:rPr>
            <w:noProof/>
            <w:webHidden/>
          </w:rPr>
          <w:tab/>
        </w:r>
        <w:r>
          <w:rPr>
            <w:noProof/>
            <w:webHidden/>
          </w:rPr>
          <w:fldChar w:fldCharType="begin"/>
        </w:r>
        <w:r>
          <w:rPr>
            <w:noProof/>
            <w:webHidden/>
          </w:rPr>
          <w:instrText xml:space="preserve"> PAGEREF _Toc201927389 \h </w:instrText>
        </w:r>
        <w:r>
          <w:rPr>
            <w:noProof/>
            <w:webHidden/>
          </w:rPr>
        </w:r>
        <w:r>
          <w:rPr>
            <w:noProof/>
            <w:webHidden/>
          </w:rPr>
          <w:fldChar w:fldCharType="separate"/>
        </w:r>
        <w:r w:rsidR="00422A37">
          <w:rPr>
            <w:noProof/>
            <w:webHidden/>
          </w:rPr>
          <w:t>45</w:t>
        </w:r>
        <w:r>
          <w:rPr>
            <w:noProof/>
            <w:webHidden/>
          </w:rPr>
          <w:fldChar w:fldCharType="end"/>
        </w:r>
      </w:hyperlink>
    </w:p>
    <w:p w14:paraId="2CDFBBEC" w14:textId="6AAF0F04"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90" w:history="1">
        <w:r w:rsidRPr="003972FF">
          <w:rPr>
            <w:rStyle w:val="Hyperlink"/>
            <w:noProof/>
          </w:rPr>
          <w:t>Table 17: Mobile combustion – emission factors for heavy duty vehicles</w:t>
        </w:r>
        <w:r>
          <w:rPr>
            <w:noProof/>
            <w:webHidden/>
          </w:rPr>
          <w:tab/>
        </w:r>
        <w:r>
          <w:rPr>
            <w:noProof/>
            <w:webHidden/>
          </w:rPr>
          <w:fldChar w:fldCharType="begin"/>
        </w:r>
        <w:r>
          <w:rPr>
            <w:noProof/>
            <w:webHidden/>
          </w:rPr>
          <w:instrText xml:space="preserve"> PAGEREF _Toc201927390 \h </w:instrText>
        </w:r>
        <w:r>
          <w:rPr>
            <w:noProof/>
            <w:webHidden/>
          </w:rPr>
        </w:r>
        <w:r>
          <w:rPr>
            <w:noProof/>
            <w:webHidden/>
          </w:rPr>
          <w:fldChar w:fldCharType="separate"/>
        </w:r>
        <w:r w:rsidR="00422A37">
          <w:rPr>
            <w:noProof/>
            <w:webHidden/>
          </w:rPr>
          <w:t>46</w:t>
        </w:r>
        <w:r>
          <w:rPr>
            <w:noProof/>
            <w:webHidden/>
          </w:rPr>
          <w:fldChar w:fldCharType="end"/>
        </w:r>
      </w:hyperlink>
    </w:p>
    <w:p w14:paraId="1E391591" w14:textId="22B1EFF1"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91" w:history="1">
        <w:r w:rsidRPr="003972FF">
          <w:rPr>
            <w:rStyle w:val="Hyperlink"/>
            <w:noProof/>
          </w:rPr>
          <w:t>Table 18: Mobile combustion – emission factors for light duty vehicles</w:t>
        </w:r>
        <w:r>
          <w:rPr>
            <w:noProof/>
            <w:webHidden/>
          </w:rPr>
          <w:tab/>
        </w:r>
        <w:r>
          <w:rPr>
            <w:noProof/>
            <w:webHidden/>
          </w:rPr>
          <w:fldChar w:fldCharType="begin"/>
        </w:r>
        <w:r>
          <w:rPr>
            <w:noProof/>
            <w:webHidden/>
          </w:rPr>
          <w:instrText xml:space="preserve"> PAGEREF _Toc201927391 \h </w:instrText>
        </w:r>
        <w:r>
          <w:rPr>
            <w:noProof/>
            <w:webHidden/>
          </w:rPr>
        </w:r>
        <w:r>
          <w:rPr>
            <w:noProof/>
            <w:webHidden/>
          </w:rPr>
          <w:fldChar w:fldCharType="separate"/>
        </w:r>
        <w:r w:rsidR="00422A37">
          <w:rPr>
            <w:noProof/>
            <w:webHidden/>
          </w:rPr>
          <w:t>46</w:t>
        </w:r>
        <w:r>
          <w:rPr>
            <w:noProof/>
            <w:webHidden/>
          </w:rPr>
          <w:fldChar w:fldCharType="end"/>
        </w:r>
      </w:hyperlink>
    </w:p>
    <w:p w14:paraId="0EFD246F" w14:textId="29B4D2A9"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92" w:history="1">
        <w:r w:rsidRPr="003972FF">
          <w:rPr>
            <w:rStyle w:val="Hyperlink"/>
            <w:noProof/>
          </w:rPr>
          <w:t>Table 19: Mobile combustion – emission factors for aircraft</w:t>
        </w:r>
        <w:r>
          <w:rPr>
            <w:noProof/>
            <w:webHidden/>
          </w:rPr>
          <w:tab/>
        </w:r>
        <w:r>
          <w:rPr>
            <w:noProof/>
            <w:webHidden/>
          </w:rPr>
          <w:fldChar w:fldCharType="begin"/>
        </w:r>
        <w:r>
          <w:rPr>
            <w:noProof/>
            <w:webHidden/>
          </w:rPr>
          <w:instrText xml:space="preserve"> PAGEREF _Toc201927392 \h </w:instrText>
        </w:r>
        <w:r>
          <w:rPr>
            <w:noProof/>
            <w:webHidden/>
          </w:rPr>
        </w:r>
        <w:r>
          <w:rPr>
            <w:noProof/>
            <w:webHidden/>
          </w:rPr>
          <w:fldChar w:fldCharType="separate"/>
        </w:r>
        <w:r w:rsidR="00422A37">
          <w:rPr>
            <w:noProof/>
            <w:webHidden/>
          </w:rPr>
          <w:t>47</w:t>
        </w:r>
        <w:r>
          <w:rPr>
            <w:noProof/>
            <w:webHidden/>
          </w:rPr>
          <w:fldChar w:fldCharType="end"/>
        </w:r>
      </w:hyperlink>
    </w:p>
    <w:p w14:paraId="206B781D" w14:textId="0D5D5937"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93" w:history="1">
        <w:r w:rsidRPr="003972FF">
          <w:rPr>
            <w:rStyle w:val="Hyperlink"/>
            <w:noProof/>
          </w:rPr>
          <w:t>Table 20: Domestic commercial flights – emission factors for aircraft where distance travelled is known</w:t>
        </w:r>
        <w:r>
          <w:rPr>
            <w:noProof/>
            <w:webHidden/>
          </w:rPr>
          <w:tab/>
        </w:r>
        <w:r>
          <w:rPr>
            <w:noProof/>
            <w:webHidden/>
          </w:rPr>
          <w:fldChar w:fldCharType="begin"/>
        </w:r>
        <w:r>
          <w:rPr>
            <w:noProof/>
            <w:webHidden/>
          </w:rPr>
          <w:instrText xml:space="preserve"> PAGEREF _Toc201927393 \h </w:instrText>
        </w:r>
        <w:r>
          <w:rPr>
            <w:noProof/>
            <w:webHidden/>
          </w:rPr>
        </w:r>
        <w:r>
          <w:rPr>
            <w:noProof/>
            <w:webHidden/>
          </w:rPr>
          <w:fldChar w:fldCharType="separate"/>
        </w:r>
        <w:r w:rsidR="00422A37">
          <w:rPr>
            <w:noProof/>
            <w:webHidden/>
          </w:rPr>
          <w:t>48</w:t>
        </w:r>
        <w:r>
          <w:rPr>
            <w:noProof/>
            <w:webHidden/>
          </w:rPr>
          <w:fldChar w:fldCharType="end"/>
        </w:r>
      </w:hyperlink>
    </w:p>
    <w:p w14:paraId="55EBB671" w14:textId="5ED8B8A8"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94" w:history="1">
        <w:r w:rsidRPr="003972FF">
          <w:rPr>
            <w:rStyle w:val="Hyperlink"/>
            <w:noProof/>
          </w:rPr>
          <w:t>Table 21: Hire car – emission factors for vehicles where fuel type, body type and distance travelled is known</w:t>
        </w:r>
        <w:r>
          <w:rPr>
            <w:noProof/>
            <w:webHidden/>
          </w:rPr>
          <w:tab/>
        </w:r>
        <w:r>
          <w:rPr>
            <w:noProof/>
            <w:webHidden/>
          </w:rPr>
          <w:fldChar w:fldCharType="begin"/>
        </w:r>
        <w:r>
          <w:rPr>
            <w:noProof/>
            <w:webHidden/>
          </w:rPr>
          <w:instrText xml:space="preserve"> PAGEREF _Toc201927394 \h </w:instrText>
        </w:r>
        <w:r>
          <w:rPr>
            <w:noProof/>
            <w:webHidden/>
          </w:rPr>
        </w:r>
        <w:r>
          <w:rPr>
            <w:noProof/>
            <w:webHidden/>
          </w:rPr>
          <w:fldChar w:fldCharType="separate"/>
        </w:r>
        <w:r w:rsidR="00422A37">
          <w:rPr>
            <w:noProof/>
            <w:webHidden/>
          </w:rPr>
          <w:t>49</w:t>
        </w:r>
        <w:r>
          <w:rPr>
            <w:noProof/>
            <w:webHidden/>
          </w:rPr>
          <w:fldChar w:fldCharType="end"/>
        </w:r>
      </w:hyperlink>
    </w:p>
    <w:p w14:paraId="4EC2F8F2" w14:textId="5D729C37"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95" w:history="1">
        <w:r w:rsidRPr="003972FF">
          <w:rPr>
            <w:rStyle w:val="Hyperlink"/>
            <w:noProof/>
          </w:rPr>
          <w:t>Table 22: Hire car – emission factors for vehicles where drive type, body type and distance travelled is known</w:t>
        </w:r>
        <w:r>
          <w:rPr>
            <w:noProof/>
            <w:webHidden/>
          </w:rPr>
          <w:tab/>
        </w:r>
        <w:r>
          <w:rPr>
            <w:noProof/>
            <w:webHidden/>
          </w:rPr>
          <w:fldChar w:fldCharType="begin"/>
        </w:r>
        <w:r>
          <w:rPr>
            <w:noProof/>
            <w:webHidden/>
          </w:rPr>
          <w:instrText xml:space="preserve"> PAGEREF _Toc201927395 \h </w:instrText>
        </w:r>
        <w:r>
          <w:rPr>
            <w:noProof/>
            <w:webHidden/>
          </w:rPr>
        </w:r>
        <w:r>
          <w:rPr>
            <w:noProof/>
            <w:webHidden/>
          </w:rPr>
          <w:fldChar w:fldCharType="separate"/>
        </w:r>
        <w:r w:rsidR="00422A37">
          <w:rPr>
            <w:noProof/>
            <w:webHidden/>
          </w:rPr>
          <w:t>51</w:t>
        </w:r>
        <w:r>
          <w:rPr>
            <w:noProof/>
            <w:webHidden/>
          </w:rPr>
          <w:fldChar w:fldCharType="end"/>
        </w:r>
      </w:hyperlink>
    </w:p>
    <w:p w14:paraId="28D54B56" w14:textId="76F47817"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96" w:history="1">
        <w:r w:rsidRPr="003972FF">
          <w:rPr>
            <w:rStyle w:val="Hyperlink"/>
            <w:noProof/>
          </w:rPr>
          <w:t>Table 23: Travel accommodation – emission factors by location</w:t>
        </w:r>
        <w:r>
          <w:rPr>
            <w:noProof/>
            <w:webHidden/>
          </w:rPr>
          <w:tab/>
        </w:r>
        <w:r>
          <w:rPr>
            <w:noProof/>
            <w:webHidden/>
          </w:rPr>
          <w:fldChar w:fldCharType="begin"/>
        </w:r>
        <w:r>
          <w:rPr>
            <w:noProof/>
            <w:webHidden/>
          </w:rPr>
          <w:instrText xml:space="preserve"> PAGEREF _Toc201927396 \h </w:instrText>
        </w:r>
        <w:r>
          <w:rPr>
            <w:noProof/>
            <w:webHidden/>
          </w:rPr>
        </w:r>
        <w:r>
          <w:rPr>
            <w:noProof/>
            <w:webHidden/>
          </w:rPr>
          <w:fldChar w:fldCharType="separate"/>
        </w:r>
        <w:r w:rsidR="00422A37">
          <w:rPr>
            <w:noProof/>
            <w:webHidden/>
          </w:rPr>
          <w:t>52</w:t>
        </w:r>
        <w:r>
          <w:rPr>
            <w:noProof/>
            <w:webHidden/>
          </w:rPr>
          <w:fldChar w:fldCharType="end"/>
        </w:r>
      </w:hyperlink>
    </w:p>
    <w:p w14:paraId="19B7D98B" w14:textId="4BD11EDA"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97" w:history="1">
        <w:r w:rsidRPr="003972FF">
          <w:rPr>
            <w:rStyle w:val="Hyperlink"/>
            <w:noProof/>
          </w:rPr>
          <w:t>Table 24: Stationary combustion - emission factors of gaseous fuels</w:t>
        </w:r>
        <w:r>
          <w:rPr>
            <w:noProof/>
            <w:webHidden/>
          </w:rPr>
          <w:tab/>
        </w:r>
        <w:r>
          <w:rPr>
            <w:noProof/>
            <w:webHidden/>
          </w:rPr>
          <w:fldChar w:fldCharType="begin"/>
        </w:r>
        <w:r>
          <w:rPr>
            <w:noProof/>
            <w:webHidden/>
          </w:rPr>
          <w:instrText xml:space="preserve"> PAGEREF _Toc201927397 \h </w:instrText>
        </w:r>
        <w:r>
          <w:rPr>
            <w:noProof/>
            <w:webHidden/>
          </w:rPr>
        </w:r>
        <w:r>
          <w:rPr>
            <w:noProof/>
            <w:webHidden/>
          </w:rPr>
          <w:fldChar w:fldCharType="separate"/>
        </w:r>
        <w:r w:rsidR="00422A37">
          <w:rPr>
            <w:noProof/>
            <w:webHidden/>
          </w:rPr>
          <w:t>53</w:t>
        </w:r>
        <w:r>
          <w:rPr>
            <w:noProof/>
            <w:webHidden/>
          </w:rPr>
          <w:fldChar w:fldCharType="end"/>
        </w:r>
      </w:hyperlink>
    </w:p>
    <w:p w14:paraId="3D215EEC" w14:textId="078F76C0"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98" w:history="1">
        <w:r w:rsidRPr="003972FF">
          <w:rPr>
            <w:rStyle w:val="Hyperlink"/>
            <w:noProof/>
          </w:rPr>
          <w:t>Table 25: Stationary combustion - emission factors of solid fuels</w:t>
        </w:r>
        <w:r>
          <w:rPr>
            <w:noProof/>
            <w:webHidden/>
          </w:rPr>
          <w:tab/>
        </w:r>
        <w:r>
          <w:rPr>
            <w:noProof/>
            <w:webHidden/>
          </w:rPr>
          <w:fldChar w:fldCharType="begin"/>
        </w:r>
        <w:r>
          <w:rPr>
            <w:noProof/>
            <w:webHidden/>
          </w:rPr>
          <w:instrText xml:space="preserve"> PAGEREF _Toc201927398 \h </w:instrText>
        </w:r>
        <w:r>
          <w:rPr>
            <w:noProof/>
            <w:webHidden/>
          </w:rPr>
        </w:r>
        <w:r>
          <w:rPr>
            <w:noProof/>
            <w:webHidden/>
          </w:rPr>
          <w:fldChar w:fldCharType="separate"/>
        </w:r>
        <w:r w:rsidR="00422A37">
          <w:rPr>
            <w:noProof/>
            <w:webHidden/>
          </w:rPr>
          <w:t>53</w:t>
        </w:r>
        <w:r>
          <w:rPr>
            <w:noProof/>
            <w:webHidden/>
          </w:rPr>
          <w:fldChar w:fldCharType="end"/>
        </w:r>
      </w:hyperlink>
    </w:p>
    <w:p w14:paraId="44434AC4" w14:textId="02B356B5"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399" w:history="1">
        <w:r w:rsidRPr="003972FF">
          <w:rPr>
            <w:rStyle w:val="Hyperlink"/>
            <w:noProof/>
          </w:rPr>
          <w:t>Table 26: Stationary combustion - emission factors of liquid fuels</w:t>
        </w:r>
        <w:r>
          <w:rPr>
            <w:noProof/>
            <w:webHidden/>
          </w:rPr>
          <w:tab/>
        </w:r>
        <w:r>
          <w:rPr>
            <w:noProof/>
            <w:webHidden/>
          </w:rPr>
          <w:fldChar w:fldCharType="begin"/>
        </w:r>
        <w:r>
          <w:rPr>
            <w:noProof/>
            <w:webHidden/>
          </w:rPr>
          <w:instrText xml:space="preserve"> PAGEREF _Toc201927399 \h </w:instrText>
        </w:r>
        <w:r>
          <w:rPr>
            <w:noProof/>
            <w:webHidden/>
          </w:rPr>
        </w:r>
        <w:r>
          <w:rPr>
            <w:noProof/>
            <w:webHidden/>
          </w:rPr>
          <w:fldChar w:fldCharType="separate"/>
        </w:r>
        <w:r w:rsidR="00422A37">
          <w:rPr>
            <w:noProof/>
            <w:webHidden/>
          </w:rPr>
          <w:t>54</w:t>
        </w:r>
        <w:r>
          <w:rPr>
            <w:noProof/>
            <w:webHidden/>
          </w:rPr>
          <w:fldChar w:fldCharType="end"/>
        </w:r>
      </w:hyperlink>
    </w:p>
    <w:p w14:paraId="64982288" w14:textId="0F90C89B" w:rsidR="00082F9E" w:rsidRDefault="00082F9E">
      <w:pPr>
        <w:pStyle w:val="TableofFigures"/>
        <w:tabs>
          <w:tab w:val="right" w:leader="dot" w:pos="9402"/>
        </w:tabs>
        <w:rPr>
          <w:rFonts w:eastAsiaTheme="minorEastAsia" w:cstheme="minorBidi"/>
          <w:noProof/>
          <w:kern w:val="2"/>
          <w:sz w:val="24"/>
          <w:szCs w:val="24"/>
          <w:lang w:eastAsia="en-AU"/>
          <w14:ligatures w14:val="standardContextual"/>
        </w:rPr>
      </w:pPr>
      <w:hyperlink w:anchor="_Toc201927400" w:history="1">
        <w:r w:rsidRPr="003972FF">
          <w:rPr>
            <w:rStyle w:val="Hyperlink"/>
            <w:noProof/>
          </w:rPr>
          <w:t xml:space="preserve">Table 27: Stationary combustion - emission factor of </w:t>
        </w:r>
        <w:r w:rsidRPr="003972FF">
          <w:rPr>
            <w:rStyle w:val="Hyperlink"/>
            <w:rFonts w:eastAsiaTheme="minorHAnsi"/>
            <w:noProof/>
          </w:rPr>
          <w:t>liquefied petroleum gas</w:t>
        </w:r>
        <w:r>
          <w:rPr>
            <w:noProof/>
            <w:webHidden/>
          </w:rPr>
          <w:tab/>
        </w:r>
        <w:r>
          <w:rPr>
            <w:noProof/>
            <w:webHidden/>
          </w:rPr>
          <w:fldChar w:fldCharType="begin"/>
        </w:r>
        <w:r>
          <w:rPr>
            <w:noProof/>
            <w:webHidden/>
          </w:rPr>
          <w:instrText xml:space="preserve"> PAGEREF _Toc201927400 \h </w:instrText>
        </w:r>
        <w:r>
          <w:rPr>
            <w:noProof/>
            <w:webHidden/>
          </w:rPr>
        </w:r>
        <w:r>
          <w:rPr>
            <w:noProof/>
            <w:webHidden/>
          </w:rPr>
          <w:fldChar w:fldCharType="separate"/>
        </w:r>
        <w:r w:rsidR="00422A37">
          <w:rPr>
            <w:noProof/>
            <w:webHidden/>
          </w:rPr>
          <w:t>54</w:t>
        </w:r>
        <w:r>
          <w:rPr>
            <w:noProof/>
            <w:webHidden/>
          </w:rPr>
          <w:fldChar w:fldCharType="end"/>
        </w:r>
      </w:hyperlink>
    </w:p>
    <w:p w14:paraId="7EA24F62" w14:textId="3B71B9BC" w:rsidR="00C54AA5" w:rsidRPr="002B2058" w:rsidRDefault="00B73460" w:rsidP="002B2058">
      <w:pPr>
        <w:pStyle w:val="Heading1Noshow"/>
      </w:pPr>
      <w:r w:rsidRPr="00AA5CB5">
        <w:fldChar w:fldCharType="end"/>
      </w:r>
      <w:r w:rsidR="00C54AA5" w:rsidRPr="002B2058">
        <w:t xml:space="preserve">Version history </w:t>
      </w:r>
    </w:p>
    <w:tbl>
      <w:tblPr>
        <w:tblStyle w:val="GridTable4-Accent6"/>
        <w:tblW w:w="0" w:type="auto"/>
        <w:tblLook w:val="06A0" w:firstRow="1" w:lastRow="0" w:firstColumn="1" w:lastColumn="0" w:noHBand="1" w:noVBand="1"/>
      </w:tblPr>
      <w:tblGrid>
        <w:gridCol w:w="1173"/>
        <w:gridCol w:w="1685"/>
        <w:gridCol w:w="3347"/>
        <w:gridCol w:w="3197"/>
      </w:tblGrid>
      <w:tr w:rsidR="00C733B0" w:rsidRPr="00AA5CB5" w14:paraId="015F711E" w14:textId="52830A24" w:rsidTr="00AF2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137DBB46" w14:textId="557E810C" w:rsidR="005D610C" w:rsidRPr="00AA5CB5" w:rsidRDefault="005D610C">
            <w:pPr>
              <w:pStyle w:val="Tableheading"/>
              <w:rPr>
                <w:b/>
              </w:rPr>
            </w:pPr>
            <w:r w:rsidRPr="00AA5CB5">
              <w:rPr>
                <w:b/>
              </w:rPr>
              <w:t>Status</w:t>
            </w:r>
          </w:p>
        </w:tc>
        <w:tc>
          <w:tcPr>
            <w:tcW w:w="1693" w:type="dxa"/>
          </w:tcPr>
          <w:p w14:paraId="59862CDE" w14:textId="06D404F3" w:rsidR="005D610C" w:rsidRPr="00AA5CB5" w:rsidRDefault="005D610C">
            <w:pPr>
              <w:pStyle w:val="Tableheading"/>
              <w:cnfStyle w:val="100000000000" w:firstRow="1" w:lastRow="0" w:firstColumn="0" w:lastColumn="0" w:oddVBand="0" w:evenVBand="0" w:oddHBand="0" w:evenHBand="0" w:firstRowFirstColumn="0" w:firstRowLastColumn="0" w:lastRowFirstColumn="0" w:lastRowLastColumn="0"/>
              <w:rPr>
                <w:b/>
              </w:rPr>
            </w:pPr>
            <w:r w:rsidRPr="00AA5CB5">
              <w:rPr>
                <w:b/>
              </w:rPr>
              <w:t>Version</w:t>
            </w:r>
          </w:p>
        </w:tc>
        <w:tc>
          <w:tcPr>
            <w:tcW w:w="3376" w:type="dxa"/>
          </w:tcPr>
          <w:p w14:paraId="0B742295" w14:textId="1EF3F58B" w:rsidR="005D610C" w:rsidRPr="00AA5CB5" w:rsidRDefault="005D610C">
            <w:pPr>
              <w:pStyle w:val="Tableheading"/>
              <w:cnfStyle w:val="100000000000" w:firstRow="1" w:lastRow="0" w:firstColumn="0" w:lastColumn="0" w:oddVBand="0" w:evenVBand="0" w:oddHBand="0" w:evenHBand="0" w:firstRowFirstColumn="0" w:firstRowLastColumn="0" w:lastRowFirstColumn="0" w:lastRowLastColumn="0"/>
              <w:rPr>
                <w:b/>
              </w:rPr>
            </w:pPr>
            <w:r w:rsidRPr="00AA5CB5">
              <w:rPr>
                <w:b/>
              </w:rPr>
              <w:t xml:space="preserve">Date </w:t>
            </w:r>
          </w:p>
        </w:tc>
        <w:tc>
          <w:tcPr>
            <w:tcW w:w="3218" w:type="dxa"/>
          </w:tcPr>
          <w:p w14:paraId="0828DAC7" w14:textId="6676EDBE" w:rsidR="005D610C" w:rsidRPr="00AA5CB5" w:rsidRDefault="008E3191">
            <w:pPr>
              <w:pStyle w:val="Tableheading"/>
              <w:cnfStyle w:val="100000000000" w:firstRow="1" w:lastRow="0" w:firstColumn="0" w:lastColumn="0" w:oddVBand="0" w:evenVBand="0" w:oddHBand="0" w:evenHBand="0" w:firstRowFirstColumn="0" w:firstRowLastColumn="0" w:lastRowFirstColumn="0" w:lastRowLastColumn="0"/>
              <w:rPr>
                <w:b/>
              </w:rPr>
            </w:pPr>
            <w:r>
              <w:rPr>
                <w:b/>
              </w:rPr>
              <w:t>Comments</w:t>
            </w:r>
          </w:p>
        </w:tc>
      </w:tr>
      <w:tr w:rsidR="005D610C" w:rsidRPr="00AA5CB5" w14:paraId="043C6970" w14:textId="0498A3E4" w:rsidTr="00AF2D10">
        <w:tc>
          <w:tcPr>
            <w:cnfStyle w:val="001000000000" w:firstRow="0" w:lastRow="0" w:firstColumn="1" w:lastColumn="0" w:oddVBand="0" w:evenVBand="0" w:oddHBand="0" w:evenHBand="0" w:firstRowFirstColumn="0" w:firstRowLastColumn="0" w:lastRowFirstColumn="0" w:lastRowLastColumn="0"/>
            <w:tcW w:w="1115" w:type="dxa"/>
          </w:tcPr>
          <w:p w14:paraId="72AF3366" w14:textId="50A354C9" w:rsidR="005D610C" w:rsidRPr="00AA5CB5" w:rsidRDefault="002742EF">
            <w:pPr>
              <w:pStyle w:val="Tablebodytext"/>
            </w:pPr>
            <w:r>
              <w:t>Published</w:t>
            </w:r>
          </w:p>
        </w:tc>
        <w:tc>
          <w:tcPr>
            <w:tcW w:w="1693" w:type="dxa"/>
          </w:tcPr>
          <w:p w14:paraId="4653C611" w14:textId="50993F89" w:rsidR="005D610C" w:rsidRPr="00AA5CB5" w:rsidRDefault="002742EF">
            <w:pPr>
              <w:pStyle w:val="Tablebodytext"/>
              <w:cnfStyle w:val="000000000000" w:firstRow="0" w:lastRow="0" w:firstColumn="0" w:lastColumn="0" w:oddVBand="0" w:evenVBand="0" w:oddHBand="0" w:evenHBand="0" w:firstRowFirstColumn="0" w:firstRowLastColumn="0" w:lastRowFirstColumn="0" w:lastRowLastColumn="0"/>
            </w:pPr>
            <w:r>
              <w:t>1.0</w:t>
            </w:r>
          </w:p>
        </w:tc>
        <w:tc>
          <w:tcPr>
            <w:tcW w:w="3376" w:type="dxa"/>
          </w:tcPr>
          <w:p w14:paraId="16E25751" w14:textId="34861E7A" w:rsidR="005D610C" w:rsidRPr="00AA5CB5" w:rsidRDefault="00990C13">
            <w:pPr>
              <w:pStyle w:val="Tablebodytext"/>
              <w:cnfStyle w:val="000000000000" w:firstRow="0" w:lastRow="0" w:firstColumn="0" w:lastColumn="0" w:oddVBand="0" w:evenVBand="0" w:oddHBand="0" w:evenHBand="0" w:firstRowFirstColumn="0" w:firstRowLastColumn="0" w:lastRowFirstColumn="0" w:lastRowLastColumn="0"/>
            </w:pPr>
            <w:r w:rsidRPr="00990C13">
              <w:t>30 June</w:t>
            </w:r>
            <w:r w:rsidR="00F441E2" w:rsidRPr="00990C13">
              <w:t xml:space="preserve"> 2025</w:t>
            </w:r>
          </w:p>
        </w:tc>
        <w:tc>
          <w:tcPr>
            <w:tcW w:w="3218" w:type="dxa"/>
          </w:tcPr>
          <w:p w14:paraId="6ED418E6" w14:textId="21BF86C6" w:rsidR="005D610C" w:rsidRPr="00AA5CB5" w:rsidRDefault="008E3191">
            <w:pPr>
              <w:pStyle w:val="Tablebodytext"/>
              <w:cnfStyle w:val="000000000000" w:firstRow="0" w:lastRow="0" w:firstColumn="0" w:lastColumn="0" w:oddVBand="0" w:evenVBand="0" w:oddHBand="0" w:evenHBand="0" w:firstRowFirstColumn="0" w:firstRowLastColumn="0" w:lastRowFirstColumn="0" w:lastRowLastColumn="0"/>
            </w:pPr>
            <w:r>
              <w:t>Initial publication</w:t>
            </w:r>
          </w:p>
        </w:tc>
      </w:tr>
    </w:tbl>
    <w:p w14:paraId="0B6B4596" w14:textId="1BFE1CC4" w:rsidR="00C54AA5" w:rsidRPr="00AA5CB5" w:rsidRDefault="00C54AA5" w:rsidP="00C54AA5">
      <w:pPr>
        <w:tabs>
          <w:tab w:val="left" w:pos="780"/>
        </w:tabs>
        <w:sectPr w:rsidR="00C54AA5" w:rsidRPr="00AA5CB5" w:rsidSect="003652D7">
          <w:headerReference w:type="even" r:id="rId21"/>
          <w:headerReference w:type="default" r:id="rId22"/>
          <w:footerReference w:type="default" r:id="rId23"/>
          <w:headerReference w:type="first" r:id="rId24"/>
          <w:pgSz w:w="11906" w:h="16838"/>
          <w:pgMar w:top="1701" w:right="1247" w:bottom="1247" w:left="1247" w:header="709" w:footer="709" w:gutter="0"/>
          <w:pgNumType w:start="1"/>
          <w:cols w:space="708"/>
          <w:docGrid w:linePitch="360"/>
        </w:sectPr>
      </w:pPr>
      <w:r w:rsidRPr="00AA5CB5">
        <w:tab/>
      </w:r>
    </w:p>
    <w:p w14:paraId="11FEE931" w14:textId="6FBDDF85" w:rsidR="0030644C" w:rsidRPr="00AA5CB5" w:rsidRDefault="00D75BD1" w:rsidP="00356C20">
      <w:pPr>
        <w:pStyle w:val="Heading1"/>
      </w:pPr>
      <w:bookmarkStart w:id="0" w:name="_Toc201927332"/>
      <w:r w:rsidRPr="00AA5CB5">
        <w:lastRenderedPageBreak/>
        <w:t>Overview</w:t>
      </w:r>
      <w:bookmarkEnd w:id="0"/>
    </w:p>
    <w:p w14:paraId="622B7327" w14:textId="65819EE7" w:rsidR="00357975" w:rsidRPr="00AA5CB5" w:rsidRDefault="00357975" w:rsidP="2A9E86DE">
      <w:pPr>
        <w:pStyle w:val="BodyText1"/>
      </w:pPr>
      <w:r w:rsidRPr="00AA5CB5">
        <w:t>Th</w:t>
      </w:r>
      <w:r w:rsidR="00C42203">
        <w:t>e</w:t>
      </w:r>
      <w:r w:rsidR="452D2B09" w:rsidRPr="00AA5CB5">
        <w:t xml:space="preserve"> </w:t>
      </w:r>
      <w:r w:rsidR="452D2B09" w:rsidRPr="003A5190">
        <w:t>Emissions Reporting Framework (</w:t>
      </w:r>
      <w:r w:rsidR="00582384" w:rsidRPr="003A5190">
        <w:t xml:space="preserve">the </w:t>
      </w:r>
      <w:r w:rsidR="452D2B09" w:rsidRPr="003A5190">
        <w:t xml:space="preserve">Framework) is the methodology for Commonwealth entities and Commonwealth companies to use when producing their annual greenhouse gas </w:t>
      </w:r>
      <w:r w:rsidR="00D03522">
        <w:t>(</w:t>
      </w:r>
      <w:r w:rsidR="00D03522" w:rsidRPr="00AA5CB5">
        <w:t>GHG</w:t>
      </w:r>
      <w:r w:rsidR="00D03522">
        <w:t>)</w:t>
      </w:r>
      <w:r w:rsidR="00D03522" w:rsidRPr="00AA5CB5">
        <w:t xml:space="preserve"> </w:t>
      </w:r>
      <w:r w:rsidR="452D2B09" w:rsidRPr="003A5190">
        <w:t>emissions</w:t>
      </w:r>
      <w:r w:rsidR="00D80A67" w:rsidRPr="00AA5CB5">
        <w:t xml:space="preserve"> </w:t>
      </w:r>
      <w:r w:rsidR="452D2B09" w:rsidRPr="00AA5CB5">
        <w:t xml:space="preserve">inventories. </w:t>
      </w:r>
      <w:r w:rsidR="00F762AB" w:rsidRPr="00AA5CB5">
        <w:t>Th</w:t>
      </w:r>
      <w:r w:rsidR="002742EF">
        <w:t xml:space="preserve">e </w:t>
      </w:r>
      <w:r w:rsidR="00F762AB" w:rsidRPr="00AA5CB5">
        <w:t>F</w:t>
      </w:r>
      <w:r w:rsidR="452D2B09" w:rsidRPr="00AA5CB5">
        <w:t>ramework</w:t>
      </w:r>
      <w:r w:rsidR="452D2B09" w:rsidRPr="00AA5CB5" w:rsidDel="002E2DEA">
        <w:t xml:space="preserve"> </w:t>
      </w:r>
      <w:r w:rsidR="452D2B09" w:rsidRPr="00AA5CB5">
        <w:t>enables tracking progress towards the APS Net Zero 2030 target (</w:t>
      </w:r>
      <w:r w:rsidR="00AA4B1A">
        <w:t>refer to</w:t>
      </w:r>
      <w:r w:rsidR="00AA4B1A" w:rsidRPr="00AA5CB5">
        <w:t xml:space="preserve"> </w:t>
      </w:r>
      <w:hyperlink r:id="rId25">
        <w:r w:rsidR="00112A55" w:rsidRPr="00AA5CB5">
          <w:rPr>
            <w:rStyle w:val="Hyperlink1"/>
          </w:rPr>
          <w:t>Net Zero in Government Operations (NZGO) Strategy</w:t>
        </w:r>
      </w:hyperlink>
      <w:r w:rsidR="452D2B09" w:rsidRPr="00AA5CB5">
        <w:t xml:space="preserve">). </w:t>
      </w:r>
      <w:r w:rsidR="00112A55" w:rsidRPr="00AA5CB5">
        <w:t>It is</w:t>
      </w:r>
      <w:r w:rsidR="452D2B09" w:rsidRPr="00AA5CB5">
        <w:t xml:space="preserve"> also a key part of</w:t>
      </w:r>
      <w:r w:rsidR="002E2DEA">
        <w:t xml:space="preserve"> the</w:t>
      </w:r>
      <w:r w:rsidR="452D2B09" w:rsidRPr="00AA5CB5">
        <w:t xml:space="preserve"> </w:t>
      </w:r>
      <w:hyperlink r:id="rId26">
        <w:r w:rsidR="452D2B09" w:rsidRPr="00AA5CB5">
          <w:rPr>
            <w:rStyle w:val="Hyperlink1"/>
          </w:rPr>
          <w:t>Commonwealth Climate Disclosure</w:t>
        </w:r>
      </w:hyperlink>
      <w:r w:rsidR="452D2B09" w:rsidRPr="00AA5CB5">
        <w:t xml:space="preserve"> (CCD) initiative, specifically the targets and metrics component.  </w:t>
      </w:r>
    </w:p>
    <w:p w14:paraId="118EEDBE" w14:textId="0474894C" w:rsidR="00357975" w:rsidRPr="00AA5CB5" w:rsidRDefault="00357975" w:rsidP="00357975">
      <w:pPr>
        <w:pStyle w:val="BodyText1"/>
      </w:pPr>
      <w:r w:rsidRPr="00AA5CB5">
        <w:t xml:space="preserve">The Framework uses best practice from existing </w:t>
      </w:r>
      <w:r w:rsidR="00D80A67">
        <w:t>GHG</w:t>
      </w:r>
      <w:r w:rsidRPr="00AA5CB5" w:rsidDel="00D80A67">
        <w:t xml:space="preserve"> </w:t>
      </w:r>
      <w:r w:rsidRPr="00AA5CB5">
        <w:t>emissions reporting frameworks and seeks to align with relevant policies</w:t>
      </w:r>
      <w:r w:rsidR="73FCBA20" w:rsidRPr="00AA5CB5">
        <w:t xml:space="preserve"> (</w:t>
      </w:r>
      <w:r w:rsidR="00AA4B1A">
        <w:t>refer to</w:t>
      </w:r>
      <w:r w:rsidR="00AA4B1A" w:rsidRPr="00AA5CB5">
        <w:t xml:space="preserve"> </w:t>
      </w:r>
      <w:r w:rsidR="00695DED" w:rsidRPr="00AA5CB5">
        <w:rPr>
          <w:rStyle w:val="Hyperlink1"/>
        </w:rPr>
        <w:fldChar w:fldCharType="begin"/>
      </w:r>
      <w:r w:rsidR="00695DED" w:rsidRPr="00AA5CB5">
        <w:rPr>
          <w:rStyle w:val="Hyperlink1"/>
        </w:rPr>
        <w:instrText xml:space="preserve"> REF _Ref199234240 \h  \* MERGEFORMAT </w:instrText>
      </w:r>
      <w:r w:rsidR="00695DED" w:rsidRPr="00AA5CB5">
        <w:rPr>
          <w:rStyle w:val="Hyperlink1"/>
        </w:rPr>
      </w:r>
      <w:r w:rsidR="00695DED" w:rsidRPr="00AA5CB5">
        <w:rPr>
          <w:rStyle w:val="Hyperlink1"/>
        </w:rPr>
        <w:fldChar w:fldCharType="separate"/>
      </w:r>
      <w:r w:rsidR="00422A37" w:rsidRPr="00AA5CB5">
        <w:t xml:space="preserve">Related </w:t>
      </w:r>
      <w:r w:rsidR="00422A37">
        <w:t>p</w:t>
      </w:r>
      <w:r w:rsidR="00422A37" w:rsidRPr="00AA5CB5">
        <w:t xml:space="preserve">olices and </w:t>
      </w:r>
      <w:r w:rsidR="00422A37">
        <w:t>s</w:t>
      </w:r>
      <w:r w:rsidR="00422A37" w:rsidRPr="00AA5CB5">
        <w:t>tandards</w:t>
      </w:r>
      <w:r w:rsidR="00695DED" w:rsidRPr="00AA5CB5">
        <w:rPr>
          <w:rStyle w:val="Hyperlink1"/>
        </w:rPr>
        <w:fldChar w:fldCharType="end"/>
      </w:r>
      <w:r w:rsidR="73FCBA20" w:rsidRPr="00AA5CB5">
        <w:rPr>
          <w:rStyle w:val="Hyperlink1"/>
        </w:rPr>
        <w:t>)</w:t>
      </w:r>
      <w:r w:rsidRPr="00AA5CB5" w:rsidDel="00997262">
        <w:rPr>
          <w:rStyle w:val="Hyperlink1"/>
        </w:rPr>
        <w:t xml:space="preserve"> </w:t>
      </w:r>
      <w:r w:rsidRPr="00AA5CB5">
        <w:t xml:space="preserve">to ensure </w:t>
      </w:r>
      <w:r w:rsidR="320003CD" w:rsidRPr="00AA5CB5">
        <w:t>data collected</w:t>
      </w:r>
      <w:r w:rsidRPr="00AA5CB5">
        <w:t xml:space="preserve"> </w:t>
      </w:r>
      <w:r w:rsidR="00A83D9C" w:rsidRPr="00AA5CB5">
        <w:t xml:space="preserve">and emissions </w:t>
      </w:r>
      <w:r w:rsidR="000C6329" w:rsidRPr="00AA5CB5">
        <w:t>calculations are</w:t>
      </w:r>
      <w:r w:rsidRPr="00AA5CB5">
        <w:t xml:space="preserve"> suitable for Australian Government operations. </w:t>
      </w:r>
    </w:p>
    <w:p w14:paraId="33434640" w14:textId="79BA355D" w:rsidR="00357975" w:rsidRPr="00AA5CB5" w:rsidRDefault="00357975" w:rsidP="00357975">
      <w:pPr>
        <w:pStyle w:val="BodyText1"/>
      </w:pPr>
      <w:r w:rsidRPr="00AA5CB5">
        <w:t xml:space="preserve">The </w:t>
      </w:r>
      <w:r w:rsidR="00520860">
        <w:t xml:space="preserve">Framework </w:t>
      </w:r>
      <w:r w:rsidRPr="00AA5CB5">
        <w:t xml:space="preserve">provides: </w:t>
      </w:r>
    </w:p>
    <w:p w14:paraId="36EACFE1" w14:textId="6CC8AABA" w:rsidR="00357975" w:rsidRPr="003A5190" w:rsidRDefault="00230DC0" w:rsidP="00294464">
      <w:pPr>
        <w:pStyle w:val="Bodybullet1"/>
      </w:pPr>
      <w:r>
        <w:t>d</w:t>
      </w:r>
      <w:r w:rsidR="00357975" w:rsidRPr="00AA5CB5">
        <w:t xml:space="preserve">etailed guidance on key areas to assist reporting agencies accurately report their </w:t>
      </w:r>
      <w:r w:rsidR="00357975" w:rsidRPr="003A5190">
        <w:t>emissions</w:t>
      </w:r>
    </w:p>
    <w:p w14:paraId="6935C147" w14:textId="13A5F953" w:rsidR="00357975" w:rsidRPr="003A5190" w:rsidRDefault="00230DC0" w:rsidP="00294464">
      <w:pPr>
        <w:pStyle w:val="Bodybullet1"/>
      </w:pPr>
      <w:r>
        <w:t>c</w:t>
      </w:r>
      <w:r w:rsidR="00357975">
        <w:t>onsistent, standardised and transparent emissions reporting methodology</w:t>
      </w:r>
      <w:r w:rsidR="002C4B79">
        <w:t xml:space="preserve"> and calculations</w:t>
      </w:r>
      <w:r w:rsidR="00357975">
        <w:t xml:space="preserve"> for Commonwealth entities and companies</w:t>
      </w:r>
      <w:r w:rsidR="748FA4AF">
        <w:t xml:space="preserve"> for the 2024-25 reporting period</w:t>
      </w:r>
    </w:p>
    <w:p w14:paraId="4E44B921" w14:textId="7BB21248" w:rsidR="00357975" w:rsidRPr="00AA5CB5" w:rsidRDefault="00770797" w:rsidP="00294464">
      <w:pPr>
        <w:pStyle w:val="Bodybullet1"/>
      </w:pPr>
      <w:r>
        <w:t>t</w:t>
      </w:r>
      <w:r w:rsidR="00357975" w:rsidRPr="003A5190">
        <w:t>he emissions reporting boundary and included emission</w:t>
      </w:r>
      <w:r w:rsidR="7794F36F" w:rsidRPr="003A5190">
        <w:t>s</w:t>
      </w:r>
      <w:r w:rsidR="00357975" w:rsidRPr="003A5190">
        <w:t xml:space="preserve"> sources</w:t>
      </w:r>
      <w:r w:rsidR="00E404CC">
        <w:t xml:space="preserve"> </w:t>
      </w:r>
      <w:r w:rsidR="00C97F00">
        <w:t>for the 2024-25 reporting period</w:t>
      </w:r>
      <w:r w:rsidR="00D06669" w:rsidRPr="00AA5CB5">
        <w:t xml:space="preserve">. </w:t>
      </w:r>
      <w:r w:rsidR="00600DBB" w:rsidRPr="00AA5CB5">
        <w:t xml:space="preserve"> </w:t>
      </w:r>
    </w:p>
    <w:p w14:paraId="21A9E984" w14:textId="7CE9686C" w:rsidR="00D75BD1" w:rsidRPr="00AA5CB5" w:rsidRDefault="00297FB7" w:rsidP="00297FB7">
      <w:pPr>
        <w:pStyle w:val="Bodybullet1"/>
        <w:numPr>
          <w:ilvl w:val="0"/>
          <w:numId w:val="0"/>
        </w:numPr>
      </w:pPr>
      <w:r w:rsidRPr="00AA5CB5">
        <w:t xml:space="preserve">The </w:t>
      </w:r>
      <w:r w:rsidR="00520860">
        <w:t xml:space="preserve">Framework </w:t>
      </w:r>
      <w:r w:rsidRPr="00AA5CB5">
        <w:t xml:space="preserve">is designed </w:t>
      </w:r>
      <w:r w:rsidR="00BA0C0B" w:rsidRPr="00AA5CB5">
        <w:t xml:space="preserve">for </w:t>
      </w:r>
      <w:r w:rsidRPr="00AA5CB5">
        <w:t xml:space="preserve">reporting agencies to </w:t>
      </w:r>
      <w:r w:rsidR="00BA0C0B" w:rsidRPr="00AA5CB5">
        <w:t>follow and implement emissions reporting</w:t>
      </w:r>
      <w:r w:rsidRPr="00AA5CB5">
        <w:t xml:space="preserve"> and will involve a continuous improvement cycle as reporting matures. </w:t>
      </w:r>
      <w:r w:rsidR="00357975" w:rsidRPr="00AA5CB5">
        <w:t xml:space="preserve">Over time, the </w:t>
      </w:r>
      <w:r w:rsidR="00840540" w:rsidRPr="00AA5CB5">
        <w:t>emissions reporting boundary</w:t>
      </w:r>
      <w:r w:rsidR="00357975" w:rsidRPr="00AA5CB5">
        <w:t xml:space="preserve"> may expand to encompass additional</w:t>
      </w:r>
      <w:r w:rsidR="00973803" w:rsidRPr="00AA5CB5">
        <w:t xml:space="preserve"> </w:t>
      </w:r>
      <w:r w:rsidR="00357975" w:rsidRPr="00AA5CB5">
        <w:t>emission</w:t>
      </w:r>
      <w:r w:rsidR="545FD160" w:rsidRPr="00AA5CB5">
        <w:t>s</w:t>
      </w:r>
      <w:r w:rsidR="00357975" w:rsidRPr="00AA5CB5">
        <w:t xml:space="preserve"> sources as data quality and methodologies improve.</w:t>
      </w:r>
      <w:r w:rsidR="003061B1" w:rsidRPr="00AA5CB5">
        <w:t xml:space="preserve"> </w:t>
      </w:r>
    </w:p>
    <w:p w14:paraId="7A36F51B" w14:textId="1954BEFA" w:rsidR="0084451A" w:rsidRPr="00AA5CB5" w:rsidRDefault="009D2025" w:rsidP="00C46888">
      <w:pPr>
        <w:pStyle w:val="Heading2"/>
      </w:pPr>
      <w:bookmarkStart w:id="1" w:name="_Heading_2_here"/>
      <w:bookmarkStart w:id="2" w:name="_Ref199234240"/>
      <w:bookmarkStart w:id="3" w:name="_Toc201927333"/>
      <w:bookmarkStart w:id="4" w:name="_Hlk138238828"/>
      <w:bookmarkEnd w:id="1"/>
      <w:r w:rsidRPr="00AA5CB5">
        <w:t xml:space="preserve">Related </w:t>
      </w:r>
      <w:r w:rsidR="001D6454">
        <w:t>p</w:t>
      </w:r>
      <w:r w:rsidRPr="00AA5CB5">
        <w:t xml:space="preserve">olices and </w:t>
      </w:r>
      <w:r w:rsidR="001D6454">
        <w:t>s</w:t>
      </w:r>
      <w:r w:rsidRPr="00AA5CB5">
        <w:t>tandards</w:t>
      </w:r>
      <w:bookmarkEnd w:id="2"/>
      <w:bookmarkEnd w:id="3"/>
    </w:p>
    <w:p w14:paraId="163731D6" w14:textId="72494958" w:rsidR="00552B8D" w:rsidRPr="00AA5CB5" w:rsidRDefault="00552B8D" w:rsidP="00552B8D">
      <w:pPr>
        <w:pStyle w:val="Heading3"/>
      </w:pPr>
      <w:bookmarkStart w:id="5" w:name="_Toc197426903"/>
      <w:bookmarkStart w:id="6" w:name="_Toc197438568"/>
      <w:bookmarkEnd w:id="4"/>
      <w:r w:rsidRPr="00AA5CB5">
        <w:t>Nationally Determined Contribution</w:t>
      </w:r>
      <w:bookmarkEnd w:id="5"/>
      <w:bookmarkEnd w:id="6"/>
      <w:r w:rsidRPr="00AA5CB5">
        <w:t xml:space="preserve"> </w:t>
      </w:r>
    </w:p>
    <w:p w14:paraId="51334D65" w14:textId="22FE78A4" w:rsidR="00E57E32" w:rsidRPr="00AA5CB5" w:rsidRDefault="00552B8D" w:rsidP="00E57E32">
      <w:pPr>
        <w:pStyle w:val="BodyText1"/>
      </w:pPr>
      <w:r w:rsidRPr="00AA5CB5">
        <w:t xml:space="preserve">In 2022, through the </w:t>
      </w:r>
      <w:hyperlink r:id="rId27">
        <w:r w:rsidRPr="00DE016A">
          <w:rPr>
            <w:rStyle w:val="Hyperlink1"/>
          </w:rPr>
          <w:t>Nationally Determined Contribution</w:t>
        </w:r>
        <w:r w:rsidRPr="00AA5CB5">
          <w:rPr>
            <w:rStyle w:val="Hyperlink"/>
            <w:color w:val="auto"/>
          </w:rPr>
          <w:t xml:space="preserve"> (NDC) submission</w:t>
        </w:r>
      </w:hyperlink>
      <w:r w:rsidRPr="00AA5CB5">
        <w:t xml:space="preserve"> under the Paris Agreement, the Australian Government committed to reducing the GHG emissions of Commonwealth Government agencies to net zero </w:t>
      </w:r>
      <w:r w:rsidR="008A75C8" w:rsidRPr="00AA5CB5">
        <w:t>emissions</w:t>
      </w:r>
      <w:r w:rsidRPr="00AA5CB5">
        <w:t xml:space="preserve"> by 2030 (excluding defence and security agencies). </w:t>
      </w:r>
    </w:p>
    <w:p w14:paraId="644A4C26" w14:textId="3D4956F3" w:rsidR="00E57E32" w:rsidRPr="00AA5CB5" w:rsidRDefault="005B1DCD" w:rsidP="00E57E32">
      <w:pPr>
        <w:pStyle w:val="BodyText1"/>
      </w:pPr>
      <w:r>
        <w:t>The</w:t>
      </w:r>
      <w:r w:rsidR="00552B8D" w:rsidRPr="00AA5CB5">
        <w:t xml:space="preserve"> NZGO Strategy</w:t>
      </w:r>
      <w:r>
        <w:t xml:space="preserve"> gives effect to this commitment</w:t>
      </w:r>
      <w:r w:rsidR="00552B8D" w:rsidRPr="00AA5CB5">
        <w:t xml:space="preserve">. The Framework is </w:t>
      </w:r>
      <w:r w:rsidR="00600DBB" w:rsidRPr="00AA5CB5">
        <w:t>designed for</w:t>
      </w:r>
      <w:r w:rsidR="006423BC" w:rsidRPr="00AA5CB5">
        <w:t xml:space="preserve"> reporting</w:t>
      </w:r>
      <w:r w:rsidR="00552B8D" w:rsidRPr="00AA5CB5">
        <w:t xml:space="preserve"> emissions in Australia and Australian territories to support Australia’s </w:t>
      </w:r>
      <w:r w:rsidR="004536EF" w:rsidRPr="00AA5CB5">
        <w:t>2030</w:t>
      </w:r>
      <w:r w:rsidR="00552B8D" w:rsidRPr="00AA5CB5">
        <w:t xml:space="preserve"> NDC commitment. </w:t>
      </w:r>
      <w:bookmarkStart w:id="7" w:name="_Toc197426904"/>
      <w:bookmarkStart w:id="8" w:name="_Toc197438569"/>
    </w:p>
    <w:p w14:paraId="633550AE" w14:textId="5DB42DB4" w:rsidR="00552B8D" w:rsidRPr="00AA5CB5" w:rsidRDefault="00552B8D" w:rsidP="00552B8D">
      <w:pPr>
        <w:pStyle w:val="Heading3"/>
      </w:pPr>
      <w:r w:rsidRPr="00AA5CB5">
        <w:t>Intergovernmental Panel on Climate Change Guidelines for National Greenhouse Gas Inventories</w:t>
      </w:r>
      <w:bookmarkEnd w:id="7"/>
      <w:bookmarkEnd w:id="8"/>
      <w:r w:rsidRPr="00AA5CB5">
        <w:t xml:space="preserve"> </w:t>
      </w:r>
    </w:p>
    <w:p w14:paraId="342980E8" w14:textId="640DF0CA" w:rsidR="00552B8D" w:rsidRPr="00AA5CB5" w:rsidRDefault="5AEDAA42" w:rsidP="00387359">
      <w:pPr>
        <w:pStyle w:val="BodyText1"/>
      </w:pPr>
      <w:r w:rsidRPr="00AA5CB5">
        <w:t xml:space="preserve">The </w:t>
      </w:r>
      <w:hyperlink r:id="rId28">
        <w:r w:rsidRPr="00AA5CB5">
          <w:rPr>
            <w:rStyle w:val="Hyperlink1"/>
          </w:rPr>
          <w:t>Intergovernmental Panel on Climate Change (IPCC) Guidelines for National Greenhouse Gas Inventories</w:t>
        </w:r>
      </w:hyperlink>
      <w:r w:rsidRPr="00AA5CB5">
        <w:t xml:space="preserve"> (IPCC Guidelines) provide detailed methods for calculating GHG emissions from various sectors</w:t>
      </w:r>
      <w:r w:rsidR="3CF4D6D1" w:rsidRPr="00AA5CB5">
        <w:t xml:space="preserve"> </w:t>
      </w:r>
      <w:r w:rsidRPr="00AA5CB5">
        <w:t>at a national level</w:t>
      </w:r>
      <w:r w:rsidR="1DD3107C" w:rsidRPr="00AA5CB5">
        <w:t xml:space="preserve">. </w:t>
      </w:r>
      <w:r w:rsidRPr="00AA5CB5">
        <w:t xml:space="preserve">The emissions reported under the </w:t>
      </w:r>
      <w:r w:rsidR="001403D7">
        <w:t>Framework</w:t>
      </w:r>
      <w:r w:rsidR="001403D7" w:rsidDel="009B58B1">
        <w:t xml:space="preserve"> </w:t>
      </w:r>
      <w:r w:rsidRPr="00AA5CB5">
        <w:t xml:space="preserve">can be </w:t>
      </w:r>
      <w:r w:rsidRPr="00AA5CB5">
        <w:lastRenderedPageBreak/>
        <w:t xml:space="preserve">reported in </w:t>
      </w:r>
      <w:r w:rsidR="69E32BDD" w:rsidRPr="00AA5CB5">
        <w:t>line with Paris Agreement reporting</w:t>
      </w:r>
      <w:r w:rsidRPr="00AA5CB5">
        <w:t xml:space="preserve"> in the </w:t>
      </w:r>
      <w:hyperlink r:id="rId29">
        <w:r w:rsidR="0BC3CC03" w:rsidRPr="00AA5CB5">
          <w:rPr>
            <w:rStyle w:val="Hyperlink1"/>
          </w:rPr>
          <w:t xml:space="preserve">NZGO </w:t>
        </w:r>
        <w:r w:rsidRPr="00AA5CB5">
          <w:rPr>
            <w:rStyle w:val="Hyperlink1"/>
          </w:rPr>
          <w:t>Annual Progress Report (APR)</w:t>
        </w:r>
      </w:hyperlink>
      <w:r w:rsidR="6F43197D" w:rsidRPr="00AA5CB5">
        <w:rPr>
          <w:rStyle w:val="Hyperlink1"/>
        </w:rPr>
        <w:t>.</w:t>
      </w:r>
      <w:r w:rsidR="26CFD0A9" w:rsidRPr="00AA5CB5">
        <w:rPr>
          <w:rStyle w:val="Hyperlink1"/>
        </w:rPr>
        <w:t xml:space="preserve"> </w:t>
      </w:r>
      <w:r w:rsidRPr="00AA5CB5">
        <w:t xml:space="preserve">Several principles, terms and definitions, methodologies and inventory guidance </w:t>
      </w:r>
      <w:r w:rsidR="53D19CC7" w:rsidRPr="00AA5CB5">
        <w:t xml:space="preserve">referenced throughout the </w:t>
      </w:r>
      <w:r w:rsidR="001403D7">
        <w:t xml:space="preserve">Framework </w:t>
      </w:r>
      <w:r w:rsidR="53D19CC7" w:rsidRPr="00AA5CB5">
        <w:t xml:space="preserve">are </w:t>
      </w:r>
      <w:r w:rsidRPr="00AA5CB5">
        <w:t xml:space="preserve">from the IPCC </w:t>
      </w:r>
      <w:r w:rsidR="55A90983" w:rsidRPr="00AA5CB5">
        <w:t>Guidelines.</w:t>
      </w:r>
      <w:r w:rsidRPr="00AA5CB5">
        <w:t xml:space="preserve"> </w:t>
      </w:r>
    </w:p>
    <w:p w14:paraId="37431F78" w14:textId="12CF2787" w:rsidR="00552B8D" w:rsidRPr="00AA5CB5" w:rsidRDefault="00552B8D" w:rsidP="00552B8D">
      <w:pPr>
        <w:pStyle w:val="Heading3"/>
      </w:pPr>
      <w:bookmarkStart w:id="9" w:name="_Toc197426905"/>
      <w:bookmarkStart w:id="10" w:name="_Toc197438570"/>
      <w:r w:rsidRPr="00AA5CB5">
        <w:t>National Greenhouse and Energy Reporting Scheme</w:t>
      </w:r>
      <w:bookmarkEnd w:id="9"/>
      <w:bookmarkEnd w:id="10"/>
      <w:r w:rsidRPr="00AA5CB5">
        <w:t xml:space="preserve"> </w:t>
      </w:r>
    </w:p>
    <w:p w14:paraId="251B1A9C" w14:textId="3D9ABB95" w:rsidR="00552B8D" w:rsidRPr="00AA5CB5" w:rsidRDefault="00552B8D" w:rsidP="00387359">
      <w:pPr>
        <w:pStyle w:val="BodyText1"/>
      </w:pPr>
      <w:r w:rsidRPr="00AA5CB5">
        <w:t>The</w:t>
      </w:r>
      <w:r w:rsidR="0A2F8EE2" w:rsidRPr="00AA5CB5">
        <w:t xml:space="preserve"> </w:t>
      </w:r>
      <w:hyperlink r:id="rId30">
        <w:r w:rsidR="0A2F8EE2" w:rsidRPr="005D0661">
          <w:rPr>
            <w:rStyle w:val="Hyperlink1"/>
          </w:rPr>
          <w:t xml:space="preserve">National Greenhouse and Energy Reporting </w:t>
        </w:r>
        <w:r w:rsidR="66AA309D" w:rsidRPr="005D0661">
          <w:rPr>
            <w:rStyle w:val="Hyperlink1"/>
          </w:rPr>
          <w:t>(NGER) Scheme</w:t>
        </w:r>
      </w:hyperlink>
      <w:r w:rsidR="0A2F8EE2" w:rsidRPr="00AA5CB5">
        <w:t xml:space="preserve"> </w:t>
      </w:r>
      <w:r w:rsidRPr="00AA5CB5">
        <w:t xml:space="preserve">is Australia’s national framework for reporting and publishing company information about </w:t>
      </w:r>
      <w:r w:rsidR="00D03522">
        <w:t>GHG</w:t>
      </w:r>
      <w:r w:rsidRPr="00AA5CB5">
        <w:t xml:space="preserve"> emissions, energy production and energy consumption. Activity and GHG data collected under the NGER Scheme informs how Australia reports under IPCC Guidelines.</w:t>
      </w:r>
    </w:p>
    <w:p w14:paraId="1BD88840" w14:textId="49C8364D" w:rsidR="00552B8D" w:rsidRPr="00AA5CB5" w:rsidRDefault="00552B8D" w:rsidP="00387359">
      <w:pPr>
        <w:pStyle w:val="BodyText1"/>
      </w:pPr>
      <w:r w:rsidRPr="00AA5CB5">
        <w:t xml:space="preserve">Under the Framework, the activity data required to calculate scope 1 and scope 2 GHG emissions is the same as the activity data required for </w:t>
      </w:r>
      <w:r w:rsidR="00024679" w:rsidRPr="00AA5CB5">
        <w:t>M</w:t>
      </w:r>
      <w:r w:rsidR="00527B3C" w:rsidRPr="00AA5CB5">
        <w:t>ethod 1</w:t>
      </w:r>
      <w:r w:rsidRPr="00AA5CB5">
        <w:t xml:space="preserve"> under the NGER Scheme. If reporting agencies are using </w:t>
      </w:r>
      <w:r w:rsidR="00024679" w:rsidRPr="00AA5CB5">
        <w:t>Methods 2, 3 or 4</w:t>
      </w:r>
      <w:r w:rsidRPr="00AA5CB5">
        <w:t xml:space="preserve">, the Department of Finance (Finance) can work with them to ensure alignment and </w:t>
      </w:r>
      <w:r w:rsidR="00DB7F62" w:rsidRPr="00AA5CB5">
        <w:t>comparability</w:t>
      </w:r>
      <w:r w:rsidRPr="00AA5CB5">
        <w:t xml:space="preserve">. </w:t>
      </w:r>
    </w:p>
    <w:p w14:paraId="5CEFADDB" w14:textId="39D68008" w:rsidR="00552B8D" w:rsidRPr="00AA5CB5" w:rsidRDefault="004F39DB" w:rsidP="00387359">
      <w:pPr>
        <w:pStyle w:val="BodyText1"/>
      </w:pPr>
      <w:r w:rsidRPr="00AA5CB5">
        <w:t>I</w:t>
      </w:r>
      <w:r w:rsidR="0D630294" w:rsidRPr="00AA5CB5">
        <w:t>nformation</w:t>
      </w:r>
      <w:r w:rsidR="5232D2C5" w:rsidRPr="00AA5CB5">
        <w:t xml:space="preserve"> </w:t>
      </w:r>
      <w:r w:rsidR="359083A8" w:rsidRPr="00AA5CB5">
        <w:t>required by</w:t>
      </w:r>
      <w:r w:rsidR="00552B8D" w:rsidRPr="00AA5CB5">
        <w:t xml:space="preserve"> the </w:t>
      </w:r>
      <w:r w:rsidR="001403D7">
        <w:t xml:space="preserve">Framework </w:t>
      </w:r>
      <w:r w:rsidR="001332FE" w:rsidRPr="00AA5CB5">
        <w:t>above and beyond the</w:t>
      </w:r>
      <w:r w:rsidRPr="00AA5CB5">
        <w:t xml:space="preserve"> NGER</w:t>
      </w:r>
      <w:r w:rsidR="5B244395" w:rsidRPr="00AA5CB5">
        <w:t xml:space="preserve"> </w:t>
      </w:r>
      <w:r w:rsidR="001332FE" w:rsidRPr="00AA5CB5">
        <w:t>Scheme</w:t>
      </w:r>
      <w:r w:rsidR="00625512" w:rsidRPr="00AA5CB5">
        <w:t>,</w:t>
      </w:r>
      <w:r w:rsidR="5B244395" w:rsidRPr="00AA5CB5" w:rsidDel="004F39DB">
        <w:t xml:space="preserve"> </w:t>
      </w:r>
      <w:r w:rsidR="5B244395" w:rsidRPr="00AA5CB5">
        <w:t>relates to</w:t>
      </w:r>
      <w:r w:rsidR="00552B8D" w:rsidRPr="00AA5CB5">
        <w:t xml:space="preserve">: </w:t>
      </w:r>
    </w:p>
    <w:p w14:paraId="71ED83A5" w14:textId="762F5E07" w:rsidR="00552B8D" w:rsidRPr="00AA5CB5" w:rsidRDefault="006F3358" w:rsidP="00B94FEC">
      <w:pPr>
        <w:pStyle w:val="Bodybullet1"/>
      </w:pPr>
      <w:r>
        <w:t>c</w:t>
      </w:r>
      <w:r w:rsidR="00552B8D" w:rsidRPr="00AA5CB5">
        <w:t xml:space="preserve">ertain </w:t>
      </w:r>
      <w:r w:rsidR="7F50EFEA" w:rsidRPr="00AA5CB5">
        <w:t xml:space="preserve">elements of </w:t>
      </w:r>
      <w:r w:rsidR="00552B8D" w:rsidRPr="00AA5CB5">
        <w:t xml:space="preserve">property data </w:t>
      </w:r>
      <w:r w:rsidR="18BB337C" w:rsidRPr="00AA5CB5">
        <w:t>which will</w:t>
      </w:r>
      <w:r w:rsidR="00552B8D" w:rsidRPr="00AA5CB5">
        <w:t xml:space="preserve"> enable </w:t>
      </w:r>
      <w:r w:rsidR="00C4699E" w:rsidRPr="00AA5CB5">
        <w:t xml:space="preserve">further </w:t>
      </w:r>
      <w:r w:rsidR="00552B8D" w:rsidRPr="00AA5CB5">
        <w:t>analysis</w:t>
      </w:r>
    </w:p>
    <w:p w14:paraId="3FE05005" w14:textId="6AB26D6C" w:rsidR="00552B8D" w:rsidRPr="00AA5CB5" w:rsidRDefault="006F3358" w:rsidP="00B94FEC">
      <w:pPr>
        <w:pStyle w:val="Bodybullet1"/>
      </w:pPr>
      <w:r>
        <w:t>s</w:t>
      </w:r>
      <w:r w:rsidR="00552B8D" w:rsidRPr="00AA5CB5">
        <w:t>cope 3</w:t>
      </w:r>
      <w:r w:rsidR="00EE3A32" w:rsidRPr="00AA5CB5" w:rsidDel="00552B8D">
        <w:t xml:space="preserve"> s</w:t>
      </w:r>
      <w:r w:rsidR="00552B8D" w:rsidRPr="00AA5CB5">
        <w:t xml:space="preserve">ources and emission factors that are not included in </w:t>
      </w:r>
      <w:r w:rsidR="00782FB8" w:rsidRPr="00AA5CB5">
        <w:t xml:space="preserve">the </w:t>
      </w:r>
      <w:r w:rsidR="00552B8D" w:rsidRPr="00AA5CB5">
        <w:t>NGER Scheme</w:t>
      </w:r>
    </w:p>
    <w:p w14:paraId="1B6AAC0E" w14:textId="45A53654" w:rsidR="00552B8D" w:rsidRPr="00AA5CB5" w:rsidRDefault="006F3358" w:rsidP="00B94FEC">
      <w:pPr>
        <w:pStyle w:val="Bodybullet1"/>
      </w:pPr>
      <w:r>
        <w:t>r</w:t>
      </w:r>
      <w:r w:rsidR="00552B8D" w:rsidRPr="00AA5CB5">
        <w:t>eporting both location-based and market-based electricity emissions</w:t>
      </w:r>
      <w:r w:rsidR="00C4699E" w:rsidRPr="00AA5CB5">
        <w:t>.</w:t>
      </w:r>
    </w:p>
    <w:p w14:paraId="66575F90" w14:textId="77777777" w:rsidR="00552B8D" w:rsidRPr="00AA5CB5" w:rsidRDefault="00552B8D" w:rsidP="00552B8D">
      <w:pPr>
        <w:pStyle w:val="Heading3"/>
      </w:pPr>
      <w:bookmarkStart w:id="11" w:name="_Toc197426906"/>
      <w:bookmarkStart w:id="12" w:name="_Toc197438571"/>
      <w:r w:rsidRPr="00AA5CB5">
        <w:t>The Greenhouse Gas Protocol Corporate Accounting and Reporting Standard</w:t>
      </w:r>
      <w:bookmarkEnd w:id="11"/>
      <w:bookmarkEnd w:id="12"/>
      <w:r w:rsidRPr="00AA5CB5">
        <w:t xml:space="preserve"> </w:t>
      </w:r>
    </w:p>
    <w:p w14:paraId="40FA0648" w14:textId="0B76E000" w:rsidR="00552B8D" w:rsidRPr="00AA5CB5" w:rsidRDefault="00552B8D" w:rsidP="00387359">
      <w:pPr>
        <w:pStyle w:val="BodyText1"/>
      </w:pPr>
      <w:hyperlink r:id="rId31" w:history="1">
        <w:r w:rsidRPr="00AA5CB5">
          <w:rPr>
            <w:rStyle w:val="Hyperlink1"/>
          </w:rPr>
          <w:t>The Greenhouse Gas Protocol Corporate Accounting and Reporting Standard</w:t>
        </w:r>
      </w:hyperlink>
      <w:r w:rsidRPr="00AA5CB5">
        <w:rPr>
          <w:rStyle w:val="Hyperlink1"/>
        </w:rPr>
        <w:t xml:space="preserve"> (GHG Protocol) </w:t>
      </w:r>
      <w:r w:rsidRPr="00AA5CB5">
        <w:t xml:space="preserve">includes accounting principles, terms, definitions, methodologies and inventory compilation guidance that have been incorporated and referenced throughout the Framework. </w:t>
      </w:r>
    </w:p>
    <w:p w14:paraId="52CFD25E" w14:textId="539C006C" w:rsidR="00552B8D" w:rsidRPr="00AA5CB5" w:rsidRDefault="00552B8D" w:rsidP="00387359">
      <w:pPr>
        <w:pStyle w:val="BodyText1"/>
      </w:pPr>
      <w:r w:rsidRPr="00AA5CB5">
        <w:t xml:space="preserve">The main differences between the </w:t>
      </w:r>
      <w:r w:rsidR="001403D7">
        <w:t xml:space="preserve">Framework </w:t>
      </w:r>
      <w:r w:rsidRPr="00AA5CB5">
        <w:t xml:space="preserve">and the GHG Protocol </w:t>
      </w:r>
      <w:r w:rsidR="00A83D49" w:rsidRPr="00AA5CB5">
        <w:t>include</w:t>
      </w:r>
      <w:r w:rsidR="002D5C46" w:rsidRPr="00AA5CB5">
        <w:t>:</w:t>
      </w:r>
    </w:p>
    <w:p w14:paraId="09C654AA" w14:textId="32D86646" w:rsidR="00552B8D" w:rsidRPr="00AA5CB5" w:rsidRDefault="00C42821" w:rsidP="00B94FEC">
      <w:pPr>
        <w:pStyle w:val="Bodybullet1"/>
      </w:pPr>
      <w:r w:rsidRPr="00AA5CB5">
        <w:t>The reporting boundary</w:t>
      </w:r>
      <w:r w:rsidR="007A5FD4" w:rsidRPr="00AA5CB5">
        <w:t xml:space="preserve"> for reporting agencies</w:t>
      </w:r>
      <w:r w:rsidRPr="00AA5CB5">
        <w:t xml:space="preserve"> is set under the </w:t>
      </w:r>
      <w:r w:rsidR="001403D7">
        <w:t xml:space="preserve">Framework </w:t>
      </w:r>
      <w:r w:rsidR="00552B8D" w:rsidRPr="00AA5CB5">
        <w:t xml:space="preserve">rather than requiring reporting agencies to do this themselves, reducing the burden on reporting agencies while also maintaining </w:t>
      </w:r>
      <w:r w:rsidR="007D4995" w:rsidRPr="00AA5CB5">
        <w:t xml:space="preserve">completeness </w:t>
      </w:r>
      <w:r w:rsidR="00552B8D" w:rsidRPr="00AA5CB5">
        <w:t xml:space="preserve">and comparability across </w:t>
      </w:r>
      <w:r w:rsidR="6A05054A" w:rsidRPr="00AA5CB5">
        <w:t>Commonwealth</w:t>
      </w:r>
      <w:r w:rsidR="009B58B1">
        <w:t xml:space="preserve"> entities and companies</w:t>
      </w:r>
      <w:r w:rsidR="00552B8D" w:rsidRPr="00AA5CB5">
        <w:t xml:space="preserve">. </w:t>
      </w:r>
    </w:p>
    <w:p w14:paraId="18AAC28B" w14:textId="07E7F50D" w:rsidR="00552B8D" w:rsidRPr="00AA5CB5" w:rsidRDefault="00AA18AA" w:rsidP="00B94FEC">
      <w:pPr>
        <w:pStyle w:val="Bodybullet1"/>
      </w:pPr>
      <w:r w:rsidRPr="00AA5CB5">
        <w:t>The requirement to</w:t>
      </w:r>
      <w:r w:rsidR="004B26CE" w:rsidRPr="00AA5CB5">
        <w:t xml:space="preserve"> </w:t>
      </w:r>
      <w:r w:rsidR="0079560E" w:rsidRPr="00AA5CB5">
        <w:t xml:space="preserve">report </w:t>
      </w:r>
      <w:r w:rsidR="00552B8D" w:rsidRPr="00AA5CB5">
        <w:t>both location-based and market-based electricity emissions</w:t>
      </w:r>
      <w:r w:rsidR="0079560E" w:rsidRPr="00AA5CB5">
        <w:t>.</w:t>
      </w:r>
      <w:r w:rsidR="00552B8D" w:rsidRPr="00AA5CB5">
        <w:t xml:space="preserve">  </w:t>
      </w:r>
    </w:p>
    <w:p w14:paraId="69F61E98" w14:textId="4361F4E3" w:rsidR="00552B8D" w:rsidRPr="003A5190" w:rsidRDefault="0079560E" w:rsidP="00B94FEC">
      <w:pPr>
        <w:pStyle w:val="Bodybullet1"/>
      </w:pPr>
      <w:r w:rsidRPr="003A5190">
        <w:t xml:space="preserve">The </w:t>
      </w:r>
      <w:r w:rsidR="00552B8D" w:rsidRPr="003A5190">
        <w:t>emission</w:t>
      </w:r>
      <w:r w:rsidR="00F352CA" w:rsidRPr="003A5190">
        <w:t xml:space="preserve">s calculations are </w:t>
      </w:r>
      <w:r w:rsidR="00A83D49" w:rsidRPr="003A5190">
        <w:t xml:space="preserve">set under the Framework. </w:t>
      </w:r>
    </w:p>
    <w:p w14:paraId="57CD8DC1" w14:textId="4DCDA3C8" w:rsidR="00EC5087" w:rsidRPr="003A5190" w:rsidRDefault="00C26781" w:rsidP="00B94FEC">
      <w:pPr>
        <w:pStyle w:val="Bodybullet1"/>
      </w:pPr>
      <w:r w:rsidRPr="003A5190">
        <w:t xml:space="preserve">The </w:t>
      </w:r>
      <w:r w:rsidR="00DA4C61" w:rsidRPr="003A5190">
        <w:t>specification of</w:t>
      </w:r>
      <w:r w:rsidRPr="003A5190">
        <w:t xml:space="preserve"> which scope 3 emissions are required to be reported by Commonwealth entities and companies. </w:t>
      </w:r>
    </w:p>
    <w:p w14:paraId="42B64E8E" w14:textId="6CC1DE9B" w:rsidR="00D6595C" w:rsidRPr="00AA5CB5" w:rsidRDefault="00C873A0" w:rsidP="00B94FEC">
      <w:pPr>
        <w:pStyle w:val="Bodybullet1"/>
      </w:pPr>
      <w:r w:rsidRPr="00AA5CB5">
        <w:t>The requirement to</w:t>
      </w:r>
      <w:r w:rsidR="00656974" w:rsidRPr="00AA5CB5">
        <w:t xml:space="preserve"> only </w:t>
      </w:r>
      <w:r w:rsidR="0095770B" w:rsidRPr="00AA5CB5">
        <w:t>report on</w:t>
      </w:r>
      <w:r w:rsidR="00813E6D" w:rsidRPr="00AA5CB5">
        <w:t xml:space="preserve"> </w:t>
      </w:r>
      <w:r w:rsidR="000119D0" w:rsidRPr="00AA5CB5">
        <w:t xml:space="preserve">activities that takes place within Australia and its </w:t>
      </w:r>
      <w:r w:rsidR="00FC0856" w:rsidRPr="00AA5CB5">
        <w:t>territories</w:t>
      </w:r>
      <w:r w:rsidR="00B92EA1" w:rsidRPr="00AA5CB5">
        <w:t xml:space="preserve">, regardless of </w:t>
      </w:r>
      <w:r w:rsidR="00235E99" w:rsidRPr="00AA5CB5">
        <w:t>operational boundary</w:t>
      </w:r>
      <w:r w:rsidR="00BC2FBD" w:rsidRPr="00AA5CB5">
        <w:t>.</w:t>
      </w:r>
    </w:p>
    <w:p w14:paraId="22008DBB" w14:textId="4D3C2BE5" w:rsidR="00552B8D" w:rsidRPr="00AA5CB5" w:rsidRDefault="00552B8D" w:rsidP="00552B8D">
      <w:pPr>
        <w:pStyle w:val="Heading3"/>
      </w:pPr>
      <w:bookmarkStart w:id="13" w:name="_Toc197426907"/>
      <w:bookmarkStart w:id="14" w:name="_Toc197438572"/>
      <w:r w:rsidRPr="00AA5CB5">
        <w:lastRenderedPageBreak/>
        <w:t xml:space="preserve">The Greenhouse Gas Protocol </w:t>
      </w:r>
      <w:hyperlink r:id="rId32" w:tgtFrame="_blank" w:history="1">
        <w:r w:rsidRPr="00AA5CB5">
          <w:t>Corporate Value Chain (Scope 3) Accounting and Reporting Standard</w:t>
        </w:r>
        <w:bookmarkEnd w:id="13"/>
        <w:bookmarkEnd w:id="14"/>
        <w:r w:rsidRPr="00AA5CB5">
          <w:t xml:space="preserve"> </w:t>
        </w:r>
      </w:hyperlink>
    </w:p>
    <w:p w14:paraId="0A49F09D" w14:textId="70E8166D" w:rsidR="00552B8D" w:rsidRPr="00AA5CB5" w:rsidRDefault="00552B8D" w:rsidP="00387359">
      <w:pPr>
        <w:pStyle w:val="BodyText1"/>
      </w:pPr>
      <w:r w:rsidRPr="00AA5CB5">
        <w:t xml:space="preserve">The </w:t>
      </w:r>
      <w:hyperlink r:id="rId33" w:history="1">
        <w:r w:rsidRPr="00AA5CB5">
          <w:rPr>
            <w:rStyle w:val="Hyperlink1"/>
          </w:rPr>
          <w:t>Greenhouse Gas Protocol Corporate Value Chain (Scope 3) Accounting and Reporting Standard</w:t>
        </w:r>
      </w:hyperlink>
      <w:r w:rsidRPr="00AA5CB5">
        <w:t xml:space="preserve"> (</w:t>
      </w:r>
      <w:hyperlink r:id="rId34" w:history="1">
        <w:r w:rsidRPr="00AA5CB5">
          <w:rPr>
            <w:rStyle w:val="Hyperlink1"/>
          </w:rPr>
          <w:t>the Scope 3 Standard</w:t>
        </w:r>
      </w:hyperlink>
      <w:r w:rsidRPr="00AA5CB5">
        <w:t>) helps companies measure emissions across their value chain and identify areas for reduction.</w:t>
      </w:r>
    </w:p>
    <w:p w14:paraId="51A07AEB" w14:textId="0DE7EA48" w:rsidR="00552B8D" w:rsidRPr="00AA5CB5" w:rsidRDefault="00552B8D" w:rsidP="00387359">
      <w:pPr>
        <w:pStyle w:val="BodyText1"/>
        <w:rPr>
          <w:rStyle w:val="Hyperlink1"/>
        </w:rPr>
      </w:pPr>
      <w:r w:rsidRPr="00AA5CB5">
        <w:t>Under the Framework, reporting agencies can categorise these emissions into 15 categories as outlined</w:t>
      </w:r>
      <w:r w:rsidRPr="00AA5CB5" w:rsidDel="00EC4087">
        <w:t xml:space="preserve"> </w:t>
      </w:r>
      <w:r w:rsidRPr="00AA5CB5">
        <w:t xml:space="preserve">in the </w:t>
      </w:r>
      <w:hyperlink r:id="rId35" w:tgtFrame="_blank" w:history="1">
        <w:r w:rsidRPr="006F37CB">
          <w:rPr>
            <w:rStyle w:val="Hyperlink1"/>
          </w:rPr>
          <w:t xml:space="preserve">Corporate Value Chain (Scope 3) Accounting and Reporting Standard. </w:t>
        </w:r>
      </w:hyperlink>
      <w:r w:rsidRPr="00AA5CB5">
        <w:t>Further detail</w:t>
      </w:r>
      <w:r w:rsidRPr="00AA5CB5" w:rsidDel="00377A91">
        <w:t xml:space="preserve"> </w:t>
      </w:r>
      <w:r w:rsidRPr="00AA5CB5">
        <w:t>can be found in</w:t>
      </w:r>
      <w:r w:rsidR="00FB4AB9">
        <w:t xml:space="preserve"> </w:t>
      </w:r>
      <w:r w:rsidR="00FB4AB9" w:rsidRPr="006F37CB">
        <w:rPr>
          <w:rStyle w:val="Hyperlink1"/>
        </w:rPr>
        <w:fldChar w:fldCharType="begin"/>
      </w:r>
      <w:r w:rsidR="00FB4AB9" w:rsidRPr="006F37CB">
        <w:rPr>
          <w:rStyle w:val="Hyperlink1"/>
        </w:rPr>
        <w:instrText xml:space="preserve"> REF _Ref201836891 \h </w:instrText>
      </w:r>
      <w:r w:rsidR="00FB4AB9">
        <w:rPr>
          <w:rStyle w:val="Hyperlink1"/>
        </w:rPr>
        <w:instrText xml:space="preserve"> \* MERGEFORMAT </w:instrText>
      </w:r>
      <w:r w:rsidR="00FB4AB9" w:rsidRPr="006F37CB">
        <w:rPr>
          <w:rStyle w:val="Hyperlink1"/>
        </w:rPr>
      </w:r>
      <w:r w:rsidR="00FB4AB9" w:rsidRPr="006F37CB">
        <w:rPr>
          <w:rStyle w:val="Hyperlink1"/>
        </w:rPr>
        <w:fldChar w:fldCharType="separate"/>
      </w:r>
      <w:r w:rsidR="00422A37" w:rsidRPr="00422A37">
        <w:rPr>
          <w:rStyle w:val="Hyperlink1"/>
        </w:rPr>
        <w:t>Annex A: Scope 3 categories in Greenhouse Gas Protocol and Framework</w:t>
      </w:r>
      <w:r w:rsidR="00FB4AB9" w:rsidRPr="006F37CB">
        <w:rPr>
          <w:rStyle w:val="Hyperlink1"/>
        </w:rPr>
        <w:fldChar w:fldCharType="end"/>
      </w:r>
      <w:r w:rsidR="00FB4AB9">
        <w:t xml:space="preserve">. </w:t>
      </w:r>
    </w:p>
    <w:p w14:paraId="149878F1" w14:textId="1C8D6B35" w:rsidR="00552B8D" w:rsidRPr="00AA5CB5" w:rsidRDefault="0F8B5CF6" w:rsidP="00552B8D">
      <w:pPr>
        <w:pStyle w:val="Heading3"/>
      </w:pPr>
      <w:bookmarkStart w:id="15" w:name="_Toc197426908"/>
      <w:bookmarkStart w:id="16" w:name="_Toc197438573"/>
      <w:r w:rsidRPr="00AA5CB5">
        <w:t>I</w:t>
      </w:r>
      <w:r w:rsidR="4CEEA224" w:rsidRPr="00AA5CB5">
        <w:t>nternational Organisation for Standardisation (</w:t>
      </w:r>
      <w:r w:rsidRPr="00AA5CB5">
        <w:t>ISO</w:t>
      </w:r>
      <w:r w:rsidR="4A0571C8" w:rsidRPr="00AA5CB5">
        <w:t>)</w:t>
      </w:r>
      <w:r w:rsidRPr="00AA5CB5">
        <w:t xml:space="preserve"> 14064-1:2018 Standard</w:t>
      </w:r>
      <w:bookmarkEnd w:id="15"/>
      <w:bookmarkEnd w:id="16"/>
      <w:r w:rsidRPr="00AA5CB5">
        <w:t xml:space="preserve"> </w:t>
      </w:r>
    </w:p>
    <w:p w14:paraId="38647AC9" w14:textId="744EB657" w:rsidR="00552B8D" w:rsidRPr="00AA5CB5" w:rsidRDefault="00552B8D" w:rsidP="00387359">
      <w:pPr>
        <w:pStyle w:val="BodyText1"/>
      </w:pPr>
      <w:hyperlink r:id="rId36" w:anchor=":~:text=This%20document%20specifies%20principles%20and,of%20an%20organization%27s%20GHG%20inventory." w:history="1">
        <w:r w:rsidRPr="00AA5CB5">
          <w:rPr>
            <w:rStyle w:val="Hyperlink1"/>
          </w:rPr>
          <w:t>The ISO 14064-1:2018 Standard</w:t>
        </w:r>
      </w:hyperlink>
      <w:r w:rsidRPr="00AA5CB5">
        <w:t xml:space="preserve"> focuses on organisational GHG management. It includes principles and requirements for designing, developing, managing, reporting, and verifying an organisation's GHG inventory. It is designed to be program neutral, meaning that it can be used in conjunction with various GHG programs and regulatory requirements. </w:t>
      </w:r>
    </w:p>
    <w:p w14:paraId="1B5D350F" w14:textId="77955343" w:rsidR="00665955" w:rsidRPr="00AA5CB5" w:rsidRDefault="00552B8D" w:rsidP="00CB5390">
      <w:pPr>
        <w:pStyle w:val="BodyText1"/>
      </w:pPr>
      <w:r w:rsidRPr="00AA5CB5">
        <w:t xml:space="preserve">ISO 14064-1:2018 contains several accounting principles, terms, definitions, and general guidance that are referenced throughout the Framework. </w:t>
      </w:r>
      <w:bookmarkStart w:id="17" w:name="_Ref195525678"/>
      <w:bookmarkStart w:id="18" w:name="_Ref195603305"/>
      <w:bookmarkStart w:id="19" w:name="_Toc197426913"/>
      <w:bookmarkStart w:id="20" w:name="_Toc197438578"/>
    </w:p>
    <w:p w14:paraId="1D465441" w14:textId="77777777" w:rsidR="00193556" w:rsidRPr="00AA5CB5" w:rsidRDefault="00193556">
      <w:pPr>
        <w:spacing w:before="0" w:after="160" w:line="259" w:lineRule="auto"/>
        <w:rPr>
          <w:rFonts w:asciiTheme="majorHAnsi" w:eastAsiaTheme="majorEastAsia" w:hAnsiTheme="majorHAnsi" w:cstheme="majorBidi"/>
          <w:b/>
          <w:color w:val="359D9A"/>
          <w:sz w:val="48"/>
          <w:szCs w:val="32"/>
        </w:rPr>
      </w:pPr>
      <w:r w:rsidRPr="00AA5CB5">
        <w:br w:type="page"/>
      </w:r>
    </w:p>
    <w:p w14:paraId="1DDAC130" w14:textId="51EB6D4D" w:rsidR="00FE4924" w:rsidRPr="00AA5CB5" w:rsidRDefault="00193556" w:rsidP="00665955">
      <w:pPr>
        <w:pStyle w:val="Heading1"/>
      </w:pPr>
      <w:bookmarkStart w:id="21" w:name="_Toc201927334"/>
      <w:r w:rsidRPr="00AA5CB5">
        <w:lastRenderedPageBreak/>
        <w:t xml:space="preserve">GHG </w:t>
      </w:r>
      <w:r w:rsidR="00B9007A">
        <w:t>e</w:t>
      </w:r>
      <w:r w:rsidR="00FE4924" w:rsidRPr="00AA5CB5">
        <w:t xml:space="preserve">missions </w:t>
      </w:r>
      <w:r w:rsidR="00527272">
        <w:t>a</w:t>
      </w:r>
      <w:r w:rsidR="00FE4924" w:rsidRPr="00AA5CB5">
        <w:t>ccounting</w:t>
      </w:r>
      <w:r w:rsidR="003F0112" w:rsidRPr="00AA5CB5">
        <w:t xml:space="preserve"> and</w:t>
      </w:r>
      <w:r w:rsidR="00FE4924" w:rsidRPr="00AA5CB5">
        <w:t xml:space="preserve"> </w:t>
      </w:r>
      <w:r w:rsidR="00527272">
        <w:t>i</w:t>
      </w:r>
      <w:r w:rsidR="003F0112" w:rsidRPr="00AA5CB5">
        <w:t xml:space="preserve">nventory </w:t>
      </w:r>
      <w:r w:rsidR="00527272">
        <w:t>p</w:t>
      </w:r>
      <w:r w:rsidR="00FE4924" w:rsidRPr="00AA5CB5">
        <w:t>rinciples</w:t>
      </w:r>
      <w:bookmarkEnd w:id="21"/>
      <w:r w:rsidR="00FE4924" w:rsidRPr="00AA5CB5">
        <w:t xml:space="preserve"> </w:t>
      </w:r>
    </w:p>
    <w:p w14:paraId="6C320AD4" w14:textId="3FCAE48D" w:rsidR="00FE4924" w:rsidRPr="00AA5CB5" w:rsidRDefault="00FE4924" w:rsidP="00B51D0B">
      <w:pPr>
        <w:pStyle w:val="BodyText1"/>
      </w:pPr>
      <w:r w:rsidRPr="00AA5CB5">
        <w:t xml:space="preserve">The following </w:t>
      </w:r>
      <w:r w:rsidR="00193556" w:rsidRPr="00AA5CB5">
        <w:t xml:space="preserve">GHG </w:t>
      </w:r>
      <w:r w:rsidR="00094C57" w:rsidRPr="00AA5CB5">
        <w:t>e</w:t>
      </w:r>
      <w:r w:rsidRPr="00AA5CB5">
        <w:t xml:space="preserve">missions accounting </w:t>
      </w:r>
      <w:r w:rsidR="003F0112" w:rsidRPr="00AA5CB5">
        <w:t xml:space="preserve">and inventory </w:t>
      </w:r>
      <w:r w:rsidRPr="00AA5CB5">
        <w:t>principles clarify expectations for reporting agencies, ensuring a consistent approach to emissions accounting.</w:t>
      </w:r>
      <w:r w:rsidRPr="00AA5CB5" w:rsidDel="00AC2F6A">
        <w:t xml:space="preserve"> </w:t>
      </w:r>
    </w:p>
    <w:p w14:paraId="3ED1A12E" w14:textId="7103991A" w:rsidR="00FE4924" w:rsidRPr="00AA5CB5" w:rsidRDefault="00FE4924" w:rsidP="00AC4527">
      <w:pPr>
        <w:pStyle w:val="BodyText1"/>
      </w:pPr>
      <w:r w:rsidRPr="00AA5CB5">
        <w:t xml:space="preserve">The IPCC guidelines, ISO 14064-1:2018 </w:t>
      </w:r>
      <w:r w:rsidR="00665C65" w:rsidRPr="00AA5CB5">
        <w:t xml:space="preserve">and GHG Protocol, </w:t>
      </w:r>
      <w:r w:rsidRPr="00AA5CB5">
        <w:t>contain specific principles that have been incorporated into the Framework</w:t>
      </w:r>
      <w:r w:rsidR="009B58B1">
        <w:t xml:space="preserve"> </w:t>
      </w:r>
      <w:r w:rsidR="000D4C28">
        <w:t>(</w:t>
      </w:r>
      <w:r w:rsidR="0000535E" w:rsidRPr="00AA5CB5">
        <w:fldChar w:fldCharType="begin"/>
      </w:r>
      <w:r w:rsidR="0000535E" w:rsidRPr="00AA5CB5">
        <w:instrText xml:space="preserve"> REF _Ref198143326 \h </w:instrText>
      </w:r>
      <w:r w:rsidR="00B51D0B" w:rsidRPr="00AA5CB5">
        <w:instrText xml:space="preserve"> \* MERGEFORMAT </w:instrText>
      </w:r>
      <w:r w:rsidR="0000535E" w:rsidRPr="00AA5CB5">
        <w:fldChar w:fldCharType="separate"/>
      </w:r>
      <w:r w:rsidR="00422A37" w:rsidRPr="00AA5CB5">
        <w:t xml:space="preserve">Table </w:t>
      </w:r>
      <w:r w:rsidR="00422A37">
        <w:t>1</w:t>
      </w:r>
      <w:r w:rsidR="0000535E" w:rsidRPr="00AA5CB5">
        <w:fldChar w:fldCharType="end"/>
      </w:r>
      <w:r w:rsidR="009B58B1" w:rsidDel="000D4C28">
        <w:t xml:space="preserve"> refers)</w:t>
      </w:r>
      <w:r w:rsidRPr="00AA5CB5" w:rsidDel="000D4C28">
        <w:t>.</w:t>
      </w:r>
      <w:r w:rsidR="00AC4527" w:rsidRPr="00AA5CB5" w:rsidDel="000D4C28">
        <w:t xml:space="preserve"> </w:t>
      </w:r>
    </w:p>
    <w:p w14:paraId="75C6918C" w14:textId="57F01DEC" w:rsidR="001D1C3A" w:rsidRPr="00AA5CB5" w:rsidRDefault="00B158FC" w:rsidP="00AC4527">
      <w:pPr>
        <w:pStyle w:val="BodyText1"/>
      </w:pPr>
      <w:r>
        <w:t>R</w:t>
      </w:r>
      <w:r w:rsidR="001D1C3A" w:rsidRPr="00AA5CB5">
        <w:t xml:space="preserve">eporting agencies and Finance </w:t>
      </w:r>
      <w:r>
        <w:t xml:space="preserve">are </w:t>
      </w:r>
      <w:r w:rsidR="00C82E55">
        <w:t xml:space="preserve">expected </w:t>
      </w:r>
      <w:r>
        <w:t xml:space="preserve">to act </w:t>
      </w:r>
      <w:r w:rsidR="001D1C3A" w:rsidRPr="00AA5CB5">
        <w:t>according to these principle</w:t>
      </w:r>
      <w:r w:rsidR="00F469F8">
        <w:t>s, ensuring that the emissions accounting and inventories ar</w:t>
      </w:r>
      <w:r w:rsidR="00762826">
        <w:t xml:space="preserve">e aligned </w:t>
      </w:r>
      <w:r w:rsidR="00CC511D">
        <w:t>with practices that exist across t</w:t>
      </w:r>
      <w:r w:rsidR="00CC511D" w:rsidRPr="00AA5CB5">
        <w:t>he IPCC guidelines, ISO 14064-1:2018 and GHG Protocol</w:t>
      </w:r>
      <w:r w:rsidR="00CC511D">
        <w:t xml:space="preserve">. These responsibilities are </w:t>
      </w:r>
      <w:r w:rsidR="001D1C3A" w:rsidRPr="00AA5CB5">
        <w:t>outlined in</w:t>
      </w:r>
      <w:r w:rsidR="00CC511D">
        <w:t xml:space="preserve"> Tables 2 and 3. </w:t>
      </w:r>
    </w:p>
    <w:p w14:paraId="76D308A9" w14:textId="386ED04A" w:rsidR="00FE4924" w:rsidRPr="00AA5CB5" w:rsidRDefault="00FE4924" w:rsidP="00FE4924">
      <w:pPr>
        <w:pStyle w:val="Caption"/>
        <w:rPr>
          <w:rFonts w:cs="Arial"/>
        </w:rPr>
      </w:pPr>
      <w:bookmarkStart w:id="22" w:name="_Ref198143326"/>
      <w:bookmarkStart w:id="23" w:name="_Toc201927374"/>
      <w:r w:rsidRPr="00AA5CB5">
        <w:t xml:space="preserve">Table </w:t>
      </w:r>
      <w:r w:rsidRPr="00AA5CB5">
        <w:fldChar w:fldCharType="begin"/>
      </w:r>
      <w:r w:rsidRPr="00AA5CB5">
        <w:instrText xml:space="preserve"> SEQ Table \* ARABIC </w:instrText>
      </w:r>
      <w:r w:rsidRPr="00AA5CB5">
        <w:fldChar w:fldCharType="separate"/>
      </w:r>
      <w:r w:rsidR="00422A37">
        <w:rPr>
          <w:noProof/>
        </w:rPr>
        <w:t>1</w:t>
      </w:r>
      <w:r w:rsidRPr="00AA5CB5">
        <w:fldChar w:fldCharType="end"/>
      </w:r>
      <w:bookmarkEnd w:id="22"/>
      <w:r w:rsidR="002B2511">
        <w:t>:</w:t>
      </w:r>
      <w:r w:rsidRPr="00AA5CB5">
        <w:t xml:space="preserve"> Emissions </w:t>
      </w:r>
      <w:r w:rsidR="002B2511">
        <w:t>a</w:t>
      </w:r>
      <w:r w:rsidRPr="00AA5CB5">
        <w:t xml:space="preserve">ccounting </w:t>
      </w:r>
      <w:r w:rsidR="003F0112" w:rsidRPr="00AA5CB5">
        <w:t xml:space="preserve">and GHG </w:t>
      </w:r>
      <w:r w:rsidR="002B2511">
        <w:t>i</w:t>
      </w:r>
      <w:r w:rsidR="003F0112" w:rsidRPr="00AA5CB5">
        <w:t xml:space="preserve">nventory </w:t>
      </w:r>
      <w:r w:rsidR="002B2511">
        <w:t>p</w:t>
      </w:r>
      <w:r w:rsidRPr="00AA5CB5">
        <w:t>rinciples</w:t>
      </w:r>
      <w:bookmarkEnd w:id="23"/>
    </w:p>
    <w:tbl>
      <w:tblPr>
        <w:tblStyle w:val="ListTable4-Accent6"/>
        <w:tblW w:w="9519" w:type="dxa"/>
        <w:tblInd w:w="-5" w:type="dxa"/>
        <w:tblLook w:val="06A0" w:firstRow="1" w:lastRow="0" w:firstColumn="1" w:lastColumn="0" w:noHBand="1" w:noVBand="1"/>
      </w:tblPr>
      <w:tblGrid>
        <w:gridCol w:w="1872"/>
        <w:gridCol w:w="1870"/>
        <w:gridCol w:w="1868"/>
        <w:gridCol w:w="1869"/>
        <w:gridCol w:w="2040"/>
      </w:tblGrid>
      <w:tr w:rsidR="00B274BE" w:rsidRPr="00AA5CB5" w14:paraId="184EF125" w14:textId="77777777" w:rsidTr="75CCC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19003D2C" w14:textId="77777777" w:rsidR="00FE4924" w:rsidRPr="00AA5CB5" w:rsidRDefault="00FE4924">
            <w:pPr>
              <w:pStyle w:val="Tableheading"/>
              <w:rPr>
                <w:b/>
                <w:lang w:val="en-AU"/>
              </w:rPr>
            </w:pPr>
            <w:r w:rsidRPr="00AA5CB5">
              <w:rPr>
                <w:b/>
                <w:lang w:val="en-AU"/>
              </w:rPr>
              <w:t>Principle</w:t>
            </w:r>
          </w:p>
        </w:tc>
        <w:tc>
          <w:tcPr>
            <w:tcW w:w="1870" w:type="dxa"/>
          </w:tcPr>
          <w:p w14:paraId="39378B8A" w14:textId="7FBB131B" w:rsidR="00FE4924" w:rsidRPr="00AA5CB5" w:rsidRDefault="00FE4924" w:rsidP="000450DA">
            <w:pPr>
              <w:pStyle w:val="Tableheading"/>
              <w:jc w:val="center"/>
              <w:cnfStyle w:val="100000000000" w:firstRow="1" w:lastRow="0" w:firstColumn="0" w:lastColumn="0" w:oddVBand="0" w:evenVBand="0" w:oddHBand="0" w:evenHBand="0" w:firstRowFirstColumn="0" w:firstRowLastColumn="0" w:lastRowFirstColumn="0" w:lastRowLastColumn="0"/>
              <w:rPr>
                <w:b/>
                <w:lang w:val="en-AU"/>
              </w:rPr>
            </w:pPr>
            <w:r w:rsidRPr="00AA5CB5">
              <w:rPr>
                <w:b/>
                <w:lang w:val="en-AU"/>
              </w:rPr>
              <w:t>IPCC Guidelines</w:t>
            </w:r>
          </w:p>
          <w:p w14:paraId="22F0FCB5" w14:textId="77777777" w:rsidR="00FE4924" w:rsidRPr="00AA5CB5" w:rsidRDefault="00FE4924" w:rsidP="000450DA">
            <w:pPr>
              <w:pStyle w:val="Tableheading"/>
              <w:jc w:val="center"/>
              <w:cnfStyle w:val="100000000000" w:firstRow="1" w:lastRow="0" w:firstColumn="0" w:lastColumn="0" w:oddVBand="0" w:evenVBand="0" w:oddHBand="0" w:evenHBand="0" w:firstRowFirstColumn="0" w:firstRowLastColumn="0" w:lastRowFirstColumn="0" w:lastRowLastColumn="0"/>
              <w:rPr>
                <w:b/>
                <w:lang w:val="en-AU"/>
              </w:rPr>
            </w:pPr>
            <w:r w:rsidRPr="00AA5CB5">
              <w:rPr>
                <w:b/>
                <w:lang w:val="en-AU"/>
              </w:rPr>
              <w:t>(Chapter 1. Introduction to 2006 Guidelines)</w:t>
            </w:r>
          </w:p>
        </w:tc>
        <w:tc>
          <w:tcPr>
            <w:tcW w:w="1868" w:type="dxa"/>
          </w:tcPr>
          <w:p w14:paraId="121B81DA" w14:textId="46D8E9F2" w:rsidR="00FE4924" w:rsidRPr="00AA5CB5" w:rsidRDefault="00FE4924" w:rsidP="000450DA">
            <w:pPr>
              <w:pStyle w:val="Tableheading"/>
              <w:jc w:val="center"/>
              <w:cnfStyle w:val="100000000000" w:firstRow="1" w:lastRow="0" w:firstColumn="0" w:lastColumn="0" w:oddVBand="0" w:evenVBand="0" w:oddHBand="0" w:evenHBand="0" w:firstRowFirstColumn="0" w:firstRowLastColumn="0" w:lastRowFirstColumn="0" w:lastRowLastColumn="0"/>
              <w:rPr>
                <w:b/>
                <w:lang w:val="en-AU"/>
              </w:rPr>
            </w:pPr>
            <w:r w:rsidRPr="00AA5CB5">
              <w:rPr>
                <w:b/>
                <w:lang w:val="en-AU"/>
              </w:rPr>
              <w:t>ISO 14064-1:2018</w:t>
            </w:r>
          </w:p>
          <w:p w14:paraId="4451305B" w14:textId="0A93BB90" w:rsidR="00FE4924" w:rsidRPr="00AA5CB5" w:rsidRDefault="00FE4924" w:rsidP="000450DA">
            <w:pPr>
              <w:pStyle w:val="Tableheading"/>
              <w:jc w:val="center"/>
              <w:cnfStyle w:val="100000000000" w:firstRow="1" w:lastRow="0" w:firstColumn="0" w:lastColumn="0" w:oddVBand="0" w:evenVBand="0" w:oddHBand="0" w:evenHBand="0" w:firstRowFirstColumn="0" w:firstRowLastColumn="0" w:lastRowFirstColumn="0" w:lastRowLastColumn="0"/>
              <w:rPr>
                <w:b/>
                <w:lang w:val="en-AU"/>
              </w:rPr>
            </w:pPr>
            <w:r w:rsidRPr="00AA5CB5">
              <w:rPr>
                <w:b/>
                <w:lang w:val="en-AU"/>
              </w:rPr>
              <w:t>(Section 4. Principles)</w:t>
            </w:r>
          </w:p>
        </w:tc>
        <w:tc>
          <w:tcPr>
            <w:tcW w:w="1869" w:type="dxa"/>
          </w:tcPr>
          <w:p w14:paraId="79B8FAAE" w14:textId="608F4433" w:rsidR="00FE4924" w:rsidRPr="00AA5CB5" w:rsidRDefault="00FE4924" w:rsidP="000450DA">
            <w:pPr>
              <w:pStyle w:val="Tableheading"/>
              <w:jc w:val="center"/>
              <w:cnfStyle w:val="100000000000" w:firstRow="1" w:lastRow="0" w:firstColumn="0" w:lastColumn="0" w:oddVBand="0" w:evenVBand="0" w:oddHBand="0" w:evenHBand="0" w:firstRowFirstColumn="0" w:firstRowLastColumn="0" w:lastRowFirstColumn="0" w:lastRowLastColumn="0"/>
              <w:rPr>
                <w:b/>
                <w:lang w:val="en-AU"/>
              </w:rPr>
            </w:pPr>
            <w:r w:rsidRPr="00AA5CB5">
              <w:rPr>
                <w:b/>
                <w:lang w:val="en-AU"/>
              </w:rPr>
              <w:t>GHG Protocol</w:t>
            </w:r>
          </w:p>
          <w:p w14:paraId="4875ED6E" w14:textId="77777777" w:rsidR="00FE4924" w:rsidRPr="00AA5CB5" w:rsidRDefault="00FE4924" w:rsidP="000450DA">
            <w:pPr>
              <w:pStyle w:val="Tableheading"/>
              <w:jc w:val="center"/>
              <w:cnfStyle w:val="100000000000" w:firstRow="1" w:lastRow="0" w:firstColumn="0" w:lastColumn="0" w:oddVBand="0" w:evenVBand="0" w:oddHBand="0" w:evenHBand="0" w:firstRowFirstColumn="0" w:firstRowLastColumn="0" w:lastRowFirstColumn="0" w:lastRowLastColumn="0"/>
              <w:rPr>
                <w:b/>
                <w:lang w:val="en-AU"/>
              </w:rPr>
            </w:pPr>
            <w:r w:rsidRPr="00AA5CB5">
              <w:rPr>
                <w:b/>
                <w:lang w:val="en-AU"/>
              </w:rPr>
              <w:t>(Chapter 1. GHG Accounting and Reporting Principles)</w:t>
            </w:r>
          </w:p>
        </w:tc>
        <w:tc>
          <w:tcPr>
            <w:tcW w:w="2040" w:type="dxa"/>
          </w:tcPr>
          <w:p w14:paraId="6F22777D" w14:textId="1F227B31" w:rsidR="00FE4924" w:rsidRPr="00AA5CB5" w:rsidRDefault="00900438" w:rsidP="3248E475">
            <w:pPr>
              <w:pStyle w:val="Tableheading"/>
              <w:jc w:val="center"/>
              <w:cnfStyle w:val="100000000000" w:firstRow="1" w:lastRow="0" w:firstColumn="0" w:lastColumn="0" w:oddVBand="0" w:evenVBand="0" w:oddHBand="0" w:evenHBand="0" w:firstRowFirstColumn="0" w:firstRowLastColumn="0" w:lastRowFirstColumn="0" w:lastRowLastColumn="0"/>
              <w:rPr>
                <w:b/>
                <w:lang w:val="en-AU"/>
              </w:rPr>
            </w:pPr>
            <w:r>
              <w:rPr>
                <w:b/>
                <w:lang w:val="en-AU"/>
              </w:rPr>
              <w:t xml:space="preserve">Emissions Reporting </w:t>
            </w:r>
            <w:r w:rsidR="11435C43" w:rsidRPr="00AA5CB5">
              <w:rPr>
                <w:b/>
                <w:lang w:val="en-AU"/>
              </w:rPr>
              <w:t>Framew</w:t>
            </w:r>
            <w:r w:rsidR="5F53792F" w:rsidRPr="00AA5CB5">
              <w:rPr>
                <w:b/>
                <w:lang w:val="en-AU"/>
              </w:rPr>
              <w:t>o</w:t>
            </w:r>
            <w:r w:rsidR="11435C43" w:rsidRPr="00AA5CB5">
              <w:rPr>
                <w:b/>
                <w:lang w:val="en-AU"/>
              </w:rPr>
              <w:t>rk</w:t>
            </w:r>
          </w:p>
        </w:tc>
      </w:tr>
      <w:tr w:rsidR="00FE4924" w:rsidRPr="00AA5CB5" w14:paraId="675B681D" w14:textId="77777777" w:rsidTr="75CCC6B1">
        <w:tc>
          <w:tcPr>
            <w:cnfStyle w:val="001000000000" w:firstRow="0" w:lastRow="0" w:firstColumn="1" w:lastColumn="0" w:oddVBand="0" w:evenVBand="0" w:oddHBand="0" w:evenHBand="0" w:firstRowFirstColumn="0" w:firstRowLastColumn="0" w:lastRowFirstColumn="0" w:lastRowLastColumn="0"/>
            <w:tcW w:w="1872" w:type="dxa"/>
            <w:shd w:val="clear" w:color="auto" w:fill="CEEEED" w:themeFill="accent6" w:themeFillTint="66"/>
          </w:tcPr>
          <w:p w14:paraId="2785E04D" w14:textId="77777777" w:rsidR="00FE4924" w:rsidRPr="00AA5CB5" w:rsidRDefault="00FE4924">
            <w:pPr>
              <w:pStyle w:val="Tablebodytext"/>
              <w:rPr>
                <w:lang w:val="en-AU"/>
              </w:rPr>
            </w:pPr>
            <w:r w:rsidRPr="00AA5CB5">
              <w:rPr>
                <w:lang w:val="en-AU"/>
              </w:rPr>
              <w:t xml:space="preserve">Transparency </w:t>
            </w:r>
          </w:p>
        </w:tc>
        <w:tc>
          <w:tcPr>
            <w:tcW w:w="1870" w:type="dxa"/>
          </w:tcPr>
          <w:p w14:paraId="55FAA4DE"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034FB196" wp14:editId="235C8037">
                  <wp:extent cx="241540" cy="241540"/>
                  <wp:effectExtent l="0" t="0" r="6350" b="6350"/>
                  <wp:docPr id="130299715"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1868" w:type="dxa"/>
          </w:tcPr>
          <w:p w14:paraId="0B93A9A6"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2EAF84B7" wp14:editId="1E833CF2">
                  <wp:extent cx="241540" cy="241540"/>
                  <wp:effectExtent l="0" t="0" r="6350" b="6350"/>
                  <wp:docPr id="135441485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1869" w:type="dxa"/>
          </w:tcPr>
          <w:p w14:paraId="3AE00658"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2BC5C8F0" wp14:editId="5DBA5B6E">
                  <wp:extent cx="241540" cy="241540"/>
                  <wp:effectExtent l="0" t="0" r="6350" b="6350"/>
                  <wp:docPr id="206836810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2040" w:type="dxa"/>
            <w:shd w:val="clear" w:color="auto" w:fill="CEEEED" w:themeFill="accent6" w:themeFillTint="66"/>
          </w:tcPr>
          <w:p w14:paraId="3F602AEC"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5152664C" wp14:editId="612B5B8E">
                  <wp:extent cx="241540" cy="241540"/>
                  <wp:effectExtent l="0" t="0" r="6350" b="6350"/>
                  <wp:docPr id="111652838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r>
      <w:tr w:rsidR="00FE4924" w:rsidRPr="00AA5CB5" w14:paraId="5E05739C" w14:textId="77777777" w:rsidTr="75CCC6B1">
        <w:tc>
          <w:tcPr>
            <w:cnfStyle w:val="001000000000" w:firstRow="0" w:lastRow="0" w:firstColumn="1" w:lastColumn="0" w:oddVBand="0" w:evenVBand="0" w:oddHBand="0" w:evenHBand="0" w:firstRowFirstColumn="0" w:firstRowLastColumn="0" w:lastRowFirstColumn="0" w:lastRowLastColumn="0"/>
            <w:tcW w:w="1872" w:type="dxa"/>
            <w:shd w:val="clear" w:color="auto" w:fill="CEEEED" w:themeFill="accent6" w:themeFillTint="66"/>
          </w:tcPr>
          <w:p w14:paraId="38B60C35" w14:textId="77777777" w:rsidR="00FE4924" w:rsidRPr="00AA5CB5" w:rsidRDefault="00FE4924">
            <w:pPr>
              <w:pStyle w:val="Tablebodytext"/>
              <w:rPr>
                <w:lang w:val="en-AU"/>
              </w:rPr>
            </w:pPr>
            <w:r w:rsidRPr="00AA5CB5">
              <w:rPr>
                <w:lang w:val="en-AU"/>
              </w:rPr>
              <w:t xml:space="preserve">Accuracy </w:t>
            </w:r>
          </w:p>
        </w:tc>
        <w:tc>
          <w:tcPr>
            <w:tcW w:w="1870" w:type="dxa"/>
          </w:tcPr>
          <w:p w14:paraId="3AFF27C5"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576450A5" wp14:editId="3E769FA9">
                  <wp:extent cx="241540" cy="241540"/>
                  <wp:effectExtent l="0" t="0" r="6350" b="6350"/>
                  <wp:docPr id="57615837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1868" w:type="dxa"/>
          </w:tcPr>
          <w:p w14:paraId="69A57439"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67D7E870" wp14:editId="60FD0CEB">
                  <wp:extent cx="241540" cy="241540"/>
                  <wp:effectExtent l="0" t="0" r="6350" b="6350"/>
                  <wp:docPr id="147757609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1869" w:type="dxa"/>
          </w:tcPr>
          <w:p w14:paraId="0B68AFBD"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66E5735A" wp14:editId="0B8737B0">
                  <wp:extent cx="241540" cy="241540"/>
                  <wp:effectExtent l="0" t="0" r="6350" b="6350"/>
                  <wp:docPr id="26081119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2040" w:type="dxa"/>
            <w:shd w:val="clear" w:color="auto" w:fill="CEEEED" w:themeFill="accent6" w:themeFillTint="66"/>
          </w:tcPr>
          <w:p w14:paraId="4A2A90E5"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5D70154E" wp14:editId="2FEE3E48">
                  <wp:extent cx="241540" cy="241540"/>
                  <wp:effectExtent l="0" t="0" r="6350" b="6350"/>
                  <wp:docPr id="178452347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r>
      <w:tr w:rsidR="00FE4924" w:rsidRPr="00AA5CB5" w14:paraId="03E994E8" w14:textId="77777777" w:rsidTr="75CCC6B1">
        <w:tc>
          <w:tcPr>
            <w:cnfStyle w:val="001000000000" w:firstRow="0" w:lastRow="0" w:firstColumn="1" w:lastColumn="0" w:oddVBand="0" w:evenVBand="0" w:oddHBand="0" w:evenHBand="0" w:firstRowFirstColumn="0" w:firstRowLastColumn="0" w:lastRowFirstColumn="0" w:lastRowLastColumn="0"/>
            <w:tcW w:w="1872" w:type="dxa"/>
            <w:shd w:val="clear" w:color="auto" w:fill="CEEEED" w:themeFill="accent6" w:themeFillTint="66"/>
          </w:tcPr>
          <w:p w14:paraId="12312062" w14:textId="77777777" w:rsidR="00FE4924" w:rsidRPr="00AA5CB5" w:rsidRDefault="00FE4924">
            <w:pPr>
              <w:pStyle w:val="Tablebodytext"/>
              <w:rPr>
                <w:lang w:val="en-AU"/>
              </w:rPr>
            </w:pPr>
            <w:r w:rsidRPr="00AA5CB5">
              <w:rPr>
                <w:lang w:val="en-AU"/>
              </w:rPr>
              <w:t>Consistency</w:t>
            </w:r>
          </w:p>
        </w:tc>
        <w:tc>
          <w:tcPr>
            <w:tcW w:w="1870" w:type="dxa"/>
          </w:tcPr>
          <w:p w14:paraId="01B41AFC"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61D82E0A" wp14:editId="3D6B2653">
                  <wp:extent cx="241540" cy="241540"/>
                  <wp:effectExtent l="0" t="0" r="6350" b="6350"/>
                  <wp:docPr id="52007128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1868" w:type="dxa"/>
          </w:tcPr>
          <w:p w14:paraId="757BDEAE"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52AA1F2F" wp14:editId="637B3087">
                  <wp:extent cx="241540" cy="241540"/>
                  <wp:effectExtent l="0" t="0" r="6350" b="6350"/>
                  <wp:docPr id="2044686251"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1869" w:type="dxa"/>
          </w:tcPr>
          <w:p w14:paraId="2C1AAEB4"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08019ED0" wp14:editId="41363707">
                  <wp:extent cx="241540" cy="241540"/>
                  <wp:effectExtent l="0" t="0" r="6350" b="6350"/>
                  <wp:docPr id="1556995624"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2040" w:type="dxa"/>
            <w:shd w:val="clear" w:color="auto" w:fill="CEEEED" w:themeFill="accent6" w:themeFillTint="66"/>
          </w:tcPr>
          <w:p w14:paraId="16ACF2C1"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57E9DA7D" wp14:editId="416FCA2C">
                  <wp:extent cx="241540" cy="241540"/>
                  <wp:effectExtent l="0" t="0" r="6350" b="6350"/>
                  <wp:docPr id="32949007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r>
      <w:tr w:rsidR="00FE4924" w:rsidRPr="00AA5CB5" w14:paraId="2462E935" w14:textId="77777777" w:rsidTr="75CCC6B1">
        <w:tc>
          <w:tcPr>
            <w:cnfStyle w:val="001000000000" w:firstRow="0" w:lastRow="0" w:firstColumn="1" w:lastColumn="0" w:oddVBand="0" w:evenVBand="0" w:oddHBand="0" w:evenHBand="0" w:firstRowFirstColumn="0" w:firstRowLastColumn="0" w:lastRowFirstColumn="0" w:lastRowLastColumn="0"/>
            <w:tcW w:w="1872" w:type="dxa"/>
            <w:shd w:val="clear" w:color="auto" w:fill="CEEEED" w:themeFill="accent6" w:themeFillTint="66"/>
          </w:tcPr>
          <w:p w14:paraId="33024400" w14:textId="77777777" w:rsidR="00FE4924" w:rsidRPr="00AA5CB5" w:rsidRDefault="00FE4924">
            <w:pPr>
              <w:pStyle w:val="Tablebodytext"/>
              <w:rPr>
                <w:lang w:val="en-AU"/>
              </w:rPr>
            </w:pPr>
            <w:r w:rsidRPr="00AA5CB5">
              <w:rPr>
                <w:lang w:val="en-AU"/>
              </w:rPr>
              <w:t>Comparability</w:t>
            </w:r>
          </w:p>
        </w:tc>
        <w:tc>
          <w:tcPr>
            <w:tcW w:w="1870" w:type="dxa"/>
          </w:tcPr>
          <w:p w14:paraId="78F784EB"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78ABCEE0" wp14:editId="722C5FDB">
                  <wp:extent cx="241540" cy="241540"/>
                  <wp:effectExtent l="0" t="0" r="6350" b="6350"/>
                  <wp:docPr id="105605437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1868" w:type="dxa"/>
          </w:tcPr>
          <w:p w14:paraId="4AB3322B"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p>
        </w:tc>
        <w:tc>
          <w:tcPr>
            <w:tcW w:w="1869" w:type="dxa"/>
          </w:tcPr>
          <w:p w14:paraId="57986CC4"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p>
        </w:tc>
        <w:tc>
          <w:tcPr>
            <w:tcW w:w="2040" w:type="dxa"/>
            <w:shd w:val="clear" w:color="auto" w:fill="CEEEED" w:themeFill="accent6" w:themeFillTint="66"/>
          </w:tcPr>
          <w:p w14:paraId="0D91908B"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2B6657C2" wp14:editId="1041896B">
                  <wp:extent cx="241540" cy="241540"/>
                  <wp:effectExtent l="0" t="0" r="6350" b="6350"/>
                  <wp:docPr id="941530559"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r>
      <w:tr w:rsidR="00FE4924" w:rsidRPr="00AA5CB5" w14:paraId="1451C641" w14:textId="77777777" w:rsidTr="75CCC6B1">
        <w:tc>
          <w:tcPr>
            <w:cnfStyle w:val="001000000000" w:firstRow="0" w:lastRow="0" w:firstColumn="1" w:lastColumn="0" w:oddVBand="0" w:evenVBand="0" w:oddHBand="0" w:evenHBand="0" w:firstRowFirstColumn="0" w:firstRowLastColumn="0" w:lastRowFirstColumn="0" w:lastRowLastColumn="0"/>
            <w:tcW w:w="1872" w:type="dxa"/>
            <w:shd w:val="clear" w:color="auto" w:fill="CEEEED" w:themeFill="accent6" w:themeFillTint="66"/>
          </w:tcPr>
          <w:p w14:paraId="01995F63" w14:textId="77777777" w:rsidR="00FE4924" w:rsidRPr="00AA5CB5" w:rsidRDefault="00FE4924">
            <w:pPr>
              <w:pStyle w:val="Tablebodytext"/>
              <w:rPr>
                <w:lang w:val="en-AU"/>
              </w:rPr>
            </w:pPr>
            <w:r w:rsidRPr="00AA5CB5">
              <w:rPr>
                <w:lang w:val="en-AU"/>
              </w:rPr>
              <w:t xml:space="preserve">Completeness </w:t>
            </w:r>
          </w:p>
        </w:tc>
        <w:tc>
          <w:tcPr>
            <w:tcW w:w="1870" w:type="dxa"/>
          </w:tcPr>
          <w:p w14:paraId="73ED173A"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3D417C7A" wp14:editId="14512D6A">
                  <wp:extent cx="241540" cy="241540"/>
                  <wp:effectExtent l="0" t="0" r="6350" b="6350"/>
                  <wp:docPr id="1943077737"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1868" w:type="dxa"/>
          </w:tcPr>
          <w:p w14:paraId="69A10A19"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0947EDDD" wp14:editId="277CED29">
                  <wp:extent cx="241540" cy="241540"/>
                  <wp:effectExtent l="0" t="0" r="6350" b="6350"/>
                  <wp:docPr id="869044026"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1869" w:type="dxa"/>
          </w:tcPr>
          <w:p w14:paraId="620D5A64"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7EA3085F" wp14:editId="4F85137B">
                  <wp:extent cx="241540" cy="241540"/>
                  <wp:effectExtent l="0" t="0" r="6350" b="6350"/>
                  <wp:docPr id="1963732973"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2040" w:type="dxa"/>
            <w:shd w:val="clear" w:color="auto" w:fill="CEEEED" w:themeFill="accent6" w:themeFillTint="66"/>
          </w:tcPr>
          <w:p w14:paraId="35518B17"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3F492FF9" wp14:editId="75C23893">
                  <wp:extent cx="241540" cy="241540"/>
                  <wp:effectExtent l="0" t="0" r="6350" b="6350"/>
                  <wp:docPr id="121924843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r>
      <w:tr w:rsidR="00FE4924" w:rsidRPr="00AA5CB5" w14:paraId="4A88F5EF" w14:textId="77777777" w:rsidTr="75CCC6B1">
        <w:tc>
          <w:tcPr>
            <w:cnfStyle w:val="001000000000" w:firstRow="0" w:lastRow="0" w:firstColumn="1" w:lastColumn="0" w:oddVBand="0" w:evenVBand="0" w:oddHBand="0" w:evenHBand="0" w:firstRowFirstColumn="0" w:firstRowLastColumn="0" w:lastRowFirstColumn="0" w:lastRowLastColumn="0"/>
            <w:tcW w:w="1872" w:type="dxa"/>
            <w:shd w:val="clear" w:color="auto" w:fill="CEEEED" w:themeFill="accent6" w:themeFillTint="66"/>
          </w:tcPr>
          <w:p w14:paraId="202F5760" w14:textId="77777777" w:rsidR="00FE4924" w:rsidRPr="00AA5CB5" w:rsidRDefault="00FE4924">
            <w:pPr>
              <w:pStyle w:val="Tablebodytext"/>
              <w:rPr>
                <w:lang w:val="en-AU"/>
              </w:rPr>
            </w:pPr>
            <w:r w:rsidRPr="00AA5CB5">
              <w:rPr>
                <w:lang w:val="en-AU"/>
              </w:rPr>
              <w:t xml:space="preserve">Relevance </w:t>
            </w:r>
          </w:p>
        </w:tc>
        <w:tc>
          <w:tcPr>
            <w:tcW w:w="1870" w:type="dxa"/>
          </w:tcPr>
          <w:p w14:paraId="5337B459"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p>
        </w:tc>
        <w:tc>
          <w:tcPr>
            <w:tcW w:w="1868" w:type="dxa"/>
          </w:tcPr>
          <w:p w14:paraId="1B0E9632"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3701466E" wp14:editId="46F7BA82">
                  <wp:extent cx="241540" cy="241540"/>
                  <wp:effectExtent l="0" t="0" r="6350" b="6350"/>
                  <wp:docPr id="1592167382"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1869" w:type="dxa"/>
          </w:tcPr>
          <w:p w14:paraId="19A4CA2B"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28BAF12F" wp14:editId="26C35764">
                  <wp:extent cx="241540" cy="241540"/>
                  <wp:effectExtent l="0" t="0" r="6350" b="6350"/>
                  <wp:docPr id="70459005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c>
          <w:tcPr>
            <w:tcW w:w="2040" w:type="dxa"/>
            <w:shd w:val="clear" w:color="auto" w:fill="CEEEED" w:themeFill="accent6" w:themeFillTint="66"/>
          </w:tcPr>
          <w:p w14:paraId="61EC8A78" w14:textId="77777777" w:rsidR="00FE4924" w:rsidRPr="00AA5CB5" w:rsidRDefault="00FE4924" w:rsidP="000450DA">
            <w:pPr>
              <w:pStyle w:val="Tablebodytext"/>
              <w:jc w:val="center"/>
              <w:cnfStyle w:val="000000000000" w:firstRow="0" w:lastRow="0" w:firstColumn="0" w:lastColumn="0" w:oddVBand="0" w:evenVBand="0" w:oddHBand="0" w:evenHBand="0" w:firstRowFirstColumn="0" w:firstRowLastColumn="0" w:lastRowFirstColumn="0" w:lastRowLastColumn="0"/>
              <w:rPr>
                <w:lang w:val="en-AU"/>
              </w:rPr>
            </w:pPr>
            <w:r w:rsidRPr="00AA5CB5">
              <w:rPr>
                <w:noProof/>
              </w:rPr>
              <w:drawing>
                <wp:inline distT="0" distB="0" distL="0" distR="0" wp14:anchorId="2EFC5D76" wp14:editId="229A524F">
                  <wp:extent cx="241540" cy="241540"/>
                  <wp:effectExtent l="0" t="0" r="6350" b="6350"/>
                  <wp:docPr id="323301320" name="Graphic 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9715" name="Graphic 130299715" descr="Checkmark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251503" cy="251503"/>
                          </a:xfrm>
                          <a:prstGeom prst="rect">
                            <a:avLst/>
                          </a:prstGeom>
                        </pic:spPr>
                      </pic:pic>
                    </a:graphicData>
                  </a:graphic>
                </wp:inline>
              </w:drawing>
            </w:r>
          </w:p>
        </w:tc>
      </w:tr>
    </w:tbl>
    <w:p w14:paraId="20A1B83E" w14:textId="4058C273" w:rsidR="00A512AE" w:rsidRDefault="00A512AE" w:rsidP="007354C3">
      <w:pPr>
        <w:pStyle w:val="BodyText1"/>
      </w:pPr>
      <w:bookmarkStart w:id="24" w:name="_Ref197425580"/>
      <w:bookmarkStart w:id="25" w:name="_Toc197438641"/>
      <w:bookmarkStart w:id="26" w:name="_Toc197438659"/>
    </w:p>
    <w:p w14:paraId="3853C3F9" w14:textId="77777777" w:rsidR="002471DE" w:rsidRDefault="002471DE" w:rsidP="007354C3">
      <w:pPr>
        <w:pStyle w:val="BodyText1"/>
      </w:pPr>
    </w:p>
    <w:p w14:paraId="7DE39FC9" w14:textId="77777777" w:rsidR="002471DE" w:rsidRDefault="002471DE" w:rsidP="007354C3">
      <w:pPr>
        <w:pStyle w:val="BodyText1"/>
      </w:pPr>
    </w:p>
    <w:p w14:paraId="541E7E0E" w14:textId="77777777" w:rsidR="002471DE" w:rsidRDefault="002471DE" w:rsidP="007354C3">
      <w:pPr>
        <w:pStyle w:val="BodyText1"/>
      </w:pPr>
    </w:p>
    <w:p w14:paraId="497D937A" w14:textId="77777777" w:rsidR="002471DE" w:rsidRDefault="002471DE" w:rsidP="007354C3">
      <w:pPr>
        <w:pStyle w:val="BodyText1"/>
      </w:pPr>
    </w:p>
    <w:p w14:paraId="660A5E7B" w14:textId="77777777" w:rsidR="002471DE" w:rsidRDefault="002471DE" w:rsidP="007354C3">
      <w:pPr>
        <w:pStyle w:val="BodyText1"/>
      </w:pPr>
    </w:p>
    <w:p w14:paraId="5891BFF1" w14:textId="77777777" w:rsidR="002471DE" w:rsidRPr="00AA5CB5" w:rsidRDefault="002471DE" w:rsidP="007354C3">
      <w:pPr>
        <w:pStyle w:val="BodyText1"/>
      </w:pPr>
    </w:p>
    <w:p w14:paraId="7C6CB5D2" w14:textId="77777777" w:rsidR="000D4C28" w:rsidRDefault="000D4C28">
      <w:pPr>
        <w:spacing w:before="0" w:after="160" w:line="259" w:lineRule="auto"/>
        <w:rPr>
          <w:rFonts w:eastAsia="Times New Roman" w:cs="Times New Roman"/>
          <w:b/>
          <w:bCs/>
          <w:color w:val="000000" w:themeColor="text1"/>
          <w:sz w:val="22"/>
        </w:rPr>
      </w:pPr>
      <w:r>
        <w:br w:type="page"/>
      </w:r>
    </w:p>
    <w:p w14:paraId="7FFE3020" w14:textId="30BDB7A4" w:rsidR="004F6FAA" w:rsidRPr="00AA5CB5" w:rsidRDefault="004F6FAA" w:rsidP="00A512AE">
      <w:pPr>
        <w:pStyle w:val="Caption"/>
      </w:pPr>
      <w:bookmarkStart w:id="27" w:name="_Toc201927375"/>
      <w:r w:rsidRPr="00AA5CB5">
        <w:lastRenderedPageBreak/>
        <w:t xml:space="preserve">Table </w:t>
      </w:r>
      <w:r w:rsidRPr="00AA5CB5">
        <w:fldChar w:fldCharType="begin"/>
      </w:r>
      <w:r w:rsidRPr="00AA5CB5">
        <w:instrText xml:space="preserve"> SEQ Table \* ARABIC </w:instrText>
      </w:r>
      <w:r w:rsidRPr="00AA5CB5">
        <w:fldChar w:fldCharType="separate"/>
      </w:r>
      <w:r w:rsidR="00422A37">
        <w:rPr>
          <w:noProof/>
        </w:rPr>
        <w:t>2</w:t>
      </w:r>
      <w:r w:rsidRPr="00AA5CB5">
        <w:fldChar w:fldCharType="end"/>
      </w:r>
      <w:bookmarkEnd w:id="24"/>
      <w:r w:rsidR="006220AC">
        <w:t>:</w:t>
      </w:r>
      <w:r w:rsidRPr="00AA5CB5">
        <w:t xml:space="preserve"> Responsibilities of reporting agencies</w:t>
      </w:r>
      <w:bookmarkEnd w:id="25"/>
      <w:bookmarkEnd w:id="26"/>
      <w:bookmarkEnd w:id="27"/>
    </w:p>
    <w:tbl>
      <w:tblPr>
        <w:tblStyle w:val="ListTable4-Accent6"/>
        <w:tblW w:w="9399" w:type="dxa"/>
        <w:tblInd w:w="0" w:type="dxa"/>
        <w:tblLook w:val="06A0" w:firstRow="1" w:lastRow="0" w:firstColumn="1" w:lastColumn="0" w:noHBand="1" w:noVBand="1"/>
      </w:tblPr>
      <w:tblGrid>
        <w:gridCol w:w="1592"/>
        <w:gridCol w:w="7807"/>
      </w:tblGrid>
      <w:tr w:rsidR="00777C3C" w:rsidRPr="00AA5CB5" w14:paraId="4054FCD2" w14:textId="77777777" w:rsidTr="1C1C50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2" w:type="dxa"/>
            <w:hideMark/>
          </w:tcPr>
          <w:p w14:paraId="55893A07" w14:textId="77777777" w:rsidR="004F6FAA" w:rsidRPr="00AA5CB5" w:rsidRDefault="004F6FAA" w:rsidP="0007645E">
            <w:pPr>
              <w:rPr>
                <w:color w:val="000000" w:themeColor="text1"/>
                <w:lang w:val="en-AU"/>
              </w:rPr>
            </w:pPr>
            <w:r w:rsidRPr="00AA5CB5">
              <w:rPr>
                <w:color w:val="000000" w:themeColor="text1"/>
                <w:lang w:val="en-AU"/>
              </w:rPr>
              <w:t>Principle</w:t>
            </w:r>
          </w:p>
        </w:tc>
        <w:tc>
          <w:tcPr>
            <w:tcW w:w="7807" w:type="dxa"/>
            <w:hideMark/>
          </w:tcPr>
          <w:p w14:paraId="0C8408DF" w14:textId="4950D726" w:rsidR="004F6FAA" w:rsidRPr="00AA5CB5" w:rsidRDefault="004F6FAA" w:rsidP="0007645E">
            <w:pPr>
              <w:cnfStyle w:val="100000000000" w:firstRow="1" w:lastRow="0" w:firstColumn="0" w:lastColumn="0" w:oddVBand="0" w:evenVBand="0" w:oddHBand="0" w:evenHBand="0" w:firstRowFirstColumn="0" w:firstRowLastColumn="0" w:lastRowFirstColumn="0" w:lastRowLastColumn="0"/>
              <w:rPr>
                <w:color w:val="000000" w:themeColor="text1"/>
                <w:lang w:val="en-AU"/>
              </w:rPr>
            </w:pPr>
            <w:r w:rsidRPr="00AA5CB5">
              <w:rPr>
                <w:color w:val="000000" w:themeColor="text1"/>
                <w:lang w:val="en-AU"/>
              </w:rPr>
              <w:t xml:space="preserve">Reporting agencies </w:t>
            </w:r>
            <w:r w:rsidR="00165CF5" w:rsidRPr="00AA5CB5">
              <w:rPr>
                <w:color w:val="000000" w:themeColor="text1"/>
                <w:lang w:val="en-AU"/>
              </w:rPr>
              <w:t xml:space="preserve">are required to </w:t>
            </w:r>
            <w:r w:rsidRPr="00AA5CB5">
              <w:rPr>
                <w:color w:val="000000" w:themeColor="text1"/>
                <w:lang w:val="en-AU"/>
              </w:rPr>
              <w:t>uphold the emissions accounting principles by</w:t>
            </w:r>
            <w:r w:rsidR="00B365CD">
              <w:rPr>
                <w:color w:val="000000" w:themeColor="text1"/>
                <w:lang w:val="en-AU"/>
              </w:rPr>
              <w:t>:</w:t>
            </w:r>
          </w:p>
        </w:tc>
      </w:tr>
      <w:tr w:rsidR="0007645E" w:rsidRPr="00AA5CB5" w14:paraId="7EE26686"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592" w:type="dxa"/>
            <w:hideMark/>
          </w:tcPr>
          <w:p w14:paraId="1773EBC5" w14:textId="30064274" w:rsidR="004F6FAA" w:rsidRPr="00AA5CB5" w:rsidRDefault="004F6FAA" w:rsidP="0007645E">
            <w:pPr>
              <w:rPr>
                <w:color w:val="000000" w:themeColor="text1"/>
                <w:lang w:val="en-AU"/>
              </w:rPr>
            </w:pPr>
            <w:r w:rsidRPr="00AA5CB5">
              <w:rPr>
                <w:color w:val="000000" w:themeColor="text1"/>
                <w:lang w:val="en-AU"/>
              </w:rPr>
              <w:t xml:space="preserve">Transparency </w:t>
            </w:r>
          </w:p>
        </w:tc>
        <w:tc>
          <w:tcPr>
            <w:tcW w:w="7807" w:type="dxa"/>
            <w:hideMark/>
          </w:tcPr>
          <w:p w14:paraId="107A99E3" w14:textId="3C531BD2" w:rsidR="004F6FAA" w:rsidRPr="00AA5CB5" w:rsidRDefault="004F6FAA"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Providing sufficient and clear documentation</w:t>
            </w:r>
            <w:r w:rsidR="00021A84" w:rsidRPr="00AA5CB5">
              <w:rPr>
                <w:lang w:val="en-AU"/>
              </w:rPr>
              <w:t xml:space="preserve"> to create a credible audit trail</w:t>
            </w:r>
            <w:r w:rsidR="00C20A53">
              <w:rPr>
                <w:lang w:val="en-AU"/>
              </w:rPr>
              <w:t>.</w:t>
            </w:r>
          </w:p>
          <w:p w14:paraId="5E0A7AE6" w14:textId="51075DFF" w:rsidR="004F6FAA" w:rsidRPr="00AA5CB5" w:rsidRDefault="004A2756"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D</w:t>
            </w:r>
            <w:r w:rsidR="00E00BED" w:rsidRPr="00AA5CB5">
              <w:rPr>
                <w:lang w:val="en-AU"/>
              </w:rPr>
              <w:t>ocumenting the methodology</w:t>
            </w:r>
            <w:r w:rsidR="000E3272" w:rsidRPr="00AA5CB5">
              <w:rPr>
                <w:lang w:val="en-AU"/>
              </w:rPr>
              <w:t xml:space="preserve"> and</w:t>
            </w:r>
            <w:r w:rsidR="00E00BED" w:rsidRPr="00AA5CB5">
              <w:rPr>
                <w:lang w:val="en-AU"/>
              </w:rPr>
              <w:t xml:space="preserve"> assumptions, </w:t>
            </w:r>
            <w:r w:rsidR="00040317" w:rsidRPr="00AA5CB5">
              <w:rPr>
                <w:lang w:val="en-AU"/>
              </w:rPr>
              <w:t>so that intended users can understand how the emissions inventory was compiled and make decisions with reasonable confidence</w:t>
            </w:r>
            <w:r w:rsidR="00C20A53">
              <w:rPr>
                <w:lang w:val="en-AU"/>
              </w:rPr>
              <w:t>.</w:t>
            </w:r>
          </w:p>
          <w:p w14:paraId="07450BCD" w14:textId="2BF472C2" w:rsidR="00616164" w:rsidRPr="00AA5CB5" w:rsidRDefault="0064489B"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Justifying any modifications, deviations or exceptions to the Framework, and documenting this alongside the reporting agency’s emissions inventory</w:t>
            </w:r>
            <w:r w:rsidR="00C20A53">
              <w:rPr>
                <w:lang w:val="en-AU"/>
              </w:rPr>
              <w:t>.</w:t>
            </w:r>
          </w:p>
        </w:tc>
      </w:tr>
      <w:tr w:rsidR="0007645E" w:rsidRPr="00AA5CB5" w14:paraId="7BDC8E40"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592" w:type="dxa"/>
            <w:hideMark/>
          </w:tcPr>
          <w:p w14:paraId="4E842594" w14:textId="77777777" w:rsidR="004F6FAA" w:rsidRPr="00AA5CB5" w:rsidRDefault="004F6FAA" w:rsidP="0007645E">
            <w:pPr>
              <w:rPr>
                <w:color w:val="000000" w:themeColor="text1"/>
                <w:lang w:val="en-AU"/>
              </w:rPr>
            </w:pPr>
            <w:r w:rsidRPr="00AA5CB5">
              <w:rPr>
                <w:color w:val="000000" w:themeColor="text1"/>
                <w:lang w:val="en-AU"/>
              </w:rPr>
              <w:t xml:space="preserve">Accuracy </w:t>
            </w:r>
          </w:p>
        </w:tc>
        <w:tc>
          <w:tcPr>
            <w:tcW w:w="7807" w:type="dxa"/>
            <w:hideMark/>
          </w:tcPr>
          <w:p w14:paraId="0D58D0FA" w14:textId="1A25337E" w:rsidR="00046272" w:rsidRPr="00AA5CB5" w:rsidRDefault="000D32D9"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Being responsible for the accuracy of their activity data</w:t>
            </w:r>
            <w:r w:rsidR="0077460E">
              <w:rPr>
                <w:lang w:val="en-AU"/>
              </w:rPr>
              <w:t>.</w:t>
            </w:r>
          </w:p>
          <w:p w14:paraId="208F30E8" w14:textId="076E7F34" w:rsidR="000D32D9" w:rsidRPr="00AA5CB5" w:rsidRDefault="00046272"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Providing associated documents for assurance purposes</w:t>
            </w:r>
            <w:r w:rsidR="0077460E">
              <w:rPr>
                <w:lang w:val="en-AU"/>
              </w:rPr>
              <w:t>.</w:t>
            </w:r>
          </w:p>
          <w:p w14:paraId="1B993F06" w14:textId="1F9F605F" w:rsidR="00842188" w:rsidRPr="00AA5CB5" w:rsidRDefault="00842188"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Improving and maintaining the correctness and precision of activity data</w:t>
            </w:r>
            <w:r w:rsidR="0077460E">
              <w:rPr>
                <w:lang w:val="en-AU"/>
              </w:rPr>
              <w:t>.</w:t>
            </w:r>
          </w:p>
          <w:p w14:paraId="3BD5492E" w14:textId="220FFDC8" w:rsidR="00F55AEF" w:rsidRPr="00AA5CB5" w:rsidRDefault="004F6FAA"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Reducing</w:t>
            </w:r>
            <w:r w:rsidR="00BF5DA6" w:rsidRPr="00AA5CB5">
              <w:rPr>
                <w:lang w:val="en-AU"/>
              </w:rPr>
              <w:t xml:space="preserve"> errors,</w:t>
            </w:r>
            <w:r w:rsidRPr="00AA5CB5">
              <w:rPr>
                <w:lang w:val="en-AU"/>
              </w:rPr>
              <w:t xml:space="preserve"> bias and uncertainties</w:t>
            </w:r>
            <w:r w:rsidR="00F40CFF" w:rsidRPr="00AA5CB5">
              <w:rPr>
                <w:lang w:val="en-AU"/>
              </w:rPr>
              <w:t xml:space="preserve"> in activity data</w:t>
            </w:r>
            <w:r w:rsidRPr="00AA5CB5">
              <w:rPr>
                <w:lang w:val="en-AU"/>
              </w:rPr>
              <w:t xml:space="preserve"> so that users can confidently rely on the integrity of the reported information</w:t>
            </w:r>
            <w:r w:rsidR="0077460E">
              <w:rPr>
                <w:lang w:val="en-AU"/>
              </w:rPr>
              <w:t>.</w:t>
            </w:r>
          </w:p>
          <w:p w14:paraId="3EA28531" w14:textId="0C5CC1E7" w:rsidR="00F55AEF" w:rsidRPr="00AA5CB5" w:rsidRDefault="00F55AEF"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In the event of an audit, </w:t>
            </w:r>
            <w:r w:rsidR="00600DBB" w:rsidRPr="00AA5CB5">
              <w:rPr>
                <w:lang w:val="en-AU"/>
              </w:rPr>
              <w:t>confirmi</w:t>
            </w:r>
            <w:r w:rsidR="000D4C28">
              <w:rPr>
                <w:lang w:val="en-AU"/>
              </w:rPr>
              <w:t>ng</w:t>
            </w:r>
            <w:r w:rsidRPr="00AA5CB5">
              <w:rPr>
                <w:lang w:val="en-AU"/>
              </w:rPr>
              <w:t xml:space="preserve"> </w:t>
            </w:r>
            <w:r w:rsidR="008F7975" w:rsidRPr="00AA5CB5">
              <w:rPr>
                <w:lang w:val="en-AU"/>
              </w:rPr>
              <w:t>that information provided to auditor is accurate and complete</w:t>
            </w:r>
            <w:r w:rsidR="0077460E">
              <w:rPr>
                <w:lang w:val="en-AU"/>
              </w:rPr>
              <w:t>.</w:t>
            </w:r>
          </w:p>
        </w:tc>
      </w:tr>
      <w:tr w:rsidR="0007645E" w:rsidRPr="00AA5CB5" w14:paraId="41202989"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592" w:type="dxa"/>
            <w:hideMark/>
          </w:tcPr>
          <w:p w14:paraId="574A2B34" w14:textId="43626F24" w:rsidR="004F6FAA" w:rsidRPr="00AA5CB5" w:rsidRDefault="004F6FAA" w:rsidP="0007645E">
            <w:pPr>
              <w:rPr>
                <w:color w:val="000000" w:themeColor="text1"/>
                <w:lang w:val="en-AU"/>
              </w:rPr>
            </w:pPr>
            <w:r w:rsidRPr="00AA5CB5">
              <w:rPr>
                <w:color w:val="000000" w:themeColor="text1"/>
                <w:lang w:val="en-AU"/>
              </w:rPr>
              <w:t>Consistency</w:t>
            </w:r>
          </w:p>
        </w:tc>
        <w:tc>
          <w:tcPr>
            <w:tcW w:w="7807" w:type="dxa"/>
            <w:hideMark/>
          </w:tcPr>
          <w:p w14:paraId="536850C4" w14:textId="65BB3484" w:rsidR="004F6FAA" w:rsidRPr="00AA5CB5" w:rsidRDefault="00E00BED"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Adhering to the requirements of the Framework</w:t>
            </w:r>
            <w:r w:rsidR="004F6FAA" w:rsidRPr="00AA5CB5">
              <w:rPr>
                <w:lang w:val="en-AU"/>
              </w:rPr>
              <w:t>, ensuring a reporting agency's inventory is consistent with past inventories</w:t>
            </w:r>
            <w:r w:rsidR="0077460E">
              <w:rPr>
                <w:lang w:val="en-AU"/>
              </w:rPr>
              <w:t>.</w:t>
            </w:r>
          </w:p>
          <w:p w14:paraId="24B3FE6B" w14:textId="4F2C0574" w:rsidR="00C93B34" w:rsidRPr="00AA5CB5" w:rsidRDefault="00596B1A"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When there are changes</w:t>
            </w:r>
            <w:r w:rsidR="00925355" w:rsidRPr="00AA5CB5">
              <w:rPr>
                <w:lang w:val="en-AU"/>
              </w:rPr>
              <w:t xml:space="preserve"> in methods, calculations, and data sources</w:t>
            </w:r>
            <w:r w:rsidR="00C40874" w:rsidRPr="00AA5CB5">
              <w:rPr>
                <w:lang w:val="en-AU"/>
              </w:rPr>
              <w:t xml:space="preserve"> between reporting periods, </w:t>
            </w:r>
            <w:r w:rsidR="00925355" w:rsidRPr="00AA5CB5">
              <w:rPr>
                <w:lang w:val="en-AU"/>
              </w:rPr>
              <w:t xml:space="preserve">these changes are </w:t>
            </w:r>
            <w:r w:rsidR="00F00542" w:rsidRPr="00AA5CB5">
              <w:rPr>
                <w:lang w:val="en-AU"/>
              </w:rPr>
              <w:t xml:space="preserve">to be </w:t>
            </w:r>
            <w:r w:rsidR="00925355" w:rsidRPr="00AA5CB5">
              <w:rPr>
                <w:lang w:val="en-AU"/>
              </w:rPr>
              <w:t xml:space="preserve">reflected across the whole time series to </w:t>
            </w:r>
            <w:r w:rsidR="00F00542" w:rsidRPr="00AA5CB5">
              <w:rPr>
                <w:lang w:val="en-AU"/>
              </w:rPr>
              <w:t xml:space="preserve">ensure accurate reflection of </w:t>
            </w:r>
            <w:r w:rsidR="00987789" w:rsidRPr="00AA5CB5">
              <w:rPr>
                <w:lang w:val="en-AU"/>
              </w:rPr>
              <w:t>real annual fluctuations in the inventory without the</w:t>
            </w:r>
            <w:r w:rsidR="00C93B34" w:rsidRPr="00AA5CB5">
              <w:rPr>
                <w:lang w:val="en-AU"/>
              </w:rPr>
              <w:t xml:space="preserve"> distortions caused by varying methodologies across different years</w:t>
            </w:r>
            <w:r w:rsidR="0077460E">
              <w:rPr>
                <w:lang w:val="en-AU"/>
              </w:rPr>
              <w:t>.</w:t>
            </w:r>
          </w:p>
          <w:p w14:paraId="7013C2AC" w14:textId="65822778" w:rsidR="00C80D34" w:rsidRPr="00AA5CB5" w:rsidRDefault="004B65CC"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Documenting any methodological changes required to maintain time series consistency</w:t>
            </w:r>
            <w:r w:rsidR="00AB3B30">
              <w:rPr>
                <w:lang w:val="en-AU"/>
              </w:rPr>
              <w:t>.</w:t>
            </w:r>
          </w:p>
        </w:tc>
      </w:tr>
      <w:tr w:rsidR="0007645E" w:rsidRPr="00AA5CB5" w14:paraId="292C0497"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592" w:type="dxa"/>
            <w:hideMark/>
          </w:tcPr>
          <w:p w14:paraId="09E639B9" w14:textId="77777777" w:rsidR="004F6FAA" w:rsidRPr="00AA5CB5" w:rsidRDefault="004F6FAA" w:rsidP="0007645E">
            <w:pPr>
              <w:rPr>
                <w:color w:val="000000" w:themeColor="text1"/>
                <w:lang w:val="en-AU"/>
              </w:rPr>
            </w:pPr>
            <w:r w:rsidRPr="00AA5CB5">
              <w:rPr>
                <w:color w:val="000000" w:themeColor="text1"/>
                <w:lang w:val="en-AU"/>
              </w:rPr>
              <w:t>Comparability</w:t>
            </w:r>
          </w:p>
        </w:tc>
        <w:tc>
          <w:tcPr>
            <w:tcW w:w="7807" w:type="dxa"/>
            <w:hideMark/>
          </w:tcPr>
          <w:p w14:paraId="60413696" w14:textId="14F0F3B3" w:rsidR="004F6FAA" w:rsidRPr="00AA5CB5" w:rsidRDefault="004F6FAA"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Adhering to the requirements of the </w:t>
            </w:r>
            <w:r w:rsidR="001403D7">
              <w:rPr>
                <w:lang w:val="en-AU"/>
              </w:rPr>
              <w:t xml:space="preserve">Framework </w:t>
            </w:r>
            <w:r w:rsidR="00836D09" w:rsidRPr="00AA5CB5">
              <w:rPr>
                <w:lang w:val="en-AU"/>
              </w:rPr>
              <w:t xml:space="preserve">ensuring a reporting agency's inventory </w:t>
            </w:r>
            <w:r w:rsidRPr="00AA5CB5">
              <w:rPr>
                <w:lang w:val="en-AU"/>
              </w:rPr>
              <w:t>is reported in a way that allows it to be compared with other inventories from other reporting agencies</w:t>
            </w:r>
            <w:r w:rsidR="00AB3B30">
              <w:rPr>
                <w:lang w:val="en-AU"/>
              </w:rPr>
              <w:t>.</w:t>
            </w:r>
          </w:p>
          <w:p w14:paraId="40D8042A" w14:textId="48E8ECD1" w:rsidR="004F6FAA" w:rsidRPr="00AA5CB5" w:rsidRDefault="004F6FAA"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Using reporting guidance, tables, use of classifications, and definition of categories of emissions, as outlined in the Framework</w:t>
            </w:r>
            <w:r w:rsidR="00AB3B30">
              <w:rPr>
                <w:lang w:val="en-AU"/>
              </w:rPr>
              <w:t>.</w:t>
            </w:r>
          </w:p>
          <w:p w14:paraId="3A2499C6" w14:textId="59AE95F8" w:rsidR="004F6FAA" w:rsidRPr="00AA5CB5" w:rsidRDefault="00040317"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Justifying any modifications, deviations or exceptions to the Framework, and documenting this alongside the reporting agency’s emissions inventory</w:t>
            </w:r>
            <w:r w:rsidR="00AB3B30">
              <w:rPr>
                <w:lang w:val="en-AU"/>
              </w:rPr>
              <w:t>.</w:t>
            </w:r>
          </w:p>
        </w:tc>
      </w:tr>
      <w:tr w:rsidR="0007645E" w:rsidRPr="00AA5CB5" w14:paraId="05426750"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592" w:type="dxa"/>
            <w:hideMark/>
          </w:tcPr>
          <w:p w14:paraId="18B8EF85" w14:textId="7F278DBC" w:rsidR="004F6FAA" w:rsidRPr="00AA5CB5" w:rsidRDefault="004F6FAA" w:rsidP="0007645E">
            <w:pPr>
              <w:rPr>
                <w:color w:val="000000" w:themeColor="text1"/>
                <w:lang w:val="en-AU"/>
              </w:rPr>
            </w:pPr>
            <w:r w:rsidRPr="00AA5CB5">
              <w:rPr>
                <w:color w:val="000000" w:themeColor="text1"/>
                <w:lang w:val="en-AU"/>
              </w:rPr>
              <w:t>Completeness</w:t>
            </w:r>
          </w:p>
        </w:tc>
        <w:tc>
          <w:tcPr>
            <w:tcW w:w="7807" w:type="dxa"/>
            <w:hideMark/>
          </w:tcPr>
          <w:p w14:paraId="7E066733" w14:textId="0D2080A4" w:rsidR="00C74B4A" w:rsidRPr="00AA5CB5" w:rsidRDefault="00040317"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Adhering to the requirements of the </w:t>
            </w:r>
            <w:r w:rsidR="008148F2" w:rsidRPr="00AA5CB5">
              <w:rPr>
                <w:lang w:val="en-AU"/>
              </w:rPr>
              <w:t>boundary</w:t>
            </w:r>
            <w:r w:rsidRPr="00AA5CB5">
              <w:rPr>
                <w:lang w:val="en-AU"/>
              </w:rPr>
              <w:t xml:space="preserve">, ensuring </w:t>
            </w:r>
            <w:r w:rsidR="004F6FAA" w:rsidRPr="00AA5CB5">
              <w:rPr>
                <w:lang w:val="en-AU"/>
              </w:rPr>
              <w:t xml:space="preserve">all emissions sources </w:t>
            </w:r>
            <w:r w:rsidRPr="00AA5CB5">
              <w:rPr>
                <w:lang w:val="en-AU"/>
              </w:rPr>
              <w:t xml:space="preserve">are </w:t>
            </w:r>
            <w:r w:rsidR="00E53BC2" w:rsidRPr="00AA5CB5">
              <w:rPr>
                <w:lang w:val="en-AU"/>
              </w:rPr>
              <w:t>reported</w:t>
            </w:r>
            <w:r w:rsidR="0066297E" w:rsidRPr="00AA5CB5">
              <w:rPr>
                <w:lang w:val="en-AU"/>
              </w:rPr>
              <w:t xml:space="preserve"> where the emission</w:t>
            </w:r>
            <w:r w:rsidR="63D614D5" w:rsidRPr="00AA5CB5">
              <w:rPr>
                <w:lang w:val="en-AU"/>
              </w:rPr>
              <w:t>s</w:t>
            </w:r>
            <w:r w:rsidR="0066297E" w:rsidRPr="00AA5CB5">
              <w:rPr>
                <w:lang w:val="en-AU"/>
              </w:rPr>
              <w:t xml:space="preserve"> source occurs for the reporting agency</w:t>
            </w:r>
            <w:r w:rsidR="00AB3B30">
              <w:rPr>
                <w:lang w:val="en-AU"/>
              </w:rPr>
              <w:t>.</w:t>
            </w:r>
          </w:p>
          <w:p w14:paraId="1515ED6F" w14:textId="307E57D7" w:rsidR="004F6FAA" w:rsidRPr="00AA5CB5" w:rsidRDefault="00C74B4A"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Reporting on emissions sources in a way that does not compromise national security for defence and security agencies</w:t>
            </w:r>
            <w:r w:rsidR="00AB3B30">
              <w:rPr>
                <w:lang w:val="en-AU"/>
              </w:rPr>
              <w:t>.</w:t>
            </w:r>
          </w:p>
        </w:tc>
      </w:tr>
      <w:tr w:rsidR="0007645E" w:rsidRPr="00AA5CB5" w14:paraId="01BF3AB2"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592" w:type="dxa"/>
          </w:tcPr>
          <w:p w14:paraId="1B3C87C4" w14:textId="5A6E25CF" w:rsidR="004F6FAA" w:rsidRPr="00AA5CB5" w:rsidRDefault="004F6FAA" w:rsidP="0007645E">
            <w:pPr>
              <w:rPr>
                <w:color w:val="000000" w:themeColor="text1"/>
                <w:lang w:val="en-AU"/>
              </w:rPr>
            </w:pPr>
            <w:r w:rsidRPr="00AA5CB5">
              <w:rPr>
                <w:color w:val="000000" w:themeColor="text1"/>
                <w:lang w:val="en-AU"/>
              </w:rPr>
              <w:t>Relevance</w:t>
            </w:r>
          </w:p>
        </w:tc>
        <w:tc>
          <w:tcPr>
            <w:tcW w:w="7807" w:type="dxa"/>
            <w:hideMark/>
          </w:tcPr>
          <w:p w14:paraId="07711E2A" w14:textId="26779A8A" w:rsidR="004F6FAA" w:rsidRPr="00AA5CB5" w:rsidRDefault="004F6FAA"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Giving priority to the </w:t>
            </w:r>
            <w:r w:rsidR="004F4277" w:rsidRPr="00AA5CB5">
              <w:rPr>
                <w:lang w:val="en-AU"/>
              </w:rPr>
              <w:t xml:space="preserve">activity data collection for </w:t>
            </w:r>
            <w:r w:rsidRPr="00AA5CB5">
              <w:rPr>
                <w:lang w:val="en-AU"/>
              </w:rPr>
              <w:t>emissions sources with a significant quantity of emissions within the Framework, where there are operational constraints that limit or delay data collection and emissions reporting</w:t>
            </w:r>
            <w:r w:rsidR="00AB3B30">
              <w:rPr>
                <w:lang w:val="en-AU"/>
              </w:rPr>
              <w:t>.</w:t>
            </w:r>
          </w:p>
          <w:p w14:paraId="199EF239" w14:textId="46457A51" w:rsidR="004F6FAA" w:rsidRPr="00AA5CB5" w:rsidRDefault="004F6FAA"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Meeting the requirements of the </w:t>
            </w:r>
            <w:r w:rsidR="001403D7">
              <w:rPr>
                <w:lang w:val="en-AU"/>
              </w:rPr>
              <w:t xml:space="preserve">Framework </w:t>
            </w:r>
            <w:r w:rsidRPr="00AA5CB5">
              <w:rPr>
                <w:lang w:val="en-AU"/>
              </w:rPr>
              <w:t xml:space="preserve">before </w:t>
            </w:r>
            <w:r w:rsidR="009344D7" w:rsidRPr="00AA5CB5">
              <w:rPr>
                <w:lang w:val="en-AU"/>
              </w:rPr>
              <w:t xml:space="preserve">exploring </w:t>
            </w:r>
            <w:r w:rsidRPr="00AA5CB5">
              <w:rPr>
                <w:lang w:val="en-AU"/>
              </w:rPr>
              <w:t>further relevant emission</w:t>
            </w:r>
            <w:r w:rsidR="66EA7F10" w:rsidRPr="00AA5CB5">
              <w:rPr>
                <w:lang w:val="en-AU"/>
              </w:rPr>
              <w:t>s</w:t>
            </w:r>
            <w:r w:rsidRPr="00AA5CB5">
              <w:rPr>
                <w:lang w:val="en-AU"/>
              </w:rPr>
              <w:t xml:space="preserve"> sources outside of the Framework</w:t>
            </w:r>
            <w:r w:rsidR="00AB3B30">
              <w:rPr>
                <w:lang w:val="en-AU"/>
              </w:rPr>
              <w:t>.</w:t>
            </w:r>
          </w:p>
        </w:tc>
      </w:tr>
    </w:tbl>
    <w:p w14:paraId="348E1E6A" w14:textId="77777777" w:rsidR="00193556" w:rsidRPr="00AA5CB5" w:rsidRDefault="00193556" w:rsidP="002471DE">
      <w:pPr>
        <w:pStyle w:val="BodyText1"/>
      </w:pPr>
      <w:bookmarkStart w:id="28" w:name="_Ref198655497"/>
      <w:bookmarkStart w:id="29" w:name="_Ref198145436"/>
    </w:p>
    <w:p w14:paraId="4AA6BC92" w14:textId="28D3E90B" w:rsidR="00193556" w:rsidRDefault="00193556" w:rsidP="002471DE">
      <w:pPr>
        <w:pStyle w:val="BodyText1"/>
      </w:pPr>
    </w:p>
    <w:p w14:paraId="391BD694" w14:textId="77777777" w:rsidR="002A3E5C" w:rsidRDefault="002A3E5C" w:rsidP="002471DE">
      <w:pPr>
        <w:pStyle w:val="BodyText1"/>
      </w:pPr>
    </w:p>
    <w:p w14:paraId="085C5B35" w14:textId="56EAF704" w:rsidR="00165CF5" w:rsidRPr="00AA5CB5" w:rsidRDefault="00594397" w:rsidP="00594397">
      <w:pPr>
        <w:pStyle w:val="Caption"/>
      </w:pPr>
      <w:bookmarkStart w:id="30" w:name="_Toc201927376"/>
      <w:r w:rsidRPr="00AA5CB5">
        <w:lastRenderedPageBreak/>
        <w:t xml:space="preserve">Table </w:t>
      </w:r>
      <w:r w:rsidRPr="00AA5CB5">
        <w:fldChar w:fldCharType="begin"/>
      </w:r>
      <w:r w:rsidRPr="00AA5CB5">
        <w:instrText xml:space="preserve"> SEQ Table \* ARABIC </w:instrText>
      </w:r>
      <w:r w:rsidRPr="00AA5CB5">
        <w:fldChar w:fldCharType="separate"/>
      </w:r>
      <w:r w:rsidR="00422A37">
        <w:rPr>
          <w:noProof/>
        </w:rPr>
        <w:t>3</w:t>
      </w:r>
      <w:r w:rsidRPr="00AA5CB5">
        <w:fldChar w:fldCharType="end"/>
      </w:r>
      <w:bookmarkEnd w:id="28"/>
      <w:r w:rsidR="0088604A">
        <w:t>:</w:t>
      </w:r>
      <w:r w:rsidRPr="00AA5CB5">
        <w:t xml:space="preserve"> Responsibilities of Finance</w:t>
      </w:r>
      <w:r w:rsidR="00767962">
        <w:t xml:space="preserve"> (through the </w:t>
      </w:r>
      <w:r w:rsidR="00C27FC0" w:rsidRPr="00AA5CB5">
        <w:t>CAIGO</w:t>
      </w:r>
      <w:r w:rsidR="00767962">
        <w:t xml:space="preserve"> Unit)</w:t>
      </w:r>
      <w:r w:rsidR="00C27FC0" w:rsidRPr="00AA5CB5">
        <w:t>.</w:t>
      </w:r>
      <w:bookmarkEnd w:id="30"/>
      <w:r w:rsidR="00C27FC0" w:rsidRPr="00AA5CB5">
        <w:t xml:space="preserve"> </w:t>
      </w:r>
    </w:p>
    <w:tbl>
      <w:tblPr>
        <w:tblStyle w:val="ListTable4-Accent6"/>
        <w:tblW w:w="9519" w:type="dxa"/>
        <w:tblInd w:w="0" w:type="dxa"/>
        <w:tblLook w:val="06A0" w:firstRow="1" w:lastRow="0" w:firstColumn="1" w:lastColumn="0" w:noHBand="1" w:noVBand="1"/>
      </w:tblPr>
      <w:tblGrid>
        <w:gridCol w:w="1615"/>
        <w:gridCol w:w="7904"/>
      </w:tblGrid>
      <w:tr w:rsidR="00777C3C" w:rsidRPr="00AA5CB5" w14:paraId="6A0FAF89" w14:textId="77777777" w:rsidTr="1C1C507E">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615" w:type="dxa"/>
            <w:hideMark/>
          </w:tcPr>
          <w:p w14:paraId="2D016448" w14:textId="77777777" w:rsidR="00165CF5" w:rsidRPr="00AA5CB5" w:rsidRDefault="00165CF5" w:rsidP="0007645E">
            <w:pPr>
              <w:rPr>
                <w:color w:val="000000" w:themeColor="text1"/>
                <w:lang w:val="en-AU"/>
              </w:rPr>
            </w:pPr>
            <w:r w:rsidRPr="00AA5CB5">
              <w:rPr>
                <w:color w:val="000000" w:themeColor="text1"/>
                <w:lang w:val="en-AU"/>
              </w:rPr>
              <w:t>Principle</w:t>
            </w:r>
          </w:p>
        </w:tc>
        <w:tc>
          <w:tcPr>
            <w:tcW w:w="7904" w:type="dxa"/>
            <w:hideMark/>
          </w:tcPr>
          <w:p w14:paraId="2970DE5F" w14:textId="2D2B0EDE" w:rsidR="00165CF5" w:rsidRPr="00AA5CB5" w:rsidRDefault="00165CF5" w:rsidP="0007645E">
            <w:pPr>
              <w:cnfStyle w:val="100000000000" w:firstRow="1" w:lastRow="0" w:firstColumn="0" w:lastColumn="0" w:oddVBand="0" w:evenVBand="0" w:oddHBand="0" w:evenHBand="0" w:firstRowFirstColumn="0" w:firstRowLastColumn="0" w:lastRowFirstColumn="0" w:lastRowLastColumn="0"/>
              <w:rPr>
                <w:color w:val="000000" w:themeColor="text1"/>
                <w:lang w:val="en-AU"/>
              </w:rPr>
            </w:pPr>
            <w:r w:rsidRPr="00AA5CB5">
              <w:rPr>
                <w:color w:val="000000" w:themeColor="text1"/>
                <w:lang w:val="en-AU"/>
              </w:rPr>
              <w:t xml:space="preserve">CAIGO is required to uphold the emissions accounting principles by: </w:t>
            </w:r>
          </w:p>
        </w:tc>
      </w:tr>
      <w:tr w:rsidR="00165CF5" w:rsidRPr="00AA5CB5" w14:paraId="32E992C5"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76CE107B" w14:textId="77777777" w:rsidR="00165CF5" w:rsidRPr="00AA5CB5" w:rsidRDefault="00165CF5" w:rsidP="0007645E">
            <w:pPr>
              <w:rPr>
                <w:color w:val="000000" w:themeColor="text1"/>
                <w:lang w:val="en-AU"/>
              </w:rPr>
            </w:pPr>
            <w:r w:rsidRPr="00AA5CB5">
              <w:rPr>
                <w:color w:val="000000" w:themeColor="text1"/>
                <w:lang w:val="en-AU"/>
              </w:rPr>
              <w:t xml:space="preserve">Transparency </w:t>
            </w:r>
          </w:p>
        </w:tc>
        <w:tc>
          <w:tcPr>
            <w:tcW w:w="7904" w:type="dxa"/>
          </w:tcPr>
          <w:p w14:paraId="2E6CA6BF" w14:textId="2924B324" w:rsidR="005B15EB" w:rsidRPr="00AA5CB5" w:rsidRDefault="00371E51"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Analysing emissions and developing the </w:t>
            </w:r>
            <w:r w:rsidR="001807BA" w:rsidRPr="00AA5CB5">
              <w:rPr>
                <w:lang w:val="en-AU"/>
              </w:rPr>
              <w:t xml:space="preserve">NZGO APR </w:t>
            </w:r>
            <w:r w:rsidRPr="00AA5CB5">
              <w:rPr>
                <w:lang w:val="en-AU"/>
              </w:rPr>
              <w:t>which includes</w:t>
            </w:r>
            <w:r w:rsidR="005B15EB" w:rsidRPr="00AA5CB5">
              <w:rPr>
                <w:lang w:val="en-AU"/>
              </w:rPr>
              <w:t xml:space="preserve">: </w:t>
            </w:r>
          </w:p>
          <w:p w14:paraId="68C73E2F" w14:textId="67E1CB17" w:rsidR="005B15EB" w:rsidRPr="00AA5CB5" w:rsidRDefault="00371E51" w:rsidP="00DE1CC4">
            <w:pPr>
              <w:pStyle w:val="Tablebullet2"/>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GHG emissions inventories aggregated at a whole-of-Australian-Government level</w:t>
            </w:r>
            <w:r w:rsidR="00AB3B30">
              <w:rPr>
                <w:lang w:val="en-AU"/>
              </w:rPr>
              <w:t>.</w:t>
            </w:r>
          </w:p>
          <w:p w14:paraId="644DB99D" w14:textId="5FE55CEE" w:rsidR="005B15EB" w:rsidRPr="00AA5CB5" w:rsidRDefault="00371E51" w:rsidP="00DE1CC4">
            <w:pPr>
              <w:pStyle w:val="Tablebullet2"/>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reporting on the targets and measures from the NZGO Strategy</w:t>
            </w:r>
            <w:r w:rsidR="00AB3B30">
              <w:rPr>
                <w:lang w:val="en-AU"/>
              </w:rPr>
              <w:t>.</w:t>
            </w:r>
          </w:p>
          <w:p w14:paraId="7BA98F40" w14:textId="0E138081" w:rsidR="00165CF5" w:rsidRPr="00AA5CB5" w:rsidRDefault="00371E51" w:rsidP="00DE1CC4">
            <w:pPr>
              <w:pStyle w:val="Tablebullet2"/>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the aggregated performance across reporting agencies in achieving net zero.</w:t>
            </w:r>
            <w:r w:rsidR="00B8137C" w:rsidRPr="00AA5CB5">
              <w:rPr>
                <w:lang w:val="en-AU"/>
              </w:rPr>
              <w:t xml:space="preserve"> </w:t>
            </w:r>
          </w:p>
        </w:tc>
      </w:tr>
      <w:tr w:rsidR="00165CF5" w:rsidRPr="00AA5CB5" w14:paraId="21272A28"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45B0679B" w14:textId="77777777" w:rsidR="00165CF5" w:rsidRPr="00AA5CB5" w:rsidRDefault="00165CF5" w:rsidP="0007645E">
            <w:pPr>
              <w:rPr>
                <w:color w:val="000000" w:themeColor="text1"/>
                <w:lang w:val="en-AU"/>
              </w:rPr>
            </w:pPr>
            <w:r w:rsidRPr="00AA5CB5">
              <w:rPr>
                <w:color w:val="000000" w:themeColor="text1"/>
                <w:lang w:val="en-AU"/>
              </w:rPr>
              <w:t xml:space="preserve">Accuracy </w:t>
            </w:r>
          </w:p>
        </w:tc>
        <w:tc>
          <w:tcPr>
            <w:tcW w:w="7904" w:type="dxa"/>
          </w:tcPr>
          <w:p w14:paraId="2FA874DA" w14:textId="2DDABF2B" w:rsidR="00371E51" w:rsidRPr="00AA5CB5" w:rsidRDefault="00371E51"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Maintaining the Framework, including emissions factors and methodologies in consultation with the Department of Climate Change, Energy, the Environment and Water (DCCEEW).</w:t>
            </w:r>
          </w:p>
          <w:p w14:paraId="060C7518" w14:textId="3EE09E69" w:rsidR="00F76971" w:rsidRPr="00AA5CB5" w:rsidRDefault="00F76971" w:rsidP="00AA5CB5">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Enhancing the robustness and credibility of the activity data collected by prioritising emission</w:t>
            </w:r>
            <w:r w:rsidR="182DF200" w:rsidRPr="00AA5CB5">
              <w:rPr>
                <w:lang w:val="en-AU"/>
              </w:rPr>
              <w:t>s</w:t>
            </w:r>
            <w:r w:rsidRPr="00AA5CB5">
              <w:rPr>
                <w:lang w:val="en-AU"/>
              </w:rPr>
              <w:t xml:space="preserve"> sources that</w:t>
            </w:r>
            <w:r w:rsidR="004B65CC" w:rsidRPr="00AA5CB5">
              <w:rPr>
                <w:lang w:val="en-AU"/>
              </w:rPr>
              <w:t xml:space="preserve"> have</w:t>
            </w:r>
            <w:r w:rsidRPr="00AA5CB5">
              <w:rPr>
                <w:lang w:val="en-AU"/>
              </w:rPr>
              <w:t>:</w:t>
            </w:r>
          </w:p>
          <w:p w14:paraId="66F96BF0" w14:textId="77777777" w:rsidR="00121D3F" w:rsidRPr="00AA5CB5" w:rsidRDefault="00121D3F" w:rsidP="00DE1CC4">
            <w:pPr>
              <w:pStyle w:val="Tablebullet2"/>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the potential for a large quantity of GHG emissions from the source.</w:t>
            </w:r>
          </w:p>
          <w:p w14:paraId="61CBA52E" w14:textId="77777777" w:rsidR="00121D3F" w:rsidRPr="00AA5CB5" w:rsidRDefault="00121D3F" w:rsidP="00DE1CC4">
            <w:pPr>
              <w:pStyle w:val="Tablebullet2"/>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robust activity data, noting that with time, data quality and quantity is expected to improve as capability uplift improves. </w:t>
            </w:r>
          </w:p>
          <w:p w14:paraId="26F4BF8F" w14:textId="5137ABC3" w:rsidR="00F76971" w:rsidRPr="00AA5CB5" w:rsidRDefault="00F76971" w:rsidP="00DE1CC4">
            <w:pPr>
              <w:pStyle w:val="Tablebullet2"/>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easier data accessibility to reduce undue cost and effort to the reporting agencies.</w:t>
            </w:r>
          </w:p>
          <w:p w14:paraId="1B838F8F" w14:textId="0716CF35" w:rsidR="00721F01" w:rsidRPr="00AA5CB5" w:rsidRDefault="00F76971" w:rsidP="00AA5CB5">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Enhancing the robustness and credibility of the emissions inventory created by prioritising emission</w:t>
            </w:r>
            <w:r w:rsidR="5A17DAA4" w:rsidRPr="00AA5CB5">
              <w:rPr>
                <w:lang w:val="en-AU"/>
              </w:rPr>
              <w:t>s</w:t>
            </w:r>
            <w:r w:rsidRPr="00AA5CB5">
              <w:rPr>
                <w:lang w:val="en-AU"/>
              </w:rPr>
              <w:t xml:space="preserve"> sources that have robust emissions calculation methods and emission factors.</w:t>
            </w:r>
          </w:p>
        </w:tc>
      </w:tr>
      <w:tr w:rsidR="00165CF5" w:rsidRPr="00AA5CB5" w14:paraId="42BE35AD"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768905C3" w14:textId="77777777" w:rsidR="00165CF5" w:rsidRPr="00AA5CB5" w:rsidRDefault="00165CF5" w:rsidP="0007645E">
            <w:pPr>
              <w:rPr>
                <w:color w:val="000000" w:themeColor="text1"/>
                <w:lang w:val="en-AU"/>
              </w:rPr>
            </w:pPr>
            <w:r w:rsidRPr="00AA5CB5">
              <w:rPr>
                <w:color w:val="000000" w:themeColor="text1"/>
                <w:lang w:val="en-AU"/>
              </w:rPr>
              <w:t>Consistency</w:t>
            </w:r>
          </w:p>
        </w:tc>
        <w:tc>
          <w:tcPr>
            <w:tcW w:w="7904" w:type="dxa"/>
          </w:tcPr>
          <w:p w14:paraId="7CB2D546" w14:textId="77777777" w:rsidR="00A52214" w:rsidRPr="00AA5CB5" w:rsidRDefault="00A52214"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Validating activity data to ensure it meets adequate standards for use.</w:t>
            </w:r>
          </w:p>
          <w:p w14:paraId="7A9B7B24" w14:textId="49187831" w:rsidR="00743342" w:rsidRPr="00AA5CB5" w:rsidRDefault="00A52214"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Calculating emissions data from reporting agencies</w:t>
            </w:r>
            <w:r w:rsidR="00B30445">
              <w:rPr>
                <w:lang w:val="en-AU"/>
              </w:rPr>
              <w:t>.</w:t>
            </w:r>
            <w:r w:rsidRPr="00AA5CB5">
              <w:rPr>
                <w:lang w:val="en-AU"/>
              </w:rPr>
              <w:t xml:space="preserve"> </w:t>
            </w:r>
          </w:p>
          <w:p w14:paraId="68CAAF91" w14:textId="62BFFDF9" w:rsidR="00743342" w:rsidRPr="00AA5CB5" w:rsidRDefault="00743342"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Collating activity data from P</w:t>
            </w:r>
            <w:r w:rsidR="00EC7B77" w:rsidRPr="00AA5CB5">
              <w:rPr>
                <w:lang w:val="en-AU"/>
              </w:rPr>
              <w:t>roperty Service Providers</w:t>
            </w:r>
            <w:r w:rsidRPr="00AA5CB5">
              <w:rPr>
                <w:lang w:val="en-AU"/>
              </w:rPr>
              <w:t xml:space="preserve"> </w:t>
            </w:r>
            <w:r w:rsidR="00A82C17" w:rsidRPr="00AA5CB5">
              <w:rPr>
                <w:lang w:val="en-AU"/>
              </w:rPr>
              <w:t>(PSPs)</w:t>
            </w:r>
            <w:r w:rsidRPr="00AA5CB5">
              <w:rPr>
                <w:lang w:val="en-AU"/>
              </w:rPr>
              <w:t xml:space="preserve"> and </w:t>
            </w:r>
            <w:r w:rsidR="005413F5" w:rsidRPr="00AA5CB5">
              <w:rPr>
                <w:lang w:val="en-AU"/>
              </w:rPr>
              <w:t>Whole-of-Australian-Government</w:t>
            </w:r>
            <w:r w:rsidRPr="00AA5CB5">
              <w:rPr>
                <w:lang w:val="en-AU"/>
              </w:rPr>
              <w:t xml:space="preserve"> </w:t>
            </w:r>
            <w:r w:rsidR="002334A4" w:rsidRPr="00AA5CB5">
              <w:rPr>
                <w:lang w:val="en-AU"/>
              </w:rPr>
              <w:t>(</w:t>
            </w:r>
            <w:r w:rsidR="002E2BE2" w:rsidRPr="00AA5CB5">
              <w:rPr>
                <w:lang w:val="en-AU"/>
              </w:rPr>
              <w:t>WoAG</w:t>
            </w:r>
            <w:r w:rsidR="002334A4" w:rsidRPr="00AA5CB5">
              <w:rPr>
                <w:lang w:val="en-AU"/>
              </w:rPr>
              <w:t>)</w:t>
            </w:r>
            <w:r w:rsidRPr="00AA5CB5">
              <w:rPr>
                <w:lang w:val="en-AU"/>
              </w:rPr>
              <w:t xml:space="preserve"> arrangements and prefilling </w:t>
            </w:r>
            <w:r w:rsidR="006A2F60" w:rsidRPr="00AA5CB5">
              <w:rPr>
                <w:lang w:val="en-AU"/>
              </w:rPr>
              <w:t>Emission Reporting Tool</w:t>
            </w:r>
            <w:r w:rsidR="002D4517" w:rsidRPr="00AA5CB5">
              <w:rPr>
                <w:lang w:val="en-AU"/>
              </w:rPr>
              <w:t>s (</w:t>
            </w:r>
            <w:r w:rsidRPr="00AA5CB5">
              <w:rPr>
                <w:lang w:val="en-AU"/>
              </w:rPr>
              <w:t>ERTs</w:t>
            </w:r>
            <w:r w:rsidR="002D4517" w:rsidRPr="00AA5CB5">
              <w:rPr>
                <w:lang w:val="en-AU"/>
              </w:rPr>
              <w:t>)</w:t>
            </w:r>
            <w:r w:rsidRPr="00AA5CB5">
              <w:rPr>
                <w:lang w:val="en-AU"/>
              </w:rPr>
              <w:t xml:space="preserve"> with activity data, where available</w:t>
            </w:r>
            <w:r w:rsidR="00A05058" w:rsidRPr="00AA5CB5">
              <w:rPr>
                <w:lang w:val="en-AU"/>
              </w:rPr>
              <w:t>,</w:t>
            </w:r>
            <w:r w:rsidRPr="00AA5CB5">
              <w:rPr>
                <w:lang w:val="en-AU"/>
              </w:rPr>
              <w:t xml:space="preserve"> to reduce burden on both reporting agencies and the </w:t>
            </w:r>
            <w:r w:rsidR="00A82C17" w:rsidRPr="00AA5CB5">
              <w:rPr>
                <w:lang w:val="en-AU"/>
              </w:rPr>
              <w:t>PSP</w:t>
            </w:r>
            <w:r w:rsidR="002334A4" w:rsidRPr="00AA5CB5">
              <w:rPr>
                <w:lang w:val="en-AU"/>
              </w:rPr>
              <w:t>s</w:t>
            </w:r>
            <w:r w:rsidRPr="00AA5CB5">
              <w:rPr>
                <w:lang w:val="en-AU"/>
              </w:rPr>
              <w:t xml:space="preserve"> and </w:t>
            </w:r>
            <w:r w:rsidR="002E2BE2" w:rsidRPr="00AA5CB5">
              <w:rPr>
                <w:lang w:val="en-AU"/>
              </w:rPr>
              <w:t>WoAG</w:t>
            </w:r>
            <w:r w:rsidRPr="00AA5CB5">
              <w:rPr>
                <w:lang w:val="en-AU"/>
              </w:rPr>
              <w:t xml:space="preserve"> providers. Finance is not responsible for the accuracy of the activity </w:t>
            </w:r>
            <w:r w:rsidR="00D2154C" w:rsidRPr="00AA5CB5">
              <w:rPr>
                <w:lang w:val="en-AU"/>
              </w:rPr>
              <w:t>data but</w:t>
            </w:r>
            <w:r w:rsidR="008F5C6F" w:rsidRPr="00AA5CB5">
              <w:rPr>
                <w:lang w:val="en-AU"/>
              </w:rPr>
              <w:t xml:space="preserve"> is responsible for the emissions calculations. </w:t>
            </w:r>
          </w:p>
        </w:tc>
      </w:tr>
      <w:tr w:rsidR="00165CF5" w:rsidRPr="00AA5CB5" w14:paraId="1FA2DF87"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161E0C2F" w14:textId="77777777" w:rsidR="00165CF5" w:rsidRPr="00AA5CB5" w:rsidRDefault="00165CF5" w:rsidP="0007645E">
            <w:pPr>
              <w:rPr>
                <w:color w:val="000000" w:themeColor="text1"/>
                <w:lang w:val="en-AU"/>
              </w:rPr>
            </w:pPr>
            <w:r w:rsidRPr="00AA5CB5">
              <w:rPr>
                <w:color w:val="000000" w:themeColor="text1"/>
                <w:lang w:val="en-AU"/>
              </w:rPr>
              <w:t>Comparability</w:t>
            </w:r>
          </w:p>
        </w:tc>
        <w:tc>
          <w:tcPr>
            <w:tcW w:w="7904" w:type="dxa"/>
          </w:tcPr>
          <w:p w14:paraId="5305E326" w14:textId="77777777" w:rsidR="00A52214" w:rsidRPr="00AA5CB5" w:rsidRDefault="00A52214" w:rsidP="005B07A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Providing reporting agencies with advice and guidance, including a helpdesk, user manual, and other support services.</w:t>
            </w:r>
          </w:p>
          <w:p w14:paraId="23E815E7" w14:textId="0B35405D" w:rsidR="00A52214" w:rsidRPr="00AA5CB5" w:rsidRDefault="00A52214" w:rsidP="005B07A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Streamlining the decision-making process, ensuring that reporting agencies focus on relevant and significant emission</w:t>
            </w:r>
            <w:r w:rsidR="1BFE7BAC" w:rsidRPr="00AA5CB5">
              <w:rPr>
                <w:lang w:val="en-AU"/>
              </w:rPr>
              <w:t>s</w:t>
            </w:r>
            <w:r w:rsidRPr="00AA5CB5">
              <w:rPr>
                <w:lang w:val="en-AU"/>
              </w:rPr>
              <w:t xml:space="preserve"> sources </w:t>
            </w:r>
            <w:r w:rsidR="00DF63F5" w:rsidRPr="00AA5CB5">
              <w:rPr>
                <w:lang w:val="en-AU"/>
              </w:rPr>
              <w:t>minimi</w:t>
            </w:r>
            <w:r w:rsidR="00A316A6" w:rsidRPr="00AA5CB5">
              <w:rPr>
                <w:lang w:val="en-AU"/>
              </w:rPr>
              <w:t>s</w:t>
            </w:r>
            <w:r w:rsidR="00DF63F5" w:rsidRPr="00AA5CB5">
              <w:rPr>
                <w:lang w:val="en-AU"/>
              </w:rPr>
              <w:t xml:space="preserve">ing </w:t>
            </w:r>
            <w:r w:rsidRPr="00AA5CB5">
              <w:rPr>
                <w:lang w:val="en-AU"/>
              </w:rPr>
              <w:t>duplication of effort or discrepancies.</w:t>
            </w:r>
          </w:p>
          <w:p w14:paraId="669F0752" w14:textId="0E4BA1C0" w:rsidR="00B8137C" w:rsidRPr="00AA5CB5" w:rsidRDefault="00B8137C" w:rsidP="005B07A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Maintaining the relevant</w:t>
            </w:r>
            <w:r w:rsidR="003A7086" w:rsidRPr="00AA5CB5">
              <w:rPr>
                <w:lang w:val="en-AU"/>
              </w:rPr>
              <w:t xml:space="preserve"> Resource Management Guide</w:t>
            </w:r>
            <w:r w:rsidRPr="00AA5CB5">
              <w:rPr>
                <w:lang w:val="en-AU"/>
              </w:rPr>
              <w:t xml:space="preserve"> </w:t>
            </w:r>
            <w:r w:rsidR="003A7086" w:rsidRPr="00AA5CB5">
              <w:rPr>
                <w:lang w:val="en-AU"/>
              </w:rPr>
              <w:t>(</w:t>
            </w:r>
            <w:r w:rsidRPr="00AA5CB5">
              <w:rPr>
                <w:lang w:val="en-AU"/>
              </w:rPr>
              <w:t>RMG</w:t>
            </w:r>
            <w:r w:rsidR="003A7086" w:rsidRPr="00AA5CB5">
              <w:rPr>
                <w:lang w:val="en-AU"/>
              </w:rPr>
              <w:t>)</w:t>
            </w:r>
            <w:r w:rsidRPr="00AA5CB5">
              <w:rPr>
                <w:lang w:val="en-AU"/>
              </w:rPr>
              <w:t xml:space="preserve"> </w:t>
            </w:r>
            <w:r w:rsidR="00DE1CC4" w:rsidRPr="00AA5CB5">
              <w:rPr>
                <w:lang w:val="en-AU"/>
              </w:rPr>
              <w:t xml:space="preserve">documents </w:t>
            </w:r>
            <w:r w:rsidRPr="00AA5CB5">
              <w:rPr>
                <w:lang w:val="en-AU"/>
              </w:rPr>
              <w:t>and associated webpages.</w:t>
            </w:r>
          </w:p>
          <w:p w14:paraId="16B7AE35" w14:textId="2AD0E686" w:rsidR="00165CF5" w:rsidRPr="00AA5CB5" w:rsidRDefault="00A52214" w:rsidP="005B07A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Producing emissions inventory tables on behalf of reporting agencies, for agency verification and sign off.</w:t>
            </w:r>
          </w:p>
        </w:tc>
      </w:tr>
      <w:tr w:rsidR="00165CF5" w:rsidRPr="00AA5CB5" w14:paraId="5F5FF5FB"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615" w:type="dxa"/>
            <w:hideMark/>
          </w:tcPr>
          <w:p w14:paraId="46660154" w14:textId="77777777" w:rsidR="00165CF5" w:rsidRPr="00AA5CB5" w:rsidRDefault="00165CF5" w:rsidP="0007645E">
            <w:pPr>
              <w:rPr>
                <w:color w:val="000000" w:themeColor="text1"/>
                <w:lang w:val="en-AU"/>
              </w:rPr>
            </w:pPr>
            <w:r w:rsidRPr="00AA5CB5">
              <w:rPr>
                <w:color w:val="000000" w:themeColor="text1"/>
                <w:lang w:val="en-AU"/>
              </w:rPr>
              <w:t xml:space="preserve">Completeness </w:t>
            </w:r>
          </w:p>
        </w:tc>
        <w:tc>
          <w:tcPr>
            <w:tcW w:w="7904" w:type="dxa"/>
          </w:tcPr>
          <w:p w14:paraId="0E72A63C" w14:textId="60117A9C" w:rsidR="00165CF5" w:rsidRPr="00AA5CB5" w:rsidRDefault="00C20C35"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Working with defence and security agencies </w:t>
            </w:r>
            <w:r w:rsidR="00567850" w:rsidRPr="00AA5CB5">
              <w:rPr>
                <w:lang w:val="en-AU"/>
              </w:rPr>
              <w:t xml:space="preserve">to have the most </w:t>
            </w:r>
            <w:r w:rsidR="006A582A" w:rsidRPr="00AA5CB5">
              <w:rPr>
                <w:lang w:val="en-AU"/>
              </w:rPr>
              <w:t xml:space="preserve">accurate and </w:t>
            </w:r>
            <w:r w:rsidR="00567850" w:rsidRPr="00AA5CB5">
              <w:rPr>
                <w:lang w:val="en-AU"/>
              </w:rPr>
              <w:t xml:space="preserve">complete reporting as possible, where it does not compromise national security. </w:t>
            </w:r>
          </w:p>
        </w:tc>
      </w:tr>
      <w:tr w:rsidR="00165CF5" w:rsidRPr="00AA5CB5" w14:paraId="49F0DF59" w14:textId="77777777" w:rsidTr="1C1C507E">
        <w:trPr>
          <w:trHeight w:val="20"/>
        </w:trPr>
        <w:tc>
          <w:tcPr>
            <w:cnfStyle w:val="001000000000" w:firstRow="0" w:lastRow="0" w:firstColumn="1" w:lastColumn="0" w:oddVBand="0" w:evenVBand="0" w:oddHBand="0" w:evenHBand="0" w:firstRowFirstColumn="0" w:firstRowLastColumn="0" w:lastRowFirstColumn="0" w:lastRowLastColumn="0"/>
            <w:tcW w:w="1615" w:type="dxa"/>
          </w:tcPr>
          <w:p w14:paraId="00C95E66" w14:textId="40ACB6A4" w:rsidR="00165CF5" w:rsidRPr="00AA5CB5" w:rsidRDefault="00165CF5" w:rsidP="0007645E">
            <w:pPr>
              <w:rPr>
                <w:color w:val="000000" w:themeColor="text1"/>
                <w:lang w:val="en-AU"/>
              </w:rPr>
            </w:pPr>
            <w:r w:rsidRPr="00AA5CB5">
              <w:rPr>
                <w:color w:val="000000" w:themeColor="text1"/>
                <w:lang w:val="en-AU"/>
              </w:rPr>
              <w:t xml:space="preserve">Relevance </w:t>
            </w:r>
          </w:p>
        </w:tc>
        <w:tc>
          <w:tcPr>
            <w:tcW w:w="7904" w:type="dxa"/>
          </w:tcPr>
          <w:p w14:paraId="3AEE3F72" w14:textId="3427A66C" w:rsidR="00371E51" w:rsidRPr="00AA5CB5" w:rsidRDefault="00371E51" w:rsidP="005B07A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Determining relevant emission</w:t>
            </w:r>
            <w:r w:rsidR="65F2E2C9" w:rsidRPr="00AA5CB5">
              <w:rPr>
                <w:lang w:val="en-AU"/>
              </w:rPr>
              <w:t>s</w:t>
            </w:r>
            <w:r w:rsidRPr="00AA5CB5">
              <w:rPr>
                <w:lang w:val="en-AU"/>
              </w:rPr>
              <w:t xml:space="preserve"> sources from Australian Government operations to ensure that all reporting agencies adhere to the same criteria for </w:t>
            </w:r>
            <w:r w:rsidR="00964492" w:rsidRPr="00AA5CB5">
              <w:rPr>
                <w:lang w:val="en-AU"/>
              </w:rPr>
              <w:t>comparability and completeness</w:t>
            </w:r>
            <w:r w:rsidRPr="00AA5CB5">
              <w:rPr>
                <w:lang w:val="en-AU"/>
              </w:rPr>
              <w:t>.</w:t>
            </w:r>
          </w:p>
          <w:p w14:paraId="4D04BDC4" w14:textId="02333851" w:rsidR="00165CF5" w:rsidRPr="00AA5CB5" w:rsidRDefault="00B8137C" w:rsidP="005E1D9F">
            <w:pPr>
              <w:pStyle w:val="Tablebulle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Considering the needs of the intended users when creating the Framework.</w:t>
            </w:r>
          </w:p>
        </w:tc>
      </w:tr>
    </w:tbl>
    <w:p w14:paraId="7C4ABF88" w14:textId="7DF0B11F" w:rsidR="00D752BA" w:rsidRPr="00AA5CB5" w:rsidRDefault="001403D7" w:rsidP="00356C20">
      <w:pPr>
        <w:pStyle w:val="Heading1"/>
      </w:pPr>
      <w:bookmarkStart w:id="31" w:name="_Toc201927335"/>
      <w:r>
        <w:lastRenderedPageBreak/>
        <w:t xml:space="preserve">Framework </w:t>
      </w:r>
      <w:bookmarkEnd w:id="17"/>
      <w:bookmarkEnd w:id="18"/>
      <w:bookmarkEnd w:id="19"/>
      <w:bookmarkEnd w:id="20"/>
      <w:bookmarkEnd w:id="29"/>
      <w:r w:rsidR="00361A4B">
        <w:t>b</w:t>
      </w:r>
      <w:r w:rsidR="00D752BA" w:rsidRPr="00AA5CB5">
        <w:t>oundary</w:t>
      </w:r>
      <w:bookmarkEnd w:id="31"/>
      <w:r w:rsidR="00D752BA" w:rsidRPr="00AA5CB5">
        <w:t xml:space="preserve"> </w:t>
      </w:r>
    </w:p>
    <w:p w14:paraId="465741A3" w14:textId="77777777" w:rsidR="00814F0D" w:rsidRPr="00AA5CB5" w:rsidRDefault="00814F0D" w:rsidP="00C46888">
      <w:pPr>
        <w:pStyle w:val="Heading2"/>
        <w:rPr>
          <w:rFonts w:ascii="Arial" w:hAnsi="Arial"/>
        </w:rPr>
      </w:pPr>
      <w:bookmarkStart w:id="32" w:name="_Toc197426914"/>
      <w:bookmarkStart w:id="33" w:name="_Toc197438579"/>
      <w:bookmarkStart w:id="34" w:name="_Toc201927336"/>
      <w:r w:rsidRPr="00AA5CB5">
        <w:t>International context</w:t>
      </w:r>
      <w:bookmarkEnd w:id="32"/>
      <w:bookmarkEnd w:id="33"/>
      <w:bookmarkEnd w:id="34"/>
    </w:p>
    <w:p w14:paraId="7ECD09D6" w14:textId="7E5225A5" w:rsidR="000D0E7C" w:rsidRPr="00AA5CB5" w:rsidRDefault="00A512AE" w:rsidP="000D0E7C">
      <w:pPr>
        <w:pStyle w:val="BodyText1"/>
      </w:pPr>
      <w:r w:rsidRPr="00AA5CB5">
        <w:t xml:space="preserve">Australia’s NDC </w:t>
      </w:r>
      <w:r w:rsidR="0002343A">
        <w:t>and</w:t>
      </w:r>
      <w:r w:rsidRPr="00AA5CB5">
        <w:t xml:space="preserve"> the NZGO Strategy do not include activities</w:t>
      </w:r>
      <w:r w:rsidR="00814F0D" w:rsidRPr="00AA5CB5">
        <w:t xml:space="preserve"> that take place outside of Australia or its territories</w:t>
      </w:r>
      <w:r w:rsidR="00905D11">
        <w:t>,</w:t>
      </w:r>
      <w:r w:rsidR="00814F0D" w:rsidRPr="00AA5CB5">
        <w:t xml:space="preserve"> </w:t>
      </w:r>
      <w:r w:rsidRPr="00AA5CB5">
        <w:t>such as</w:t>
      </w:r>
      <w:r w:rsidR="000D0E7C" w:rsidRPr="00AA5CB5">
        <w:t xml:space="preserve"> i</w:t>
      </w:r>
      <w:r w:rsidR="004B40F7" w:rsidRPr="00AA5CB5">
        <w:t xml:space="preserve">nternational air and international marine travel. </w:t>
      </w:r>
      <w:r w:rsidR="00767962">
        <w:t xml:space="preserve">However, </w:t>
      </w:r>
      <w:r w:rsidR="000D0E7C" w:rsidRPr="00AA5CB5">
        <w:t xml:space="preserve">Activities that take place under Australia’s Antarctic program, or in Australia’s external territories are included.  </w:t>
      </w:r>
    </w:p>
    <w:p w14:paraId="24A87E80" w14:textId="14543A14" w:rsidR="00814F0D" w:rsidRPr="00AA5CB5" w:rsidRDefault="00635B70" w:rsidP="00F833EF">
      <w:pPr>
        <w:pStyle w:val="BodyText1"/>
      </w:pPr>
      <w:r w:rsidRPr="00AA5CB5">
        <w:t>In accordance with the NZGO Strategy, r</w:t>
      </w:r>
      <w:r w:rsidR="00814F0D" w:rsidRPr="00AA5CB5">
        <w:t>eporting agencies that undertake activities</w:t>
      </w:r>
      <w:r w:rsidR="000D0E7C" w:rsidRPr="00AA5CB5">
        <w:t xml:space="preserve"> outside of Australia or its territories</w:t>
      </w:r>
      <w:r w:rsidR="00814F0D" w:rsidRPr="00AA5CB5">
        <w:t xml:space="preserve"> will act as appropriate to reduce their emissions in the relevant local context as an aspirational goal for the Australian Government to demonstrate leadership and advance Australia’s climate diplomacy objectives. </w:t>
      </w:r>
    </w:p>
    <w:p w14:paraId="4E4993D0" w14:textId="49EB261B" w:rsidR="00C72EF5" w:rsidRPr="00AA5CB5" w:rsidRDefault="00C72EF5" w:rsidP="00C46888">
      <w:pPr>
        <w:pStyle w:val="Heading2"/>
        <w:rPr>
          <w:rFonts w:ascii="Arial" w:hAnsi="Arial"/>
        </w:rPr>
      </w:pPr>
      <w:bookmarkStart w:id="35" w:name="_Toc197426915"/>
      <w:bookmarkStart w:id="36" w:name="_Toc197438580"/>
      <w:bookmarkStart w:id="37" w:name="_Toc201927337"/>
      <w:r w:rsidRPr="00AA5CB5">
        <w:rPr>
          <w:rStyle w:val="normaltextrun"/>
          <w:color w:val="auto"/>
        </w:rPr>
        <w:t xml:space="preserve">Organisational boundaries using </w:t>
      </w:r>
      <w:r w:rsidR="00DE1CC4" w:rsidRPr="00AA5CB5">
        <w:rPr>
          <w:rStyle w:val="normaltextrun"/>
          <w:color w:val="auto"/>
        </w:rPr>
        <w:t xml:space="preserve">the </w:t>
      </w:r>
      <w:r w:rsidRPr="00AA5CB5">
        <w:rPr>
          <w:rStyle w:val="normaltextrun"/>
          <w:color w:val="auto"/>
        </w:rPr>
        <w:t>operational control approach</w:t>
      </w:r>
      <w:bookmarkEnd w:id="35"/>
      <w:bookmarkEnd w:id="36"/>
      <w:bookmarkEnd w:id="37"/>
      <w:r w:rsidRPr="00AA5CB5">
        <w:rPr>
          <w:rStyle w:val="normaltextrun"/>
          <w:color w:val="auto"/>
        </w:rPr>
        <w:t xml:space="preserve"> </w:t>
      </w:r>
    </w:p>
    <w:p w14:paraId="77B873BE" w14:textId="43D9E92A" w:rsidR="00C72EF5" w:rsidRPr="00AA5CB5" w:rsidRDefault="00F6403F" w:rsidP="00C72EF5">
      <w:pPr>
        <w:pStyle w:val="BodyText1"/>
      </w:pPr>
      <w:r w:rsidRPr="00AA5CB5">
        <w:t>The</w:t>
      </w:r>
      <w:r w:rsidR="00EE6E7D" w:rsidRPr="00AA5CB5">
        <w:t xml:space="preserve"> operational control approach</w:t>
      </w:r>
      <w:bookmarkStart w:id="38" w:name="_Hlk198553265"/>
      <w:r w:rsidRPr="00AA5CB5">
        <w:t xml:space="preserve"> boundary</w:t>
      </w:r>
      <w:r w:rsidR="00C72EF5" w:rsidRPr="00AA5CB5">
        <w:t xml:space="preserve"> </w:t>
      </w:r>
      <w:r w:rsidR="2C3D4113" w:rsidRPr="00AA5CB5">
        <w:t>is w</w:t>
      </w:r>
      <w:r w:rsidRPr="00AA5CB5">
        <w:t xml:space="preserve">here </w:t>
      </w:r>
      <w:r w:rsidR="00C72EF5" w:rsidRPr="00AA5CB5">
        <w:t xml:space="preserve">the reporting agency has full authority to introduce </w:t>
      </w:r>
      <w:r w:rsidR="009837A4" w:rsidRPr="00AA5CB5">
        <w:t>and</w:t>
      </w:r>
      <w:r w:rsidR="00C72EF5" w:rsidRPr="00AA5CB5">
        <w:t xml:space="preserve"> implement its own operating policies and procedures, and/or has the ability to influence the number of emissions resulting from its daily operations. </w:t>
      </w:r>
      <w:bookmarkEnd w:id="38"/>
    </w:p>
    <w:p w14:paraId="7A3D306A" w14:textId="1F761871" w:rsidR="00C72EF5" w:rsidRPr="00AA5CB5" w:rsidRDefault="00983E45" w:rsidP="00C72EF5">
      <w:pPr>
        <w:pStyle w:val="BodyText1"/>
      </w:pPr>
      <w:r w:rsidRPr="00AA5CB5">
        <w:t>This includes operations carried out by any person on behalf of the reporting agency, including employees, contractors, subcontractors, apprentices, trainees, students, volunteers and anyone else who performs work for the reporting entity</w:t>
      </w:r>
      <w:r w:rsidR="00C72EF5" w:rsidRPr="00AA5CB5">
        <w:t>.</w:t>
      </w:r>
      <w:r w:rsidR="009837A4" w:rsidRPr="00AA5CB5">
        <w:t xml:space="preserve"> </w:t>
      </w:r>
    </w:p>
    <w:p w14:paraId="76CF82C0" w14:textId="77777777" w:rsidR="00B84A15" w:rsidRPr="00AA5CB5" w:rsidRDefault="00E817E0" w:rsidP="00E817E0">
      <w:pPr>
        <w:pStyle w:val="BodyText1"/>
      </w:pPr>
      <w:r w:rsidRPr="00AA5CB5">
        <w:t xml:space="preserve">The operational control approach is used to set organisational boundaries within Australia and its external territories. By adopting the operational control approach, reporting agencies account for 100% of the GHG emissions from operations over which they have control. </w:t>
      </w:r>
    </w:p>
    <w:p w14:paraId="48BA3540" w14:textId="043620E0" w:rsidR="00E817E0" w:rsidRPr="00AA5CB5" w:rsidRDefault="003934DA" w:rsidP="00E817E0">
      <w:pPr>
        <w:pStyle w:val="BodyText1"/>
      </w:pPr>
      <w:r w:rsidRPr="00AA5CB5">
        <w:t xml:space="preserve">The Framework does not use </w:t>
      </w:r>
      <w:r w:rsidR="00F061FA">
        <w:t xml:space="preserve">a </w:t>
      </w:r>
      <w:r w:rsidRPr="00AA5CB5">
        <w:t>financial control approach to determine organisational boundaries.</w:t>
      </w:r>
    </w:p>
    <w:p w14:paraId="3193858F" w14:textId="38F9FA97" w:rsidR="00C72EF5" w:rsidRPr="00AA5CB5" w:rsidRDefault="00B60F05" w:rsidP="00C72EF5">
      <w:pPr>
        <w:pStyle w:val="BodyText1"/>
      </w:pPr>
      <w:r w:rsidRPr="00AA5CB5">
        <w:t>T</w:t>
      </w:r>
      <w:r w:rsidR="00C72EF5" w:rsidRPr="00AA5CB5">
        <w:t>he possibility of double counting within and across reporting agencies can be difficult to remove completely</w:t>
      </w:r>
      <w:r w:rsidR="00950A3D">
        <w:t>. T</w:t>
      </w:r>
      <w:r w:rsidR="00A512AE" w:rsidRPr="00AA5CB5">
        <w:t>he</w:t>
      </w:r>
      <w:r w:rsidR="00C72EF5" w:rsidRPr="00AA5CB5">
        <w:t xml:space="preserve"> occurrence of double counting does not diminish the importance of the information reported and corrections can be made in future reports. </w:t>
      </w:r>
      <w:r w:rsidR="00686400" w:rsidRPr="00AA5CB5">
        <w:t xml:space="preserve">The possibility of double counting can be reduced by determining operational control between reporting agencies. </w:t>
      </w:r>
    </w:p>
    <w:p w14:paraId="037791D3" w14:textId="5E1A9753" w:rsidR="00C72EF5" w:rsidRPr="00AA5CB5" w:rsidRDefault="00C72EF5" w:rsidP="00C72EF5">
      <w:pPr>
        <w:pStyle w:val="Heading3"/>
      </w:pPr>
      <w:bookmarkStart w:id="39" w:name="_Toc197426916"/>
      <w:bookmarkStart w:id="40" w:name="_Toc197438581"/>
      <w:r w:rsidRPr="00AA5CB5">
        <w:t xml:space="preserve">Determining a reporting agency’s obligations using </w:t>
      </w:r>
      <w:r w:rsidR="00C16490" w:rsidRPr="00AA5CB5">
        <w:t xml:space="preserve">the </w:t>
      </w:r>
      <w:r w:rsidRPr="00AA5CB5">
        <w:t>operational control approach</w:t>
      </w:r>
      <w:bookmarkEnd w:id="39"/>
      <w:bookmarkEnd w:id="40"/>
    </w:p>
    <w:p w14:paraId="1D21FB16" w14:textId="67209520" w:rsidR="00C72EF5" w:rsidRPr="00AA5CB5" w:rsidRDefault="00C72EF5" w:rsidP="00C72EF5">
      <w:pPr>
        <w:pStyle w:val="BodyText1"/>
      </w:pPr>
      <w:r w:rsidRPr="00AA5CB5">
        <w:t xml:space="preserve">The concept of operational control is central to determining a reporting agency’s obligations. </w:t>
      </w:r>
    </w:p>
    <w:p w14:paraId="3BAA2DA5" w14:textId="66F082CD" w:rsidR="00C72EF5" w:rsidRPr="00AA5CB5" w:rsidRDefault="001230DC" w:rsidP="00C72EF5">
      <w:pPr>
        <w:pStyle w:val="BodyText1"/>
      </w:pPr>
      <w:r w:rsidRPr="00AA5CB5">
        <w:t>Operational control is deemed to be present when the reporting agenc</w:t>
      </w:r>
      <w:r w:rsidR="00F06D34" w:rsidRPr="00AA5CB5">
        <w:t>y has</w:t>
      </w:r>
      <w:r w:rsidRPr="00AA5CB5">
        <w:t xml:space="preserve"> the authority to implement the following</w:t>
      </w:r>
      <w:r w:rsidR="00C72EF5" w:rsidRPr="00AA5CB5">
        <w:t xml:space="preserve">: </w:t>
      </w:r>
    </w:p>
    <w:p w14:paraId="0AA5E4B1" w14:textId="77777777" w:rsidR="00C72EF5" w:rsidRPr="00AA5CB5" w:rsidRDefault="00C72EF5" w:rsidP="00C72EF5">
      <w:pPr>
        <w:pStyle w:val="Bodybullet1"/>
      </w:pPr>
      <w:r w:rsidRPr="00AA5CB5">
        <w:t xml:space="preserve">operating policies (for example hours of operation, production processes, staff training, procurement) </w:t>
      </w:r>
    </w:p>
    <w:p w14:paraId="1943144C" w14:textId="77777777" w:rsidR="00C72EF5" w:rsidRPr="00AA5CB5" w:rsidRDefault="00C72EF5" w:rsidP="00C72EF5">
      <w:pPr>
        <w:pStyle w:val="Bodybullet1"/>
      </w:pPr>
      <w:r w:rsidRPr="00AA5CB5">
        <w:lastRenderedPageBreak/>
        <w:t xml:space="preserve">health and safety policies (for example evacuation procedures, protective clothing requirements, incident reporting) </w:t>
      </w:r>
    </w:p>
    <w:p w14:paraId="3D6E71B7" w14:textId="77777777" w:rsidR="00C72EF5" w:rsidRPr="00AA5CB5" w:rsidRDefault="00C72EF5" w:rsidP="00DF55FB">
      <w:pPr>
        <w:pStyle w:val="Bodybullet1"/>
        <w:jc w:val="both"/>
      </w:pPr>
      <w:r w:rsidRPr="00AA5CB5">
        <w:t>environmental policies (for example waste disposal, energy use, GHG management).</w:t>
      </w:r>
    </w:p>
    <w:p w14:paraId="510D459B" w14:textId="77777777" w:rsidR="00C72EF5" w:rsidRPr="00AA5CB5" w:rsidRDefault="00C72EF5" w:rsidP="00C72EF5">
      <w:r w:rsidRPr="00AA5CB5">
        <w:t>OR</w:t>
      </w:r>
    </w:p>
    <w:p w14:paraId="05343A22" w14:textId="77777777" w:rsidR="00C72EF5" w:rsidRPr="00AA5CB5" w:rsidRDefault="00C72EF5" w:rsidP="00C72EF5">
      <w:pPr>
        <w:pStyle w:val="Bodybullet1"/>
      </w:pPr>
      <w:r w:rsidRPr="00AA5CB5">
        <w:t>Where more than one agency has the authority to introduce and implement any or all of the policies mentioned above, the agency that has the greatest authority to introduce and implement the operating and environmental policies has operational control over the facility.</w:t>
      </w:r>
    </w:p>
    <w:p w14:paraId="3FA6D044" w14:textId="77777777" w:rsidR="00C72EF5" w:rsidRPr="00AA5CB5" w:rsidRDefault="00C72EF5" w:rsidP="00C72EF5">
      <w:r w:rsidRPr="00AA5CB5">
        <w:t>OR</w:t>
      </w:r>
    </w:p>
    <w:p w14:paraId="7D909718" w14:textId="3CED29FF" w:rsidR="00C72EF5" w:rsidRPr="00AA5CB5" w:rsidRDefault="00C72EF5" w:rsidP="00C72EF5">
      <w:pPr>
        <w:pStyle w:val="Bodybullet1"/>
      </w:pPr>
      <w:r w:rsidRPr="00AA5CB5">
        <w:t>In cases where neither of the above can be determined, Finance, in consultation with the reporting agencies, will help to determine</w:t>
      </w:r>
      <w:r w:rsidR="008B446D" w:rsidRPr="00AA5CB5">
        <w:t xml:space="preserve"> which</w:t>
      </w:r>
      <w:r w:rsidRPr="00AA5CB5">
        <w:t xml:space="preserve"> reporting agency </w:t>
      </w:r>
      <w:r w:rsidR="008B446D" w:rsidRPr="00AA5CB5">
        <w:t>has</w:t>
      </w:r>
      <w:r w:rsidRPr="00AA5CB5">
        <w:t xml:space="preserve"> operational control over the facility. This may occur where more than one agency has the authority to introduce and implement any or all of the policies mentioned above, and no one agency has the greatest authority to introduce and implement operating and environmental policies. </w:t>
      </w:r>
    </w:p>
    <w:p w14:paraId="2F015E1E" w14:textId="77777777" w:rsidR="00C72EF5" w:rsidRPr="00AA5CB5" w:rsidRDefault="00C72EF5" w:rsidP="00C72EF5">
      <w:pPr>
        <w:pStyle w:val="Heading3"/>
      </w:pPr>
      <w:bookmarkStart w:id="41" w:name="_Toc197426917"/>
      <w:bookmarkStart w:id="42" w:name="_Toc197438582"/>
      <w:r w:rsidRPr="00AA5CB5">
        <w:t>Operational Control Scorecard</w:t>
      </w:r>
      <w:bookmarkEnd w:id="41"/>
      <w:bookmarkEnd w:id="42"/>
    </w:p>
    <w:p w14:paraId="62847C0A" w14:textId="62F77F7E" w:rsidR="00C72EF5" w:rsidRPr="00AA5CB5" w:rsidRDefault="00C72EF5" w:rsidP="00C72EF5">
      <w:pPr>
        <w:pStyle w:val="BodyText1"/>
      </w:pPr>
      <w:r w:rsidRPr="00AA5CB5">
        <w:t>The Operational Control Scorecard is a tool designed to help reporting agencies assess and determine which agency holds operational control over a facility and associated assets. It evaluates the extent of authority an agency has in implementing operating, health and safety, and environmental policies. This scorecard is used to ensure accurate emissions reporting where there are multiple reporting agencies with the authority to introduce and implement policies. The scorecard can be found in</w:t>
      </w:r>
      <w:r w:rsidR="005831F2" w:rsidRPr="00AA5CB5">
        <w:t xml:space="preserve"> </w:t>
      </w:r>
      <w:r w:rsidR="00881FD4" w:rsidRPr="009C5BFE">
        <w:rPr>
          <w:rStyle w:val="Hyperlink1"/>
          <w:highlight w:val="cyan"/>
        </w:rPr>
        <w:fldChar w:fldCharType="begin"/>
      </w:r>
      <w:r w:rsidR="00881FD4" w:rsidRPr="009C5BFE">
        <w:rPr>
          <w:rStyle w:val="Hyperlink1"/>
        </w:rPr>
        <w:instrText xml:space="preserve"> REF _Ref197436842 \h </w:instrText>
      </w:r>
      <w:r w:rsidR="009C5BFE">
        <w:rPr>
          <w:rStyle w:val="Hyperlink1"/>
          <w:highlight w:val="cyan"/>
        </w:rPr>
        <w:instrText xml:space="preserve"> \* MERGEFORMAT </w:instrText>
      </w:r>
      <w:r w:rsidR="00881FD4" w:rsidRPr="009C5BFE">
        <w:rPr>
          <w:rStyle w:val="Hyperlink1"/>
          <w:highlight w:val="cyan"/>
        </w:rPr>
      </w:r>
      <w:r w:rsidR="00881FD4" w:rsidRPr="009C5BFE">
        <w:rPr>
          <w:rStyle w:val="Hyperlink1"/>
          <w:highlight w:val="cyan"/>
        </w:rPr>
        <w:fldChar w:fldCharType="separate"/>
      </w:r>
      <w:r w:rsidR="00422A37" w:rsidRPr="00422A37">
        <w:rPr>
          <w:rStyle w:val="Hyperlink1"/>
        </w:rPr>
        <w:t>Annex B: Operational Control Scorecard</w:t>
      </w:r>
      <w:r w:rsidR="00881FD4" w:rsidRPr="009C5BFE">
        <w:rPr>
          <w:rStyle w:val="Hyperlink1"/>
          <w:highlight w:val="cyan"/>
        </w:rPr>
        <w:fldChar w:fldCharType="end"/>
      </w:r>
      <w:r w:rsidR="00881FD4" w:rsidRPr="00AA5CB5">
        <w:t xml:space="preserve">. </w:t>
      </w:r>
    </w:p>
    <w:p w14:paraId="2C3D8A25" w14:textId="6897702B" w:rsidR="00DE3A2B" w:rsidRPr="00AA5CB5" w:rsidRDefault="00C72EF5" w:rsidP="00C72EF5">
      <w:pPr>
        <w:pStyle w:val="BodyText1"/>
      </w:pPr>
      <w:r w:rsidRPr="00AA5CB5">
        <w:t>The Operational Control Scorecard can</w:t>
      </w:r>
      <w:r w:rsidR="00977AEE" w:rsidRPr="00AA5CB5">
        <w:t xml:space="preserve"> </w:t>
      </w:r>
      <w:r w:rsidRPr="00AA5CB5">
        <w:t>be used where Machinery of Government changes occurred, or reporting agencies ceased operations within the reporting period. Reporting agencies are encouraged to seek advice from Finance to ensure that data is attributed to the appropriate reporting agency in the event of a Machinery of Government change.</w:t>
      </w:r>
    </w:p>
    <w:p w14:paraId="6302A348" w14:textId="77777777" w:rsidR="00FC5A72" w:rsidRPr="00AA5CB5" w:rsidRDefault="00FC5A72" w:rsidP="00C46888">
      <w:pPr>
        <w:pStyle w:val="Heading2"/>
      </w:pPr>
      <w:bookmarkStart w:id="43" w:name="_Toc197426918"/>
      <w:bookmarkStart w:id="44" w:name="_Toc197438583"/>
      <w:bookmarkStart w:id="45" w:name="_Toc201927338"/>
      <w:r w:rsidRPr="00AA5CB5">
        <w:t>Greenhouse gases</w:t>
      </w:r>
      <w:bookmarkEnd w:id="43"/>
      <w:bookmarkEnd w:id="44"/>
      <w:bookmarkEnd w:id="45"/>
    </w:p>
    <w:p w14:paraId="773EF5BE" w14:textId="4ECA6A28" w:rsidR="00FC5A72" w:rsidRPr="00AA5CB5" w:rsidRDefault="007C7210" w:rsidP="00FC5A72">
      <w:pPr>
        <w:pStyle w:val="BodyText1"/>
      </w:pPr>
      <w:r w:rsidRPr="00AA5CB5">
        <w:t>T</w:t>
      </w:r>
      <w:r w:rsidR="00FC5A72" w:rsidRPr="00AA5CB5">
        <w:t xml:space="preserve">he following GHGs </w:t>
      </w:r>
      <w:r w:rsidRPr="00AA5CB5">
        <w:t xml:space="preserve">are included </w:t>
      </w:r>
      <w:r w:rsidR="00FC5A72" w:rsidRPr="00AA5CB5">
        <w:t>within the emissions boundary:</w:t>
      </w:r>
    </w:p>
    <w:p w14:paraId="45666C24" w14:textId="77777777" w:rsidR="00FC5A72" w:rsidRPr="00AA5CB5" w:rsidRDefault="00FC5A72" w:rsidP="007F6D08">
      <w:pPr>
        <w:pStyle w:val="Bodybullet1"/>
      </w:pPr>
      <w:r w:rsidRPr="00AA5CB5">
        <w:t>carbon dioxide (CO</w:t>
      </w:r>
      <w:r w:rsidRPr="00AA5CB5">
        <w:rPr>
          <w:vertAlign w:val="subscript"/>
        </w:rPr>
        <w:t>2</w:t>
      </w:r>
      <w:r w:rsidRPr="00AA5CB5">
        <w:t>)</w:t>
      </w:r>
    </w:p>
    <w:p w14:paraId="054F6D22" w14:textId="77777777" w:rsidR="00FC5A72" w:rsidRPr="00AA5CB5" w:rsidRDefault="00FC5A72" w:rsidP="007F6D08">
      <w:pPr>
        <w:pStyle w:val="Bodybullet1"/>
      </w:pPr>
      <w:r w:rsidRPr="00AA5CB5">
        <w:t>methane (CH</w:t>
      </w:r>
      <w:r w:rsidRPr="00AA5CB5">
        <w:rPr>
          <w:vertAlign w:val="subscript"/>
        </w:rPr>
        <w:t>4</w:t>
      </w:r>
      <w:r w:rsidRPr="00AA5CB5">
        <w:t xml:space="preserve">) </w:t>
      </w:r>
    </w:p>
    <w:p w14:paraId="531A72D7" w14:textId="77777777" w:rsidR="00FC5A72" w:rsidRPr="00AA5CB5" w:rsidRDefault="00FC5A72" w:rsidP="007F6D08">
      <w:pPr>
        <w:pStyle w:val="Bodybullet1"/>
      </w:pPr>
      <w:r w:rsidRPr="00AA5CB5">
        <w:t>nitrous oxide (N</w:t>
      </w:r>
      <w:r w:rsidRPr="00AA5CB5">
        <w:rPr>
          <w:vertAlign w:val="subscript"/>
        </w:rPr>
        <w:t>2</w:t>
      </w:r>
      <w:r w:rsidRPr="00AA5CB5">
        <w:t xml:space="preserve">O) </w:t>
      </w:r>
    </w:p>
    <w:p w14:paraId="38B47281" w14:textId="77777777" w:rsidR="00FC5A72" w:rsidRPr="00AA5CB5" w:rsidRDefault="00FC5A72" w:rsidP="007F6D08">
      <w:pPr>
        <w:pStyle w:val="Bodybullet1"/>
      </w:pPr>
      <w:r w:rsidRPr="00AA5CB5">
        <w:t xml:space="preserve">hydrofluorocarbons (HFCs) </w:t>
      </w:r>
    </w:p>
    <w:p w14:paraId="7D9994E1" w14:textId="77777777" w:rsidR="00FC5A72" w:rsidRPr="00AA5CB5" w:rsidRDefault="00FC5A72" w:rsidP="007F6D08">
      <w:pPr>
        <w:pStyle w:val="Bodybullet1"/>
      </w:pPr>
      <w:r w:rsidRPr="00AA5CB5">
        <w:t xml:space="preserve">perfluorocarbons (PFCs) </w:t>
      </w:r>
    </w:p>
    <w:p w14:paraId="07F169A9" w14:textId="77777777" w:rsidR="00FC5A72" w:rsidRPr="00AA5CB5" w:rsidRDefault="00FC5A72" w:rsidP="007F6D08">
      <w:pPr>
        <w:pStyle w:val="Bodybullet1"/>
      </w:pPr>
      <w:r w:rsidRPr="00AA5CB5">
        <w:t>sulphur hexafluoride (SF</w:t>
      </w:r>
      <w:r w:rsidRPr="00AA5CB5">
        <w:rPr>
          <w:vertAlign w:val="subscript"/>
        </w:rPr>
        <w:t>6</w:t>
      </w:r>
      <w:r w:rsidRPr="00AA5CB5">
        <w:t xml:space="preserve">) </w:t>
      </w:r>
    </w:p>
    <w:p w14:paraId="536F3DDA" w14:textId="77777777" w:rsidR="00FC5A72" w:rsidRPr="00AA5CB5" w:rsidRDefault="00FC5A72" w:rsidP="007F6D08">
      <w:pPr>
        <w:pStyle w:val="Bodybullet1"/>
      </w:pPr>
      <w:r w:rsidRPr="00AA5CB5">
        <w:t>nitrogen trifluoride (N</w:t>
      </w:r>
      <w:r w:rsidRPr="00AA5CB5">
        <w:rPr>
          <w:vertAlign w:val="subscript"/>
        </w:rPr>
        <w:t>3</w:t>
      </w:r>
      <w:r w:rsidRPr="00AA5CB5">
        <w:t xml:space="preserve">). </w:t>
      </w:r>
    </w:p>
    <w:p w14:paraId="396D987A" w14:textId="4C998C10" w:rsidR="007C7210" w:rsidRPr="00AA5CB5" w:rsidRDefault="007C7210" w:rsidP="00FC5A72">
      <w:pPr>
        <w:pStyle w:val="BodyText1"/>
      </w:pPr>
      <w:r w:rsidRPr="00AA5CB5">
        <w:lastRenderedPageBreak/>
        <w:t xml:space="preserve">For reporting purposes emissions of the seven gases listed above are aggregated into a single </w:t>
      </w:r>
      <w:r w:rsidR="00430313" w:rsidRPr="00AA5CB5">
        <w:t xml:space="preserve">carbon dioxide equivalent </w:t>
      </w:r>
      <w:r w:rsidR="00430313">
        <w:t>(</w:t>
      </w:r>
      <w:r w:rsidRPr="00AA5CB5">
        <w:t>CO</w:t>
      </w:r>
      <w:r w:rsidRPr="00AA5CB5">
        <w:rPr>
          <w:vertAlign w:val="subscript"/>
        </w:rPr>
        <w:t>2</w:t>
      </w:r>
      <w:r w:rsidRPr="00AA5CB5">
        <w:t>-e</w:t>
      </w:r>
      <w:r w:rsidR="00430313">
        <w:t>)</w:t>
      </w:r>
      <w:r w:rsidRPr="00AA5CB5">
        <w:t xml:space="preserve"> estimate. </w:t>
      </w:r>
    </w:p>
    <w:p w14:paraId="22B720EE" w14:textId="2681A0BB" w:rsidR="00EE78FB" w:rsidRPr="00AA5CB5" w:rsidRDefault="00FC5A72" w:rsidP="00FC5A72">
      <w:pPr>
        <w:pStyle w:val="BodyText1"/>
      </w:pPr>
      <w:r w:rsidRPr="00AA5CB5">
        <w:t xml:space="preserve">Emissions from these gases can be aggregated into </w:t>
      </w:r>
      <w:r w:rsidR="00DA7405" w:rsidRPr="00AA5CB5">
        <w:t>CO</w:t>
      </w:r>
      <w:r w:rsidR="00DA7405" w:rsidRPr="00AA5CB5">
        <w:rPr>
          <w:vertAlign w:val="subscript"/>
        </w:rPr>
        <w:t>2</w:t>
      </w:r>
      <w:r w:rsidRPr="00AA5CB5">
        <w:t>-e using conversion factors known as global warming potentials</w:t>
      </w:r>
      <w:r w:rsidR="00594AF7">
        <w:t xml:space="preserve"> (GWPs)</w:t>
      </w:r>
      <w:r w:rsidRPr="00AA5CB5">
        <w:t xml:space="preserve">. Given the varying radiative forcing and atmospheric residence time of different GHGs, converting emissions into a </w:t>
      </w:r>
      <w:r w:rsidR="00A32974" w:rsidRPr="00AA5CB5">
        <w:t>CO</w:t>
      </w:r>
      <w:r w:rsidR="00A32974" w:rsidRPr="00AA5CB5">
        <w:rPr>
          <w:vertAlign w:val="subscript"/>
        </w:rPr>
        <w:t>2</w:t>
      </w:r>
      <w:r w:rsidR="00A32974" w:rsidRPr="00AA5CB5">
        <w:t xml:space="preserve">-e </w:t>
      </w:r>
      <w:r w:rsidRPr="00AA5CB5">
        <w:t>over a 100-year horizon allows for the integrated effect of emissions to be compared on an equivalent basis.</w:t>
      </w:r>
    </w:p>
    <w:p w14:paraId="63E5E7B9" w14:textId="6F37BB6C" w:rsidR="00FC5A72" w:rsidRPr="00AA5CB5" w:rsidRDefault="00FC5A72" w:rsidP="00C46888">
      <w:pPr>
        <w:pStyle w:val="Heading2"/>
      </w:pPr>
      <w:bookmarkStart w:id="46" w:name="_Toc197426919"/>
      <w:bookmarkStart w:id="47" w:name="_Toc197438584"/>
      <w:bookmarkStart w:id="48" w:name="_Toc201927339"/>
      <w:r w:rsidRPr="00AA5CB5">
        <w:t>Emission</w:t>
      </w:r>
      <w:r w:rsidR="77E7F6C2" w:rsidRPr="00AA5CB5">
        <w:t>s</w:t>
      </w:r>
      <w:r w:rsidRPr="00AA5CB5">
        <w:t xml:space="preserve"> sources</w:t>
      </w:r>
      <w:bookmarkEnd w:id="46"/>
      <w:bookmarkEnd w:id="47"/>
      <w:bookmarkEnd w:id="48"/>
      <w:r w:rsidRPr="00AA5CB5">
        <w:t xml:space="preserve"> </w:t>
      </w:r>
    </w:p>
    <w:p w14:paraId="1C039108" w14:textId="031A9197" w:rsidR="0064731A" w:rsidRPr="00AA5CB5" w:rsidRDefault="0064731A" w:rsidP="00957D32">
      <w:pPr>
        <w:pStyle w:val="BodyText1"/>
      </w:pPr>
      <w:r w:rsidRPr="00AA5CB5">
        <w:t>Reporting agencies are to report emissions sources as defined below, giving priority to those sources with the largest GHG emissions.</w:t>
      </w:r>
      <w:r w:rsidR="00957D32" w:rsidRPr="00AA5CB5">
        <w:t xml:space="preserve"> </w:t>
      </w:r>
      <w:r w:rsidR="00FC5A72" w:rsidRPr="00AA5CB5">
        <w:t xml:space="preserve">The </w:t>
      </w:r>
      <w:r w:rsidR="00957D32" w:rsidRPr="00AA5CB5">
        <w:t>emissions sources</w:t>
      </w:r>
      <w:r w:rsidR="00EA72C8" w:rsidRPr="00AA5CB5">
        <w:t xml:space="preserve"> have been</w:t>
      </w:r>
      <w:r w:rsidR="00FC5A72" w:rsidRPr="00AA5CB5">
        <w:t xml:space="preserve"> determined by employing a matrix</w:t>
      </w:r>
      <w:r w:rsidR="00344E90">
        <w:t xml:space="preserve">, as shown in </w:t>
      </w:r>
      <w:hyperlink r:id="rId39" w:history="1">
        <w:r w:rsidR="00344E90" w:rsidRPr="00DF55FB">
          <w:rPr>
            <w:rStyle w:val="Hyperlink1"/>
          </w:rPr>
          <w:t>Annex A to the NZGO Strategy</w:t>
        </w:r>
      </w:hyperlink>
      <w:r w:rsidR="00344E90">
        <w:t>,</w:t>
      </w:r>
      <w:r w:rsidR="00344E90" w:rsidRPr="00AA5CB5">
        <w:t xml:space="preserve"> </w:t>
      </w:r>
      <w:r w:rsidR="00FC5A72" w:rsidRPr="00AA5CB5">
        <w:t xml:space="preserve">that evaluated the </w:t>
      </w:r>
      <w:r w:rsidR="00FC5A72" w:rsidRPr="00CE451C">
        <w:t>accessibility of data and anticipated</w:t>
      </w:r>
      <w:r w:rsidR="00344E90">
        <w:t xml:space="preserve"> </w:t>
      </w:r>
      <w:bookmarkStart w:id="49" w:name="_Toc197426920"/>
      <w:bookmarkStart w:id="50" w:name="_Toc197438585"/>
      <w:r w:rsidR="0084101C">
        <w:t xml:space="preserve">size of associated emissions. </w:t>
      </w:r>
    </w:p>
    <w:p w14:paraId="0C6BA3B2" w14:textId="7B47EC76" w:rsidR="00FC5A72" w:rsidRPr="00AA5CB5" w:rsidRDefault="00FC5A72" w:rsidP="007F6D08">
      <w:pPr>
        <w:pStyle w:val="Heading3"/>
      </w:pPr>
      <w:r w:rsidRPr="00AA5CB5">
        <w:t xml:space="preserve">Scope 1 </w:t>
      </w:r>
      <w:bookmarkEnd w:id="49"/>
      <w:bookmarkEnd w:id="50"/>
      <w:r w:rsidR="00EE3509">
        <w:t>e</w:t>
      </w:r>
      <w:r w:rsidRPr="00AA5CB5">
        <w:t>missions</w:t>
      </w:r>
    </w:p>
    <w:p w14:paraId="18738E3A" w14:textId="70DA24B4" w:rsidR="00FC5A72" w:rsidRPr="00AA5CB5" w:rsidRDefault="00FC5A72" w:rsidP="007F6D08">
      <w:pPr>
        <w:pStyle w:val="BodyText1"/>
      </w:pPr>
      <w:r w:rsidRPr="00AA5CB5">
        <w:t xml:space="preserve">Scope 1 emissions are direct GHG emissions from sources that are owned or controlled by the </w:t>
      </w:r>
      <w:r w:rsidR="003A502C" w:rsidRPr="00AA5CB5">
        <w:t>reporting agency</w:t>
      </w:r>
      <w:r w:rsidRPr="00AA5CB5">
        <w:t>. This includes emissions from the combustion of fuels in stationary sources (such as boilers and generators) and mobile sources (such as fleet vehicles). Examples of</w:t>
      </w:r>
      <w:r w:rsidR="00AD5E7F">
        <w:t xml:space="preserve"> scope</w:t>
      </w:r>
      <w:r w:rsidRPr="00AA5CB5">
        <w:t xml:space="preserve"> 1 emissions include emissions produced from manufacturing processes, the burning of diesel fuel in trucks, and fugitive emissions such as methane from coal mines.</w:t>
      </w:r>
    </w:p>
    <w:p w14:paraId="24240124" w14:textId="31E7FE77" w:rsidR="00FC5A72" w:rsidRPr="00AA5CB5" w:rsidRDefault="00B56575" w:rsidP="007F6D08">
      <w:pPr>
        <w:pStyle w:val="BodyText1"/>
      </w:pPr>
      <w:r w:rsidRPr="00AA5CB5">
        <w:t>Emissions reporting is to include</w:t>
      </w:r>
      <w:r w:rsidR="00FC5A72" w:rsidRPr="00AA5CB5">
        <w:t xml:space="preserve"> the following </w:t>
      </w:r>
      <w:r w:rsidRPr="00AA5CB5">
        <w:t>scope</w:t>
      </w:r>
      <w:r w:rsidR="00FC5A72" w:rsidRPr="00AA5CB5">
        <w:t xml:space="preserve"> 1 emissions </w:t>
      </w:r>
      <w:r w:rsidRPr="00AA5CB5">
        <w:t>sources</w:t>
      </w:r>
      <w:r w:rsidR="00FC5A72" w:rsidRPr="00AA5CB5">
        <w:t>:</w:t>
      </w:r>
    </w:p>
    <w:p w14:paraId="144C9327" w14:textId="1D97B4D7" w:rsidR="00FC5A72" w:rsidRPr="00AA5CB5" w:rsidRDefault="00FC5A72" w:rsidP="007F6D08">
      <w:pPr>
        <w:pStyle w:val="Bodybullet1"/>
      </w:pPr>
      <w:r w:rsidRPr="00AA5CB5">
        <w:rPr>
          <w:b/>
          <w:bCs/>
        </w:rPr>
        <w:t>Natural gas</w:t>
      </w:r>
      <w:r w:rsidRPr="00AA5CB5">
        <w:t>, incorporating direct usag</w:t>
      </w:r>
      <w:r w:rsidR="00436EAE" w:rsidRPr="00AA5CB5">
        <w:t>e</w:t>
      </w:r>
      <w:r w:rsidRPr="00AA5CB5">
        <w:t>.</w:t>
      </w:r>
    </w:p>
    <w:p w14:paraId="58B6072C" w14:textId="0F06C2C4" w:rsidR="00FC5A72" w:rsidRPr="00AA5CB5" w:rsidRDefault="00FC5A72" w:rsidP="007F6D08">
      <w:pPr>
        <w:pStyle w:val="Bodybullet1"/>
      </w:pPr>
      <w:r w:rsidRPr="00AA5CB5">
        <w:rPr>
          <w:b/>
          <w:bCs/>
        </w:rPr>
        <w:t>Other energy including diesel fuel</w:t>
      </w:r>
      <w:r w:rsidRPr="00AA5CB5">
        <w:t>, incorporating direct usage, both stationary and mobile energy</w:t>
      </w:r>
      <w:r w:rsidR="00436EAE" w:rsidRPr="00AA5CB5">
        <w:t>.</w:t>
      </w:r>
    </w:p>
    <w:p w14:paraId="5A3E122D" w14:textId="00A32185" w:rsidR="00FC5A72" w:rsidRPr="00AA5CB5" w:rsidRDefault="00FC5A72" w:rsidP="007F6D08">
      <w:pPr>
        <w:pStyle w:val="Bodybullet1"/>
      </w:pPr>
      <w:r w:rsidRPr="00AA5CB5">
        <w:rPr>
          <w:b/>
          <w:bCs/>
        </w:rPr>
        <w:t>Fleet vehicles</w:t>
      </w:r>
      <w:r w:rsidRPr="00AA5CB5">
        <w:t>, including mobile energy, incorporating direct usage</w:t>
      </w:r>
      <w:r w:rsidR="00436EAE" w:rsidRPr="00AA5CB5">
        <w:t>.</w:t>
      </w:r>
    </w:p>
    <w:p w14:paraId="1A4C3778" w14:textId="4CC07B49" w:rsidR="00FC5A72" w:rsidRPr="00AA5CB5" w:rsidRDefault="00FC5A72" w:rsidP="007F6D08">
      <w:pPr>
        <w:pStyle w:val="Bodybullet1"/>
      </w:pPr>
      <w:r w:rsidRPr="00AA5CB5">
        <w:rPr>
          <w:b/>
          <w:bCs/>
        </w:rPr>
        <w:t>Refrigerants</w:t>
      </w:r>
      <w:r w:rsidRPr="00AA5CB5">
        <w:t>, incorporating the emissions associated with heating, ventilation, and air conditioning operations in buildings</w:t>
      </w:r>
      <w:r w:rsidR="00436EAE" w:rsidRPr="00AA5CB5">
        <w:t>.</w:t>
      </w:r>
      <w:r w:rsidR="0088579E" w:rsidRPr="00AA5CB5">
        <w:t xml:space="preserve"> </w:t>
      </w:r>
      <w:r w:rsidR="009A51B6" w:rsidRPr="00AA5CB5">
        <w:t>R</w:t>
      </w:r>
      <w:r w:rsidR="0088579E" w:rsidRPr="00AA5CB5">
        <w:t>efrigerants are included in the boundary under a phased approach</w:t>
      </w:r>
      <w:r w:rsidR="009A51B6" w:rsidRPr="00AA5CB5">
        <w:t xml:space="preserve"> and are included w</w:t>
      </w:r>
      <w:r w:rsidR="00ED2B7D" w:rsidRPr="00AA5CB5">
        <w:t>hen all</w:t>
      </w:r>
      <w:r w:rsidR="00366318" w:rsidRPr="00AA5CB5">
        <w:t xml:space="preserve"> three of the following conditions </w:t>
      </w:r>
      <w:r w:rsidR="00ED2B7D" w:rsidRPr="00AA5CB5">
        <w:t>are met</w:t>
      </w:r>
      <w:r w:rsidR="009A51B6" w:rsidRPr="00AA5CB5">
        <w:t>:</w:t>
      </w:r>
    </w:p>
    <w:p w14:paraId="4549B4E1" w14:textId="50D61ABE" w:rsidR="00EA35FA" w:rsidRPr="00AA5CB5" w:rsidRDefault="00E321D8" w:rsidP="00CB0F8B">
      <w:pPr>
        <w:pStyle w:val="Bullet2ndlevel"/>
      </w:pPr>
      <w:r w:rsidRPr="00AA5CB5">
        <w:t xml:space="preserve">Building meets Net Lettable Area </w:t>
      </w:r>
      <w:r w:rsidR="00634E2A" w:rsidRPr="00AA5CB5">
        <w:t xml:space="preserve">(NLA) </w:t>
      </w:r>
      <w:r w:rsidRPr="00AA5CB5">
        <w:t xml:space="preserve">thresholds </w:t>
      </w:r>
      <w:r w:rsidR="004547E6" w:rsidRPr="00AA5CB5">
        <w:t xml:space="preserve">for the Reporting year as per </w:t>
      </w:r>
      <w:r w:rsidR="004547E6" w:rsidRPr="00AA5CB5">
        <w:fldChar w:fldCharType="begin"/>
      </w:r>
      <w:r w:rsidR="004547E6" w:rsidRPr="00AA5CB5">
        <w:instrText xml:space="preserve"> REF _Ref198639129 \h  \* MERGEFORMAT </w:instrText>
      </w:r>
      <w:r w:rsidR="004547E6" w:rsidRPr="00AA5CB5">
        <w:fldChar w:fldCharType="separate"/>
      </w:r>
      <w:r w:rsidR="00422A37" w:rsidRPr="00AA5CB5">
        <w:t xml:space="preserve">Table </w:t>
      </w:r>
      <w:r w:rsidR="00422A37">
        <w:t>4</w:t>
      </w:r>
      <w:r w:rsidR="004547E6" w:rsidRPr="00AA5CB5">
        <w:fldChar w:fldCharType="end"/>
      </w:r>
      <w:r w:rsidR="006C282A" w:rsidRPr="00AA5CB5">
        <w:t>.</w:t>
      </w:r>
    </w:p>
    <w:p w14:paraId="1748F0D8" w14:textId="31048AB4" w:rsidR="00ED2B7D" w:rsidRPr="00AA5CB5" w:rsidRDefault="00ED2B7D" w:rsidP="00CB0F8B">
      <w:pPr>
        <w:pStyle w:val="Bullet2ndlevel"/>
      </w:pPr>
      <w:r w:rsidRPr="00AA5CB5">
        <w:t>The total volume of refrigerant gas contained within equipment (the charge) is more than 100 kilograms (kg) of refrigerant for each unit</w:t>
      </w:r>
      <w:r w:rsidR="006C282A" w:rsidRPr="00AA5CB5">
        <w:t>.</w:t>
      </w:r>
    </w:p>
    <w:p w14:paraId="3DCD3C45" w14:textId="225433E8" w:rsidR="00ED2B7D" w:rsidRPr="00AA5CB5" w:rsidRDefault="00ED2B7D" w:rsidP="00CB0F8B">
      <w:pPr>
        <w:pStyle w:val="Bullet2ndlevel"/>
      </w:pPr>
      <w:r w:rsidRPr="00AA5CB5">
        <w:t xml:space="preserve">The refrigerant is a </w:t>
      </w:r>
      <w:r w:rsidR="00E55C6B">
        <w:t>GHG</w:t>
      </w:r>
      <w:r w:rsidRPr="00AA5CB5">
        <w:t xml:space="preserve"> with a GWP of more than 1000. </w:t>
      </w:r>
    </w:p>
    <w:p w14:paraId="37BBB5D9" w14:textId="6375B3CC" w:rsidR="004547E6" w:rsidRPr="00AA5CB5" w:rsidRDefault="004547E6" w:rsidP="004547E6">
      <w:pPr>
        <w:pStyle w:val="Caption"/>
        <w:keepNext/>
      </w:pPr>
      <w:bookmarkStart w:id="51" w:name="_Ref198639129"/>
      <w:bookmarkStart w:id="52" w:name="_Toc201927377"/>
      <w:r w:rsidRPr="00AA5CB5">
        <w:t xml:space="preserve">Table </w:t>
      </w:r>
      <w:r w:rsidRPr="00AA5CB5">
        <w:fldChar w:fldCharType="begin"/>
      </w:r>
      <w:r w:rsidRPr="00AA5CB5">
        <w:instrText xml:space="preserve"> SEQ Table \* ARABIC </w:instrText>
      </w:r>
      <w:r w:rsidRPr="00AA5CB5">
        <w:fldChar w:fldCharType="separate"/>
      </w:r>
      <w:r w:rsidR="00422A37">
        <w:rPr>
          <w:noProof/>
        </w:rPr>
        <w:t>4</w:t>
      </w:r>
      <w:r w:rsidRPr="00AA5CB5">
        <w:fldChar w:fldCharType="end"/>
      </w:r>
      <w:bookmarkEnd w:id="51"/>
      <w:r w:rsidR="00744A9C">
        <w:t>:</w:t>
      </w:r>
      <w:r w:rsidRPr="00AA5CB5">
        <w:t xml:space="preserve"> Refrigerants </w:t>
      </w:r>
      <w:r w:rsidR="00946D60">
        <w:t>p</w:t>
      </w:r>
      <w:r w:rsidRPr="00AA5CB5">
        <w:t xml:space="preserve">hased </w:t>
      </w:r>
      <w:r w:rsidR="00946D60">
        <w:t>a</w:t>
      </w:r>
      <w:r w:rsidRPr="00AA5CB5">
        <w:t>pproach</w:t>
      </w:r>
      <w:bookmarkEnd w:id="52"/>
    </w:p>
    <w:tbl>
      <w:tblPr>
        <w:tblStyle w:val="ListTable4-Accent6"/>
        <w:tblW w:w="5000" w:type="pct"/>
        <w:tblInd w:w="0" w:type="dxa"/>
        <w:tblLook w:val="06A0" w:firstRow="1" w:lastRow="0" w:firstColumn="1" w:lastColumn="0" w:noHBand="1" w:noVBand="1"/>
      </w:tblPr>
      <w:tblGrid>
        <w:gridCol w:w="4391"/>
        <w:gridCol w:w="4959"/>
      </w:tblGrid>
      <w:tr w:rsidR="00C2757A" w:rsidRPr="00AA5CB5" w14:paraId="70D1BD6E" w14:textId="77777777" w:rsidTr="00616F1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48" w:type="pct"/>
            <w:hideMark/>
          </w:tcPr>
          <w:p w14:paraId="6EAF2687" w14:textId="2B5CBB4F" w:rsidR="00EA40F8" w:rsidRPr="00AA5CB5" w:rsidRDefault="00EA40F8" w:rsidP="004547E6">
            <w:pPr>
              <w:pStyle w:val="Tablebodytext"/>
              <w:rPr>
                <w:lang w:val="en-AU"/>
              </w:rPr>
            </w:pPr>
            <w:r w:rsidRPr="00AA5CB5">
              <w:rPr>
                <w:lang w:val="en-AU"/>
              </w:rPr>
              <w:t xml:space="preserve">First year </w:t>
            </w:r>
            <w:r w:rsidR="00634E2A" w:rsidRPr="00AA5CB5">
              <w:rPr>
                <w:lang w:val="en-AU"/>
              </w:rPr>
              <w:t>to report refrigerants which meet the threshold</w:t>
            </w:r>
          </w:p>
        </w:tc>
        <w:tc>
          <w:tcPr>
            <w:tcW w:w="2652" w:type="pct"/>
            <w:hideMark/>
          </w:tcPr>
          <w:p w14:paraId="5065EA13" w14:textId="6F5746B7" w:rsidR="00EA40F8" w:rsidRPr="00AA5CB5" w:rsidRDefault="00EA40F8" w:rsidP="004547E6">
            <w:pPr>
              <w:pStyle w:val="Tablebodytext"/>
              <w:cnfStyle w:val="100000000000" w:firstRow="1" w:lastRow="0" w:firstColumn="0" w:lastColumn="0" w:oddVBand="0" w:evenVBand="0" w:oddHBand="0" w:evenHBand="0" w:firstRowFirstColumn="0" w:firstRowLastColumn="0" w:lastRowFirstColumn="0" w:lastRowLastColumn="0"/>
              <w:rPr>
                <w:lang w:val="en-AU"/>
              </w:rPr>
            </w:pPr>
            <w:r w:rsidRPr="00AA5CB5">
              <w:rPr>
                <w:lang w:val="en-AU"/>
              </w:rPr>
              <w:t xml:space="preserve">Net lettable area </w:t>
            </w:r>
            <w:r w:rsidR="00F20095" w:rsidRPr="00AA5CB5">
              <w:rPr>
                <w:lang w:val="en-AU"/>
              </w:rPr>
              <w:t xml:space="preserve">(NLA) in </w:t>
            </w:r>
            <w:r w:rsidR="003D4CEA" w:rsidRPr="00AA5CB5">
              <w:rPr>
                <w:lang w:val="en-AU"/>
              </w:rPr>
              <w:t xml:space="preserve">square meters </w:t>
            </w:r>
            <w:r w:rsidRPr="00AA5CB5">
              <w:rPr>
                <w:lang w:val="en-AU"/>
              </w:rPr>
              <w:t>(m</w:t>
            </w:r>
            <w:r w:rsidRPr="00AA5CB5">
              <w:rPr>
                <w:vertAlign w:val="superscript"/>
                <w:lang w:val="en-AU"/>
              </w:rPr>
              <w:t>2</w:t>
            </w:r>
            <w:r w:rsidRPr="00AA5CB5">
              <w:rPr>
                <w:lang w:val="en-AU"/>
              </w:rPr>
              <w:t>) </w:t>
            </w:r>
          </w:p>
        </w:tc>
      </w:tr>
      <w:tr w:rsidR="006E48D9" w:rsidRPr="00AA5CB5" w14:paraId="3EAE4A93" w14:textId="77777777" w:rsidTr="0055339F">
        <w:trPr>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14:paraId="395D1FB2" w14:textId="77777777" w:rsidR="00EA40F8" w:rsidRPr="00AA5CB5" w:rsidRDefault="00EA40F8" w:rsidP="004547E6">
            <w:pPr>
              <w:pStyle w:val="Tablebodytext"/>
              <w:rPr>
                <w:b w:val="0"/>
                <w:bCs w:val="0"/>
                <w:lang w:val="en-AU"/>
              </w:rPr>
            </w:pPr>
            <w:r w:rsidRPr="00AA5CB5">
              <w:rPr>
                <w:b w:val="0"/>
                <w:bCs w:val="0"/>
                <w:lang w:val="en-AU"/>
              </w:rPr>
              <w:t>2024-25 </w:t>
            </w:r>
          </w:p>
        </w:tc>
        <w:tc>
          <w:tcPr>
            <w:tcW w:w="2652" w:type="pct"/>
            <w:hideMark/>
          </w:tcPr>
          <w:p w14:paraId="4495B785" w14:textId="77777777" w:rsidR="00EA40F8" w:rsidRPr="00AA5CB5" w:rsidRDefault="00EA40F8" w:rsidP="004547E6">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Above 20,000 NLA  </w:t>
            </w:r>
          </w:p>
        </w:tc>
      </w:tr>
      <w:tr w:rsidR="006E48D9" w:rsidRPr="00AA5CB5" w14:paraId="3486CF75" w14:textId="77777777" w:rsidTr="0055339F">
        <w:trPr>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14:paraId="3F6FBA66" w14:textId="77777777" w:rsidR="00EA40F8" w:rsidRPr="00AA5CB5" w:rsidRDefault="00EA40F8" w:rsidP="004547E6">
            <w:pPr>
              <w:pStyle w:val="Tablebodytext"/>
              <w:rPr>
                <w:b w:val="0"/>
                <w:bCs w:val="0"/>
                <w:lang w:val="en-AU"/>
              </w:rPr>
            </w:pPr>
            <w:r w:rsidRPr="00AA5CB5">
              <w:rPr>
                <w:b w:val="0"/>
                <w:bCs w:val="0"/>
                <w:lang w:val="en-AU"/>
              </w:rPr>
              <w:t>2025-26 </w:t>
            </w:r>
          </w:p>
        </w:tc>
        <w:tc>
          <w:tcPr>
            <w:tcW w:w="2652" w:type="pct"/>
            <w:hideMark/>
          </w:tcPr>
          <w:p w14:paraId="3C4EC275" w14:textId="77777777" w:rsidR="00EA40F8" w:rsidRPr="00AA5CB5" w:rsidRDefault="00EA40F8" w:rsidP="004547E6">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15,000-19,999 NLA  </w:t>
            </w:r>
          </w:p>
        </w:tc>
      </w:tr>
      <w:tr w:rsidR="006E48D9" w:rsidRPr="00AA5CB5" w14:paraId="3E366672" w14:textId="77777777" w:rsidTr="0055339F">
        <w:trPr>
          <w:trHeight w:val="300"/>
        </w:trPr>
        <w:tc>
          <w:tcPr>
            <w:cnfStyle w:val="001000000000" w:firstRow="0" w:lastRow="0" w:firstColumn="1" w:lastColumn="0" w:oddVBand="0" w:evenVBand="0" w:oddHBand="0" w:evenHBand="0" w:firstRowFirstColumn="0" w:firstRowLastColumn="0" w:lastRowFirstColumn="0" w:lastRowLastColumn="0"/>
            <w:tcW w:w="2348" w:type="pct"/>
            <w:hideMark/>
          </w:tcPr>
          <w:p w14:paraId="32D183E3" w14:textId="77777777" w:rsidR="00EA40F8" w:rsidRPr="00AA5CB5" w:rsidRDefault="00EA40F8" w:rsidP="004547E6">
            <w:pPr>
              <w:pStyle w:val="Tablebodytext"/>
              <w:rPr>
                <w:b w:val="0"/>
                <w:bCs w:val="0"/>
                <w:lang w:val="en-AU"/>
              </w:rPr>
            </w:pPr>
            <w:r w:rsidRPr="00AA5CB5">
              <w:rPr>
                <w:b w:val="0"/>
                <w:bCs w:val="0"/>
                <w:lang w:val="en-AU"/>
              </w:rPr>
              <w:t>2026-27 </w:t>
            </w:r>
          </w:p>
        </w:tc>
        <w:tc>
          <w:tcPr>
            <w:tcW w:w="2652" w:type="pct"/>
            <w:hideMark/>
          </w:tcPr>
          <w:p w14:paraId="2ABD60C6" w14:textId="77777777" w:rsidR="00EA40F8" w:rsidRPr="00AA5CB5" w:rsidRDefault="00EA40F8" w:rsidP="004547E6">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10,0000-14,999 NLA  </w:t>
            </w:r>
          </w:p>
        </w:tc>
      </w:tr>
    </w:tbl>
    <w:p w14:paraId="78F8B861" w14:textId="6856D098" w:rsidR="00FC5A72" w:rsidRPr="00AA5CB5" w:rsidRDefault="00FC5A72" w:rsidP="007F6D08">
      <w:pPr>
        <w:pStyle w:val="Heading3"/>
      </w:pPr>
      <w:bookmarkStart w:id="53" w:name="_Toc197426921"/>
      <w:bookmarkStart w:id="54" w:name="_Toc197438586"/>
      <w:r w:rsidRPr="00AA5CB5">
        <w:lastRenderedPageBreak/>
        <w:t xml:space="preserve">Scope 2 </w:t>
      </w:r>
      <w:bookmarkEnd w:id="53"/>
      <w:bookmarkEnd w:id="54"/>
      <w:r w:rsidR="003C2ED9">
        <w:t>e</w:t>
      </w:r>
      <w:r w:rsidRPr="00AA5CB5">
        <w:t>missions</w:t>
      </w:r>
    </w:p>
    <w:p w14:paraId="78C64D82" w14:textId="628055D0" w:rsidR="00FC5A72" w:rsidRPr="00AA5CB5" w:rsidRDefault="00FC5A72" w:rsidP="007F6D08">
      <w:pPr>
        <w:pStyle w:val="BodyText1"/>
      </w:pPr>
      <w:r w:rsidRPr="00AA5CB5">
        <w:t>Scope 2 emissions are indirect GHG emissions from the consumption of purchased electricity, steam, heating and cooling. These emissions are physically produced by the combustion of fossil fuels at the power plant, but they are accounted for in the reporting agency’s GHG inventory because they result from the reporting agency’s energy use.</w:t>
      </w:r>
    </w:p>
    <w:p w14:paraId="6A986032" w14:textId="0C0437F9" w:rsidR="00FC5A72" w:rsidRPr="00AA5CB5" w:rsidRDefault="000F1FE7" w:rsidP="007F6D08">
      <w:pPr>
        <w:pStyle w:val="BodyText1"/>
      </w:pPr>
      <w:r w:rsidRPr="00AA5CB5">
        <w:t xml:space="preserve">Emissions reporting is to include the following scope </w:t>
      </w:r>
      <w:r w:rsidR="00D9264C" w:rsidRPr="00AA5CB5">
        <w:t>2</w:t>
      </w:r>
      <w:r w:rsidRPr="00AA5CB5">
        <w:t xml:space="preserve"> emissions sources</w:t>
      </w:r>
      <w:r w:rsidR="00FC5A72" w:rsidRPr="00AA5CB5">
        <w:t xml:space="preserve">: </w:t>
      </w:r>
    </w:p>
    <w:p w14:paraId="72AF549F" w14:textId="6A338763" w:rsidR="00FC5A72" w:rsidRPr="00AA5CB5" w:rsidRDefault="00FC5A72" w:rsidP="007F6D08">
      <w:pPr>
        <w:pStyle w:val="Bodybullet1"/>
      </w:pPr>
      <w:r w:rsidRPr="00AA5CB5">
        <w:rPr>
          <w:b/>
          <w:bCs/>
        </w:rPr>
        <w:t>Electricity</w:t>
      </w:r>
      <w:r w:rsidRPr="00AA5CB5">
        <w:t xml:space="preserve"> in buildings, incorporating the indirect emissions of the electricity generation</w:t>
      </w:r>
      <w:r w:rsidR="00D27505" w:rsidRPr="00AA5CB5">
        <w:t>.</w:t>
      </w:r>
    </w:p>
    <w:p w14:paraId="4B4E5EA2" w14:textId="40540C63" w:rsidR="00FC5A72" w:rsidRPr="00AA5CB5" w:rsidRDefault="00FC5A72" w:rsidP="007F6D08">
      <w:pPr>
        <w:pStyle w:val="Heading3"/>
      </w:pPr>
      <w:bookmarkStart w:id="55" w:name="_Toc197426922"/>
      <w:bookmarkStart w:id="56" w:name="_Toc197438587"/>
      <w:r w:rsidRPr="00AA5CB5">
        <w:t xml:space="preserve">Scope 3 </w:t>
      </w:r>
      <w:bookmarkEnd w:id="55"/>
      <w:bookmarkEnd w:id="56"/>
      <w:r w:rsidR="003C2ED9">
        <w:t>e</w:t>
      </w:r>
      <w:r w:rsidRPr="00AA5CB5">
        <w:t>missions</w:t>
      </w:r>
    </w:p>
    <w:p w14:paraId="580630DE" w14:textId="7CDFD3A6" w:rsidR="00A65A72" w:rsidRPr="00AA5CB5" w:rsidRDefault="00FC5A72" w:rsidP="007F6D08">
      <w:pPr>
        <w:pStyle w:val="BodyText1"/>
      </w:pPr>
      <w:r w:rsidRPr="00AA5CB5">
        <w:t>Scope 3 emissions are all other indirect emissions that occur in the value chain of the reporting organisation, both upstream and downstream</w:t>
      </w:r>
      <w:r w:rsidR="000E3842" w:rsidRPr="00AA5CB5">
        <w:t xml:space="preserve">, </w:t>
      </w:r>
      <w:r w:rsidR="00566723" w:rsidRPr="00AA5CB5">
        <w:t>within Australia and its external territories</w:t>
      </w:r>
      <w:r w:rsidRPr="00AA5CB5">
        <w:t xml:space="preserve">. </w:t>
      </w:r>
      <w:r w:rsidR="00DA6173" w:rsidRPr="00AA5CB5">
        <w:t>Emissions reporting includes scope 3 emission</w:t>
      </w:r>
      <w:r w:rsidR="3F56C316" w:rsidRPr="00AA5CB5">
        <w:t>s</w:t>
      </w:r>
      <w:r w:rsidR="00DA6173" w:rsidRPr="00AA5CB5">
        <w:t xml:space="preserve"> sources </w:t>
      </w:r>
      <w:r w:rsidR="00C731CC" w:rsidRPr="00AA5CB5">
        <w:t>where</w:t>
      </w:r>
      <w:r w:rsidR="00747882">
        <w:t xml:space="preserve"> the</w:t>
      </w:r>
      <w:r w:rsidR="00A65A72" w:rsidRPr="00AA5CB5">
        <w:t xml:space="preserve">: </w:t>
      </w:r>
    </w:p>
    <w:p w14:paraId="6AA947DA" w14:textId="0288318C" w:rsidR="00E66FD0" w:rsidRPr="00AA5CB5" w:rsidRDefault="00E66FD0" w:rsidP="00DE3A2B">
      <w:pPr>
        <w:pStyle w:val="Bodybullet1"/>
      </w:pPr>
      <w:r w:rsidRPr="00AA5CB5">
        <w:t>quantity of GHG emissions is likely to be large</w:t>
      </w:r>
    </w:p>
    <w:p w14:paraId="7B3666A9" w14:textId="5DA62D09" w:rsidR="00E66FD0" w:rsidRPr="00AA5CB5" w:rsidRDefault="00E66FD0" w:rsidP="00DE3A2B">
      <w:pPr>
        <w:pStyle w:val="Bodybullet1"/>
      </w:pPr>
      <w:r w:rsidRPr="00AA5CB5">
        <w:t xml:space="preserve">activity data is likely to be robust </w:t>
      </w:r>
    </w:p>
    <w:p w14:paraId="54F9B643" w14:textId="75798914" w:rsidR="00E66FD0" w:rsidRPr="00AA5CB5" w:rsidRDefault="00E66FD0" w:rsidP="00DE3A2B">
      <w:pPr>
        <w:pStyle w:val="Bodybullet1"/>
      </w:pPr>
      <w:r w:rsidRPr="00AA5CB5">
        <w:t xml:space="preserve">activity data is easy to access </w:t>
      </w:r>
    </w:p>
    <w:p w14:paraId="189144E5" w14:textId="316BF23B" w:rsidR="00FC5A72" w:rsidRPr="00AA5CB5" w:rsidRDefault="00E66FD0" w:rsidP="00DE3A2B">
      <w:pPr>
        <w:pStyle w:val="Bodybullet1"/>
      </w:pPr>
      <w:r w:rsidRPr="00AA5CB5">
        <w:t>emission calculations and emission factors are robust</w:t>
      </w:r>
      <w:r w:rsidR="00747882">
        <w:t>.</w:t>
      </w:r>
    </w:p>
    <w:p w14:paraId="180CC914" w14:textId="7FD0712D" w:rsidR="00FC5A72" w:rsidRPr="00AA5CB5" w:rsidRDefault="422D02E8" w:rsidP="007F6D08">
      <w:pPr>
        <w:pStyle w:val="BodyText1"/>
      </w:pPr>
      <w:r w:rsidRPr="00AA5CB5">
        <w:t>Scope 3 emission</w:t>
      </w:r>
      <w:r w:rsidR="6ADF3A9C" w:rsidRPr="00AA5CB5">
        <w:t>s</w:t>
      </w:r>
      <w:r w:rsidRPr="00AA5CB5">
        <w:t xml:space="preserve"> sources included, along with their </w:t>
      </w:r>
      <w:hyperlink r:id="rId40">
        <w:r w:rsidRPr="00AA5CB5">
          <w:rPr>
            <w:rStyle w:val="Hyperlink1"/>
          </w:rPr>
          <w:t>GHG Protocol</w:t>
        </w:r>
        <w:r w:rsidR="782719D0" w:rsidRPr="00AA5CB5">
          <w:rPr>
            <w:rStyle w:val="Hyperlink1"/>
          </w:rPr>
          <w:t xml:space="preserve"> Scope 3 Standard</w:t>
        </w:r>
      </w:hyperlink>
      <w:r w:rsidRPr="00AA5CB5">
        <w:t xml:space="preserve"> category, are listed below</w:t>
      </w:r>
      <w:r w:rsidR="41D5FD62" w:rsidRPr="00AA5CB5">
        <w:t xml:space="preserve">: </w:t>
      </w:r>
    </w:p>
    <w:p w14:paraId="3D8ACD79" w14:textId="229875B8" w:rsidR="00FC5A72" w:rsidRPr="00AA5CB5" w:rsidRDefault="00C04457" w:rsidP="007F6D08">
      <w:pPr>
        <w:pStyle w:val="Bodybullet1"/>
      </w:pPr>
      <w:r w:rsidRPr="00AA5CB5">
        <w:rPr>
          <w:b/>
          <w:bCs/>
        </w:rPr>
        <w:t>I</w:t>
      </w:r>
      <w:r w:rsidR="00FC5A72" w:rsidRPr="00AA5CB5">
        <w:rPr>
          <w:b/>
          <w:bCs/>
        </w:rPr>
        <w:t>ndirect emissions</w:t>
      </w:r>
      <w:r w:rsidR="00FC5A72" w:rsidRPr="00AA5CB5">
        <w:t xml:space="preserve"> from the extraction, production, and transportation of the energy source (</w:t>
      </w:r>
      <w:r w:rsidRPr="00AA5CB5">
        <w:t>GHG</w:t>
      </w:r>
      <w:r w:rsidR="00FC5A72" w:rsidRPr="00AA5CB5">
        <w:t xml:space="preserve"> Protocol </w:t>
      </w:r>
      <w:r w:rsidR="003002A2" w:rsidRPr="00AA5CB5">
        <w:t>C</w:t>
      </w:r>
      <w:r w:rsidR="00FC5A72" w:rsidRPr="00AA5CB5">
        <w:t>ategory 3</w:t>
      </w:r>
      <w:r w:rsidR="00FF3E96" w:rsidRPr="00AA5CB5">
        <w:t>:</w:t>
      </w:r>
      <w:r w:rsidR="00FC5A72" w:rsidRPr="00AA5CB5">
        <w:t xml:space="preserve"> Fuel- and </w:t>
      </w:r>
      <w:r w:rsidR="002917BF" w:rsidRPr="00AA5CB5">
        <w:t>E</w:t>
      </w:r>
      <w:r w:rsidR="00FC5A72" w:rsidRPr="00AA5CB5">
        <w:t>nergy</w:t>
      </w:r>
      <w:r w:rsidR="00900DA2" w:rsidRPr="00AA5CB5">
        <w:t>-</w:t>
      </w:r>
      <w:r w:rsidR="002917BF" w:rsidRPr="00AA5CB5">
        <w:t>R</w:t>
      </w:r>
      <w:r w:rsidR="00FC5A72" w:rsidRPr="00AA5CB5">
        <w:t xml:space="preserve">elated </w:t>
      </w:r>
      <w:r w:rsidR="002917BF" w:rsidRPr="00AA5CB5">
        <w:t>A</w:t>
      </w:r>
      <w:r w:rsidR="00FC5A72" w:rsidRPr="00AA5CB5">
        <w:t xml:space="preserve">ctivities </w:t>
      </w:r>
      <w:r w:rsidR="00BE6859">
        <w:t>n</w:t>
      </w:r>
      <w:r w:rsidR="00FC5A72" w:rsidRPr="00AA5CB5">
        <w:t xml:space="preserve">ot </w:t>
      </w:r>
      <w:r w:rsidR="002917BF" w:rsidRPr="00AA5CB5">
        <w:t>I</w:t>
      </w:r>
      <w:r w:rsidR="00FC5A72" w:rsidRPr="00AA5CB5">
        <w:t xml:space="preserve">ncluded in </w:t>
      </w:r>
      <w:r w:rsidR="00AD5E7F">
        <w:t>scope</w:t>
      </w:r>
      <w:r w:rsidR="00FC5A72" w:rsidRPr="00AA5CB5">
        <w:t xml:space="preserve"> 1 or </w:t>
      </w:r>
      <w:r w:rsidR="00AD5E7F">
        <w:t>scope</w:t>
      </w:r>
      <w:r w:rsidR="00FC5A72" w:rsidRPr="00AA5CB5">
        <w:t xml:space="preserve"> 2)</w:t>
      </w:r>
      <w:r w:rsidR="00D27505" w:rsidRPr="00AA5CB5">
        <w:t>.</w:t>
      </w:r>
    </w:p>
    <w:p w14:paraId="10F96032" w14:textId="07C5748A" w:rsidR="00FC5A72" w:rsidRPr="00AA5CB5" w:rsidRDefault="00C04457" w:rsidP="007F6D08">
      <w:pPr>
        <w:pStyle w:val="Bodybullet1"/>
      </w:pPr>
      <w:r w:rsidRPr="00AA5CB5">
        <w:rPr>
          <w:b/>
          <w:bCs/>
        </w:rPr>
        <w:t>T</w:t>
      </w:r>
      <w:r w:rsidR="00FC5A72" w:rsidRPr="00AA5CB5">
        <w:rPr>
          <w:b/>
          <w:bCs/>
        </w:rPr>
        <w:t>ransmission and distribution losses</w:t>
      </w:r>
      <w:r w:rsidR="00FC5A72" w:rsidRPr="00AA5CB5">
        <w:t xml:space="preserve"> associated with electricity production and consumption (</w:t>
      </w:r>
      <w:r w:rsidRPr="00AA5CB5">
        <w:t>GHG</w:t>
      </w:r>
      <w:r w:rsidR="00FC5A72" w:rsidRPr="00AA5CB5">
        <w:t xml:space="preserve"> Protocol </w:t>
      </w:r>
      <w:r w:rsidR="003002A2" w:rsidRPr="00AA5CB5">
        <w:t>C</w:t>
      </w:r>
      <w:r w:rsidR="00FC5A72" w:rsidRPr="00AA5CB5">
        <w:t>ategory 3</w:t>
      </w:r>
      <w:r w:rsidR="003002A2" w:rsidRPr="00AA5CB5">
        <w:t>:</w:t>
      </w:r>
      <w:r w:rsidR="00FC5A72" w:rsidRPr="00AA5CB5">
        <w:t xml:space="preserve"> Fuel- and </w:t>
      </w:r>
      <w:r w:rsidR="00900DA2" w:rsidRPr="00AA5CB5">
        <w:t>E</w:t>
      </w:r>
      <w:r w:rsidR="00FC5A72" w:rsidRPr="00AA5CB5">
        <w:t>nergy</w:t>
      </w:r>
      <w:r w:rsidR="003002A2" w:rsidRPr="00AA5CB5">
        <w:t>-</w:t>
      </w:r>
      <w:r w:rsidR="00271440" w:rsidRPr="00AA5CB5">
        <w:t>R</w:t>
      </w:r>
      <w:r w:rsidR="00FC5A72" w:rsidRPr="00AA5CB5">
        <w:t xml:space="preserve">elated </w:t>
      </w:r>
      <w:r w:rsidR="00271440" w:rsidRPr="00AA5CB5">
        <w:t>A</w:t>
      </w:r>
      <w:r w:rsidR="00FC5A72" w:rsidRPr="00AA5CB5">
        <w:t xml:space="preserve">ctivities </w:t>
      </w:r>
      <w:r w:rsidR="00BE6859">
        <w:t>n</w:t>
      </w:r>
      <w:r w:rsidR="00FC5A72" w:rsidRPr="00AA5CB5">
        <w:t xml:space="preserve">ot </w:t>
      </w:r>
      <w:r w:rsidR="00271440" w:rsidRPr="00AA5CB5">
        <w:t>I</w:t>
      </w:r>
      <w:r w:rsidR="00FC5A72" w:rsidRPr="00AA5CB5">
        <w:t xml:space="preserve">ncluded in </w:t>
      </w:r>
      <w:r w:rsidR="00AD5E7F">
        <w:t>scope</w:t>
      </w:r>
      <w:r w:rsidR="00FC5A72" w:rsidRPr="00AA5CB5">
        <w:t xml:space="preserve"> 1 or </w:t>
      </w:r>
      <w:r w:rsidR="00AD5E7F">
        <w:t>scope</w:t>
      </w:r>
      <w:r w:rsidR="00FC5A72" w:rsidRPr="00AA5CB5">
        <w:t xml:space="preserve"> 2)</w:t>
      </w:r>
      <w:r w:rsidR="00D27505" w:rsidRPr="00AA5CB5">
        <w:t>.</w:t>
      </w:r>
    </w:p>
    <w:p w14:paraId="49EC0B58" w14:textId="4B00EF19" w:rsidR="00FC5A72" w:rsidRPr="00AA5CB5" w:rsidRDefault="00C04457" w:rsidP="007F6D08">
      <w:pPr>
        <w:pStyle w:val="Bodybullet1"/>
      </w:pPr>
      <w:r w:rsidRPr="00AA5CB5">
        <w:rPr>
          <w:b/>
          <w:bCs/>
        </w:rPr>
        <w:t>W</w:t>
      </w:r>
      <w:r w:rsidR="00FC5A72" w:rsidRPr="00AA5CB5">
        <w:rPr>
          <w:b/>
          <w:bCs/>
        </w:rPr>
        <w:t>aste</w:t>
      </w:r>
      <w:r w:rsidR="00FC5A72" w:rsidRPr="00AA5CB5">
        <w:t xml:space="preserve"> disposal and treatment, incorporating the emissions associated with waste sent to landfill (</w:t>
      </w:r>
      <w:r w:rsidRPr="00AA5CB5">
        <w:t>GHG</w:t>
      </w:r>
      <w:r w:rsidR="00FC5A72" w:rsidRPr="00AA5CB5">
        <w:t xml:space="preserve"> Protocol </w:t>
      </w:r>
      <w:r w:rsidR="00EA2C5E" w:rsidRPr="00AA5CB5">
        <w:t>C</w:t>
      </w:r>
      <w:r w:rsidR="00FC5A72" w:rsidRPr="00AA5CB5">
        <w:t>ategory 5</w:t>
      </w:r>
      <w:r w:rsidR="00EA2C5E" w:rsidRPr="00AA5CB5">
        <w:t>:</w:t>
      </w:r>
      <w:r w:rsidR="00FC5A72" w:rsidRPr="00AA5CB5">
        <w:t xml:space="preserve"> Waste </w:t>
      </w:r>
      <w:r w:rsidR="00EA2C5E" w:rsidRPr="00AA5CB5">
        <w:t>G</w:t>
      </w:r>
      <w:r w:rsidR="00FC5A72" w:rsidRPr="00AA5CB5">
        <w:t xml:space="preserve">enerated in </w:t>
      </w:r>
      <w:r w:rsidR="00EA2C5E" w:rsidRPr="00AA5CB5">
        <w:t>O</w:t>
      </w:r>
      <w:r w:rsidR="00FC5A72" w:rsidRPr="00AA5CB5">
        <w:t>perations)</w:t>
      </w:r>
      <w:r w:rsidR="00D27505" w:rsidRPr="00AA5CB5">
        <w:t>.</w:t>
      </w:r>
    </w:p>
    <w:p w14:paraId="7F7C1D1C" w14:textId="7C0873B8" w:rsidR="00FC5A72" w:rsidRPr="00AA5CB5" w:rsidRDefault="00C04457" w:rsidP="007F6D08">
      <w:pPr>
        <w:pStyle w:val="Bodybullet1"/>
      </w:pPr>
      <w:r w:rsidRPr="00AA5CB5">
        <w:rPr>
          <w:b/>
          <w:bCs/>
        </w:rPr>
        <w:t>D</w:t>
      </w:r>
      <w:r w:rsidR="00FC5A72" w:rsidRPr="00AA5CB5">
        <w:rPr>
          <w:b/>
          <w:bCs/>
        </w:rPr>
        <w:t>omestic</w:t>
      </w:r>
      <w:r w:rsidR="001A26A7">
        <w:rPr>
          <w:b/>
          <w:bCs/>
        </w:rPr>
        <w:t xml:space="preserve"> commercial</w:t>
      </w:r>
      <w:r w:rsidR="00FC5A72" w:rsidRPr="00AA5CB5">
        <w:rPr>
          <w:b/>
          <w:bCs/>
        </w:rPr>
        <w:t xml:space="preserve"> flights,</w:t>
      </w:r>
      <w:r w:rsidR="00FC5A72" w:rsidRPr="00AA5CB5">
        <w:t xml:space="preserve"> incorporating the emissions associated with fuel usage (</w:t>
      </w:r>
      <w:r w:rsidRPr="00AA5CB5">
        <w:t>GHG</w:t>
      </w:r>
      <w:r w:rsidR="00FC5A72" w:rsidRPr="00AA5CB5">
        <w:t xml:space="preserve"> Protocol category 6 Business travel)</w:t>
      </w:r>
    </w:p>
    <w:p w14:paraId="5775BBD3" w14:textId="29225F16" w:rsidR="00FC5A72" w:rsidRPr="00AA5CB5" w:rsidRDefault="00C04457" w:rsidP="007F6D08">
      <w:pPr>
        <w:pStyle w:val="Bodybullet1"/>
      </w:pPr>
      <w:r w:rsidRPr="00AA5CB5">
        <w:t>E</w:t>
      </w:r>
      <w:r w:rsidR="00FC5A72" w:rsidRPr="00AA5CB5">
        <w:t xml:space="preserve">mployee domestic business travel, incorporating the emissions associated with </w:t>
      </w:r>
      <w:r w:rsidR="00FC5A72" w:rsidRPr="00AA5CB5">
        <w:rPr>
          <w:b/>
          <w:bCs/>
        </w:rPr>
        <w:t xml:space="preserve">hire car use </w:t>
      </w:r>
      <w:r w:rsidR="00FC5A72" w:rsidRPr="00AA5CB5">
        <w:t xml:space="preserve">and </w:t>
      </w:r>
      <w:r w:rsidR="00FC5A72" w:rsidRPr="00AA5CB5">
        <w:rPr>
          <w:b/>
          <w:bCs/>
        </w:rPr>
        <w:t xml:space="preserve">accommodation </w:t>
      </w:r>
      <w:r w:rsidR="00FC5A72" w:rsidRPr="00AA5CB5">
        <w:t>(</w:t>
      </w:r>
      <w:r w:rsidRPr="00AA5CB5">
        <w:t>GHG</w:t>
      </w:r>
      <w:r w:rsidR="00FC5A72" w:rsidRPr="00AA5CB5">
        <w:t xml:space="preserve"> Protocol </w:t>
      </w:r>
      <w:r w:rsidR="00C4057F" w:rsidRPr="00AA5CB5">
        <w:t>C</w:t>
      </w:r>
      <w:r w:rsidR="00FC5A72" w:rsidRPr="00AA5CB5">
        <w:t>ategory 6</w:t>
      </w:r>
      <w:r w:rsidR="00C4057F" w:rsidRPr="00AA5CB5">
        <w:t>:</w:t>
      </w:r>
      <w:r w:rsidR="00FC5A72" w:rsidRPr="00AA5CB5">
        <w:t xml:space="preserve"> Business </w:t>
      </w:r>
      <w:r w:rsidR="00C4057F" w:rsidRPr="00AA5CB5">
        <w:t>T</w:t>
      </w:r>
      <w:r w:rsidR="00FC5A72" w:rsidRPr="00AA5CB5">
        <w:t xml:space="preserve">ravel). </w:t>
      </w:r>
    </w:p>
    <w:p w14:paraId="10F9E956" w14:textId="68E5E94D" w:rsidR="001E2D6F" w:rsidRPr="00AA5CB5" w:rsidRDefault="001E2D6F" w:rsidP="0055339F">
      <w:pPr>
        <w:pStyle w:val="Heading2"/>
      </w:pPr>
      <w:bookmarkStart w:id="57" w:name="_Ref199186652"/>
      <w:bookmarkStart w:id="58" w:name="_Ref201927084"/>
      <w:bookmarkStart w:id="59" w:name="_Toc201927340"/>
      <w:bookmarkStart w:id="60" w:name="_Toc197426923"/>
      <w:bookmarkStart w:id="61" w:name="_Toc197438588"/>
      <w:r w:rsidRPr="00AA5CB5">
        <w:t xml:space="preserve">Scope 3 </w:t>
      </w:r>
      <w:r w:rsidR="0028397F">
        <w:t>e</w:t>
      </w:r>
      <w:r w:rsidR="002464CE" w:rsidRPr="00AA5CB5">
        <w:t xml:space="preserve">missions </w:t>
      </w:r>
      <w:bookmarkEnd w:id="57"/>
      <w:r w:rsidR="008B00F9">
        <w:t>e</w:t>
      </w:r>
      <w:r w:rsidRPr="00AA5CB5">
        <w:t>xclusions</w:t>
      </w:r>
      <w:bookmarkEnd w:id="58"/>
      <w:bookmarkEnd w:id="59"/>
    </w:p>
    <w:p w14:paraId="45694626" w14:textId="171F14A2" w:rsidR="00740043" w:rsidRPr="00AA5CB5" w:rsidRDefault="00740043" w:rsidP="0089365E">
      <w:pPr>
        <w:pStyle w:val="BodyText1"/>
      </w:pPr>
      <w:r w:rsidRPr="00AA5CB5">
        <w:t>Scope 3 emissions sources not mentioned above are excluded from the Framework. This includes</w:t>
      </w:r>
      <w:r w:rsidR="00336A48" w:rsidRPr="00AA5CB5">
        <w:t>,</w:t>
      </w:r>
      <w:r w:rsidRPr="00AA5CB5">
        <w:t xml:space="preserve"> but is not limited to</w:t>
      </w:r>
      <w:r w:rsidR="00336A48" w:rsidRPr="00AA5CB5">
        <w:t>,</w:t>
      </w:r>
      <w:r w:rsidRPr="00AA5CB5">
        <w:t xml:space="preserve"> the scope 3 emission</w:t>
      </w:r>
      <w:r w:rsidR="255223C8" w:rsidRPr="00AA5CB5">
        <w:t>s</w:t>
      </w:r>
      <w:r w:rsidRPr="00AA5CB5">
        <w:t xml:space="preserve"> sources where data accessibility is difficult </w:t>
      </w:r>
      <w:r w:rsidR="00102625" w:rsidRPr="00AA5CB5">
        <w:t>to collect across the Commonwealth,</w:t>
      </w:r>
      <w:r w:rsidRPr="00AA5CB5">
        <w:t xml:space="preserve"> and the quantity of emissions is either small or </w:t>
      </w:r>
      <w:r w:rsidR="00102625" w:rsidRPr="00AA5CB5">
        <w:t xml:space="preserve">difficult to </w:t>
      </w:r>
      <w:r w:rsidR="00102625" w:rsidRPr="00AA5CB5">
        <w:lastRenderedPageBreak/>
        <w:t>assess</w:t>
      </w:r>
      <w:r w:rsidR="00875C52" w:rsidRPr="00AA5CB5">
        <w:t xml:space="preserve">. </w:t>
      </w:r>
      <w:r w:rsidRPr="00AA5CB5">
        <w:t xml:space="preserve">These scope 3 emissions sources will be considered for possible expansions of the Framework. </w:t>
      </w:r>
    </w:p>
    <w:p w14:paraId="485FF16D" w14:textId="390D94E8" w:rsidR="00740043" w:rsidRPr="00AA5CB5" w:rsidRDefault="00740043" w:rsidP="0089365E">
      <w:pPr>
        <w:pStyle w:val="BodyText1"/>
      </w:pPr>
      <w:r w:rsidRPr="00AA5CB5">
        <w:t xml:space="preserve">Reporting agencies are required to meet the requirements of the </w:t>
      </w:r>
      <w:r w:rsidR="001403D7">
        <w:t xml:space="preserve">Framework </w:t>
      </w:r>
      <w:r w:rsidRPr="00AA5CB5">
        <w:t xml:space="preserve">before </w:t>
      </w:r>
      <w:r w:rsidR="009344D7" w:rsidRPr="00AA5CB5">
        <w:t>exploring</w:t>
      </w:r>
      <w:r w:rsidRPr="00AA5CB5">
        <w:t xml:space="preserve"> </w:t>
      </w:r>
      <w:r w:rsidR="00AD5E7F">
        <w:t>scope</w:t>
      </w:r>
      <w:r w:rsidR="00747C2E" w:rsidRPr="00AA5CB5">
        <w:t xml:space="preserve"> 3 </w:t>
      </w:r>
      <w:r w:rsidRPr="00AA5CB5">
        <w:t>emission</w:t>
      </w:r>
      <w:r w:rsidR="63F0F63A" w:rsidRPr="00AA5CB5">
        <w:t>s</w:t>
      </w:r>
      <w:r w:rsidRPr="00AA5CB5">
        <w:t xml:space="preserve"> sources outside of the Framework.</w:t>
      </w:r>
    </w:p>
    <w:p w14:paraId="6F992772" w14:textId="04E39D53" w:rsidR="0089365E" w:rsidRPr="00AA5CB5" w:rsidRDefault="002464CE" w:rsidP="00BE16C2">
      <w:pPr>
        <w:pStyle w:val="BodyText1"/>
      </w:pPr>
      <w:r w:rsidRPr="00AA5CB5">
        <w:t xml:space="preserve">Any additional sources outside of the </w:t>
      </w:r>
      <w:r w:rsidR="001403D7">
        <w:t xml:space="preserve">Framework </w:t>
      </w:r>
      <w:r w:rsidRPr="00AA5CB5">
        <w:t xml:space="preserve">will need to be documented and reported </w:t>
      </w:r>
      <w:r w:rsidR="00692094">
        <w:t>separately to</w:t>
      </w:r>
      <w:r w:rsidRPr="00AA5CB5">
        <w:t xml:space="preserve"> the standard emissions inventory table </w:t>
      </w:r>
      <w:r w:rsidR="00037324">
        <w:t>in the</w:t>
      </w:r>
      <w:r w:rsidR="00037324" w:rsidRPr="00AA5CB5">
        <w:t xml:space="preserve"> </w:t>
      </w:r>
      <w:r w:rsidR="00692094" w:rsidRPr="006F37CB">
        <w:rPr>
          <w:rStyle w:val="Hyperlink1"/>
        </w:rPr>
        <w:fldChar w:fldCharType="begin"/>
      </w:r>
      <w:r w:rsidR="00692094" w:rsidRPr="006F37CB">
        <w:rPr>
          <w:rStyle w:val="Hyperlink1"/>
        </w:rPr>
        <w:instrText xml:space="preserve"> REF _Ref201762262 \h </w:instrText>
      </w:r>
      <w:r w:rsidR="00E90CEE">
        <w:rPr>
          <w:rStyle w:val="Hyperlink1"/>
        </w:rPr>
        <w:instrText xml:space="preserve"> \* MERGEFORMAT</w:instrText>
      </w:r>
      <w:r w:rsidR="00E90CEE" w:rsidRPr="00F3703E">
        <w:rPr>
          <w:rStyle w:val="Hyperlink1"/>
        </w:rPr>
        <w:instrText xml:space="preserve"> </w:instrText>
      </w:r>
      <w:r w:rsidR="00692094" w:rsidRPr="006F37CB">
        <w:rPr>
          <w:rStyle w:val="Hyperlink1"/>
        </w:rPr>
      </w:r>
      <w:r w:rsidR="00692094" w:rsidRPr="006F37CB">
        <w:rPr>
          <w:rStyle w:val="Hyperlink1"/>
        </w:rPr>
        <w:fldChar w:fldCharType="separate"/>
      </w:r>
      <w:r w:rsidR="00422A37" w:rsidRPr="00422A37">
        <w:rPr>
          <w:rStyle w:val="Hyperlink1"/>
        </w:rPr>
        <w:t>Annual report requirements 2024-25</w:t>
      </w:r>
      <w:r w:rsidR="00692094" w:rsidRPr="006F37CB">
        <w:rPr>
          <w:rStyle w:val="Hyperlink1"/>
        </w:rPr>
        <w:fldChar w:fldCharType="end"/>
      </w:r>
      <w:r w:rsidR="00692094">
        <w:t xml:space="preserve"> </w:t>
      </w:r>
      <w:r w:rsidR="00977AEE" w:rsidRPr="00AA5CB5">
        <w:t>section</w:t>
      </w:r>
      <w:r w:rsidR="0041751D">
        <w:t>,</w:t>
      </w:r>
      <w:r w:rsidR="00977AEE" w:rsidRPr="00AA5CB5">
        <w:t xml:space="preserve"> but</w:t>
      </w:r>
      <w:r w:rsidRPr="00AA5CB5">
        <w:t xml:space="preserve"> can be in the same section of the </w:t>
      </w:r>
      <w:r w:rsidR="009911D9">
        <w:t>a</w:t>
      </w:r>
      <w:r w:rsidRPr="00AA5CB5">
        <w:t xml:space="preserve">nnual </w:t>
      </w:r>
      <w:r w:rsidR="009911D9">
        <w:t>r</w:t>
      </w:r>
      <w:r w:rsidRPr="00AA5CB5">
        <w:t>eport.</w:t>
      </w:r>
    </w:p>
    <w:p w14:paraId="7EB60330" w14:textId="798AA86B" w:rsidR="005A7303" w:rsidRPr="00AA5CB5" w:rsidRDefault="005A7303" w:rsidP="005A7303">
      <w:pPr>
        <w:pStyle w:val="BodyText1"/>
        <w:rPr>
          <w:rStyle w:val="Hyperlink1"/>
        </w:rPr>
      </w:pPr>
      <w:r w:rsidRPr="00AA5CB5">
        <w:t xml:space="preserve">Further information on the </w:t>
      </w:r>
      <w:r>
        <w:t>scope</w:t>
      </w:r>
      <w:r w:rsidRPr="00AA5CB5">
        <w:t xml:space="preserve"> 3 categories under the Greenhouse Gas protocol can be found in</w:t>
      </w:r>
      <w:r w:rsidRPr="00F0186A">
        <w:rPr>
          <w:rStyle w:val="Hyperlink1"/>
        </w:rPr>
        <w:t xml:space="preserve"> </w:t>
      </w:r>
      <w:r w:rsidRPr="00F0186A">
        <w:rPr>
          <w:rStyle w:val="Hyperlink1"/>
        </w:rPr>
        <w:fldChar w:fldCharType="begin"/>
      </w:r>
      <w:r w:rsidRPr="00F0186A">
        <w:rPr>
          <w:rStyle w:val="Hyperlink1"/>
        </w:rPr>
        <w:instrText xml:space="preserve"> REF _Ref201836788 \h </w:instrText>
      </w:r>
      <w:r>
        <w:rPr>
          <w:rStyle w:val="Hyperlink1"/>
        </w:rPr>
        <w:instrText xml:space="preserve"> \* MERGEFORMAT </w:instrText>
      </w:r>
      <w:r w:rsidRPr="00F0186A">
        <w:rPr>
          <w:rStyle w:val="Hyperlink1"/>
        </w:rPr>
      </w:r>
      <w:r w:rsidRPr="00F0186A">
        <w:rPr>
          <w:rStyle w:val="Hyperlink1"/>
        </w:rPr>
        <w:fldChar w:fldCharType="separate"/>
      </w:r>
      <w:r w:rsidR="00422A37" w:rsidRPr="00422A37">
        <w:rPr>
          <w:rStyle w:val="Hyperlink1"/>
        </w:rPr>
        <w:t>Annex A: Scope 3 categories in Greenhouse Gas Protocol and Framework</w:t>
      </w:r>
      <w:r w:rsidRPr="00F0186A">
        <w:rPr>
          <w:rStyle w:val="Hyperlink1"/>
        </w:rPr>
        <w:fldChar w:fldCharType="end"/>
      </w:r>
      <w:r>
        <w:t>.</w:t>
      </w:r>
    </w:p>
    <w:p w14:paraId="542A6C84" w14:textId="4E9951ED" w:rsidR="0089365E" w:rsidRPr="00AA5CB5" w:rsidRDefault="0089365E" w:rsidP="00BE16C2">
      <w:pPr>
        <w:pStyle w:val="BodyText1"/>
      </w:pPr>
      <w:r w:rsidRPr="00AA5CB5">
        <w:t xml:space="preserve">For </w:t>
      </w:r>
      <w:r w:rsidR="00FD4286">
        <w:t xml:space="preserve">all </w:t>
      </w:r>
      <w:r w:rsidRPr="00AA5CB5">
        <w:t>emission</w:t>
      </w:r>
      <w:r w:rsidR="19D174FD" w:rsidRPr="00AA5CB5">
        <w:t>s</w:t>
      </w:r>
      <w:r w:rsidRPr="00AA5CB5">
        <w:t xml:space="preserve"> sources reported</w:t>
      </w:r>
      <w:r w:rsidR="00FD4286">
        <w:t xml:space="preserve">, including those </w:t>
      </w:r>
      <w:r w:rsidRPr="00AA5CB5">
        <w:t>outside of the Framework</w:t>
      </w:r>
      <w:r w:rsidR="009B6E84">
        <w:t xml:space="preserve">, the </w:t>
      </w:r>
      <w:r w:rsidRPr="00AA5CB5">
        <w:t>reporting agency must</w:t>
      </w:r>
      <w:r w:rsidR="009B6E84">
        <w:t>, at a minimum,</w:t>
      </w:r>
      <w:r w:rsidRPr="00AA5CB5">
        <w:t xml:space="preserve"> as per CCD requirements</w:t>
      </w:r>
      <w:r w:rsidR="009B6E84">
        <w:t xml:space="preserve"> disclose</w:t>
      </w:r>
      <w:r w:rsidR="003119F1">
        <w:t xml:space="preserve"> the</w:t>
      </w:r>
      <w:r w:rsidRPr="00AA5CB5">
        <w:t xml:space="preserve">: </w:t>
      </w:r>
    </w:p>
    <w:p w14:paraId="7A91DD90" w14:textId="2CB7C4AF" w:rsidR="0089365E" w:rsidRPr="00AA5CB5" w:rsidRDefault="009B6E84" w:rsidP="00BE16C2">
      <w:pPr>
        <w:pStyle w:val="Bodybullet1"/>
      </w:pPr>
      <w:r>
        <w:t>M</w:t>
      </w:r>
      <w:r w:rsidR="0089365E" w:rsidRPr="00AA5CB5">
        <w:t>etric tonnes of CO</w:t>
      </w:r>
      <w:r w:rsidR="0089365E" w:rsidRPr="00AA5CB5">
        <w:rPr>
          <w:vertAlign w:val="subscript"/>
        </w:rPr>
        <w:t>2</w:t>
      </w:r>
      <w:r w:rsidR="0089365E" w:rsidRPr="00AA5CB5">
        <w:t xml:space="preserve"> equivalent</w:t>
      </w:r>
      <w:r w:rsidR="00B963BA" w:rsidRPr="00AA5CB5">
        <w:t xml:space="preserve"> (t CO</w:t>
      </w:r>
      <w:r w:rsidR="00B963BA" w:rsidRPr="00AA5CB5">
        <w:rPr>
          <w:vertAlign w:val="subscript"/>
        </w:rPr>
        <w:t>2</w:t>
      </w:r>
      <w:r w:rsidR="00B963BA" w:rsidRPr="00AA5CB5">
        <w:t>-e)</w:t>
      </w:r>
      <w:r w:rsidR="0089365E" w:rsidRPr="00AA5CB5">
        <w:t>, as per M3.a.</w:t>
      </w:r>
    </w:p>
    <w:p w14:paraId="48EDE6CE" w14:textId="14C2B374" w:rsidR="0089365E" w:rsidRPr="00AA5CB5" w:rsidRDefault="003119F1" w:rsidP="00BE16C2">
      <w:pPr>
        <w:pStyle w:val="Bodybullet1"/>
      </w:pPr>
      <w:r>
        <w:t>A</w:t>
      </w:r>
      <w:r w:rsidR="0089365E" w:rsidRPr="00AA5CB5">
        <w:t xml:space="preserve">pproach, inputs, assumptions and methodologies used to measure its </w:t>
      </w:r>
      <w:r w:rsidR="00751EB1">
        <w:t>GHG</w:t>
      </w:r>
      <w:r w:rsidR="0089365E" w:rsidRPr="00AA5CB5">
        <w:t xml:space="preserve"> emissions, including any changes from the previous reporting period, as per M3.b.</w:t>
      </w:r>
    </w:p>
    <w:p w14:paraId="69BC52A9" w14:textId="76B47514" w:rsidR="0089365E" w:rsidRPr="00AA5CB5" w:rsidRDefault="003119F1" w:rsidP="00BE16C2">
      <w:pPr>
        <w:pStyle w:val="Bodybullet1"/>
      </w:pPr>
      <w:r>
        <w:t>C</w:t>
      </w:r>
      <w:r w:rsidR="0089365E" w:rsidRPr="00AA5CB5">
        <w:t xml:space="preserve">ategories included within the entity’s measure of scope 3 </w:t>
      </w:r>
      <w:r w:rsidR="00751EB1">
        <w:t>GHG</w:t>
      </w:r>
      <w:r w:rsidR="0089365E" w:rsidRPr="00AA5CB5">
        <w:t xml:space="preserve"> emissions, as per M3.f.i.</w:t>
      </w:r>
    </w:p>
    <w:p w14:paraId="65C2CAE9" w14:textId="79213938" w:rsidR="0089365E" w:rsidRPr="00AA5CB5" w:rsidRDefault="0089365E" w:rsidP="0089365E">
      <w:pPr>
        <w:pStyle w:val="BodyText1"/>
      </w:pPr>
      <w:r w:rsidRPr="00AA5CB5">
        <w:t xml:space="preserve">For audit and/or review purposes, it is strongly recommended that reporting agencies keep a record </w:t>
      </w:r>
      <w:r w:rsidR="005C5967">
        <w:t xml:space="preserve">of </w:t>
      </w:r>
      <w:r w:rsidR="00103C2B" w:rsidRPr="00AA5CB5">
        <w:t>information</w:t>
      </w:r>
      <w:r w:rsidR="003A036F" w:rsidRPr="00AA5CB5">
        <w:t>,</w:t>
      </w:r>
      <w:r w:rsidR="00103C2B" w:rsidRPr="00AA5CB5">
        <w:t xml:space="preserve"> such as</w:t>
      </w:r>
      <w:r w:rsidRPr="00AA5CB5">
        <w:t xml:space="preserve">: </w:t>
      </w:r>
    </w:p>
    <w:p w14:paraId="760F21DB" w14:textId="5BAC85A3" w:rsidR="0089365E" w:rsidRPr="00AA5CB5" w:rsidRDefault="0089365E" w:rsidP="00BE16C2">
      <w:pPr>
        <w:pStyle w:val="Bodybullet1"/>
      </w:pPr>
      <w:r w:rsidRPr="00AA5CB5">
        <w:t xml:space="preserve">activity data types (such as GJ, kWh, L) </w:t>
      </w:r>
    </w:p>
    <w:p w14:paraId="3D92CB51" w14:textId="5DDAED06" w:rsidR="0089365E" w:rsidRPr="00AA5CB5" w:rsidRDefault="0089365E" w:rsidP="00BE16C2">
      <w:pPr>
        <w:pStyle w:val="Bodybullet1"/>
      </w:pPr>
      <w:r w:rsidRPr="00AA5CB5">
        <w:t>activity data sources (such as internal data systems, purchase records, utility bills, supplier questionnaires, and industry databases)</w:t>
      </w:r>
    </w:p>
    <w:p w14:paraId="438EA689" w14:textId="01DEDDCA" w:rsidR="0089365E" w:rsidRPr="00AA5CB5" w:rsidRDefault="0089365E" w:rsidP="00BE16C2">
      <w:pPr>
        <w:pStyle w:val="Bodybullet1"/>
      </w:pPr>
      <w:r w:rsidRPr="00AA5CB5">
        <w:t>emission factor types (such as t CO2-e per activity data)</w:t>
      </w:r>
    </w:p>
    <w:p w14:paraId="5297B3E1" w14:textId="0D8772D9" w:rsidR="0089365E" w:rsidRPr="00AA5CB5" w:rsidRDefault="0089365E" w:rsidP="00BE16C2">
      <w:pPr>
        <w:pStyle w:val="Bodybullet1"/>
      </w:pPr>
      <w:r w:rsidRPr="00AA5CB5">
        <w:t>emission factor sources (such as life cycle databases, government agencies, industry associations, and supplier-specific data</w:t>
      </w:r>
      <w:r w:rsidR="00E4189F">
        <w:t>)</w:t>
      </w:r>
      <w:r w:rsidRPr="00AA5CB5">
        <w:t>.</w:t>
      </w:r>
    </w:p>
    <w:p w14:paraId="142A5E0B" w14:textId="26F12FDD" w:rsidR="0089365E" w:rsidRPr="00AA5CB5" w:rsidRDefault="0089365E" w:rsidP="002464CE">
      <w:pPr>
        <w:pStyle w:val="BodyText1"/>
      </w:pPr>
      <w:r w:rsidRPr="00AA5CB5">
        <w:t xml:space="preserve">Reporting agencies are strongly encouraged to refer to </w:t>
      </w:r>
      <w:r w:rsidR="009464C2" w:rsidRPr="00AA5CB5">
        <w:t xml:space="preserve">the </w:t>
      </w:r>
      <w:hyperlink r:id="rId41" w:history="1">
        <w:r w:rsidR="009464C2" w:rsidRPr="00AA5CB5">
          <w:rPr>
            <w:rStyle w:val="Hyperlink1"/>
          </w:rPr>
          <w:t>GHG Protocol Scope 3 Standard</w:t>
        </w:r>
      </w:hyperlink>
      <w:r w:rsidR="009464C2" w:rsidRPr="00AA5CB5">
        <w:t xml:space="preserve"> </w:t>
      </w:r>
      <w:r w:rsidRPr="00AA5CB5">
        <w:t xml:space="preserve">and associated guidance for supplementary information. Where there are differences between the </w:t>
      </w:r>
      <w:r w:rsidR="001403D7">
        <w:t xml:space="preserve">Framework </w:t>
      </w:r>
      <w:r w:rsidRPr="00AA5CB5">
        <w:t xml:space="preserve">and </w:t>
      </w:r>
      <w:r w:rsidR="009464C2" w:rsidRPr="00AA5CB5">
        <w:t xml:space="preserve">the </w:t>
      </w:r>
      <w:hyperlink r:id="rId42" w:history="1">
        <w:r w:rsidR="009464C2" w:rsidRPr="00AA5CB5">
          <w:rPr>
            <w:rStyle w:val="Hyperlink1"/>
          </w:rPr>
          <w:t>GHG Protocol Scope 3 Standard</w:t>
        </w:r>
      </w:hyperlink>
      <w:r w:rsidRPr="00AA5CB5">
        <w:t xml:space="preserve">, reporting agencies are required to follow the Framework. </w:t>
      </w:r>
    </w:p>
    <w:p w14:paraId="7682E2D1" w14:textId="5BC06459" w:rsidR="00740043" w:rsidRPr="00AA5CB5" w:rsidRDefault="00740043" w:rsidP="00740043">
      <w:pPr>
        <w:pStyle w:val="Heading2"/>
      </w:pPr>
      <w:bookmarkStart w:id="62" w:name="_Toc201927341"/>
      <w:bookmarkEnd w:id="60"/>
      <w:bookmarkEnd w:id="61"/>
      <w:r w:rsidRPr="00AA5CB5">
        <w:t xml:space="preserve">Land Use, Land Use Change, and Forestry and </w:t>
      </w:r>
      <w:r w:rsidR="00F71ED5">
        <w:t>a</w:t>
      </w:r>
      <w:r w:rsidRPr="00AA5CB5">
        <w:t>gricultural emissions</w:t>
      </w:r>
      <w:bookmarkEnd w:id="62"/>
      <w:r w:rsidRPr="00AA5CB5">
        <w:t xml:space="preserve"> </w:t>
      </w:r>
    </w:p>
    <w:p w14:paraId="0C7C23DC" w14:textId="20B728AC" w:rsidR="00277223" w:rsidRPr="00AA5CB5" w:rsidRDefault="00277223" w:rsidP="00277223">
      <w:pPr>
        <w:pStyle w:val="BodyText1"/>
      </w:pPr>
      <w:r w:rsidRPr="00AA5CB5">
        <w:t xml:space="preserve">Land Use, Land Use Change, and Forestry (LULUCF) and agricultural emissions sources and sinks are excluded from the Framework, allowing reporting agencies to prioritise other more significant sources of emissions in their inventory. The contribution to LULUCF and agricultural emissions is likely to be relatively small compared to </w:t>
      </w:r>
      <w:r w:rsidR="00AD5E7F">
        <w:t>scope</w:t>
      </w:r>
      <w:r w:rsidRPr="00AA5CB5">
        <w:t xml:space="preserve"> 1 and </w:t>
      </w:r>
      <w:r w:rsidR="00AD5E7F">
        <w:t>scope</w:t>
      </w:r>
      <w:r w:rsidRPr="00AA5CB5">
        <w:t xml:space="preserve"> 2 emission</w:t>
      </w:r>
      <w:r w:rsidR="6E4ACB57" w:rsidRPr="00AA5CB5">
        <w:t>s</w:t>
      </w:r>
      <w:r w:rsidRPr="00AA5CB5">
        <w:t xml:space="preserve"> sources, due to the limited scope of agricultural activities and land management practices conducted directly by Australian Government agencies. </w:t>
      </w:r>
    </w:p>
    <w:p w14:paraId="00E4A195" w14:textId="2F6CD42F" w:rsidR="00277223" w:rsidRPr="00AA5CB5" w:rsidRDefault="003E62A4" w:rsidP="00902A0F">
      <w:pPr>
        <w:pStyle w:val="Bodybullet1"/>
        <w:numPr>
          <w:ilvl w:val="0"/>
          <w:numId w:val="0"/>
        </w:numPr>
      </w:pPr>
      <w:r w:rsidRPr="00AA5CB5">
        <w:t>Reporting</w:t>
      </w:r>
      <w:r w:rsidR="00277223" w:rsidRPr="00AA5CB5">
        <w:t xml:space="preserve"> agencies</w:t>
      </w:r>
      <w:r w:rsidRPr="00AA5CB5">
        <w:t xml:space="preserve"> that</w:t>
      </w:r>
      <w:r w:rsidR="003D512B" w:rsidRPr="00AA5CB5">
        <w:t xml:space="preserve"> may </w:t>
      </w:r>
      <w:r w:rsidRPr="00AA5CB5">
        <w:t>have</w:t>
      </w:r>
      <w:r w:rsidR="003D512B" w:rsidRPr="00AA5CB5">
        <w:t xml:space="preserve"> </w:t>
      </w:r>
      <w:r w:rsidR="00277223" w:rsidRPr="00AA5CB5">
        <w:t>LULUCF and agricultural</w:t>
      </w:r>
      <w:r w:rsidR="003D512B" w:rsidRPr="00AA5CB5">
        <w:t xml:space="preserve"> </w:t>
      </w:r>
      <w:r w:rsidRPr="00AA5CB5">
        <w:t>emission</w:t>
      </w:r>
      <w:r w:rsidR="37F4F227" w:rsidRPr="00AA5CB5">
        <w:t>s</w:t>
      </w:r>
      <w:r w:rsidRPr="00AA5CB5">
        <w:t xml:space="preserve"> </w:t>
      </w:r>
      <w:r w:rsidR="003D512B" w:rsidRPr="00AA5CB5">
        <w:t>sources</w:t>
      </w:r>
      <w:r w:rsidR="00277223" w:rsidRPr="00AA5CB5">
        <w:t xml:space="preserve"> </w:t>
      </w:r>
      <w:r w:rsidR="00610CAD" w:rsidRPr="00AA5CB5">
        <w:t xml:space="preserve">are </w:t>
      </w:r>
      <w:r w:rsidR="00202729" w:rsidRPr="00AA5CB5">
        <w:t xml:space="preserve">to </w:t>
      </w:r>
      <w:r w:rsidRPr="00AA5CB5">
        <w:t>apply</w:t>
      </w:r>
      <w:r w:rsidR="00277223" w:rsidRPr="00AA5CB5">
        <w:t xml:space="preserve"> the </w:t>
      </w:r>
      <w:r w:rsidRPr="00AA5CB5">
        <w:t>requirement</w:t>
      </w:r>
      <w:r w:rsidR="0069150C" w:rsidRPr="00AA5CB5">
        <w:t>s</w:t>
      </w:r>
      <w:r w:rsidRPr="00AA5CB5">
        <w:t xml:space="preserve"> above</w:t>
      </w:r>
      <w:r w:rsidR="00277223" w:rsidRPr="00AA5CB5">
        <w:t xml:space="preserve"> before exploring further </w:t>
      </w:r>
      <w:r w:rsidRPr="00AA5CB5">
        <w:t xml:space="preserve">options to include </w:t>
      </w:r>
      <w:r w:rsidR="00156692" w:rsidRPr="00AA5CB5">
        <w:t>additional</w:t>
      </w:r>
      <w:r w:rsidRPr="00AA5CB5">
        <w:t xml:space="preserve"> emission</w:t>
      </w:r>
      <w:r w:rsidR="39F1CF40" w:rsidRPr="00AA5CB5">
        <w:t>s</w:t>
      </w:r>
      <w:r w:rsidRPr="00AA5CB5">
        <w:t xml:space="preserve"> sources</w:t>
      </w:r>
      <w:r w:rsidR="008F4408" w:rsidRPr="00AA5CB5">
        <w:t>.</w:t>
      </w:r>
    </w:p>
    <w:p w14:paraId="0C21CA8A" w14:textId="770E87EB" w:rsidR="00616363" w:rsidRPr="00AA5CB5" w:rsidRDefault="00616363" w:rsidP="00356C20">
      <w:pPr>
        <w:pStyle w:val="Heading1"/>
      </w:pPr>
      <w:bookmarkStart w:id="63" w:name="_Toc197426940"/>
      <w:bookmarkStart w:id="64" w:name="_Toc197438605"/>
      <w:bookmarkStart w:id="65" w:name="_Toc201927342"/>
      <w:bookmarkStart w:id="66" w:name="_Toc197426924"/>
      <w:bookmarkStart w:id="67" w:name="_Toc197438589"/>
      <w:r w:rsidRPr="00AA5CB5">
        <w:lastRenderedPageBreak/>
        <w:t xml:space="preserve">Activity </w:t>
      </w:r>
      <w:r w:rsidR="00534C25">
        <w:t>d</w:t>
      </w:r>
      <w:r w:rsidRPr="00AA5CB5">
        <w:t xml:space="preserve">ata </w:t>
      </w:r>
      <w:bookmarkEnd w:id="63"/>
      <w:bookmarkEnd w:id="64"/>
      <w:r w:rsidR="00534C25">
        <w:t>p</w:t>
      </w:r>
      <w:r w:rsidR="00532FDC" w:rsidRPr="00AA5CB5">
        <w:t>rocesses</w:t>
      </w:r>
      <w:bookmarkEnd w:id="65"/>
    </w:p>
    <w:p w14:paraId="63A9E6D7" w14:textId="619034A8" w:rsidR="00F7400A" w:rsidRPr="00AA5CB5" w:rsidRDefault="00AD214B" w:rsidP="00F7400A">
      <w:pPr>
        <w:pStyle w:val="BodyText1"/>
      </w:pPr>
      <w:bookmarkStart w:id="68" w:name="_Toc197426943"/>
      <w:bookmarkStart w:id="69" w:name="_Toc197438608"/>
      <w:bookmarkStart w:id="70" w:name="_Toc197426942"/>
      <w:bookmarkStart w:id="71" w:name="_Toc197438607"/>
      <w:bookmarkStart w:id="72" w:name="_Toc197426927"/>
      <w:bookmarkStart w:id="73" w:name="_Toc197438592"/>
      <w:bookmarkStart w:id="74" w:name="_Toc197426941"/>
      <w:bookmarkStart w:id="75" w:name="_Toc197438606"/>
      <w:r w:rsidRPr="00AA5CB5">
        <w:t xml:space="preserve">Data </w:t>
      </w:r>
      <w:r w:rsidR="009912E5" w:rsidRPr="00AA5CB5">
        <w:t>accuracy</w:t>
      </w:r>
      <w:r w:rsidR="00AE2F4F" w:rsidRPr="00AA5CB5">
        <w:t xml:space="preserve"> </w:t>
      </w:r>
      <w:r w:rsidR="00082717" w:rsidRPr="00AA5CB5">
        <w:t xml:space="preserve">refers to improving and maintaining activity data correctness and precision. </w:t>
      </w:r>
      <w:r w:rsidR="00F7400A" w:rsidRPr="00AA5CB5">
        <w:t xml:space="preserve">Reporting agencies are accountable for the accuracy of </w:t>
      </w:r>
      <w:r w:rsidR="00082717" w:rsidRPr="00AA5CB5">
        <w:t>data provided</w:t>
      </w:r>
      <w:r w:rsidR="00F7400A" w:rsidRPr="00AA5CB5">
        <w:t xml:space="preserve"> to Finance. </w:t>
      </w:r>
    </w:p>
    <w:p w14:paraId="2AB0D630" w14:textId="682C7CA8" w:rsidR="00532FDC" w:rsidRPr="00AA5CB5" w:rsidRDefault="00532FDC" w:rsidP="00E0045A">
      <w:pPr>
        <w:pStyle w:val="Heading2"/>
      </w:pPr>
      <w:bookmarkStart w:id="76" w:name="_Toc201927343"/>
      <w:r w:rsidRPr="00AA5CB5">
        <w:t>Reporting period</w:t>
      </w:r>
      <w:bookmarkEnd w:id="76"/>
      <w:r w:rsidR="001F7D8E" w:rsidRPr="00AA5CB5">
        <w:t xml:space="preserve"> </w:t>
      </w:r>
    </w:p>
    <w:p w14:paraId="5968639E" w14:textId="3FB0B2C7" w:rsidR="004D4777" w:rsidRPr="00AA5CB5" w:rsidRDefault="00FB32A5" w:rsidP="00F7400A">
      <w:pPr>
        <w:pStyle w:val="BodyText1"/>
      </w:pPr>
      <w:r w:rsidRPr="00AA5CB5">
        <w:t>The reporting period is when the activity occurs</w:t>
      </w:r>
      <w:r w:rsidR="00B42374" w:rsidRPr="00AA5CB5">
        <w:t xml:space="preserve">. </w:t>
      </w:r>
      <w:r w:rsidR="000066B1" w:rsidRPr="00AA5CB5">
        <w:t>The emissions</w:t>
      </w:r>
      <w:r w:rsidR="001F7D8E" w:rsidRPr="00AA5CB5">
        <w:t xml:space="preserve"> reporting period </w:t>
      </w:r>
      <w:r w:rsidR="000066B1" w:rsidRPr="00AA5CB5">
        <w:t>is from</w:t>
      </w:r>
      <w:r w:rsidR="001F7D8E" w:rsidRPr="00AA5CB5">
        <w:t xml:space="preserve"> 1 July </w:t>
      </w:r>
      <w:r w:rsidR="000066B1" w:rsidRPr="00AA5CB5">
        <w:t>to</w:t>
      </w:r>
      <w:r w:rsidR="001F7D8E" w:rsidRPr="00AA5CB5">
        <w:t xml:space="preserve"> 30 June</w:t>
      </w:r>
      <w:r w:rsidR="000066B1" w:rsidRPr="00AA5CB5">
        <w:t>.</w:t>
      </w:r>
      <w:r w:rsidR="00AD008B" w:rsidRPr="00AA5CB5">
        <w:t xml:space="preserve"> If a</w:t>
      </w:r>
      <w:r w:rsidR="001F7D8E" w:rsidRPr="00AA5CB5">
        <w:t xml:space="preserve"> reporting agency has a different </w:t>
      </w:r>
      <w:r w:rsidR="004B6FC4" w:rsidRPr="00AA5CB5">
        <w:t>a</w:t>
      </w:r>
      <w:r w:rsidR="000066B1" w:rsidRPr="00AA5CB5">
        <w:t xml:space="preserve">nnual </w:t>
      </w:r>
      <w:r w:rsidR="00AD008B" w:rsidRPr="00AA5CB5">
        <w:t>reporting period</w:t>
      </w:r>
      <w:r w:rsidR="001F7D8E" w:rsidRPr="00AA5CB5">
        <w:t>, alternative approaches may be considered in consultation with Finance.</w:t>
      </w:r>
      <w:r w:rsidR="004D4777">
        <w:t xml:space="preserve"> </w:t>
      </w:r>
    </w:p>
    <w:p w14:paraId="48DF1E03" w14:textId="2218B5C8" w:rsidR="00276726" w:rsidRPr="00AA5CB5" w:rsidRDefault="00276726" w:rsidP="002F1D71">
      <w:pPr>
        <w:pStyle w:val="BodyText1"/>
        <w:rPr>
          <w:b/>
          <w:bCs/>
        </w:rPr>
      </w:pPr>
      <w:r w:rsidRPr="00AA5CB5">
        <w:t>Activity data is required from all activities occurring in the reporting period from within the emission</w:t>
      </w:r>
      <w:r w:rsidR="00741B29" w:rsidRPr="00AA5CB5">
        <w:t>s</w:t>
      </w:r>
      <w:r w:rsidRPr="00AA5CB5">
        <w:t xml:space="preserve"> boundary. Table 5 outlines the types of data required for each source.</w:t>
      </w:r>
    </w:p>
    <w:p w14:paraId="015095D9" w14:textId="4399023E" w:rsidR="00F7400A" w:rsidRDefault="00F7400A" w:rsidP="00F7400A">
      <w:pPr>
        <w:pStyle w:val="Caption"/>
        <w:keepNext/>
      </w:pPr>
      <w:bookmarkStart w:id="77" w:name="_Toc201927378"/>
      <w:r w:rsidRPr="00AA5CB5">
        <w:t xml:space="preserve">Table </w:t>
      </w:r>
      <w:r w:rsidRPr="00AA5CB5">
        <w:fldChar w:fldCharType="begin"/>
      </w:r>
      <w:r w:rsidRPr="00AA5CB5">
        <w:instrText xml:space="preserve"> SEQ Table \* ARABIC </w:instrText>
      </w:r>
      <w:r w:rsidRPr="00AA5CB5">
        <w:fldChar w:fldCharType="separate"/>
      </w:r>
      <w:r w:rsidR="00422A37">
        <w:rPr>
          <w:noProof/>
        </w:rPr>
        <w:t>5</w:t>
      </w:r>
      <w:r w:rsidRPr="00AA5CB5">
        <w:fldChar w:fldCharType="end"/>
      </w:r>
      <w:r w:rsidR="0088604A">
        <w:t>:</w:t>
      </w:r>
      <w:r w:rsidRPr="00AA5CB5">
        <w:t xml:space="preserve"> </w:t>
      </w:r>
      <w:r w:rsidR="00A05C63">
        <w:t>Examples of a</w:t>
      </w:r>
      <w:r w:rsidRPr="00AA5CB5">
        <w:t>ctivity data for emissions source</w:t>
      </w:r>
      <w:r w:rsidR="00A05C63">
        <w:t>s</w:t>
      </w:r>
      <w:bookmarkEnd w:id="77"/>
    </w:p>
    <w:tbl>
      <w:tblPr>
        <w:tblStyle w:val="ListTable4-Accent6"/>
        <w:tblW w:w="9350" w:type="dxa"/>
        <w:tblInd w:w="0" w:type="dxa"/>
        <w:tblLook w:val="06A0" w:firstRow="1" w:lastRow="0" w:firstColumn="1" w:lastColumn="0" w:noHBand="1" w:noVBand="1"/>
      </w:tblPr>
      <w:tblGrid>
        <w:gridCol w:w="2263"/>
        <w:gridCol w:w="7087"/>
      </w:tblGrid>
      <w:tr w:rsidR="00777C3C" w:rsidRPr="00C860E4" w14:paraId="20CDDC07" w14:textId="77777777" w:rsidTr="002F1D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hideMark/>
          </w:tcPr>
          <w:p w14:paraId="628B93BA" w14:textId="2C482AF4" w:rsidR="00C860E4" w:rsidRPr="001C452A" w:rsidRDefault="00C860E4" w:rsidP="001C452A">
            <w:pPr>
              <w:pStyle w:val="Tablebodytext"/>
            </w:pPr>
            <w:r w:rsidRPr="001C452A">
              <w:t>Emission Source</w:t>
            </w:r>
          </w:p>
        </w:tc>
        <w:tc>
          <w:tcPr>
            <w:tcW w:w="7087" w:type="dxa"/>
            <w:hideMark/>
          </w:tcPr>
          <w:p w14:paraId="1FAF3D42" w14:textId="183B84F8" w:rsidR="00C860E4" w:rsidRPr="001C452A" w:rsidRDefault="00C860E4" w:rsidP="001C452A">
            <w:pPr>
              <w:pStyle w:val="Tablebodytext"/>
              <w:cnfStyle w:val="100000000000" w:firstRow="1" w:lastRow="0" w:firstColumn="0" w:lastColumn="0" w:oddVBand="0" w:evenVBand="0" w:oddHBand="0" w:evenHBand="0" w:firstRowFirstColumn="0" w:firstRowLastColumn="0" w:lastRowFirstColumn="0" w:lastRowLastColumn="0"/>
            </w:pPr>
            <w:r w:rsidRPr="001C452A">
              <w:t>Activity Data</w:t>
            </w:r>
          </w:p>
        </w:tc>
      </w:tr>
      <w:tr w:rsidR="004D4777" w:rsidRPr="00C860E4" w14:paraId="41171126" w14:textId="77777777" w:rsidTr="002F1D71">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6BF07CE3" w14:textId="3519A8A3" w:rsidR="004D4777" w:rsidRPr="001C452A" w:rsidRDefault="004D4777" w:rsidP="004D4777">
            <w:pPr>
              <w:pStyle w:val="Tablebodytext"/>
            </w:pPr>
            <w:r w:rsidRPr="001C452A">
              <w:t>Electricity</w:t>
            </w:r>
          </w:p>
        </w:tc>
        <w:tc>
          <w:tcPr>
            <w:tcW w:w="7087" w:type="dxa"/>
          </w:tcPr>
          <w:p w14:paraId="03F3F553" w14:textId="070ED69B"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1C452A">
              <w:t>Kilowatt hours (kWh) or megawatt hours (MWh) of electricity State, GreenPower Usage (kWh)</w:t>
            </w:r>
            <w:r w:rsidR="002F1D71">
              <w:t>.</w:t>
            </w:r>
          </w:p>
        </w:tc>
      </w:tr>
      <w:tr w:rsidR="002F1D71" w:rsidRPr="00C860E4" w14:paraId="05DBE87D" w14:textId="77777777" w:rsidTr="002F1D71">
        <w:trPr>
          <w:trHeight w:val="20"/>
        </w:trPr>
        <w:tc>
          <w:tcPr>
            <w:cnfStyle w:val="001000000000" w:firstRow="0" w:lastRow="0" w:firstColumn="1" w:lastColumn="0" w:oddVBand="0" w:evenVBand="0" w:oddHBand="0" w:evenHBand="0" w:firstRowFirstColumn="0" w:firstRowLastColumn="0" w:lastRowFirstColumn="0" w:lastRowLastColumn="0"/>
            <w:tcW w:w="2263" w:type="dxa"/>
            <w:hideMark/>
          </w:tcPr>
          <w:p w14:paraId="147EC439" w14:textId="5E3698E0" w:rsidR="004D4777" w:rsidRPr="001C452A" w:rsidRDefault="004D4777" w:rsidP="004D4777">
            <w:pPr>
              <w:pStyle w:val="Tablebodytext"/>
            </w:pPr>
            <w:r w:rsidRPr="001C452A">
              <w:t xml:space="preserve">Natural </w:t>
            </w:r>
            <w:r w:rsidR="00032994">
              <w:t>g</w:t>
            </w:r>
            <w:r w:rsidRPr="001C452A">
              <w:t>as</w:t>
            </w:r>
          </w:p>
        </w:tc>
        <w:tc>
          <w:tcPr>
            <w:tcW w:w="7087" w:type="dxa"/>
            <w:hideMark/>
          </w:tcPr>
          <w:p w14:paraId="5E3A83B7" w14:textId="1CA1D255"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1C452A">
              <w:t>Gigajoules (GJ) of natural gas delivered by pipeline State, Metro/Non-Metro</w:t>
            </w:r>
            <w:r w:rsidR="002F1D71">
              <w:t>.</w:t>
            </w:r>
          </w:p>
        </w:tc>
      </w:tr>
      <w:tr w:rsidR="004D4777" w:rsidRPr="00C860E4" w14:paraId="66614C69" w14:textId="77777777" w:rsidTr="002F1D71">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6072B131" w14:textId="0F08B9B9" w:rsidR="004D4777" w:rsidRPr="001C452A" w:rsidRDefault="004D4777" w:rsidP="004D4777">
            <w:pPr>
              <w:pStyle w:val="Tablebodytext"/>
            </w:pPr>
            <w:r w:rsidRPr="001C452A">
              <w:t xml:space="preserve">Solid </w:t>
            </w:r>
            <w:r w:rsidR="00032994">
              <w:t>w</w:t>
            </w:r>
            <w:r w:rsidRPr="001C452A">
              <w:t>aste</w:t>
            </w:r>
          </w:p>
        </w:tc>
        <w:tc>
          <w:tcPr>
            <w:tcW w:w="7087" w:type="dxa"/>
          </w:tcPr>
          <w:p w14:paraId="2B047DF8" w14:textId="4C921E50"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1C452A">
              <w:t>Tonnes (t) or cubic metres (m</w:t>
            </w:r>
            <w:r w:rsidRPr="002F1D71">
              <w:rPr>
                <w:vertAlign w:val="superscript"/>
              </w:rPr>
              <w:t>3</w:t>
            </w:r>
            <w:r w:rsidRPr="001C452A">
              <w:t>) of municipal solid waste or other waste type</w:t>
            </w:r>
            <w:r w:rsidR="002F1D71">
              <w:t>.</w:t>
            </w:r>
          </w:p>
        </w:tc>
      </w:tr>
      <w:tr w:rsidR="004D4777" w:rsidRPr="00C860E4" w14:paraId="32B7C67B" w14:textId="77777777" w:rsidTr="002F1D71">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78B17EF6" w14:textId="4FDCB277" w:rsidR="004D4777" w:rsidRPr="001C452A" w:rsidRDefault="004D4777" w:rsidP="004D4777">
            <w:pPr>
              <w:pStyle w:val="Tablebodytext"/>
            </w:pPr>
            <w:r w:rsidRPr="001C452A">
              <w:t>Refrigerants</w:t>
            </w:r>
          </w:p>
        </w:tc>
        <w:tc>
          <w:tcPr>
            <w:tcW w:w="7087" w:type="dxa"/>
          </w:tcPr>
          <w:p w14:paraId="4C60A571" w14:textId="1BB6BD8A"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1C452A">
              <w:t>Kilograms (kg) of sulphur hexafluoride (SF</w:t>
            </w:r>
            <w:r w:rsidRPr="002F1D71">
              <w:rPr>
                <w:vertAlign w:val="subscript"/>
              </w:rPr>
              <w:t>6</w:t>
            </w:r>
            <w:r w:rsidRPr="001C452A">
              <w:t>) or other refrigerant type</w:t>
            </w:r>
            <w:r w:rsidR="002F1D71">
              <w:t>.</w:t>
            </w:r>
          </w:p>
        </w:tc>
      </w:tr>
      <w:tr w:rsidR="004D4777" w:rsidRPr="00C860E4" w14:paraId="7E0A6570" w14:textId="77777777" w:rsidTr="002F1D71">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6DFE9F1E" w14:textId="47AF388C" w:rsidR="004D4777" w:rsidRPr="001C452A" w:rsidRDefault="004D4777" w:rsidP="004D4777">
            <w:pPr>
              <w:pStyle w:val="Tablebodytext"/>
            </w:pPr>
            <w:r w:rsidRPr="001C452A">
              <w:t>Fleet</w:t>
            </w:r>
          </w:p>
        </w:tc>
        <w:tc>
          <w:tcPr>
            <w:tcW w:w="7087" w:type="dxa"/>
          </w:tcPr>
          <w:p w14:paraId="5C2B23D4" w14:textId="29A0BD1D"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1C452A">
              <w:t>Litres (L) of unleaded petrol or other fuels</w:t>
            </w:r>
            <w:r w:rsidR="002F1D71">
              <w:t>, a</w:t>
            </w:r>
            <w:r w:rsidRPr="001C452A">
              <w:t xml:space="preserve">sset </w:t>
            </w:r>
            <w:r w:rsidR="002F1D71">
              <w:t>c</w:t>
            </w:r>
            <w:r w:rsidRPr="001C452A">
              <w:t>lass</w:t>
            </w:r>
            <w:r w:rsidR="002F1D71">
              <w:t>.</w:t>
            </w:r>
          </w:p>
        </w:tc>
      </w:tr>
      <w:tr w:rsidR="004D4777" w:rsidRPr="00C860E4" w14:paraId="17E32169" w14:textId="77777777" w:rsidTr="002F1D71">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352F9362" w14:textId="3FBC77B1" w:rsidR="004D4777" w:rsidRPr="001C452A" w:rsidRDefault="004D4777" w:rsidP="004D4777">
            <w:pPr>
              <w:pStyle w:val="Tablebodytext"/>
            </w:pPr>
            <w:r w:rsidRPr="001C452A">
              <w:t xml:space="preserve">Other </w:t>
            </w:r>
            <w:r w:rsidR="00032994">
              <w:t>v</w:t>
            </w:r>
            <w:r w:rsidRPr="001C452A">
              <w:t>ehicles</w:t>
            </w:r>
          </w:p>
        </w:tc>
        <w:tc>
          <w:tcPr>
            <w:tcW w:w="7087" w:type="dxa"/>
          </w:tcPr>
          <w:p w14:paraId="7D35E6C5" w14:textId="3A8BAE9E"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1C452A">
              <w:t>Kilolitres (kL) or gigajoules (GJ) of kerosene for use as fuel in an aircraft or other fuels</w:t>
            </w:r>
            <w:r w:rsidR="002F1D71">
              <w:t>.</w:t>
            </w:r>
          </w:p>
        </w:tc>
      </w:tr>
      <w:tr w:rsidR="004D4777" w:rsidRPr="00C860E4" w14:paraId="315456BA" w14:textId="77777777" w:rsidTr="002F1D71">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02F4F53F" w14:textId="49D335F9" w:rsidR="004D4777" w:rsidRPr="001C452A" w:rsidRDefault="004D4777" w:rsidP="004D4777">
            <w:pPr>
              <w:pStyle w:val="Tablebodytext"/>
            </w:pPr>
            <w:r w:rsidRPr="001C452A">
              <w:t xml:space="preserve">Commercial </w:t>
            </w:r>
            <w:r w:rsidR="00032994">
              <w:t>f</w:t>
            </w:r>
            <w:r w:rsidRPr="001C452A">
              <w:t>lights</w:t>
            </w:r>
          </w:p>
        </w:tc>
        <w:tc>
          <w:tcPr>
            <w:tcW w:w="7087" w:type="dxa"/>
          </w:tcPr>
          <w:p w14:paraId="0A7122E5" w14:textId="2F7BC6F0"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1C452A">
              <w:t xml:space="preserve">Kilometres (km) travelled, </w:t>
            </w:r>
            <w:r w:rsidR="002F1D71" w:rsidRPr="001C452A">
              <w:t>departure country, arrival country, cabin class</w:t>
            </w:r>
            <w:r w:rsidR="002F1D71">
              <w:t>.</w:t>
            </w:r>
          </w:p>
        </w:tc>
      </w:tr>
      <w:tr w:rsidR="004D4777" w:rsidRPr="00C860E4" w14:paraId="29572E9E" w14:textId="77777777" w:rsidTr="002F1D71">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14C902A1" w14:textId="5DD69C0A" w:rsidR="004D4777" w:rsidRPr="001C452A" w:rsidRDefault="004D4777" w:rsidP="004D4777">
            <w:pPr>
              <w:pStyle w:val="Tablebodytext"/>
            </w:pPr>
            <w:r w:rsidRPr="001C452A">
              <w:t xml:space="preserve">Hire </w:t>
            </w:r>
            <w:r w:rsidR="00032994">
              <w:t>c</w:t>
            </w:r>
            <w:r w:rsidRPr="001C452A">
              <w:t>ar</w:t>
            </w:r>
          </w:p>
        </w:tc>
        <w:tc>
          <w:tcPr>
            <w:tcW w:w="7087" w:type="dxa"/>
          </w:tcPr>
          <w:p w14:paraId="7E76A9A6" w14:textId="12C0F221"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1C452A">
              <w:t>Kilometres (km) travelled or litres (L) of petrol</w:t>
            </w:r>
            <w:r w:rsidR="007F05B3">
              <w:t>.</w:t>
            </w:r>
          </w:p>
        </w:tc>
      </w:tr>
      <w:tr w:rsidR="004D4777" w:rsidRPr="00C860E4" w14:paraId="10CA8EEA" w14:textId="77777777" w:rsidTr="002F1D71">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0190E94B" w14:textId="15B5E7EC" w:rsidR="004D4777" w:rsidRPr="001C452A" w:rsidRDefault="004D4777" w:rsidP="004D4777">
            <w:pPr>
              <w:pStyle w:val="Tablebodytext"/>
            </w:pPr>
            <w:r w:rsidRPr="001C452A">
              <w:t xml:space="preserve">Hotel </w:t>
            </w:r>
            <w:r w:rsidR="00032994">
              <w:t>a</w:t>
            </w:r>
            <w:r w:rsidRPr="001C452A">
              <w:t>ccommodation</w:t>
            </w:r>
          </w:p>
        </w:tc>
        <w:tc>
          <w:tcPr>
            <w:tcW w:w="7087" w:type="dxa"/>
          </w:tcPr>
          <w:p w14:paraId="2F52A682" w14:textId="06E48BA5"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1C452A">
              <w:t xml:space="preserve">Number of nights </w:t>
            </w:r>
            <w:r w:rsidR="00032994">
              <w:t>and</w:t>
            </w:r>
            <w:r w:rsidR="00EA1FD9">
              <w:t xml:space="preserve"> number of rooms</w:t>
            </w:r>
            <w:r w:rsidR="007F05B3">
              <w:t>.</w:t>
            </w:r>
          </w:p>
        </w:tc>
      </w:tr>
      <w:tr w:rsidR="002F1D71" w:rsidRPr="00C860E4" w14:paraId="2DA1E4DF" w14:textId="77777777" w:rsidTr="002F1D71">
        <w:trPr>
          <w:trHeight w:val="20"/>
        </w:trPr>
        <w:tc>
          <w:tcPr>
            <w:cnfStyle w:val="001000000000" w:firstRow="0" w:lastRow="0" w:firstColumn="1" w:lastColumn="0" w:oddVBand="0" w:evenVBand="0" w:oddHBand="0" w:evenHBand="0" w:firstRowFirstColumn="0" w:firstRowLastColumn="0" w:lastRowFirstColumn="0" w:lastRowLastColumn="0"/>
            <w:tcW w:w="2263" w:type="dxa"/>
            <w:hideMark/>
          </w:tcPr>
          <w:p w14:paraId="3DBD56A0" w14:textId="6013767E" w:rsidR="004D4777" w:rsidRPr="001C452A" w:rsidRDefault="00032994" w:rsidP="004D4777">
            <w:pPr>
              <w:pStyle w:val="Tablebodytext"/>
            </w:pPr>
            <w:r>
              <w:t xml:space="preserve">Other energy - </w:t>
            </w:r>
            <w:r w:rsidR="004D4777" w:rsidRPr="001C452A">
              <w:t xml:space="preserve">Stationary </w:t>
            </w:r>
            <w:r>
              <w:t>energy</w:t>
            </w:r>
            <w:r w:rsidR="00EA1FD9">
              <w:t xml:space="preserve"> </w:t>
            </w:r>
          </w:p>
        </w:tc>
        <w:tc>
          <w:tcPr>
            <w:tcW w:w="7087" w:type="dxa"/>
            <w:hideMark/>
          </w:tcPr>
          <w:p w14:paraId="5D25EF3A" w14:textId="541A9137"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EA1FD9">
              <w:rPr>
                <w:i/>
                <w:iCs/>
              </w:rPr>
              <w:t>Gaseous fuels:</w:t>
            </w:r>
            <w:r w:rsidRPr="001C452A">
              <w:t xml:space="preserve"> cubic metres (m</w:t>
            </w:r>
            <w:r w:rsidRPr="00EA1FD9">
              <w:rPr>
                <w:vertAlign w:val="superscript"/>
              </w:rPr>
              <w:t>3</w:t>
            </w:r>
            <w:r w:rsidRPr="001C452A">
              <w:t>) or gigajoules (GJ) of biomethane or other gaseous fuel</w:t>
            </w:r>
            <w:r w:rsidR="007F05B3">
              <w:t>.</w:t>
            </w:r>
          </w:p>
          <w:p w14:paraId="58CC1C44" w14:textId="692147FE"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EA1FD9">
              <w:rPr>
                <w:i/>
                <w:iCs/>
              </w:rPr>
              <w:t>Liquid fuels:</w:t>
            </w:r>
            <w:r w:rsidRPr="001C452A">
              <w:t xml:space="preserve"> kilolitres (kL), gigajoules (GJ) or tonnes (t) of automotive gasoline or other liquid fuels</w:t>
            </w:r>
            <w:r w:rsidR="007F05B3">
              <w:t>.</w:t>
            </w:r>
          </w:p>
          <w:p w14:paraId="296548AD" w14:textId="7F25FDF1" w:rsidR="004D4777" w:rsidRPr="001C452A" w:rsidRDefault="004D4777" w:rsidP="004D4777">
            <w:pPr>
              <w:pStyle w:val="Tablebodytext"/>
              <w:cnfStyle w:val="000000000000" w:firstRow="0" w:lastRow="0" w:firstColumn="0" w:lastColumn="0" w:oddVBand="0" w:evenVBand="0" w:oddHBand="0" w:evenHBand="0" w:firstRowFirstColumn="0" w:firstRowLastColumn="0" w:lastRowFirstColumn="0" w:lastRowLastColumn="0"/>
            </w:pPr>
            <w:r w:rsidRPr="00EA1FD9">
              <w:rPr>
                <w:i/>
                <w:iCs/>
              </w:rPr>
              <w:t>Solid fuels:</w:t>
            </w:r>
            <w:r w:rsidRPr="001C452A">
              <w:t xml:space="preserve"> gigajoules (GJ) or tonnes (t) of dry wood or other solid fuels</w:t>
            </w:r>
            <w:r w:rsidR="007F05B3">
              <w:t>.</w:t>
            </w:r>
          </w:p>
        </w:tc>
      </w:tr>
    </w:tbl>
    <w:p w14:paraId="51233AED" w14:textId="77777777" w:rsidR="00053030" w:rsidRPr="00AA5CB5" w:rsidRDefault="00053030" w:rsidP="00053030">
      <w:pPr>
        <w:pStyle w:val="Heading2"/>
      </w:pPr>
      <w:bookmarkStart w:id="78" w:name="_Toc201927344"/>
      <w:bookmarkStart w:id="79" w:name="_Ref198729842"/>
      <w:r w:rsidRPr="00AA5CB5">
        <w:t>Actual data</w:t>
      </w:r>
      <w:bookmarkEnd w:id="78"/>
      <w:r w:rsidRPr="00AA5CB5">
        <w:t xml:space="preserve"> </w:t>
      </w:r>
    </w:p>
    <w:p w14:paraId="24C92A59" w14:textId="0BFC85DC" w:rsidR="00053030" w:rsidRPr="00AA5CB5" w:rsidRDefault="00053030" w:rsidP="00053030">
      <w:pPr>
        <w:pStyle w:val="BodyText1"/>
      </w:pPr>
      <w:r w:rsidRPr="00AA5CB5">
        <w:t xml:space="preserve">Actual data for the reporting period is required to calculate emissions. Despite best efforts, actual data may be incomplete or unavailable </w:t>
      </w:r>
      <w:r w:rsidR="00E04E88">
        <w:t xml:space="preserve">at </w:t>
      </w:r>
      <w:r w:rsidRPr="00AA5CB5">
        <w:t xml:space="preserve">the time of data collection. This may occur due to data availability, reporting timeframes, remoteness of assets, or other elements outside the control of the reporting agency. In these instances, reporting agencies are required to provide a public and transparent explanation of the data that is incomplete or unavailable, and the actions </w:t>
      </w:r>
      <w:r w:rsidRPr="00AA5CB5">
        <w:lastRenderedPageBreak/>
        <w:t xml:space="preserve">they are taking to obtain actual data. </w:t>
      </w:r>
      <w:r w:rsidRPr="009B6E84">
        <w:t>Further information</w:t>
      </w:r>
      <w:r w:rsidR="004121B6">
        <w:t xml:space="preserve"> is provided</w:t>
      </w:r>
      <w:r w:rsidRPr="009B6E84">
        <w:t xml:space="preserve"> </w:t>
      </w:r>
      <w:r w:rsidR="00492FC3">
        <w:t>in</w:t>
      </w:r>
      <w:r w:rsidR="005E1860">
        <w:t xml:space="preserve"> </w:t>
      </w:r>
      <w:r w:rsidR="00492FC3">
        <w:t xml:space="preserve"> </w:t>
      </w:r>
      <w:r w:rsidR="00404815" w:rsidRPr="005A7303">
        <w:rPr>
          <w:rStyle w:val="Hyperlink1"/>
        </w:rPr>
        <w:fldChar w:fldCharType="begin"/>
      </w:r>
      <w:r w:rsidR="00404815" w:rsidRPr="005A7303">
        <w:rPr>
          <w:rStyle w:val="Hyperlink1"/>
        </w:rPr>
        <w:instrText xml:space="preserve"> REF _Ref201762262 \h </w:instrText>
      </w:r>
      <w:r w:rsidR="00404815">
        <w:rPr>
          <w:rStyle w:val="Hyperlink1"/>
        </w:rPr>
        <w:instrText xml:space="preserve"> \* MERGEFORMAT</w:instrText>
      </w:r>
      <w:r w:rsidR="00404815" w:rsidRPr="008818EA">
        <w:rPr>
          <w:rStyle w:val="Hyperlink1"/>
        </w:rPr>
        <w:instrText xml:space="preserve"> </w:instrText>
      </w:r>
      <w:r w:rsidR="00404815" w:rsidRPr="005A7303">
        <w:rPr>
          <w:rStyle w:val="Hyperlink1"/>
        </w:rPr>
      </w:r>
      <w:r w:rsidR="00404815" w:rsidRPr="005A7303">
        <w:rPr>
          <w:rStyle w:val="Hyperlink1"/>
        </w:rPr>
        <w:fldChar w:fldCharType="separate"/>
      </w:r>
      <w:r w:rsidR="00422A37" w:rsidRPr="00422A37">
        <w:rPr>
          <w:rStyle w:val="Hyperlink1"/>
        </w:rPr>
        <w:t>Annual report requirements 2024-25</w:t>
      </w:r>
      <w:r w:rsidR="00404815" w:rsidRPr="005A7303">
        <w:rPr>
          <w:rStyle w:val="Hyperlink1"/>
        </w:rPr>
        <w:fldChar w:fldCharType="end"/>
      </w:r>
      <w:r w:rsidR="00B439C1">
        <w:rPr>
          <w:rStyle w:val="Hyperlink1"/>
        </w:rPr>
        <w:t xml:space="preserve"> </w:t>
      </w:r>
      <w:r w:rsidR="005D0661" w:rsidRPr="006F37CB">
        <w:t>s</w:t>
      </w:r>
      <w:r w:rsidR="005D0661" w:rsidRPr="00E90CEE">
        <w:t xml:space="preserve">ection. </w:t>
      </w:r>
    </w:p>
    <w:p w14:paraId="32A8ECAA" w14:textId="3B7FA11A" w:rsidR="00F7400A" w:rsidRPr="00AA5CB5" w:rsidRDefault="00F7400A" w:rsidP="00F7400A">
      <w:pPr>
        <w:pStyle w:val="Heading2"/>
      </w:pPr>
      <w:bookmarkStart w:id="80" w:name="_Toc201927345"/>
      <w:r w:rsidRPr="00AA5CB5">
        <w:t>Primary data</w:t>
      </w:r>
      <w:bookmarkEnd w:id="80"/>
    </w:p>
    <w:p w14:paraId="13EE2A28" w14:textId="77777777" w:rsidR="0063034C" w:rsidRPr="00AA5CB5" w:rsidRDefault="00F7400A" w:rsidP="00F7400A">
      <w:pPr>
        <w:pStyle w:val="BodyText1"/>
      </w:pPr>
      <w:r w:rsidRPr="00AA5CB5">
        <w:t xml:space="preserve">Primary data is likely to be the best source for actual data. Primary data is more likely to be representative of the reporting agency’s activities compared to secondary data. </w:t>
      </w:r>
    </w:p>
    <w:p w14:paraId="4826BCBC" w14:textId="3C626E43" w:rsidR="00F7400A" w:rsidRPr="00AA5CB5" w:rsidRDefault="00F7400A" w:rsidP="00F7400A">
      <w:pPr>
        <w:pStyle w:val="BodyText1"/>
      </w:pPr>
      <w:r w:rsidRPr="00AA5CB5">
        <w:t xml:space="preserve">Primary data may be sourced internally or externally through </w:t>
      </w:r>
      <w:r w:rsidR="00A82C17" w:rsidRPr="00AA5CB5">
        <w:t>PSP</w:t>
      </w:r>
      <w:r w:rsidRPr="00AA5CB5">
        <w:t xml:space="preserve">s or other WoAG arrangements. </w:t>
      </w:r>
    </w:p>
    <w:p w14:paraId="112345ED" w14:textId="345F9ABD" w:rsidR="00F7400A" w:rsidRPr="00AA5CB5" w:rsidRDefault="002B308A" w:rsidP="00F7400A">
      <w:pPr>
        <w:pStyle w:val="BodyText1"/>
      </w:pPr>
      <w:r w:rsidRPr="00AA5CB5">
        <w:t>Examples of p</w:t>
      </w:r>
      <w:r w:rsidR="00F7400A" w:rsidRPr="00AA5CB5">
        <w:t xml:space="preserve">rimary data </w:t>
      </w:r>
      <w:r w:rsidRPr="00AA5CB5">
        <w:t>include</w:t>
      </w:r>
      <w:r w:rsidR="00F7400A" w:rsidRPr="00AA5CB5">
        <w:t>:</w:t>
      </w:r>
    </w:p>
    <w:p w14:paraId="113E4F78" w14:textId="5DE3311F" w:rsidR="00F7400A" w:rsidRPr="00AA5CB5" w:rsidRDefault="005661D9" w:rsidP="00F7400A">
      <w:pPr>
        <w:pStyle w:val="Bodybullet1"/>
      </w:pPr>
      <w:r>
        <w:t>f</w:t>
      </w:r>
      <w:r w:rsidR="00F7400A" w:rsidRPr="00AA5CB5">
        <w:t>uel consumption records</w:t>
      </w:r>
      <w:r w:rsidR="005C5EDA">
        <w:t xml:space="preserve"> </w:t>
      </w:r>
      <w:r w:rsidR="00F7400A" w:rsidRPr="00AA5CB5">
        <w:t>from meters or invoices</w:t>
      </w:r>
    </w:p>
    <w:p w14:paraId="1E7B752E" w14:textId="5E9E82FD" w:rsidR="00F7400A" w:rsidRPr="00AA5CB5" w:rsidRDefault="005661D9" w:rsidP="00F7400A">
      <w:pPr>
        <w:pStyle w:val="Bodybullet1"/>
      </w:pPr>
      <w:r>
        <w:t>e</w:t>
      </w:r>
      <w:r w:rsidR="00F7400A" w:rsidRPr="00AA5CB5">
        <w:t>lectricity usage data</w:t>
      </w:r>
      <w:r w:rsidR="005C5EDA">
        <w:t xml:space="preserve"> </w:t>
      </w:r>
      <w:r w:rsidR="00F7400A" w:rsidRPr="00AA5CB5">
        <w:t>from utility bills</w:t>
      </w:r>
    </w:p>
    <w:p w14:paraId="014B1D3D" w14:textId="38F55C29" w:rsidR="00F7400A" w:rsidRPr="00AA5CB5" w:rsidRDefault="002E766D" w:rsidP="00F7400A">
      <w:pPr>
        <w:pStyle w:val="Bodybullet1"/>
      </w:pPr>
      <w:r>
        <w:t>d</w:t>
      </w:r>
      <w:r w:rsidR="00F7400A" w:rsidRPr="00AA5CB5">
        <w:t>irect emissions measurements</w:t>
      </w:r>
      <w:r w:rsidR="005C5EDA">
        <w:t xml:space="preserve"> </w:t>
      </w:r>
      <w:r w:rsidR="00F7400A" w:rsidRPr="00AA5CB5">
        <w:t xml:space="preserve">from monitoring equipment </w:t>
      </w:r>
    </w:p>
    <w:p w14:paraId="39AD5120" w14:textId="67167F82" w:rsidR="00F7400A" w:rsidRPr="00AA5CB5" w:rsidRDefault="002E766D" w:rsidP="00F7400A">
      <w:pPr>
        <w:pStyle w:val="Bodybullet1"/>
      </w:pPr>
      <w:r>
        <w:t>v</w:t>
      </w:r>
      <w:r w:rsidR="00F7400A" w:rsidRPr="00AA5CB5">
        <w:t>ehicle mileage logs</w:t>
      </w:r>
      <w:r w:rsidR="005C5EDA">
        <w:t xml:space="preserve"> </w:t>
      </w:r>
      <w:r w:rsidR="00F7400A" w:rsidRPr="00AA5CB5">
        <w:t>for fleet emissions</w:t>
      </w:r>
    </w:p>
    <w:p w14:paraId="490E19A8" w14:textId="599ACBF4" w:rsidR="00F7400A" w:rsidRPr="00AA5CB5" w:rsidRDefault="002E766D" w:rsidP="00F7400A">
      <w:pPr>
        <w:pStyle w:val="Bodybullet1"/>
      </w:pPr>
      <w:r>
        <w:t>e</w:t>
      </w:r>
      <w:r w:rsidR="007655A1">
        <w:t xml:space="preserve">lectricity generation </w:t>
      </w:r>
      <w:r w:rsidR="00F7400A" w:rsidRPr="00AA5CB5">
        <w:t>data</w:t>
      </w:r>
      <w:r w:rsidR="005C5EDA">
        <w:t xml:space="preserve"> </w:t>
      </w:r>
      <w:r w:rsidR="00F7400A" w:rsidRPr="00AA5CB5">
        <w:t>(</w:t>
      </w:r>
      <w:r w:rsidR="00A1031E">
        <w:t xml:space="preserve">for example </w:t>
      </w:r>
      <w:r w:rsidR="00F7400A" w:rsidRPr="00AA5CB5">
        <w:t xml:space="preserve">kilowatts of solar energy produced by behind the meter). </w:t>
      </w:r>
    </w:p>
    <w:p w14:paraId="5774B2D6" w14:textId="77777777" w:rsidR="00FC5389" w:rsidRPr="00AA5CB5" w:rsidRDefault="00FC5389" w:rsidP="00FC5389">
      <w:pPr>
        <w:pStyle w:val="Heading2"/>
      </w:pPr>
      <w:bookmarkStart w:id="81" w:name="_Toc201927346"/>
      <w:bookmarkStart w:id="82" w:name="_Toc197426928"/>
      <w:bookmarkStart w:id="83" w:name="_Toc197438593"/>
      <w:bookmarkEnd w:id="79"/>
      <w:r w:rsidRPr="00AA5CB5">
        <w:t>Secondary data</w:t>
      </w:r>
      <w:bookmarkEnd w:id="81"/>
      <w:r w:rsidRPr="00AA5CB5">
        <w:t xml:space="preserve"> </w:t>
      </w:r>
    </w:p>
    <w:p w14:paraId="6FBBF533" w14:textId="5CE618C8" w:rsidR="00117A98" w:rsidRDefault="00290D6A" w:rsidP="00FC5389">
      <w:pPr>
        <w:pStyle w:val="BodyText1"/>
      </w:pPr>
      <w:r w:rsidRPr="00290D6A">
        <w:t xml:space="preserve">Secondary data refers to the use of pre-existing data, often from averages or publicly available sources, to estimate GHG emissions, particularly when direct, entity-specific data is unavailable or difficult to obtain. </w:t>
      </w:r>
      <w:r w:rsidR="00117A98" w:rsidRPr="00AA5CB5">
        <w:t>Secondary data sources are</w:t>
      </w:r>
      <w:r w:rsidR="005C5EDA">
        <w:t xml:space="preserve"> </w:t>
      </w:r>
      <w:r w:rsidR="00117A98" w:rsidRPr="00AA5CB5">
        <w:t>often derived from models, assumptions, or industry averages</w:t>
      </w:r>
      <w:r w:rsidR="00931FFA" w:rsidRPr="00AA5CB5">
        <w:t>, and include e</w:t>
      </w:r>
      <w:r w:rsidR="00FC5389" w:rsidRPr="00AA5CB5">
        <w:t>stimated and extrapolated data</w:t>
      </w:r>
      <w:r w:rsidR="00931FFA" w:rsidRPr="00AA5CB5">
        <w:t xml:space="preserve">. </w:t>
      </w:r>
    </w:p>
    <w:p w14:paraId="208757A5" w14:textId="77777777" w:rsidR="0030737F" w:rsidRPr="00AA5CB5" w:rsidRDefault="0030737F" w:rsidP="0030737F">
      <w:pPr>
        <w:pStyle w:val="Heading3"/>
      </w:pPr>
      <w:r w:rsidRPr="00AA5CB5">
        <w:t>Estimated data</w:t>
      </w:r>
    </w:p>
    <w:p w14:paraId="19DADB0C" w14:textId="7CFB3F41" w:rsidR="00FC5389" w:rsidRPr="00AA5CB5" w:rsidRDefault="00FC5389" w:rsidP="0030737F">
      <w:pPr>
        <w:pStyle w:val="BodyText1"/>
      </w:pPr>
      <w:r w:rsidRPr="00AA5CB5">
        <w:t>Estimated data is whe</w:t>
      </w:r>
      <w:r w:rsidR="008C2996" w:rsidRPr="00AA5CB5">
        <w:t>n</w:t>
      </w:r>
      <w:r w:rsidRPr="00AA5CB5">
        <w:t xml:space="preserve"> actual data from another source is used to </w:t>
      </w:r>
      <w:r w:rsidR="00411DCF" w:rsidRPr="00AA5CB5">
        <w:t>approximate</w:t>
      </w:r>
      <w:r w:rsidRPr="00AA5CB5">
        <w:t xml:space="preserve"> the activity data for a related emissions source. For example, the amount of fuel used by a delivery van might not be known, but the distance travelled is known.</w:t>
      </w:r>
    </w:p>
    <w:p w14:paraId="649A4BFC" w14:textId="48A72FB8" w:rsidR="005C5EDA" w:rsidRDefault="005C5EDA" w:rsidP="00FE6004">
      <w:pPr>
        <w:pStyle w:val="BodyText1"/>
      </w:pPr>
      <w:r>
        <w:t>Example</w:t>
      </w:r>
      <w:r w:rsidR="00FA0B7C">
        <w:t>s</w:t>
      </w:r>
      <w:r>
        <w:t xml:space="preserve"> of estimated data used </w:t>
      </w:r>
      <w:r w:rsidR="007F6A2B">
        <w:t>in emissions reporting</w:t>
      </w:r>
      <w:r>
        <w:t xml:space="preserve">: </w:t>
      </w:r>
    </w:p>
    <w:p w14:paraId="7C96AA61" w14:textId="0284BEC9" w:rsidR="00482252" w:rsidRDefault="00482252" w:rsidP="00482252">
      <w:pPr>
        <w:pStyle w:val="Bodybullet1"/>
      </w:pPr>
      <w:r>
        <w:t>Use of vehicle type and tailpipe CO</w:t>
      </w:r>
      <w:r w:rsidRPr="00032994">
        <w:rPr>
          <w:vertAlign w:val="subscript"/>
        </w:rPr>
        <w:t>2</w:t>
      </w:r>
      <w:r>
        <w:t xml:space="preserve"> when fuel use is not known for hire cars</w:t>
      </w:r>
      <w:r w:rsidR="002902CF">
        <w:t>.</w:t>
      </w:r>
    </w:p>
    <w:p w14:paraId="73C0A2D3" w14:textId="402287CD" w:rsidR="00482252" w:rsidRDefault="00482252" w:rsidP="00482252">
      <w:pPr>
        <w:pStyle w:val="Bodybullet1"/>
      </w:pPr>
      <w:r>
        <w:t>Leakage rates for the calculation of refrigerants</w:t>
      </w:r>
      <w:r w:rsidR="002902CF">
        <w:t>.</w:t>
      </w:r>
    </w:p>
    <w:p w14:paraId="5DD12230" w14:textId="0F4661C1" w:rsidR="007F6A2B" w:rsidRDefault="00482252" w:rsidP="007F6A2B">
      <w:pPr>
        <w:pStyle w:val="Bodybullet1"/>
      </w:pPr>
      <w:r>
        <w:t xml:space="preserve">Volume </w:t>
      </w:r>
      <w:r w:rsidR="00032994">
        <w:t xml:space="preserve">(in </w:t>
      </w:r>
      <w:r w:rsidR="007F6A2B">
        <w:t>m</w:t>
      </w:r>
      <w:r w:rsidR="007F6A2B" w:rsidRPr="00482252">
        <w:rPr>
          <w:vertAlign w:val="superscript"/>
        </w:rPr>
        <w:t>3</w:t>
      </w:r>
      <w:r w:rsidR="00032994">
        <w:t xml:space="preserve">) or average weight (in t) </w:t>
      </w:r>
      <w:r w:rsidR="007F6A2B">
        <w:t>of municipal solid waste or other waste type</w:t>
      </w:r>
      <w:r>
        <w:t xml:space="preserve">, when </w:t>
      </w:r>
      <w:r w:rsidR="00032994">
        <w:t>actual weight</w:t>
      </w:r>
      <w:r w:rsidR="007F6A2B">
        <w:t xml:space="preserve"> </w:t>
      </w:r>
      <w:r w:rsidR="00032994">
        <w:t>is not known</w:t>
      </w:r>
      <w:r w:rsidR="002902CF">
        <w:t>.</w:t>
      </w:r>
    </w:p>
    <w:p w14:paraId="5F8EF95C" w14:textId="16150EDC" w:rsidR="007F6A2B" w:rsidRDefault="003000AB" w:rsidP="007F6A2B">
      <w:pPr>
        <w:pStyle w:val="Bodybullet1"/>
      </w:pPr>
      <w:r>
        <w:t>D</w:t>
      </w:r>
      <w:r w:rsidR="001B7AFA">
        <w:t xml:space="preserve">istance between </w:t>
      </w:r>
      <w:r w:rsidR="007F6A2B">
        <w:t xml:space="preserve">departure </w:t>
      </w:r>
      <w:r>
        <w:t>and</w:t>
      </w:r>
      <w:r w:rsidR="007F6A2B">
        <w:t xml:space="preserve"> arrival </w:t>
      </w:r>
      <w:r>
        <w:t>airports and</w:t>
      </w:r>
      <w:r w:rsidR="007F6A2B">
        <w:t xml:space="preserve"> cabin class</w:t>
      </w:r>
      <w:r>
        <w:t xml:space="preserve">, as approximation for </w:t>
      </w:r>
      <w:r w:rsidR="008122AA">
        <w:t>fuel usage in flights</w:t>
      </w:r>
      <w:r w:rsidR="002902CF">
        <w:t>.</w:t>
      </w:r>
    </w:p>
    <w:p w14:paraId="456E241B" w14:textId="3AF12462" w:rsidR="007F6A2B" w:rsidRDefault="007F6A2B" w:rsidP="007F6A2B">
      <w:pPr>
        <w:pStyle w:val="Bodybullet1"/>
      </w:pPr>
      <w:r>
        <w:t>Number of nights</w:t>
      </w:r>
      <w:r w:rsidR="008122AA">
        <w:t xml:space="preserve"> and rooms used for hotel accommodation. </w:t>
      </w:r>
    </w:p>
    <w:p w14:paraId="361F1D15" w14:textId="63238460" w:rsidR="004E1A5E" w:rsidRPr="00AA5CB5" w:rsidRDefault="00F7400A" w:rsidP="00FE6004">
      <w:pPr>
        <w:pStyle w:val="BodyText1"/>
        <w:rPr>
          <w:rStyle w:val="Bodybullet1Char"/>
        </w:rPr>
      </w:pPr>
      <w:r w:rsidRPr="00AA5CB5">
        <w:lastRenderedPageBreak/>
        <w:t>Reporting agencies are required to c</w:t>
      </w:r>
      <w:r w:rsidRPr="00AA5CB5">
        <w:rPr>
          <w:rStyle w:val="Bodybullet1Char"/>
        </w:rPr>
        <w:t xml:space="preserve">onsult with Finance before considering </w:t>
      </w:r>
      <w:r w:rsidR="005C5EDA">
        <w:rPr>
          <w:rStyle w:val="Bodybullet1Char"/>
        </w:rPr>
        <w:t xml:space="preserve">using </w:t>
      </w:r>
      <w:r w:rsidRPr="00AA5CB5">
        <w:rPr>
          <w:rStyle w:val="Bodybullet1Char"/>
        </w:rPr>
        <w:t>estimating data</w:t>
      </w:r>
      <w:r w:rsidR="005C5EDA">
        <w:rPr>
          <w:rStyle w:val="Bodybullet1Char"/>
        </w:rPr>
        <w:t xml:space="preserve"> for emission sources other than those listed above</w:t>
      </w:r>
      <w:r w:rsidRPr="00AA5CB5">
        <w:rPr>
          <w:rStyle w:val="Bodybullet1Char"/>
        </w:rPr>
        <w:t xml:space="preserve">. </w:t>
      </w:r>
      <w:r w:rsidRPr="00AA5CB5">
        <w:t>Estimated data can only be used when actual data is unavailable</w:t>
      </w:r>
      <w:r w:rsidRPr="00AA5CB5">
        <w:rPr>
          <w:rStyle w:val="Bodybullet1Char"/>
        </w:rPr>
        <w:t xml:space="preserve">, and the estimated data provides an accurate reflection of </w:t>
      </w:r>
      <w:r w:rsidR="00931FFA" w:rsidRPr="00AA5CB5">
        <w:rPr>
          <w:rStyle w:val="Bodybullet1Char"/>
        </w:rPr>
        <w:t xml:space="preserve">the </w:t>
      </w:r>
      <w:r w:rsidR="00CA5F56" w:rsidRPr="00AA5CB5">
        <w:t>unavailable</w:t>
      </w:r>
      <w:r w:rsidR="00CA5F56" w:rsidRPr="00AA5CB5">
        <w:rPr>
          <w:rStyle w:val="Bodybullet1Char"/>
        </w:rPr>
        <w:t xml:space="preserve"> </w:t>
      </w:r>
      <w:r w:rsidRPr="00AA5CB5">
        <w:rPr>
          <w:rStyle w:val="Bodybullet1Char"/>
        </w:rPr>
        <w:t>activity data.</w:t>
      </w:r>
      <w:r w:rsidR="004032CC" w:rsidRPr="00AA5CB5">
        <w:t xml:space="preserve"> If a reporting agency</w:t>
      </w:r>
      <w:r w:rsidR="004E422B" w:rsidRPr="00AA5CB5">
        <w:t xml:space="preserve"> uses </w:t>
      </w:r>
      <w:r w:rsidR="004032CC" w:rsidRPr="00AA5CB5">
        <w:t>estimated data,</w:t>
      </w:r>
      <w:r w:rsidR="004032CC" w:rsidRPr="00AA5CB5">
        <w:rPr>
          <w:rStyle w:val="Bodybullet1Char"/>
        </w:rPr>
        <w:t xml:space="preserve"> they are required</w:t>
      </w:r>
      <w:r w:rsidR="004E1A5E" w:rsidRPr="00AA5CB5">
        <w:rPr>
          <w:rStyle w:val="Bodybullet1Char"/>
        </w:rPr>
        <w:t xml:space="preserve"> to:</w:t>
      </w:r>
    </w:p>
    <w:p w14:paraId="3C215FAF" w14:textId="2FAFA1EC" w:rsidR="002D4CF6" w:rsidRPr="00AA5CB5" w:rsidRDefault="00BB089A" w:rsidP="004E1A5E">
      <w:pPr>
        <w:pStyle w:val="Bodybullet1"/>
      </w:pPr>
      <w:r w:rsidRPr="00AA5CB5">
        <w:rPr>
          <w:rStyle w:val="Bodybullet1Char"/>
        </w:rPr>
        <w:t>P</w:t>
      </w:r>
      <w:r w:rsidR="00584D7C" w:rsidRPr="00AA5CB5">
        <w:rPr>
          <w:rStyle w:val="Bodybullet1Char"/>
        </w:rPr>
        <w:t>rovide</w:t>
      </w:r>
      <w:r w:rsidR="00FE6004" w:rsidRPr="00AA5CB5">
        <w:t xml:space="preserve"> a public and transparent explanation</w:t>
      </w:r>
      <w:r w:rsidR="00FE6004" w:rsidRPr="00AA5CB5">
        <w:rPr>
          <w:rStyle w:val="Bodybullet1Char"/>
        </w:rPr>
        <w:t xml:space="preserve"> of the estimated data and the </w:t>
      </w:r>
      <w:r w:rsidR="002D4CF6" w:rsidRPr="00AA5CB5">
        <w:t xml:space="preserve">actions they are undertaking to obtain the actual data. </w:t>
      </w:r>
    </w:p>
    <w:p w14:paraId="6760A0FA" w14:textId="3D1A20C8" w:rsidR="002D4CF6" w:rsidRPr="00AA5CB5" w:rsidRDefault="2A412D4F" w:rsidP="00943841">
      <w:pPr>
        <w:pStyle w:val="Bodybullet1"/>
      </w:pPr>
      <w:r w:rsidRPr="00AA5CB5">
        <w:t>Provide a justification for the appropriateness of estimation with respect to data availability and the relative size of the emission</w:t>
      </w:r>
      <w:r w:rsidR="3CB6DEB4" w:rsidRPr="00AA5CB5">
        <w:t>s</w:t>
      </w:r>
      <w:r w:rsidRPr="00AA5CB5">
        <w:t xml:space="preserve"> source. </w:t>
      </w:r>
    </w:p>
    <w:p w14:paraId="010C7FF3" w14:textId="5906F979" w:rsidR="002D4CF6" w:rsidRPr="00AA5CB5" w:rsidRDefault="002D4CF6" w:rsidP="00943841">
      <w:pPr>
        <w:pStyle w:val="Bodybullet1"/>
      </w:pPr>
      <w:r w:rsidRPr="00AA5CB5">
        <w:t>Use conservative approaches in estimation in that it does not underestimate emissions.</w:t>
      </w:r>
    </w:p>
    <w:p w14:paraId="57953AAF" w14:textId="0F8192A6" w:rsidR="002D4CF6" w:rsidRPr="00AA5CB5" w:rsidRDefault="002D4CF6" w:rsidP="00943841">
      <w:pPr>
        <w:pStyle w:val="Bodybullet1"/>
      </w:pPr>
      <w:r w:rsidRPr="00AA5CB5">
        <w:t xml:space="preserve">Document and explain the quality of the data used in estimation and the assumptions applied. </w:t>
      </w:r>
    </w:p>
    <w:p w14:paraId="41DF1D64" w14:textId="7F135A71" w:rsidR="003C422A" w:rsidRPr="00AA5CB5" w:rsidRDefault="003C422A" w:rsidP="003C422A">
      <w:pPr>
        <w:pStyle w:val="Heading3"/>
      </w:pPr>
      <w:r w:rsidRPr="00AA5CB5">
        <w:t>Extrapola</w:t>
      </w:r>
      <w:bookmarkEnd w:id="82"/>
      <w:bookmarkEnd w:id="83"/>
      <w:r w:rsidRPr="00AA5CB5">
        <w:t xml:space="preserve">ted </w:t>
      </w:r>
      <w:r w:rsidR="00B35F01">
        <w:t>d</w:t>
      </w:r>
      <w:r w:rsidRPr="00AA5CB5">
        <w:t>ata</w:t>
      </w:r>
    </w:p>
    <w:p w14:paraId="277F9DD5" w14:textId="77777777" w:rsidR="003C422A" w:rsidRPr="00AA5CB5" w:rsidRDefault="003C422A" w:rsidP="003C422A">
      <w:pPr>
        <w:pStyle w:val="BodyText1"/>
      </w:pPr>
      <w:r w:rsidRPr="00AA5CB5">
        <w:t xml:space="preserve">Extrapolated data is where partial year data or a representative sample or survey data, is modelled to create a full data set. </w:t>
      </w:r>
    </w:p>
    <w:p w14:paraId="7612BAE3" w14:textId="3D8135BA" w:rsidR="00931FFA" w:rsidRPr="00AA5CB5" w:rsidRDefault="00931FFA" w:rsidP="00931FFA">
      <w:pPr>
        <w:pStyle w:val="BodyText1"/>
        <w:rPr>
          <w:rStyle w:val="Bodybullet1Char"/>
        </w:rPr>
      </w:pPr>
      <w:r w:rsidRPr="00AA5CB5">
        <w:t>Reporting agencies are required to c</w:t>
      </w:r>
      <w:r w:rsidRPr="00AA5CB5">
        <w:rPr>
          <w:rStyle w:val="Bodybullet1Char"/>
        </w:rPr>
        <w:t xml:space="preserve">onsult with Finance before considering extrapolating data. </w:t>
      </w:r>
      <w:r w:rsidRPr="00AA5CB5">
        <w:t>Extrapolated data can only be used when actual data is unavailable</w:t>
      </w:r>
      <w:r w:rsidR="0000025A" w:rsidRPr="00AA5CB5">
        <w:t xml:space="preserve"> or incomplete</w:t>
      </w:r>
      <w:r w:rsidRPr="00AA5CB5">
        <w:rPr>
          <w:rStyle w:val="Bodybullet1Char"/>
        </w:rPr>
        <w:t>, and the extrapolated data provides an accurate reflection of</w:t>
      </w:r>
      <w:r w:rsidR="0000025A" w:rsidRPr="00AA5CB5">
        <w:rPr>
          <w:rStyle w:val="Bodybullet1Char"/>
        </w:rPr>
        <w:t xml:space="preserve"> the missing</w:t>
      </w:r>
      <w:r w:rsidRPr="00AA5CB5">
        <w:rPr>
          <w:rStyle w:val="Bodybullet1Char"/>
        </w:rPr>
        <w:t xml:space="preserve"> activity data.</w:t>
      </w:r>
      <w:r w:rsidRPr="00AA5CB5">
        <w:t xml:space="preserve"> If a reporting agency uses </w:t>
      </w:r>
      <w:r w:rsidR="0000025A" w:rsidRPr="00AA5CB5">
        <w:t>extrapolated</w:t>
      </w:r>
      <w:r w:rsidRPr="00AA5CB5">
        <w:t xml:space="preserve"> data,</w:t>
      </w:r>
      <w:r w:rsidRPr="00AA5CB5">
        <w:rPr>
          <w:rStyle w:val="Bodybullet1Char"/>
        </w:rPr>
        <w:t xml:space="preserve"> they are required to:</w:t>
      </w:r>
    </w:p>
    <w:p w14:paraId="633F7F66" w14:textId="48078732" w:rsidR="0000025A" w:rsidRPr="00AA5CB5" w:rsidRDefault="0000025A" w:rsidP="0000025A">
      <w:pPr>
        <w:pStyle w:val="Bodybullet1"/>
      </w:pPr>
      <w:r w:rsidRPr="00AA5CB5">
        <w:rPr>
          <w:rStyle w:val="Bodybullet1Char"/>
        </w:rPr>
        <w:t>Provide</w:t>
      </w:r>
      <w:r w:rsidRPr="00AA5CB5">
        <w:t xml:space="preserve"> a public and transparent explanation</w:t>
      </w:r>
      <w:r w:rsidRPr="00AA5CB5">
        <w:rPr>
          <w:rStyle w:val="Bodybullet1Char"/>
        </w:rPr>
        <w:t xml:space="preserve"> of the extrapolated data and the </w:t>
      </w:r>
      <w:r w:rsidRPr="00AA5CB5">
        <w:t>actions they are undertaking to obtain the actual data.</w:t>
      </w:r>
    </w:p>
    <w:p w14:paraId="16076121" w14:textId="7A5CE85B" w:rsidR="0000025A" w:rsidRPr="00AA5CB5" w:rsidRDefault="0000025A" w:rsidP="0000025A">
      <w:pPr>
        <w:pStyle w:val="Bodybullet1"/>
      </w:pPr>
      <w:r w:rsidRPr="00AA5CB5">
        <w:t xml:space="preserve">Provide a justification for the appropriateness of </w:t>
      </w:r>
      <w:r w:rsidRPr="00AA5CB5">
        <w:rPr>
          <w:rStyle w:val="Bodybullet1Char"/>
        </w:rPr>
        <w:t>extrapolated</w:t>
      </w:r>
      <w:r w:rsidRPr="00AA5CB5">
        <w:t xml:space="preserve"> with respect to data availability and the relative size of the emission</w:t>
      </w:r>
      <w:r w:rsidR="49574576" w:rsidRPr="00AA5CB5">
        <w:t>s</w:t>
      </w:r>
      <w:r w:rsidRPr="00AA5CB5">
        <w:t xml:space="preserve"> source.</w:t>
      </w:r>
    </w:p>
    <w:p w14:paraId="3425FDE4" w14:textId="569054E7" w:rsidR="0000025A" w:rsidRPr="00AA5CB5" w:rsidRDefault="0000025A" w:rsidP="0000025A">
      <w:pPr>
        <w:pStyle w:val="Bodybullet1"/>
      </w:pPr>
      <w:r w:rsidRPr="00AA5CB5">
        <w:t xml:space="preserve">Use conservative approaches in </w:t>
      </w:r>
      <w:r w:rsidRPr="00AA5CB5">
        <w:rPr>
          <w:rStyle w:val="Bodybullet1Char"/>
        </w:rPr>
        <w:t>extrapolation</w:t>
      </w:r>
      <w:r w:rsidRPr="00AA5CB5">
        <w:t xml:space="preserve"> in that it does not underestimate emissions.</w:t>
      </w:r>
    </w:p>
    <w:p w14:paraId="3089D192" w14:textId="2B466200" w:rsidR="0000025A" w:rsidRPr="00AA5CB5" w:rsidRDefault="0000025A" w:rsidP="0000025A">
      <w:pPr>
        <w:pStyle w:val="Bodybullet1"/>
      </w:pPr>
      <w:r w:rsidRPr="00AA5CB5">
        <w:t xml:space="preserve">Document and explain the quality of the data used in </w:t>
      </w:r>
      <w:r w:rsidRPr="00AA5CB5">
        <w:rPr>
          <w:rStyle w:val="Bodybullet1Char"/>
        </w:rPr>
        <w:t>extrapolation</w:t>
      </w:r>
      <w:r w:rsidRPr="00AA5CB5">
        <w:t xml:space="preserve"> and the assumptions applied.</w:t>
      </w:r>
    </w:p>
    <w:p w14:paraId="269DF91C" w14:textId="7E8FF32C" w:rsidR="009632ED" w:rsidRPr="00AA5CB5" w:rsidRDefault="00C03EF0" w:rsidP="006D473C">
      <w:pPr>
        <w:pStyle w:val="Heading2"/>
      </w:pPr>
      <w:bookmarkStart w:id="84" w:name="_Toc201927347"/>
      <w:r w:rsidRPr="00AA5CB5">
        <w:t xml:space="preserve">Audit </w:t>
      </w:r>
      <w:r w:rsidR="00B35F01">
        <w:t>r</w:t>
      </w:r>
      <w:r w:rsidRPr="00AA5CB5">
        <w:t>eadiness</w:t>
      </w:r>
      <w:bookmarkEnd w:id="84"/>
    </w:p>
    <w:p w14:paraId="7C415A39" w14:textId="5BF6929B" w:rsidR="009632ED" w:rsidRPr="00AA5CB5" w:rsidRDefault="009632ED" w:rsidP="009632ED">
      <w:pPr>
        <w:pStyle w:val="BodyText1"/>
      </w:pPr>
      <w:r w:rsidRPr="00AA5CB5">
        <w:t>Reporting agencies are accountable for the information they provide during an audit and/or review.</w:t>
      </w:r>
      <w:r w:rsidRPr="00AA5CB5">
        <w:rPr>
          <w:b/>
          <w:bCs/>
        </w:rPr>
        <w:t xml:space="preserve"> </w:t>
      </w:r>
      <w:r w:rsidRPr="00AA5CB5">
        <w:t>In the event of an audit and/or review, reporting agencies may be required to confirm the completeness and accuracy of information provided during the audit and/or review</w:t>
      </w:r>
      <w:r w:rsidR="009B7194" w:rsidRPr="00AA5CB5">
        <w:t>, such as via a Management Representation Letter</w:t>
      </w:r>
      <w:r w:rsidRPr="00AA5CB5">
        <w:t>.</w:t>
      </w:r>
    </w:p>
    <w:p w14:paraId="3FABA823" w14:textId="77777777" w:rsidR="00CA5754" w:rsidRPr="00AA5CB5" w:rsidRDefault="00C93DD4" w:rsidP="009632ED">
      <w:pPr>
        <w:pStyle w:val="BodyText1"/>
      </w:pPr>
      <w:r w:rsidRPr="00AA5CB5">
        <w:t xml:space="preserve">Reporting agencies are encouraged to </w:t>
      </w:r>
      <w:r w:rsidR="00771F13" w:rsidRPr="00AA5CB5">
        <w:t>consider</w:t>
      </w:r>
      <w:r w:rsidR="00326943" w:rsidRPr="00AA5CB5">
        <w:t xml:space="preserve"> which</w:t>
      </w:r>
      <w:r w:rsidR="00757DDD" w:rsidRPr="00AA5CB5">
        <w:t xml:space="preserve"> information </w:t>
      </w:r>
      <w:r w:rsidR="00946971" w:rsidRPr="00AA5CB5">
        <w:t xml:space="preserve">they may need to provide </w:t>
      </w:r>
      <w:r w:rsidR="00757DDD" w:rsidRPr="00AA5CB5">
        <w:t xml:space="preserve">during an audit and/or </w:t>
      </w:r>
      <w:r w:rsidR="00CF5C29" w:rsidRPr="00AA5CB5">
        <w:t>review and</w:t>
      </w:r>
      <w:r w:rsidR="00326943" w:rsidRPr="00AA5CB5">
        <w:t xml:space="preserve"> </w:t>
      </w:r>
      <w:r w:rsidR="00CF5C29" w:rsidRPr="00AA5CB5">
        <w:t xml:space="preserve">embed processes </w:t>
      </w:r>
      <w:r w:rsidR="004C5B26" w:rsidRPr="00AA5CB5">
        <w:t>throughout the reporting period</w:t>
      </w:r>
      <w:r w:rsidR="00CF5C29" w:rsidRPr="00AA5CB5">
        <w:t xml:space="preserve"> to prepare for this. </w:t>
      </w:r>
    </w:p>
    <w:p w14:paraId="0AFA55B9" w14:textId="5CD57F8A" w:rsidR="00946971" w:rsidRPr="00AA5CB5" w:rsidRDefault="00053030" w:rsidP="009632ED">
      <w:pPr>
        <w:pStyle w:val="BodyText1"/>
      </w:pPr>
      <w:r w:rsidRPr="00AA5CB5">
        <w:t>I</w:t>
      </w:r>
      <w:r w:rsidR="004C5B26" w:rsidRPr="00AA5CB5">
        <w:t xml:space="preserve">nformation </w:t>
      </w:r>
      <w:r w:rsidR="00704021" w:rsidRPr="00AA5CB5">
        <w:t xml:space="preserve">that may be required </w:t>
      </w:r>
      <w:r w:rsidR="004E4765" w:rsidRPr="00AA5CB5">
        <w:t xml:space="preserve">during an audit and/or review </w:t>
      </w:r>
      <w:r w:rsidRPr="00AA5CB5">
        <w:t>include</w:t>
      </w:r>
      <w:r w:rsidR="00050B9C">
        <w:t>s</w:t>
      </w:r>
      <w:r w:rsidRPr="00AA5CB5">
        <w:t xml:space="preserve">: </w:t>
      </w:r>
    </w:p>
    <w:p w14:paraId="6B4A7CBF" w14:textId="32FEF172" w:rsidR="00CF5C29" w:rsidRPr="00AA5CB5" w:rsidRDefault="00CF5C29" w:rsidP="00CF5C29">
      <w:pPr>
        <w:pStyle w:val="Bodybullet1"/>
      </w:pPr>
      <w:r w:rsidRPr="00AA5CB5">
        <w:lastRenderedPageBreak/>
        <w:t>How the operational control approach was used in the collection of activity data, including any assumptions made, deviations from the Framework, and reasons for those changes</w:t>
      </w:r>
      <w:r w:rsidR="00F81513">
        <w:t>.</w:t>
      </w:r>
    </w:p>
    <w:p w14:paraId="682FDD25" w14:textId="2AAF005B" w:rsidR="00053030" w:rsidRPr="00AA5CB5" w:rsidRDefault="00D24097" w:rsidP="00AF237A">
      <w:pPr>
        <w:pStyle w:val="Bodybullet1"/>
      </w:pPr>
      <w:r w:rsidRPr="00AA5CB5">
        <w:t xml:space="preserve">The details, selection and management </w:t>
      </w:r>
      <w:r w:rsidR="00053030" w:rsidRPr="00AA5CB5">
        <w:t xml:space="preserve">of the </w:t>
      </w:r>
      <w:r w:rsidR="00AF237A" w:rsidRPr="00AA5CB5">
        <w:t xml:space="preserve">primary and/or secondary </w:t>
      </w:r>
      <w:r w:rsidR="00053030" w:rsidRPr="00AA5CB5">
        <w:t>data sources</w:t>
      </w:r>
      <w:r w:rsidR="005064DB" w:rsidRPr="00AA5CB5">
        <w:t xml:space="preserve">, including any </w:t>
      </w:r>
      <w:r w:rsidR="00DE6EA2" w:rsidRPr="00AA5CB5">
        <w:t xml:space="preserve">assumptions made, deviations from the Framework, and reasons for those changes. </w:t>
      </w:r>
    </w:p>
    <w:p w14:paraId="58931C4F" w14:textId="7AB0C78C" w:rsidR="00CF5C29" w:rsidRPr="00AA5CB5" w:rsidRDefault="00CF5C29" w:rsidP="00CF5C29">
      <w:pPr>
        <w:pStyle w:val="Bodybullet1"/>
      </w:pPr>
      <w:r w:rsidRPr="00AA5CB5">
        <w:t xml:space="preserve">Processes for collecting, processing, consolidating and reporting activity data and information. </w:t>
      </w:r>
    </w:p>
    <w:p w14:paraId="7959B3A9" w14:textId="09FDBB48" w:rsidR="00CF5C29" w:rsidRPr="00AA5CB5" w:rsidRDefault="00CF5C29" w:rsidP="00CF5C29">
      <w:pPr>
        <w:pStyle w:val="Bodybullet1"/>
      </w:pPr>
      <w:r w:rsidRPr="00AA5CB5">
        <w:t>Systems, processes and personnel that ensure the accuracy of the activity data and information system, including activities for ensuring data quality</w:t>
      </w:r>
      <w:r w:rsidR="002B308A" w:rsidRPr="00AA5CB5">
        <w:t xml:space="preserve"> and system maintenance. </w:t>
      </w:r>
    </w:p>
    <w:p w14:paraId="7143F021" w14:textId="221D7714" w:rsidR="002B308A" w:rsidRPr="00AA5CB5" w:rsidRDefault="002B308A" w:rsidP="00CF5C29">
      <w:pPr>
        <w:pStyle w:val="Bodybullet1"/>
      </w:pPr>
      <w:r w:rsidRPr="00AA5CB5">
        <w:t xml:space="preserve">Procedures to verify the accuracy and completeness of the data collected, including automated checks and manual reviews. </w:t>
      </w:r>
    </w:p>
    <w:p w14:paraId="178B6098" w14:textId="647C1F13" w:rsidR="002B308A" w:rsidRPr="00AA5CB5" w:rsidRDefault="002B308A" w:rsidP="00CF5C29">
      <w:pPr>
        <w:pStyle w:val="Bodybullet1"/>
      </w:pPr>
      <w:r w:rsidRPr="00AA5CB5">
        <w:t>Governance policies to oversee data management practices, ensuring data integrity, security, and compliance with regulations</w:t>
      </w:r>
      <w:r w:rsidR="00F81513">
        <w:t>.</w:t>
      </w:r>
    </w:p>
    <w:p w14:paraId="5BE77AC6" w14:textId="39543666" w:rsidR="00D24097" w:rsidRPr="00AA5CB5" w:rsidRDefault="00D24097" w:rsidP="00D24097">
      <w:pPr>
        <w:pStyle w:val="Bodybullet1"/>
      </w:pPr>
      <w:r w:rsidRPr="00AA5CB5">
        <w:t xml:space="preserve">Details of electricity contractual instruments, such </w:t>
      </w:r>
      <w:r w:rsidR="009464C2" w:rsidRPr="00AA5CB5">
        <w:t>a</w:t>
      </w:r>
      <w:r w:rsidR="00DE00A6">
        <w:t>s</w:t>
      </w:r>
      <w:r w:rsidR="009464C2" w:rsidRPr="00AA5CB5">
        <w:t xml:space="preserve"> Large-scale Generation Certificate</w:t>
      </w:r>
      <w:r w:rsidR="00022A19">
        <w:t>s</w:t>
      </w:r>
      <w:r w:rsidR="009464C2" w:rsidRPr="00AA5CB5">
        <w:t xml:space="preserve"> (LGC)</w:t>
      </w:r>
      <w:r w:rsidRPr="00AA5CB5">
        <w:t xml:space="preserve">, GreenPower, renewable energy certificates, used in the calculations of market-based method electricity emissions, if such instruments exist. </w:t>
      </w:r>
    </w:p>
    <w:p w14:paraId="0DC6BC88" w14:textId="7DB6BD61" w:rsidR="004E4765" w:rsidRPr="00AA5CB5" w:rsidRDefault="00D24097" w:rsidP="00276456">
      <w:pPr>
        <w:pStyle w:val="Bodybullet1"/>
      </w:pPr>
      <w:r w:rsidRPr="00AA5CB5">
        <w:t>The results of previous audits</w:t>
      </w:r>
      <w:r w:rsidR="00034DB5" w:rsidRPr="00AA5CB5">
        <w:t xml:space="preserve"> or reviews</w:t>
      </w:r>
      <w:r w:rsidRPr="00AA5CB5">
        <w:t>, if available and appropriate</w:t>
      </w:r>
      <w:r w:rsidR="001B78B5">
        <w:t>.</w:t>
      </w:r>
    </w:p>
    <w:p w14:paraId="5F0A0EF1" w14:textId="2B5159B8" w:rsidR="0051456A" w:rsidRPr="00AA5CB5" w:rsidRDefault="0051456A" w:rsidP="008107A0">
      <w:pPr>
        <w:pStyle w:val="Heading2"/>
      </w:pPr>
      <w:bookmarkStart w:id="85" w:name="_Toc201927348"/>
      <w:r w:rsidRPr="00AA5CB5">
        <w:t>Data collection period</w:t>
      </w:r>
      <w:bookmarkEnd w:id="68"/>
      <w:bookmarkEnd w:id="69"/>
      <w:bookmarkEnd w:id="85"/>
      <w:r w:rsidRPr="00AA5CB5">
        <w:t xml:space="preserve"> </w:t>
      </w:r>
    </w:p>
    <w:p w14:paraId="28253CA3" w14:textId="0DB30629" w:rsidR="00E0045A" w:rsidRPr="00AA5CB5" w:rsidRDefault="0051456A" w:rsidP="00E0045A">
      <w:pPr>
        <w:pStyle w:val="BodyText1"/>
      </w:pPr>
      <w:r w:rsidRPr="00AA5CB5">
        <w:t xml:space="preserve">The data collection period is </w:t>
      </w:r>
      <w:r w:rsidR="00CB1BDA" w:rsidRPr="00AA5CB5">
        <w:t>when</w:t>
      </w:r>
      <w:r w:rsidRPr="00AA5CB5">
        <w:t xml:space="preserve"> reporting agencies </w:t>
      </w:r>
      <w:r w:rsidR="00610CAD" w:rsidRPr="00AA5CB5">
        <w:t xml:space="preserve">are required </w:t>
      </w:r>
      <w:r w:rsidR="00202729" w:rsidRPr="00AA5CB5">
        <w:t>to collate</w:t>
      </w:r>
      <w:r w:rsidR="00E0045A" w:rsidRPr="00AA5CB5">
        <w:t xml:space="preserve"> and </w:t>
      </w:r>
      <w:r w:rsidRPr="00AA5CB5">
        <w:t xml:space="preserve">verify their activity data </w:t>
      </w:r>
      <w:r w:rsidR="00977AEE" w:rsidRPr="00AA5CB5">
        <w:t>for the reportable period</w:t>
      </w:r>
      <w:r w:rsidR="00E0045A" w:rsidRPr="00AA5CB5">
        <w:t xml:space="preserve">. </w:t>
      </w:r>
      <w:r w:rsidR="00213869" w:rsidRPr="00AA5CB5">
        <w:t xml:space="preserve">Each year this </w:t>
      </w:r>
      <w:r w:rsidR="005F6F51">
        <w:t>runs</w:t>
      </w:r>
      <w:r w:rsidR="00213869" w:rsidRPr="00AA5CB5">
        <w:t xml:space="preserve"> </w:t>
      </w:r>
      <w:r w:rsidR="005F6F51">
        <w:t xml:space="preserve">from </w:t>
      </w:r>
      <w:r w:rsidR="00213869" w:rsidRPr="00AA5CB5">
        <w:t>July to August</w:t>
      </w:r>
      <w:r w:rsidR="005F6F51">
        <w:t xml:space="preserve">, </w:t>
      </w:r>
      <w:r w:rsidR="005F6F51" w:rsidRPr="00AA5CB5">
        <w:t>approximately</w:t>
      </w:r>
      <w:r w:rsidR="00213869" w:rsidRPr="00AA5CB5">
        <w:t xml:space="preserve">. </w:t>
      </w:r>
    </w:p>
    <w:p w14:paraId="406848DE" w14:textId="2646FE0F" w:rsidR="0051456A" w:rsidRPr="00AA5CB5" w:rsidRDefault="0051456A" w:rsidP="0051456A">
      <w:pPr>
        <w:pStyle w:val="BodyText1"/>
      </w:pPr>
      <w:r w:rsidRPr="00AA5CB5">
        <w:t xml:space="preserve">Where a reporting agency has requirements under the NGER Scheme, the data collection period is extended. If a reporting agency cannot meet the deadline, in special circumstances Finance </w:t>
      </w:r>
      <w:r w:rsidR="00E500BC" w:rsidRPr="00AA5CB5">
        <w:t>may</w:t>
      </w:r>
      <w:r w:rsidRPr="00AA5CB5">
        <w:t xml:space="preserve"> grant an extension. </w:t>
      </w:r>
    </w:p>
    <w:bookmarkEnd w:id="70"/>
    <w:bookmarkEnd w:id="71"/>
    <w:p w14:paraId="0C26D243" w14:textId="77777777" w:rsidR="007B603E" w:rsidRPr="00AA5CB5" w:rsidRDefault="007B603E" w:rsidP="007B603E">
      <w:pPr>
        <w:pStyle w:val="Heading3"/>
      </w:pPr>
      <w:r w:rsidRPr="00AA5CB5">
        <w:t>Emissions Reporting Tool</w:t>
      </w:r>
    </w:p>
    <w:p w14:paraId="7E2D57C0" w14:textId="2E94D993" w:rsidR="00CA2AA9" w:rsidRPr="00AA5CB5" w:rsidRDefault="00CA2AA9" w:rsidP="00CA2AA9">
      <w:pPr>
        <w:pStyle w:val="BodyText1"/>
      </w:pPr>
      <w:r w:rsidRPr="00AA5CB5">
        <w:t xml:space="preserve">Finance develops tools and guidance </w:t>
      </w:r>
      <w:r w:rsidR="004414BE" w:rsidRPr="00AA5CB5">
        <w:t xml:space="preserve">that </w:t>
      </w:r>
      <w:r w:rsidRPr="00AA5CB5">
        <w:t>reporting agencies</w:t>
      </w:r>
      <w:r w:rsidR="004414BE" w:rsidRPr="00AA5CB5">
        <w:t xml:space="preserve"> are required to adhere to</w:t>
      </w:r>
      <w:r w:rsidRPr="00AA5CB5">
        <w:t>, including an Emissions Reporting Tool (ERT) and an accompanying User Manual. The ERT is a Microsoft Excel collection tool</w:t>
      </w:r>
      <w:r w:rsidR="00641E5B" w:rsidRPr="00AA5CB5">
        <w:t>.</w:t>
      </w:r>
      <w:r w:rsidRPr="00AA5CB5">
        <w:t xml:space="preserve"> Emissions calculations are performed by Finance on behalf of reporting agencies using the data from the ERT.</w:t>
      </w:r>
    </w:p>
    <w:p w14:paraId="24297DA7" w14:textId="1D07D1C0" w:rsidR="000D76E0" w:rsidRPr="00AA5CB5" w:rsidRDefault="002E2BE2" w:rsidP="000D76E0">
      <w:pPr>
        <w:pStyle w:val="Heading3"/>
      </w:pPr>
      <w:r w:rsidRPr="00AA5CB5">
        <w:t>WoAG</w:t>
      </w:r>
      <w:r w:rsidR="000D76E0" w:rsidRPr="00AA5CB5">
        <w:t xml:space="preserve"> Procurement arrangements</w:t>
      </w:r>
    </w:p>
    <w:p w14:paraId="47A54B4F" w14:textId="3E620BF0" w:rsidR="00F17BC5" w:rsidRPr="00AA5CB5" w:rsidRDefault="000D76E0" w:rsidP="000D76E0">
      <w:pPr>
        <w:pStyle w:val="BodyText1"/>
      </w:pPr>
      <w:r w:rsidRPr="00AA5CB5">
        <w:t xml:space="preserve">Where </w:t>
      </w:r>
      <w:r w:rsidR="00504E04" w:rsidRPr="00AA5CB5">
        <w:t>data</w:t>
      </w:r>
      <w:r w:rsidRPr="00AA5CB5">
        <w:t xml:space="preserve"> is available, Finance</w:t>
      </w:r>
      <w:r w:rsidR="0065014A">
        <w:t>,</w:t>
      </w:r>
      <w:r w:rsidRPr="00AA5CB5">
        <w:t xml:space="preserve"> on behalf of reporting agencies</w:t>
      </w:r>
      <w:r w:rsidR="00F66B7C" w:rsidRPr="00AA5CB5">
        <w:t>,</w:t>
      </w:r>
      <w:r w:rsidRPr="00AA5CB5">
        <w:t xml:space="preserve"> collaborates with </w:t>
      </w:r>
      <w:r w:rsidR="00977AEE" w:rsidRPr="00AA5CB5">
        <w:t>PSPs</w:t>
      </w:r>
      <w:r w:rsidRPr="00AA5CB5">
        <w:t xml:space="preserve"> and Whole</w:t>
      </w:r>
      <w:r w:rsidR="00175353">
        <w:t>-</w:t>
      </w:r>
      <w:r w:rsidRPr="00AA5CB5">
        <w:t>of</w:t>
      </w:r>
      <w:r w:rsidR="00175353">
        <w:t>-</w:t>
      </w:r>
      <w:r w:rsidRPr="00AA5CB5">
        <w:t>Australian</w:t>
      </w:r>
      <w:r w:rsidR="00175353">
        <w:t>-</w:t>
      </w:r>
      <w:r w:rsidRPr="00AA5CB5">
        <w:t>Government (</w:t>
      </w:r>
      <w:r w:rsidR="002E2BE2" w:rsidRPr="00AA5CB5">
        <w:t>WoAG</w:t>
      </w:r>
      <w:r w:rsidRPr="00AA5CB5">
        <w:t xml:space="preserve">) arrangement providers to gather appropriately formatted activity data. </w:t>
      </w:r>
      <w:r w:rsidR="00021FC5" w:rsidRPr="00AA5CB5">
        <w:t xml:space="preserve">This process is applicable to most </w:t>
      </w:r>
      <w:r w:rsidR="0027074E">
        <w:t>non-corporate Commonwealth entities (</w:t>
      </w:r>
      <w:r w:rsidR="00021FC5" w:rsidRPr="00AA5CB5">
        <w:t>NCEs</w:t>
      </w:r>
      <w:r w:rsidR="0027074E">
        <w:t>)</w:t>
      </w:r>
      <w:r w:rsidR="00021FC5" w:rsidRPr="00AA5CB5">
        <w:t xml:space="preserve"> who have WoAG arrangements in place.</w:t>
      </w:r>
    </w:p>
    <w:p w14:paraId="66C62F48" w14:textId="55BADB8A" w:rsidR="000D76E0" w:rsidRPr="00AA5CB5" w:rsidRDefault="000D76E0" w:rsidP="000D76E0">
      <w:pPr>
        <w:pStyle w:val="BodyText1"/>
      </w:pPr>
      <w:r w:rsidRPr="00AA5CB5">
        <w:t xml:space="preserve">This activity data is used to prefill </w:t>
      </w:r>
      <w:r w:rsidR="00A00779">
        <w:t xml:space="preserve">the </w:t>
      </w:r>
      <w:r w:rsidRPr="00AA5CB5">
        <w:t>ERTs</w:t>
      </w:r>
      <w:r w:rsidR="00A00779">
        <w:t>,</w:t>
      </w:r>
      <w:r w:rsidRPr="00AA5CB5">
        <w:t xml:space="preserve"> which Finance sends to reporting agencies. This process reduces the burden on reporting agencies</w:t>
      </w:r>
      <w:r w:rsidR="00977AEE" w:rsidRPr="00AA5CB5">
        <w:t xml:space="preserve">, </w:t>
      </w:r>
      <w:r w:rsidR="001514AD" w:rsidRPr="00AA5CB5">
        <w:t>PSPs</w:t>
      </w:r>
      <w:r w:rsidRPr="00AA5CB5">
        <w:t xml:space="preserve"> and </w:t>
      </w:r>
      <w:r w:rsidR="002E2BE2" w:rsidRPr="00AA5CB5">
        <w:t>WoAG</w:t>
      </w:r>
      <w:r w:rsidRPr="00AA5CB5">
        <w:t xml:space="preserve"> providers. </w:t>
      </w:r>
    </w:p>
    <w:p w14:paraId="2454C6C7" w14:textId="33172B08" w:rsidR="004414BE" w:rsidRPr="00AA5CB5" w:rsidRDefault="00B30CF7" w:rsidP="000D76E0">
      <w:pPr>
        <w:pStyle w:val="BodyText1"/>
      </w:pPr>
      <w:r>
        <w:lastRenderedPageBreak/>
        <w:t xml:space="preserve">There are no changes made to </w:t>
      </w:r>
      <w:r w:rsidR="004414BE" w:rsidRPr="0062002A">
        <w:t xml:space="preserve">raw activity data </w:t>
      </w:r>
      <w:r w:rsidR="00A042B4">
        <w:t>except</w:t>
      </w:r>
      <w:r w:rsidR="004F36A9">
        <w:t xml:space="preserve"> in the case of</w:t>
      </w:r>
      <w:r w:rsidR="00E47AD0" w:rsidRPr="0062002A">
        <w:t xml:space="preserve"> </w:t>
      </w:r>
      <w:r w:rsidR="00350EEA" w:rsidRPr="0062002A">
        <w:t>fleet vehicle</w:t>
      </w:r>
      <w:r w:rsidR="00E47AD0" w:rsidRPr="0062002A">
        <w:t xml:space="preserve"> </w:t>
      </w:r>
      <w:r w:rsidR="0051272E" w:rsidRPr="0062002A">
        <w:t>classifications</w:t>
      </w:r>
      <w:r w:rsidR="004F36A9">
        <w:t>,</w:t>
      </w:r>
      <w:r w:rsidR="00E47AD0" w:rsidRPr="0062002A">
        <w:t xml:space="preserve"> which </w:t>
      </w:r>
      <w:r w:rsidR="0062002A" w:rsidRPr="0062002A">
        <w:t xml:space="preserve">are </w:t>
      </w:r>
      <w:r w:rsidR="0051272E" w:rsidRPr="0062002A">
        <w:t>mapped</w:t>
      </w:r>
      <w:r w:rsidR="00E47AD0" w:rsidRPr="0062002A">
        <w:t xml:space="preserve"> based on make, model and buil</w:t>
      </w:r>
      <w:r w:rsidR="0051272E" w:rsidRPr="0062002A">
        <w:t>d</w:t>
      </w:r>
      <w:r>
        <w:t xml:space="preserve">, to allow accurate emissions calculations. </w:t>
      </w:r>
    </w:p>
    <w:p w14:paraId="5C10BF29" w14:textId="2E4A564D" w:rsidR="000D76E0" w:rsidRPr="00AA5CB5" w:rsidRDefault="000D76E0" w:rsidP="000D76E0">
      <w:pPr>
        <w:pStyle w:val="BodyText1"/>
      </w:pPr>
      <w:r w:rsidRPr="00AA5CB5">
        <w:t xml:space="preserve">For reporting agencies participating in </w:t>
      </w:r>
      <w:r w:rsidR="002E2BE2" w:rsidRPr="00AA5CB5">
        <w:t>WoAG</w:t>
      </w:r>
      <w:r w:rsidRPr="00AA5CB5">
        <w:t xml:space="preserve"> procurement arrangements led by Finance, data is sourced from the following:</w:t>
      </w:r>
    </w:p>
    <w:p w14:paraId="09827837" w14:textId="4AC100B3" w:rsidR="000D76E0" w:rsidRPr="00AA5CB5" w:rsidRDefault="000D76E0" w:rsidP="000D76E0">
      <w:pPr>
        <w:pStyle w:val="Bodybullet1"/>
      </w:pPr>
      <w:r w:rsidRPr="00AA5CB5">
        <w:t>Natural gas, electricity</w:t>
      </w:r>
      <w:r w:rsidR="004F36A9">
        <w:t xml:space="preserve">, </w:t>
      </w:r>
      <w:r w:rsidRPr="00AA5CB5">
        <w:t>solid waste</w:t>
      </w:r>
      <w:r w:rsidR="004F36A9">
        <w:t xml:space="preserve"> and stationary fuels (where available)</w:t>
      </w:r>
      <w:r w:rsidRPr="00AA5CB5">
        <w:t xml:space="preserve"> from </w:t>
      </w:r>
      <w:r w:rsidR="001514AD" w:rsidRPr="00AA5CB5">
        <w:t>PSPs</w:t>
      </w:r>
      <w:r w:rsidRPr="00AA5CB5">
        <w:t>.</w:t>
      </w:r>
    </w:p>
    <w:p w14:paraId="6D4A942B" w14:textId="77777777" w:rsidR="000D76E0" w:rsidRPr="00AA5CB5" w:rsidRDefault="000D76E0" w:rsidP="000D76E0">
      <w:pPr>
        <w:pStyle w:val="Bodybullet1"/>
      </w:pPr>
      <w:r w:rsidRPr="00AA5CB5">
        <w:t>Fleet vehicle fuel usage from the fleet management and leasing services provider.</w:t>
      </w:r>
    </w:p>
    <w:p w14:paraId="61232CAE" w14:textId="765051D3" w:rsidR="000D76E0" w:rsidRPr="00AA5CB5" w:rsidRDefault="000D76E0" w:rsidP="000D76E0">
      <w:pPr>
        <w:pStyle w:val="Bodybullet1"/>
      </w:pPr>
      <w:r w:rsidRPr="00AA5CB5">
        <w:t xml:space="preserve">Flights, accommodation, and hire cars from </w:t>
      </w:r>
      <w:r w:rsidR="002E2BE2" w:rsidRPr="00AA5CB5">
        <w:t>WoAG</w:t>
      </w:r>
      <w:r w:rsidRPr="00AA5CB5">
        <w:t xml:space="preserve"> Travel Arrangements.</w:t>
      </w:r>
    </w:p>
    <w:p w14:paraId="410770D3" w14:textId="1F21ABA9" w:rsidR="000D76E0" w:rsidRPr="00AA5CB5" w:rsidRDefault="00E924B9" w:rsidP="00E924B9">
      <w:pPr>
        <w:pStyle w:val="Heading3"/>
      </w:pPr>
      <w:r w:rsidRPr="00AA5CB5">
        <w:t>Own arrangements</w:t>
      </w:r>
    </w:p>
    <w:p w14:paraId="7A728A88" w14:textId="1FA0198E" w:rsidR="00430D1A" w:rsidRPr="00AA5CB5" w:rsidRDefault="00E924B9" w:rsidP="000D76E0">
      <w:pPr>
        <w:pStyle w:val="BodyText1"/>
      </w:pPr>
      <w:r w:rsidRPr="00AA5CB5">
        <w:t>For reporting agencies with their own arrangement</w:t>
      </w:r>
      <w:r w:rsidR="000B076D">
        <w:t>s</w:t>
      </w:r>
      <w:r w:rsidRPr="00AA5CB5">
        <w:t>, prefill</w:t>
      </w:r>
      <w:r w:rsidR="002E2BE2" w:rsidRPr="00AA5CB5">
        <w:t>ed</w:t>
      </w:r>
      <w:r w:rsidRPr="00AA5CB5">
        <w:t xml:space="preserve"> data is not available. </w:t>
      </w:r>
      <w:r w:rsidR="00BD3325" w:rsidRPr="00AA5CB5">
        <w:t>In this case</w:t>
      </w:r>
      <w:r w:rsidR="00977AEE" w:rsidRPr="00AA5CB5">
        <w:t xml:space="preserve"> </w:t>
      </w:r>
      <w:r w:rsidR="000D76E0" w:rsidRPr="00AA5CB5">
        <w:t>unfilled ERT</w:t>
      </w:r>
      <w:r w:rsidR="000B076D">
        <w:t>s</w:t>
      </w:r>
      <w:r w:rsidR="000D76E0" w:rsidRPr="00AA5CB5">
        <w:t xml:space="preserve"> </w:t>
      </w:r>
      <w:r w:rsidR="00977AEE" w:rsidRPr="00AA5CB5">
        <w:t xml:space="preserve">will be provided </w:t>
      </w:r>
      <w:r w:rsidR="000D76E0" w:rsidRPr="00AA5CB5">
        <w:t>to reporting agencies prior to the data collection period</w:t>
      </w:r>
      <w:r w:rsidR="00EE1EFE" w:rsidRPr="00AA5CB5">
        <w:t>, and reporting agencies are required to complete their own activity data.</w:t>
      </w:r>
    </w:p>
    <w:p w14:paraId="5CF6C545" w14:textId="3C931002" w:rsidR="00FC5A72" w:rsidRPr="00AA5CB5" w:rsidRDefault="00FC5A72" w:rsidP="00362AA1">
      <w:pPr>
        <w:pStyle w:val="Heading2"/>
      </w:pPr>
      <w:bookmarkStart w:id="86" w:name="_Ref195546127"/>
      <w:bookmarkStart w:id="87" w:name="_Toc197426947"/>
      <w:bookmarkStart w:id="88" w:name="_Toc197438612"/>
      <w:bookmarkStart w:id="89" w:name="_Toc201927349"/>
      <w:bookmarkStart w:id="90" w:name="_Toc190800056"/>
      <w:bookmarkStart w:id="91" w:name="_Hlk193903118"/>
      <w:bookmarkEnd w:id="66"/>
      <w:bookmarkEnd w:id="67"/>
      <w:bookmarkEnd w:id="72"/>
      <w:bookmarkEnd w:id="73"/>
      <w:bookmarkEnd w:id="74"/>
      <w:bookmarkEnd w:id="75"/>
      <w:r w:rsidRPr="00AA5CB5">
        <w:t>Data sign off and</w:t>
      </w:r>
      <w:r w:rsidR="00223727" w:rsidRPr="00AA5CB5">
        <w:t xml:space="preserve"> </w:t>
      </w:r>
      <w:r w:rsidRPr="00AA5CB5">
        <w:t>submission</w:t>
      </w:r>
      <w:bookmarkEnd w:id="86"/>
      <w:bookmarkEnd w:id="87"/>
      <w:bookmarkEnd w:id="88"/>
      <w:bookmarkEnd w:id="89"/>
    </w:p>
    <w:p w14:paraId="3775F51E" w14:textId="787873A9" w:rsidR="009632ED" w:rsidRPr="00AA5CB5" w:rsidRDefault="7E420D8D" w:rsidP="00811538">
      <w:pPr>
        <w:pStyle w:val="BodyText1"/>
      </w:pPr>
      <w:r w:rsidRPr="00AA5CB5">
        <w:t xml:space="preserve">At the end of the data collection period, </w:t>
      </w:r>
      <w:r w:rsidR="212756F5" w:rsidRPr="00AA5CB5">
        <w:t xml:space="preserve">reporting agencies are </w:t>
      </w:r>
      <w:r w:rsidR="54C867C6" w:rsidRPr="00AA5CB5">
        <w:t xml:space="preserve">required to get </w:t>
      </w:r>
      <w:r w:rsidR="210380E9" w:rsidRPr="00AA5CB5">
        <w:t xml:space="preserve">approving official </w:t>
      </w:r>
      <w:r w:rsidR="54C867C6" w:rsidRPr="00AA5CB5">
        <w:t xml:space="preserve">sign off confirming the accuracy and completeness of the activity data </w:t>
      </w:r>
      <w:r w:rsidR="553B650F" w:rsidRPr="00AA5CB5">
        <w:t>in their ERTs</w:t>
      </w:r>
      <w:r w:rsidR="54C867C6" w:rsidRPr="00AA5CB5">
        <w:t xml:space="preserve">. The </w:t>
      </w:r>
      <w:r w:rsidR="5FACD91B" w:rsidRPr="00AA5CB5">
        <w:t xml:space="preserve">approving </w:t>
      </w:r>
      <w:r w:rsidR="006A276B" w:rsidRPr="00AA5CB5">
        <w:t>official level</w:t>
      </w:r>
      <w:r w:rsidR="00FC5A72" w:rsidRPr="00AA5CB5">
        <w:t xml:space="preserve"> is at the discretion of the reporting agency</w:t>
      </w:r>
      <w:r w:rsidR="009B67D3">
        <w:t>,</w:t>
      </w:r>
      <w:r w:rsidR="00FC5A72" w:rsidRPr="00AA5CB5">
        <w:t xml:space="preserve"> but should have sufficient oversight or responsibility of the main Business Units involved in the collection and completion of the </w:t>
      </w:r>
      <w:r w:rsidR="54C867C6" w:rsidRPr="00AA5CB5">
        <w:t>activity</w:t>
      </w:r>
      <w:r w:rsidR="00FC5A72" w:rsidRPr="00AA5CB5">
        <w:t xml:space="preserve"> data.</w:t>
      </w:r>
    </w:p>
    <w:p w14:paraId="1969F104" w14:textId="77777777" w:rsidR="00CB0F8B" w:rsidRDefault="00CB0F8B">
      <w:pPr>
        <w:spacing w:before="0" w:after="160" w:line="259" w:lineRule="auto"/>
        <w:rPr>
          <w:rFonts w:asciiTheme="majorHAnsi" w:eastAsiaTheme="majorEastAsia" w:hAnsiTheme="majorHAnsi" w:cstheme="majorBidi"/>
          <w:b/>
          <w:color w:val="359D9A"/>
          <w:sz w:val="48"/>
          <w:szCs w:val="32"/>
        </w:rPr>
      </w:pPr>
      <w:r>
        <w:br w:type="page"/>
      </w:r>
    </w:p>
    <w:p w14:paraId="4F1976DD" w14:textId="12A459ED" w:rsidR="00DE7828" w:rsidRPr="00AA5CB5" w:rsidRDefault="001A427F" w:rsidP="00E72A46">
      <w:pPr>
        <w:pStyle w:val="Heading1"/>
      </w:pPr>
      <w:bookmarkStart w:id="92" w:name="_Ref201836561"/>
      <w:bookmarkStart w:id="93" w:name="_Toc201927350"/>
      <w:r w:rsidRPr="00AA5CB5">
        <w:lastRenderedPageBreak/>
        <w:t>Emissions Calculations</w:t>
      </w:r>
      <w:bookmarkEnd w:id="92"/>
      <w:bookmarkEnd w:id="93"/>
    </w:p>
    <w:p w14:paraId="54F42D2D" w14:textId="77777777" w:rsidR="000354BF" w:rsidRPr="00AA5CB5" w:rsidRDefault="000354BF" w:rsidP="000354BF">
      <w:pPr>
        <w:pStyle w:val="Heading2"/>
      </w:pPr>
      <w:bookmarkStart w:id="94" w:name="_Toc201927351"/>
      <w:r w:rsidRPr="00AA5CB5">
        <w:t>Data validation</w:t>
      </w:r>
      <w:bookmarkEnd w:id="94"/>
    </w:p>
    <w:p w14:paraId="3675EC2B" w14:textId="74E4053D" w:rsidR="000354BF" w:rsidRPr="00AA5CB5" w:rsidRDefault="000354BF" w:rsidP="000354BF">
      <w:pPr>
        <w:pStyle w:val="BodyText1"/>
      </w:pPr>
      <w:r w:rsidRPr="00AA5CB5">
        <w:t xml:space="preserve">In a process referred to as data validation, Finance </w:t>
      </w:r>
      <w:r w:rsidR="531C9031" w:rsidRPr="00AA5CB5">
        <w:t xml:space="preserve">will validate submitted activity data by </w:t>
      </w:r>
      <w:r w:rsidRPr="00AA5CB5">
        <w:t>inspect</w:t>
      </w:r>
      <w:r w:rsidR="33B8BE11" w:rsidRPr="00AA5CB5">
        <w:t>ing</w:t>
      </w:r>
      <w:r w:rsidRPr="00AA5CB5">
        <w:t xml:space="preserve"> the submitted ERTs for incorrect data formatting.</w:t>
      </w:r>
    </w:p>
    <w:p w14:paraId="64F20FC6" w14:textId="78B4A96C" w:rsidR="000354BF" w:rsidRPr="00AA5CB5" w:rsidRDefault="000354BF" w:rsidP="000354BF">
      <w:pPr>
        <w:pStyle w:val="BodyText1"/>
      </w:pPr>
      <w:r w:rsidRPr="00AA5CB5">
        <w:t xml:space="preserve">Any activity data that is outside of the </w:t>
      </w:r>
      <w:r w:rsidR="001403D7">
        <w:t xml:space="preserve">Framework </w:t>
      </w:r>
      <w:r w:rsidRPr="00AA5CB5">
        <w:t xml:space="preserve">is removed and not used to calculate emissions. This can include data outside of: </w:t>
      </w:r>
    </w:p>
    <w:p w14:paraId="35541D2F" w14:textId="3E6FCEA0" w:rsidR="000354BF" w:rsidRPr="00AA5CB5" w:rsidRDefault="003277A4" w:rsidP="000354BF">
      <w:pPr>
        <w:pStyle w:val="Bodybullet1"/>
      </w:pPr>
      <w:r>
        <w:t>t</w:t>
      </w:r>
      <w:r w:rsidR="000354BF" w:rsidRPr="00AA5CB5">
        <w:t>he relevant reporting period</w:t>
      </w:r>
    </w:p>
    <w:p w14:paraId="76F07062" w14:textId="12E5231B" w:rsidR="000354BF" w:rsidRPr="00AA5CB5" w:rsidRDefault="000354BF" w:rsidP="000354BF">
      <w:pPr>
        <w:pStyle w:val="Bodybullet1"/>
      </w:pPr>
      <w:r w:rsidRPr="00AA5CB5">
        <w:t>Australia and its external territories</w:t>
      </w:r>
    </w:p>
    <w:p w14:paraId="0114576B" w14:textId="15B19AA4" w:rsidR="000354BF" w:rsidRPr="00AA5CB5" w:rsidRDefault="003277A4" w:rsidP="000354BF">
      <w:pPr>
        <w:pStyle w:val="Bodybullet1"/>
      </w:pPr>
      <w:r>
        <w:t>f</w:t>
      </w:r>
      <w:r w:rsidR="000354BF" w:rsidRPr="00AA5CB5">
        <w:t>lown domestic commercial flights</w:t>
      </w:r>
      <w:r>
        <w:t>.</w:t>
      </w:r>
    </w:p>
    <w:p w14:paraId="0CECDFEB" w14:textId="7D575252" w:rsidR="000354BF" w:rsidRPr="00AA5CB5" w:rsidRDefault="000354BF" w:rsidP="000354BF">
      <w:pPr>
        <w:pStyle w:val="Bodybullet1"/>
        <w:numPr>
          <w:ilvl w:val="0"/>
          <w:numId w:val="0"/>
        </w:numPr>
      </w:pPr>
      <w:r w:rsidRPr="00AA5CB5">
        <w:t xml:space="preserve">Any incorrect data formatting or </w:t>
      </w:r>
      <w:r w:rsidR="0079522E" w:rsidRPr="00AA5CB5">
        <w:t xml:space="preserve">data removals </w:t>
      </w:r>
      <w:r w:rsidRPr="00AA5CB5">
        <w:t>are communicated to the reporting agencies</w:t>
      </w:r>
      <w:r w:rsidR="0079522E" w:rsidRPr="00AA5CB5">
        <w:t>.</w:t>
      </w:r>
    </w:p>
    <w:p w14:paraId="67D6159F" w14:textId="1AE22C8E" w:rsidR="00CA49F6" w:rsidRPr="00AA5CB5" w:rsidRDefault="00CA49F6" w:rsidP="00CA49F6">
      <w:pPr>
        <w:pStyle w:val="Heading2"/>
      </w:pPr>
      <w:bookmarkStart w:id="95" w:name="_Toc201927352"/>
      <w:r w:rsidRPr="00AA5CB5">
        <w:t>Emissions calculations</w:t>
      </w:r>
      <w:bookmarkEnd w:id="95"/>
    </w:p>
    <w:p w14:paraId="3DB3E91A" w14:textId="14866464" w:rsidR="003F0D60" w:rsidRDefault="00CA49F6" w:rsidP="0076710F">
      <w:pPr>
        <w:pStyle w:val="BodyText1"/>
      </w:pPr>
      <w:r w:rsidRPr="00AA5CB5">
        <w:t xml:space="preserve">Once data validation is completed, </w:t>
      </w:r>
      <w:r w:rsidR="003C10F2" w:rsidRPr="00AA5CB5">
        <w:t>Finance</w:t>
      </w:r>
      <w:r w:rsidRPr="00AA5CB5">
        <w:t xml:space="preserve"> </w:t>
      </w:r>
      <w:r w:rsidR="003C10F2" w:rsidRPr="00AA5CB5">
        <w:t>uses</w:t>
      </w:r>
      <w:r w:rsidR="00BA0933" w:rsidRPr="00AA5CB5">
        <w:t xml:space="preserve"> the</w:t>
      </w:r>
      <w:r w:rsidR="003C10F2" w:rsidRPr="00AA5CB5">
        <w:t xml:space="preserve"> </w:t>
      </w:r>
      <w:r w:rsidR="008F1491" w:rsidRPr="00AA5CB5">
        <w:t>methodologies outlined in</w:t>
      </w:r>
      <w:r w:rsidR="00DB4DC6">
        <w:t xml:space="preserve"> </w:t>
      </w:r>
      <w:r w:rsidR="005A7303" w:rsidRPr="0014590B">
        <w:rPr>
          <w:rStyle w:val="Hyperlink1"/>
        </w:rPr>
        <w:fldChar w:fldCharType="begin"/>
      </w:r>
      <w:r w:rsidR="005A7303" w:rsidRPr="0014590B">
        <w:rPr>
          <w:rStyle w:val="Hyperlink1"/>
        </w:rPr>
        <w:instrText xml:space="preserve"> REF _Ref201837311 \h </w:instrText>
      </w:r>
      <w:r w:rsidR="0014590B">
        <w:rPr>
          <w:rStyle w:val="Hyperlink1"/>
        </w:rPr>
        <w:instrText xml:space="preserve"> \* MERGEFORMAT </w:instrText>
      </w:r>
      <w:r w:rsidR="005A7303" w:rsidRPr="0014590B">
        <w:rPr>
          <w:rStyle w:val="Hyperlink1"/>
        </w:rPr>
      </w:r>
      <w:r w:rsidR="005A7303" w:rsidRPr="0014590B">
        <w:rPr>
          <w:rStyle w:val="Hyperlink1"/>
        </w:rPr>
        <w:fldChar w:fldCharType="separate"/>
      </w:r>
      <w:r w:rsidR="00422A37" w:rsidRPr="00422A37">
        <w:rPr>
          <w:rStyle w:val="Hyperlink1"/>
        </w:rPr>
        <w:t>Annex C: Emissions calculations</w:t>
      </w:r>
      <w:r w:rsidR="005A7303" w:rsidRPr="0014590B">
        <w:rPr>
          <w:rStyle w:val="Hyperlink1"/>
        </w:rPr>
        <w:fldChar w:fldCharType="end"/>
      </w:r>
      <w:r w:rsidR="006E23F2" w:rsidRPr="006413F4">
        <w:rPr>
          <w:rStyle w:val="Hyperlink1"/>
        </w:rPr>
        <w:t xml:space="preserve">, </w:t>
      </w:r>
      <w:r w:rsidR="006E23F2" w:rsidRPr="00AA5CB5">
        <w:t>to calculate emissions data in t CO</w:t>
      </w:r>
      <w:r w:rsidR="006E23F2" w:rsidRPr="00AA5CB5">
        <w:rPr>
          <w:vertAlign w:val="subscript"/>
        </w:rPr>
        <w:t>2</w:t>
      </w:r>
      <w:r w:rsidR="006E23F2" w:rsidRPr="00AA5CB5">
        <w:t>-e from activity data</w:t>
      </w:r>
      <w:r w:rsidR="006E23F2">
        <w:t>, by applying the appropriate emission factors</w:t>
      </w:r>
      <w:r w:rsidR="006E23F2" w:rsidRPr="00AA5CB5">
        <w:t>.</w:t>
      </w:r>
      <w:r w:rsidR="006F37CB">
        <w:t xml:space="preserve"> </w:t>
      </w:r>
      <w:r w:rsidRPr="00AA5CB5">
        <w:t xml:space="preserve">Once data validation is completed, </w:t>
      </w:r>
      <w:r w:rsidR="003C10F2" w:rsidRPr="00AA5CB5">
        <w:t>Finance</w:t>
      </w:r>
      <w:r w:rsidRPr="00AA5CB5">
        <w:t xml:space="preserve"> </w:t>
      </w:r>
      <w:r w:rsidR="003C10F2" w:rsidRPr="00AA5CB5">
        <w:t>uses</w:t>
      </w:r>
      <w:r w:rsidR="00BA0933" w:rsidRPr="00AA5CB5">
        <w:t xml:space="preserve"> the</w:t>
      </w:r>
      <w:r w:rsidR="003C10F2" w:rsidRPr="00AA5CB5">
        <w:t xml:space="preserve"> </w:t>
      </w:r>
      <w:r w:rsidR="008F1491" w:rsidRPr="00AA5CB5">
        <w:t>methodologies outlined in</w:t>
      </w:r>
      <w:r w:rsidR="00DB4DC6">
        <w:t xml:space="preserve"> </w:t>
      </w:r>
      <w:r w:rsidR="00DB4DC6" w:rsidRPr="006F37CB">
        <w:rPr>
          <w:rStyle w:val="Hyperlink1"/>
        </w:rPr>
        <w:fldChar w:fldCharType="begin"/>
      </w:r>
      <w:r w:rsidR="00DB4DC6" w:rsidRPr="006F37CB">
        <w:rPr>
          <w:rStyle w:val="Hyperlink1"/>
        </w:rPr>
        <w:instrText xml:space="preserve"> REF _Ref201836568 \h </w:instrText>
      </w:r>
      <w:r w:rsidR="00DB4DC6">
        <w:rPr>
          <w:rStyle w:val="Hyperlink1"/>
        </w:rPr>
        <w:instrText xml:space="preserve"> \* MERGEFORMAT</w:instrText>
      </w:r>
      <w:r w:rsidR="00DB4DC6" w:rsidRPr="002B6C7D">
        <w:rPr>
          <w:rStyle w:val="Hyperlink1"/>
        </w:rPr>
        <w:instrText xml:space="preserve"> </w:instrText>
      </w:r>
      <w:r w:rsidR="00DB4DC6" w:rsidRPr="006F37CB">
        <w:rPr>
          <w:rStyle w:val="Hyperlink1"/>
        </w:rPr>
      </w:r>
      <w:r w:rsidR="00DB4DC6" w:rsidRPr="006F37CB">
        <w:rPr>
          <w:rStyle w:val="Hyperlink1"/>
        </w:rPr>
        <w:fldChar w:fldCharType="separate"/>
      </w:r>
      <w:r w:rsidR="00422A37" w:rsidRPr="00422A37">
        <w:rPr>
          <w:rStyle w:val="Hyperlink1"/>
        </w:rPr>
        <w:t>Annex C: Emissions calculations</w:t>
      </w:r>
      <w:r w:rsidR="00DB4DC6" w:rsidRPr="006F37CB">
        <w:rPr>
          <w:rStyle w:val="Hyperlink1"/>
        </w:rPr>
        <w:fldChar w:fldCharType="end"/>
      </w:r>
      <w:r w:rsidR="0026729F" w:rsidRPr="006413F4">
        <w:rPr>
          <w:rStyle w:val="Hyperlink1"/>
        </w:rPr>
        <w:t>,</w:t>
      </w:r>
      <w:r w:rsidR="008F1491" w:rsidRPr="006413F4">
        <w:rPr>
          <w:rStyle w:val="Hyperlink1"/>
        </w:rPr>
        <w:t xml:space="preserve"> </w:t>
      </w:r>
      <w:r w:rsidR="008F1491" w:rsidRPr="00AA5CB5">
        <w:t xml:space="preserve">to </w:t>
      </w:r>
      <w:r w:rsidR="3A07CAFD" w:rsidRPr="00AA5CB5">
        <w:t>c</w:t>
      </w:r>
      <w:r w:rsidR="458635F0" w:rsidRPr="00AA5CB5">
        <w:t>alculat</w:t>
      </w:r>
      <w:r w:rsidR="1CEA8762" w:rsidRPr="00AA5CB5">
        <w:t>e</w:t>
      </w:r>
      <w:r w:rsidR="64A3408A" w:rsidRPr="00AA5CB5">
        <w:t xml:space="preserve"> emissions data in t</w:t>
      </w:r>
      <w:r w:rsidR="0081155F">
        <w:t> </w:t>
      </w:r>
      <w:r w:rsidR="64A3408A" w:rsidRPr="00AA5CB5">
        <w:t>CO</w:t>
      </w:r>
      <w:r w:rsidR="64A3408A" w:rsidRPr="00AA5CB5">
        <w:rPr>
          <w:vertAlign w:val="subscript"/>
        </w:rPr>
        <w:t>2</w:t>
      </w:r>
      <w:r w:rsidR="64A3408A" w:rsidRPr="00AA5CB5">
        <w:t>-e</w:t>
      </w:r>
      <w:r w:rsidR="00330F87" w:rsidRPr="00AA5CB5">
        <w:t xml:space="preserve"> </w:t>
      </w:r>
      <w:r w:rsidR="035C9472" w:rsidRPr="00AA5CB5">
        <w:t xml:space="preserve">from </w:t>
      </w:r>
      <w:r w:rsidR="00330F87" w:rsidRPr="00AA5CB5">
        <w:t>activity data</w:t>
      </w:r>
      <w:r w:rsidR="003B33D2">
        <w:t xml:space="preserve">, by applying </w:t>
      </w:r>
      <w:r w:rsidR="00925BFA">
        <w:t>the appropriate emission factors</w:t>
      </w:r>
      <w:r w:rsidR="1DDA8701" w:rsidRPr="00AA5CB5">
        <w:t>.</w:t>
      </w:r>
    </w:p>
    <w:p w14:paraId="13C9D0B4" w14:textId="32364A4E" w:rsidR="003B33D2" w:rsidRDefault="00925BFA" w:rsidP="003B33D2">
      <w:pPr>
        <w:pStyle w:val="BodyText1"/>
      </w:pPr>
      <w:r>
        <w:t xml:space="preserve">Emission factors are created in a </w:t>
      </w:r>
      <w:r w:rsidRPr="00AA5CB5">
        <w:t>process performed outside of the emissions calculations performed by Finance</w:t>
      </w:r>
      <w:r>
        <w:t xml:space="preserve">. The primary </w:t>
      </w:r>
      <w:r w:rsidR="003B33D2" w:rsidRPr="00AA5CB5">
        <w:t xml:space="preserve">source of emission factors in the </w:t>
      </w:r>
      <w:r w:rsidR="001403D7">
        <w:t xml:space="preserve">Framework </w:t>
      </w:r>
      <w:r w:rsidR="003B33D2" w:rsidRPr="00AA5CB5">
        <w:t xml:space="preserve">is the </w:t>
      </w:r>
      <w:hyperlink r:id="rId43">
        <w:r w:rsidR="003B33D2" w:rsidRPr="00AA5CB5">
          <w:rPr>
            <w:rStyle w:val="Hyperlink"/>
          </w:rPr>
          <w:t>Australian National Greenhouse Accounts Factors</w:t>
        </w:r>
      </w:hyperlink>
      <w:r w:rsidR="003B33D2" w:rsidRPr="00AA5CB5">
        <w:t>, which generally publish factors as CO</w:t>
      </w:r>
      <w:r w:rsidR="003B33D2" w:rsidRPr="00AA5CB5">
        <w:rPr>
          <w:vertAlign w:val="subscript"/>
        </w:rPr>
        <w:t>2</w:t>
      </w:r>
      <w:r w:rsidR="003B33D2" w:rsidRPr="00AA5CB5">
        <w:t>-e. When emissions factors are sourced, o</w:t>
      </w:r>
      <w:r>
        <w:t xml:space="preserve">r in </w:t>
      </w:r>
      <w:r w:rsidR="003B33D2" w:rsidRPr="00AA5CB5">
        <w:t>other formats, this is documented in</w:t>
      </w:r>
      <w:r w:rsidR="0081155F">
        <w:rPr>
          <w:rStyle w:val="Hyperlink1"/>
        </w:rPr>
        <w:t xml:space="preserve"> </w:t>
      </w:r>
      <w:r w:rsidR="0081155F" w:rsidRPr="0081155F">
        <w:rPr>
          <w:rStyle w:val="Hyperlink1"/>
        </w:rPr>
        <w:fldChar w:fldCharType="begin"/>
      </w:r>
      <w:r w:rsidR="0081155F" w:rsidRPr="0081155F">
        <w:rPr>
          <w:rStyle w:val="Hyperlink1"/>
        </w:rPr>
        <w:instrText xml:space="preserve"> REF _Ref201835180 \h </w:instrText>
      </w:r>
      <w:r w:rsidR="0081155F">
        <w:rPr>
          <w:rStyle w:val="Hyperlink1"/>
        </w:rPr>
        <w:instrText xml:space="preserve"> \* MERGEFORMAT </w:instrText>
      </w:r>
      <w:r w:rsidR="0081155F" w:rsidRPr="0081155F">
        <w:rPr>
          <w:rStyle w:val="Hyperlink1"/>
        </w:rPr>
      </w:r>
      <w:r w:rsidR="0081155F" w:rsidRPr="0081155F">
        <w:rPr>
          <w:rStyle w:val="Hyperlink1"/>
        </w:rPr>
        <w:fldChar w:fldCharType="separate"/>
      </w:r>
      <w:r w:rsidR="00422A37" w:rsidRPr="00422A37">
        <w:rPr>
          <w:rStyle w:val="Hyperlink1"/>
        </w:rPr>
        <w:t>Annex C: Emissions calculations</w:t>
      </w:r>
      <w:r w:rsidR="0081155F" w:rsidRPr="0081155F">
        <w:rPr>
          <w:rStyle w:val="Hyperlink1"/>
        </w:rPr>
        <w:fldChar w:fldCharType="end"/>
      </w:r>
      <w:r w:rsidR="003B33D2" w:rsidRPr="00AA5CB5">
        <w:t xml:space="preserve">. </w:t>
      </w:r>
    </w:p>
    <w:p w14:paraId="7410BA5B" w14:textId="724CE8A2" w:rsidR="00871A34" w:rsidRPr="00AA5CB5" w:rsidRDefault="00925BFA" w:rsidP="001E60D6">
      <w:pPr>
        <w:pStyle w:val="BodyText1"/>
      </w:pPr>
      <w:r>
        <w:t>An emission factor</w:t>
      </w:r>
      <w:r w:rsidR="002510AA">
        <w:t>,</w:t>
      </w:r>
      <w:r>
        <w:t xml:space="preserve"> as</w:t>
      </w:r>
      <w:r w:rsidR="00565D80" w:rsidRPr="00AA5CB5">
        <w:t xml:space="preserve"> a</w:t>
      </w:r>
      <w:r w:rsidR="009526E4" w:rsidRPr="00AA5CB5">
        <w:t xml:space="preserve"> </w:t>
      </w:r>
      <w:r w:rsidR="001E60D6" w:rsidRPr="00AA5CB5">
        <w:t>CO</w:t>
      </w:r>
      <w:r w:rsidR="001E60D6" w:rsidRPr="00AA5CB5">
        <w:rPr>
          <w:vertAlign w:val="subscript"/>
        </w:rPr>
        <w:t>2</w:t>
      </w:r>
      <w:r w:rsidR="001E60D6" w:rsidRPr="00AA5CB5">
        <w:t>-e metric</w:t>
      </w:r>
      <w:r w:rsidR="002510AA">
        <w:t>,</w:t>
      </w:r>
      <w:r w:rsidR="001E60D6" w:rsidRPr="00AA5CB5">
        <w:t xml:space="preserve"> is created </w:t>
      </w:r>
      <w:r w:rsidR="00C80618" w:rsidRPr="00AA5CB5">
        <w:t xml:space="preserve">by </w:t>
      </w:r>
      <w:r w:rsidR="00D436F9" w:rsidRPr="00AA5CB5">
        <w:t>multiplying the</w:t>
      </w:r>
      <w:r w:rsidR="001E60D6" w:rsidRPr="00AA5CB5">
        <w:t xml:space="preserve"> mass</w:t>
      </w:r>
      <w:r w:rsidR="00D436F9" w:rsidRPr="00AA5CB5">
        <w:t xml:space="preserve"> of a </w:t>
      </w:r>
      <w:r w:rsidR="00C80618" w:rsidRPr="00AA5CB5">
        <w:t xml:space="preserve">GHG </w:t>
      </w:r>
      <w:r w:rsidR="00D436F9" w:rsidRPr="00AA5CB5">
        <w:t>by its GWP</w:t>
      </w:r>
      <w:r w:rsidR="001E60D6" w:rsidRPr="00AA5CB5">
        <w:t>. This CO</w:t>
      </w:r>
      <w:r w:rsidR="001E60D6" w:rsidRPr="00AA5CB5">
        <w:rPr>
          <w:vertAlign w:val="subscript"/>
        </w:rPr>
        <w:t>2</w:t>
      </w:r>
      <w:r w:rsidR="001E60D6" w:rsidRPr="00AA5CB5">
        <w:t xml:space="preserve">-e metric shows the </w:t>
      </w:r>
      <w:r w:rsidR="00D436F9" w:rsidRPr="00AA5CB5">
        <w:t>mass of carbon dioxide emissions that would produce the same warming effect over a 100-year period.</w:t>
      </w:r>
      <w:r w:rsidR="00871A34" w:rsidRPr="00AA5CB5">
        <w:t xml:space="preserve"> </w:t>
      </w:r>
      <w:r w:rsidR="3C4B54FF" w:rsidRPr="00AA5CB5">
        <w:t>This method allows for comparison of GHGs on an equivalent basis</w:t>
      </w:r>
      <w:r w:rsidR="00753931">
        <w:t>,</w:t>
      </w:r>
      <w:r w:rsidR="3C4B54FF" w:rsidRPr="00AA5CB5">
        <w:t xml:space="preserve"> which is otherwise not possible due to differences in radiative forcing and atmospheric residence time </w:t>
      </w:r>
      <w:r w:rsidR="0054071A">
        <w:t xml:space="preserve">for </w:t>
      </w:r>
      <w:r w:rsidR="3C4B54FF" w:rsidRPr="00AA5CB5">
        <w:t xml:space="preserve">the seven GHG emissions. </w:t>
      </w:r>
      <w:r w:rsidR="3BAF6C0C" w:rsidRPr="00AA5CB5">
        <w:t xml:space="preserve">GWPs </w:t>
      </w:r>
      <w:r w:rsidR="6F614393" w:rsidRPr="00AA5CB5">
        <w:t xml:space="preserve">used in these calculations </w:t>
      </w:r>
      <w:r w:rsidR="3BAF6C0C" w:rsidRPr="00AA5CB5">
        <w:t>align</w:t>
      </w:r>
      <w:r w:rsidR="000A22A0">
        <w:t xml:space="preserve"> </w:t>
      </w:r>
      <w:r w:rsidR="3BAF6C0C" w:rsidRPr="00AA5CB5" w:rsidDel="000A22A0">
        <w:t>w</w:t>
      </w:r>
      <w:r w:rsidR="3BAF6C0C" w:rsidRPr="00AA5CB5">
        <w:t xml:space="preserve">ith the Paris Agreement as per </w:t>
      </w:r>
      <w:r w:rsidR="00D936DD">
        <w:t xml:space="preserve">the </w:t>
      </w:r>
      <w:r w:rsidR="3BAF6C0C" w:rsidRPr="00AA5CB5">
        <w:t>IPCC 5th Assessment Report</w:t>
      </w:r>
      <w:r w:rsidR="1D14C966" w:rsidRPr="00AA5CB5">
        <w:t xml:space="preserve">. </w:t>
      </w:r>
    </w:p>
    <w:p w14:paraId="37E5F4B1" w14:textId="652F131D" w:rsidR="0055339F" w:rsidRPr="00AA5CB5" w:rsidRDefault="003B33D2" w:rsidP="003148AD">
      <w:pPr>
        <w:pStyle w:val="BodyText1"/>
      </w:pPr>
      <w:r>
        <w:t>Once these CO</w:t>
      </w:r>
      <w:r w:rsidRPr="003B33D2">
        <w:rPr>
          <w:vertAlign w:val="subscript"/>
        </w:rPr>
        <w:t>2</w:t>
      </w:r>
      <w:r>
        <w:t>-e emission factors are created</w:t>
      </w:r>
      <w:r w:rsidR="001D07A9">
        <w:t>,</w:t>
      </w:r>
      <w:r w:rsidR="36F9AE83" w:rsidRPr="00AA5CB5">
        <w:t xml:space="preserve"> </w:t>
      </w:r>
      <w:r w:rsidR="43CE199F" w:rsidRPr="00AA5CB5">
        <w:t>activity</w:t>
      </w:r>
      <w:r w:rsidR="0087585F" w:rsidRPr="00AA5CB5">
        <w:t xml:space="preserve"> data </w:t>
      </w:r>
      <w:r w:rsidR="5B58B4DF" w:rsidRPr="00AA5CB5">
        <w:t>is converted</w:t>
      </w:r>
      <w:r w:rsidR="0087585F" w:rsidRPr="00AA5CB5">
        <w:t xml:space="preserve"> into CO</w:t>
      </w:r>
      <w:r w:rsidR="0087585F" w:rsidRPr="00AA5CB5">
        <w:rPr>
          <w:vertAlign w:val="subscript"/>
        </w:rPr>
        <w:t>2</w:t>
      </w:r>
      <w:r w:rsidR="0087585F" w:rsidRPr="00AA5CB5">
        <w:t xml:space="preserve">-e by </w:t>
      </w:r>
      <w:r w:rsidR="00600B3F" w:rsidRPr="00AA5CB5">
        <w:t xml:space="preserve">multiplying the quantity of the activity </w:t>
      </w:r>
      <w:r w:rsidR="77C660C6" w:rsidRPr="00AA5CB5">
        <w:t>(e.g. GJ of natural gas)</w:t>
      </w:r>
      <w:r w:rsidR="00600B3F" w:rsidRPr="00AA5CB5">
        <w:t xml:space="preserve"> by the relevant source-specific emission factor</w:t>
      </w:r>
      <w:r w:rsidR="53B918B1" w:rsidRPr="00AA5CB5">
        <w:t xml:space="preserve">. </w:t>
      </w:r>
      <w:r w:rsidR="0055339F" w:rsidRPr="00AA5CB5">
        <w:t>When an emission factor is given as kg CO</w:t>
      </w:r>
      <w:r w:rsidR="0055339F" w:rsidRPr="00AA5CB5">
        <w:rPr>
          <w:vertAlign w:val="subscript"/>
        </w:rPr>
        <w:t>2</w:t>
      </w:r>
      <w:r w:rsidR="0055339F" w:rsidRPr="00AA5CB5">
        <w:t>-e /GJ but the activity data is not in GJ, then an energy content factor</w:t>
      </w:r>
      <w:r w:rsidR="00324972">
        <w:t>, or conversion factor,</w:t>
      </w:r>
      <w:r w:rsidR="0055339F" w:rsidRPr="00AA5CB5">
        <w:t xml:space="preserve"> is </w:t>
      </w:r>
      <w:r w:rsidR="00B14F20">
        <w:t xml:space="preserve">applied to </w:t>
      </w:r>
      <w:r w:rsidR="0055339F" w:rsidRPr="00AA5CB5">
        <w:t xml:space="preserve">the </w:t>
      </w:r>
      <w:r w:rsidR="00B14F20">
        <w:t>activity data</w:t>
      </w:r>
      <w:r w:rsidR="0055339F" w:rsidRPr="00AA5CB5">
        <w:t xml:space="preserve">. The energy content factor is the amount of energy contained in </w:t>
      </w:r>
      <w:r w:rsidR="001D07A9">
        <w:t xml:space="preserve">the </w:t>
      </w:r>
      <w:r w:rsidR="0055339F" w:rsidRPr="00AA5CB5">
        <w:t xml:space="preserve">fuel, measured in gross calorific value. Conversion factors are outlined </w:t>
      </w:r>
      <w:r w:rsidR="003C4117">
        <w:t>in</w:t>
      </w:r>
      <w:r w:rsidR="0055339F" w:rsidRPr="00AA5CB5">
        <w:t xml:space="preserve"> </w:t>
      </w:r>
      <w:r w:rsidR="002A5DFD" w:rsidRPr="00DB4DC6">
        <w:rPr>
          <w:rStyle w:val="Hyperlink1"/>
        </w:rPr>
        <w:fldChar w:fldCharType="begin"/>
      </w:r>
      <w:r w:rsidR="002A5DFD" w:rsidRPr="00DB4DC6">
        <w:rPr>
          <w:rStyle w:val="Hyperlink1"/>
        </w:rPr>
        <w:instrText xml:space="preserve"> REF _Ref201835180 \h </w:instrText>
      </w:r>
      <w:r w:rsidR="002A5DFD">
        <w:rPr>
          <w:rStyle w:val="Hyperlink1"/>
        </w:rPr>
        <w:instrText xml:space="preserve"> \* MERGEFORMAT</w:instrText>
      </w:r>
      <w:r w:rsidR="002A5DFD" w:rsidRPr="00193107">
        <w:rPr>
          <w:rStyle w:val="Hyperlink1"/>
        </w:rPr>
        <w:instrText xml:space="preserve"> </w:instrText>
      </w:r>
      <w:r w:rsidR="002A5DFD" w:rsidRPr="00DB4DC6">
        <w:rPr>
          <w:rStyle w:val="Hyperlink1"/>
        </w:rPr>
      </w:r>
      <w:r w:rsidR="002A5DFD" w:rsidRPr="00DB4DC6">
        <w:rPr>
          <w:rStyle w:val="Hyperlink1"/>
        </w:rPr>
        <w:fldChar w:fldCharType="separate"/>
      </w:r>
      <w:r w:rsidR="00422A37" w:rsidRPr="00422A37">
        <w:rPr>
          <w:rStyle w:val="Hyperlink1"/>
        </w:rPr>
        <w:t>Annex C: Emissions calculations</w:t>
      </w:r>
      <w:r w:rsidR="002A5DFD" w:rsidRPr="00DB4DC6">
        <w:rPr>
          <w:rStyle w:val="Hyperlink1"/>
        </w:rPr>
        <w:fldChar w:fldCharType="end"/>
      </w:r>
      <w:r w:rsidR="0055339F" w:rsidRPr="00AA5CB5">
        <w:t>.</w:t>
      </w:r>
    </w:p>
    <w:p w14:paraId="1C9B14D5" w14:textId="4C2CF9C6" w:rsidR="003148AD" w:rsidRPr="00AA5CB5" w:rsidRDefault="123F9BC2" w:rsidP="003148AD">
      <w:pPr>
        <w:pStyle w:val="BodyText1"/>
      </w:pPr>
      <w:r w:rsidRPr="00AA5CB5">
        <w:lastRenderedPageBreak/>
        <w:t>The emissions data in CO</w:t>
      </w:r>
      <w:r w:rsidRPr="00AA5CB5">
        <w:rPr>
          <w:vertAlign w:val="subscript"/>
        </w:rPr>
        <w:t>2</w:t>
      </w:r>
      <w:r w:rsidRPr="00AA5CB5">
        <w:t>-e is then populated into the</w:t>
      </w:r>
      <w:r w:rsidR="30B00A12" w:rsidRPr="00AA5CB5">
        <w:t xml:space="preserve"> Greenhouse Gas Emissions Inventory, as per </w:t>
      </w:r>
      <w:r w:rsidR="00412639" w:rsidRPr="00DB4DC6">
        <w:rPr>
          <w:rStyle w:val="Hyperlink1"/>
        </w:rPr>
        <w:fldChar w:fldCharType="begin"/>
      </w:r>
      <w:r w:rsidR="00412639" w:rsidRPr="00DB4DC6">
        <w:rPr>
          <w:rStyle w:val="Hyperlink1"/>
        </w:rPr>
        <w:instrText xml:space="preserve"> REF _Ref201762262 \h </w:instrText>
      </w:r>
      <w:r w:rsidR="00DB4DC6">
        <w:rPr>
          <w:rStyle w:val="Hyperlink1"/>
        </w:rPr>
        <w:instrText xml:space="preserve"> \* MERGEFORMAT </w:instrText>
      </w:r>
      <w:r w:rsidR="00412639" w:rsidRPr="00DB4DC6">
        <w:rPr>
          <w:rStyle w:val="Hyperlink1"/>
        </w:rPr>
      </w:r>
      <w:r w:rsidR="00412639" w:rsidRPr="00DB4DC6">
        <w:rPr>
          <w:rStyle w:val="Hyperlink1"/>
        </w:rPr>
        <w:fldChar w:fldCharType="separate"/>
      </w:r>
      <w:r w:rsidR="00422A37" w:rsidRPr="00422A37">
        <w:rPr>
          <w:rStyle w:val="Hyperlink1"/>
        </w:rPr>
        <w:t>Annual report requirements 2024-25</w:t>
      </w:r>
      <w:r w:rsidR="00412639" w:rsidRPr="00DB4DC6">
        <w:rPr>
          <w:rStyle w:val="Hyperlink1"/>
        </w:rPr>
        <w:fldChar w:fldCharType="end"/>
      </w:r>
      <w:r w:rsidR="00DB4DC6">
        <w:t xml:space="preserve"> </w:t>
      </w:r>
      <w:r w:rsidR="30B00A12" w:rsidRPr="00AA5CB5">
        <w:t xml:space="preserve">with emissions data in </w:t>
      </w:r>
      <w:r w:rsidR="00111959">
        <w:t>t</w:t>
      </w:r>
      <w:r w:rsidR="30B00A12" w:rsidRPr="00AA5CB5">
        <w:t xml:space="preserve"> CO</w:t>
      </w:r>
      <w:r w:rsidR="30B00A12" w:rsidRPr="00AA5CB5">
        <w:rPr>
          <w:vertAlign w:val="subscript"/>
        </w:rPr>
        <w:t>2</w:t>
      </w:r>
      <w:r w:rsidR="30B00A12" w:rsidRPr="00AA5CB5">
        <w:t>-e.</w:t>
      </w:r>
      <w:r w:rsidRPr="00AA5CB5">
        <w:t xml:space="preserve"> </w:t>
      </w:r>
      <w:bookmarkStart w:id="96" w:name="_Toc197426934"/>
      <w:bookmarkStart w:id="97" w:name="_Toc197438599"/>
      <w:bookmarkStart w:id="98" w:name="_Ref198134046"/>
      <w:bookmarkStart w:id="99" w:name="_Ref194990489"/>
      <w:bookmarkStart w:id="100" w:name="_Toc197426958"/>
      <w:bookmarkStart w:id="101" w:name="_Toc197438623"/>
    </w:p>
    <w:p w14:paraId="668114D4" w14:textId="6BF538CF" w:rsidR="00BC241C" w:rsidRPr="00AA5CB5" w:rsidRDefault="006E2A04" w:rsidP="003148AD">
      <w:pPr>
        <w:pStyle w:val="BodyText1"/>
      </w:pPr>
      <w:r w:rsidRPr="00AA5CB5">
        <w:t>Finalised ERTs are stored on the Department of Finance SharePoint, which is on a Protected network. Where an agency has identified sensitivities with their ERT content, accessibility of the content is subject to additional security controls and considerations.</w:t>
      </w:r>
      <w:bookmarkStart w:id="102" w:name="_Ref198741113"/>
      <w:bookmarkEnd w:id="96"/>
      <w:bookmarkEnd w:id="97"/>
      <w:bookmarkEnd w:id="98"/>
      <w:bookmarkEnd w:id="99"/>
      <w:bookmarkEnd w:id="100"/>
      <w:bookmarkEnd w:id="101"/>
      <w:r w:rsidR="00BC241C" w:rsidRPr="00AA5CB5">
        <w:br w:type="page"/>
      </w:r>
    </w:p>
    <w:p w14:paraId="71237A9A" w14:textId="6BEF34E1" w:rsidR="00616363" w:rsidRPr="00AA5CB5" w:rsidRDefault="007D3B20" w:rsidP="00356C20">
      <w:pPr>
        <w:pStyle w:val="Heading1"/>
      </w:pPr>
      <w:bookmarkStart w:id="103" w:name="_Ref201762262"/>
      <w:bookmarkStart w:id="104" w:name="_Toc201927353"/>
      <w:r w:rsidRPr="00AA5CB5">
        <w:lastRenderedPageBreak/>
        <w:t xml:space="preserve">Annual </w:t>
      </w:r>
      <w:bookmarkEnd w:id="102"/>
      <w:r w:rsidR="006E7D3C">
        <w:t>r</w:t>
      </w:r>
      <w:r w:rsidRPr="00AA5CB5">
        <w:t xml:space="preserve">eport </w:t>
      </w:r>
      <w:r w:rsidR="00D142F4">
        <w:t>r</w:t>
      </w:r>
      <w:r w:rsidRPr="00AA5CB5">
        <w:t xml:space="preserve">equirements </w:t>
      </w:r>
      <w:r w:rsidR="008515B1">
        <w:t>2024-25</w:t>
      </w:r>
      <w:bookmarkEnd w:id="103"/>
      <w:bookmarkEnd w:id="104"/>
    </w:p>
    <w:p w14:paraId="4B0746B6" w14:textId="354F5C24" w:rsidR="000848FE" w:rsidRDefault="000848FE" w:rsidP="00F05754">
      <w:pPr>
        <w:pStyle w:val="BodyText1"/>
      </w:pPr>
      <w:bookmarkStart w:id="105" w:name="_Toc197426949"/>
      <w:bookmarkStart w:id="106" w:name="_Toc197438614"/>
      <w:r w:rsidRPr="007119BC">
        <w:t xml:space="preserve">This </w:t>
      </w:r>
      <w:r>
        <w:t>section provides</w:t>
      </w:r>
      <w:r w:rsidR="006F358C">
        <w:t xml:space="preserve"> a </w:t>
      </w:r>
      <w:r w:rsidR="00345681" w:rsidRPr="00345681">
        <w:rPr>
          <w:rStyle w:val="Hyperlink1"/>
        </w:rPr>
        <w:fldChar w:fldCharType="begin"/>
      </w:r>
      <w:r w:rsidR="00345681" w:rsidRPr="00345681">
        <w:rPr>
          <w:rStyle w:val="Hyperlink1"/>
        </w:rPr>
        <w:instrText xml:space="preserve"> REF _Ref201836369 \h </w:instrText>
      </w:r>
      <w:r w:rsidR="00345681">
        <w:rPr>
          <w:rStyle w:val="Hyperlink1"/>
        </w:rPr>
        <w:instrText xml:space="preserve"> \* MERGEFORMAT </w:instrText>
      </w:r>
      <w:r w:rsidR="00345681" w:rsidRPr="00345681">
        <w:rPr>
          <w:rStyle w:val="Hyperlink1"/>
        </w:rPr>
      </w:r>
      <w:r w:rsidR="00345681" w:rsidRPr="00345681">
        <w:rPr>
          <w:rStyle w:val="Hyperlink1"/>
        </w:rPr>
        <w:fldChar w:fldCharType="separate"/>
      </w:r>
      <w:r w:rsidR="00422A37" w:rsidRPr="00422A37">
        <w:rPr>
          <w:rStyle w:val="Hyperlink1"/>
        </w:rPr>
        <w:t>Climate Statement Template for 2024-25 Reporting Period</w:t>
      </w:r>
      <w:r w:rsidR="00345681" w:rsidRPr="00345681">
        <w:rPr>
          <w:rStyle w:val="Hyperlink1"/>
        </w:rPr>
        <w:fldChar w:fldCharType="end"/>
      </w:r>
      <w:r>
        <w:t xml:space="preserve"> for inclusion in a Commonwealth entity’s or Commonwealth company’s FY2024-25 annual report. </w:t>
      </w:r>
      <w:r w:rsidRPr="006D4888">
        <w:t xml:space="preserve">This </w:t>
      </w:r>
      <w:r>
        <w:t>template</w:t>
      </w:r>
      <w:r w:rsidRPr="006D4888">
        <w:t xml:space="preserve"> has been prepared </w:t>
      </w:r>
      <w:r>
        <w:t xml:space="preserve">to </w:t>
      </w:r>
      <w:r w:rsidRPr="006D4888">
        <w:t xml:space="preserve">support </w:t>
      </w:r>
      <w:r w:rsidR="006E7D3C">
        <w:t xml:space="preserve">Commonwealth </w:t>
      </w:r>
      <w:r w:rsidRPr="006D4888">
        <w:t>entities</w:t>
      </w:r>
      <w:r>
        <w:t xml:space="preserve"> and </w:t>
      </w:r>
      <w:r w:rsidR="00C73291">
        <w:t xml:space="preserve">Commonwealth </w:t>
      </w:r>
      <w:r>
        <w:t>companies to meet</w:t>
      </w:r>
      <w:r w:rsidRPr="006D4888">
        <w:t xml:space="preserve"> </w:t>
      </w:r>
      <w:r>
        <w:t>emissions reporting requirements under the</w:t>
      </w:r>
      <w:hyperlink r:id="rId44" w:history="1">
        <w:r w:rsidRPr="003B60EF">
          <w:rPr>
            <w:rStyle w:val="Hyperlink"/>
            <w:rFonts w:cstheme="minorHAnsi"/>
          </w:rPr>
          <w:t xml:space="preserve"> Framework</w:t>
        </w:r>
      </w:hyperlink>
      <w:r w:rsidRPr="006D4888">
        <w:t xml:space="preserve">. </w:t>
      </w:r>
    </w:p>
    <w:p w14:paraId="049F8078" w14:textId="0894C259" w:rsidR="000848FE" w:rsidRDefault="000848FE" w:rsidP="00F05754">
      <w:pPr>
        <w:pStyle w:val="BodyText1"/>
      </w:pPr>
      <w:r>
        <w:t>Th</w:t>
      </w:r>
      <w:r w:rsidR="00A9639D">
        <w:t>e</w:t>
      </w:r>
      <w:r>
        <w:t xml:space="preserve"> emissions reporting template should be considered in conjunction with reporting requirements under the </w:t>
      </w:r>
      <w:hyperlink r:id="rId45" w:history="1">
        <w:r w:rsidRPr="000848FE">
          <w:rPr>
            <w:rStyle w:val="Hyperlink1"/>
          </w:rPr>
          <w:t>Net Zero in Government Operations Strategy</w:t>
        </w:r>
      </w:hyperlink>
      <w:r w:rsidRPr="005F0478">
        <w:t xml:space="preserve">, </w:t>
      </w:r>
      <w:hyperlink r:id="rId46" w:history="1">
        <w:r w:rsidRPr="000848FE">
          <w:rPr>
            <w:rStyle w:val="Hyperlink1"/>
          </w:rPr>
          <w:t>Commonwealth Climate Disclosure</w:t>
        </w:r>
      </w:hyperlink>
      <w:r>
        <w:t xml:space="preserve"> (CCD) and the relevant resource management guide (RMG), </w:t>
      </w:r>
      <w:hyperlink r:id="rId47" w:history="1">
        <w:r w:rsidRPr="000848FE">
          <w:rPr>
            <w:rStyle w:val="Hyperlink1"/>
          </w:rPr>
          <w:t>135</w:t>
        </w:r>
      </w:hyperlink>
      <w:r>
        <w:t xml:space="preserve"> </w:t>
      </w:r>
      <w:r w:rsidRPr="000070B5">
        <w:t>(</w:t>
      </w:r>
      <w:r w:rsidR="00047F0C">
        <w:t>A</w:t>
      </w:r>
      <w:r w:rsidRPr="000070B5">
        <w:t>nnual reports for non-corporate Commonwealth entities), </w:t>
      </w:r>
      <w:hyperlink r:id="rId48" w:history="1">
        <w:r w:rsidRPr="006F358C">
          <w:rPr>
            <w:rStyle w:val="Hyperlink1"/>
          </w:rPr>
          <w:t>136</w:t>
        </w:r>
      </w:hyperlink>
      <w:r w:rsidRPr="000070B5">
        <w:t> (</w:t>
      </w:r>
      <w:r w:rsidR="00D721B1">
        <w:t>A</w:t>
      </w:r>
      <w:r w:rsidRPr="000070B5">
        <w:t xml:space="preserve">nnual reports for corporate Commonwealth entities) </w:t>
      </w:r>
      <w:r>
        <w:t>or</w:t>
      </w:r>
      <w:r w:rsidRPr="000070B5">
        <w:t> </w:t>
      </w:r>
      <w:hyperlink r:id="rId49" w:history="1">
        <w:r w:rsidRPr="006F358C">
          <w:rPr>
            <w:rStyle w:val="Hyperlink1"/>
          </w:rPr>
          <w:t>137</w:t>
        </w:r>
      </w:hyperlink>
      <w:r w:rsidRPr="006F358C">
        <w:rPr>
          <w:rStyle w:val="Hyperlink1"/>
        </w:rPr>
        <w:t> </w:t>
      </w:r>
      <w:r w:rsidRPr="000070B5">
        <w:t>(</w:t>
      </w:r>
      <w:r w:rsidR="00D721B1">
        <w:t>A</w:t>
      </w:r>
      <w:r w:rsidRPr="000070B5">
        <w:t>nnual reports for Commonwealth companies)</w:t>
      </w:r>
      <w:r>
        <w:t>.</w:t>
      </w:r>
    </w:p>
    <w:p w14:paraId="527F3B86" w14:textId="4DF073FF" w:rsidR="000848FE" w:rsidRDefault="000848FE" w:rsidP="00F05754">
      <w:pPr>
        <w:pStyle w:val="BodyText1"/>
        <w:rPr>
          <w:rFonts w:cstheme="minorHAnsi"/>
        </w:rPr>
      </w:pPr>
      <w:r>
        <w:rPr>
          <w:rFonts w:cstheme="minorHAnsi"/>
        </w:rPr>
        <w:t xml:space="preserve">Emissions inventories should be </w:t>
      </w:r>
      <w:r w:rsidRPr="00200BB4">
        <w:rPr>
          <w:rFonts w:cstheme="minorHAnsi"/>
        </w:rPr>
        <w:t>included in a suitable appendix of an entit</w:t>
      </w:r>
      <w:r>
        <w:rPr>
          <w:rFonts w:cstheme="minorHAnsi"/>
        </w:rPr>
        <w:t>y’s or company’s</w:t>
      </w:r>
      <w:r w:rsidRPr="00200BB4">
        <w:rPr>
          <w:rFonts w:cstheme="minorHAnsi"/>
        </w:rPr>
        <w:t xml:space="preserve"> annual report</w:t>
      </w:r>
      <w:r w:rsidR="003F7A0B">
        <w:rPr>
          <w:rFonts w:cstheme="minorHAnsi"/>
        </w:rPr>
        <w:t>,</w:t>
      </w:r>
      <w:r w:rsidRPr="00200BB4">
        <w:rPr>
          <w:rFonts w:cstheme="minorHAnsi"/>
        </w:rPr>
        <w:t xml:space="preserve"> such as a sustainability report, climate statement or climate disclosure</w:t>
      </w:r>
      <w:r>
        <w:rPr>
          <w:rFonts w:cstheme="minorHAnsi"/>
        </w:rPr>
        <w:t>.</w:t>
      </w:r>
    </w:p>
    <w:p w14:paraId="761B763E" w14:textId="5BE46957" w:rsidR="000848FE" w:rsidRDefault="000848FE" w:rsidP="00F05754">
      <w:pPr>
        <w:pStyle w:val="BodyText1"/>
        <w:rPr>
          <w:rFonts w:cstheme="minorHAnsi"/>
        </w:rPr>
      </w:pPr>
      <w:r>
        <w:rPr>
          <w:rFonts w:cstheme="minorHAnsi"/>
        </w:rPr>
        <w:t xml:space="preserve">The following </w:t>
      </w:r>
      <w:r w:rsidR="00345681" w:rsidRPr="003D0EEB">
        <w:rPr>
          <w:rStyle w:val="Hyperlink1"/>
        </w:rPr>
        <w:fldChar w:fldCharType="begin"/>
      </w:r>
      <w:r w:rsidR="00345681" w:rsidRPr="003D0EEB">
        <w:rPr>
          <w:rStyle w:val="Hyperlink1"/>
        </w:rPr>
        <w:instrText xml:space="preserve"> REF _Ref201836400 \h </w:instrText>
      </w:r>
      <w:r w:rsidR="00345681">
        <w:rPr>
          <w:rStyle w:val="Hyperlink1"/>
        </w:rPr>
        <w:instrText xml:space="preserve"> \* MERGEFORMAT </w:instrText>
      </w:r>
      <w:r w:rsidR="00345681" w:rsidRPr="003D0EEB">
        <w:rPr>
          <w:rStyle w:val="Hyperlink1"/>
        </w:rPr>
      </w:r>
      <w:r w:rsidR="00345681" w:rsidRPr="003D0EEB">
        <w:rPr>
          <w:rStyle w:val="Hyperlink1"/>
        </w:rPr>
        <w:fldChar w:fldCharType="separate"/>
      </w:r>
      <w:r w:rsidR="00422A37" w:rsidRPr="00422A37">
        <w:rPr>
          <w:rStyle w:val="Hyperlink1"/>
        </w:rPr>
        <w:t>Climate Statement Template for 2024-25 Reporting Period</w:t>
      </w:r>
      <w:r w:rsidR="00345681" w:rsidRPr="003D0EEB">
        <w:rPr>
          <w:rStyle w:val="Hyperlink1"/>
        </w:rPr>
        <w:fldChar w:fldCharType="end"/>
      </w:r>
      <w:r w:rsidR="00345681">
        <w:rPr>
          <w:rFonts w:cstheme="minorHAnsi"/>
        </w:rPr>
        <w:t xml:space="preserve"> </w:t>
      </w:r>
      <w:r>
        <w:rPr>
          <w:rFonts w:cstheme="minorHAnsi"/>
        </w:rPr>
        <w:t xml:space="preserve">meets minimum emissions reporting requirements including requirements under CCD Criteria M1(b), M3(a), M3(b), M3(e) and contributes to </w:t>
      </w:r>
      <w:r w:rsidRPr="00922F0E">
        <w:rPr>
          <w:rFonts w:cstheme="minorHAnsi"/>
        </w:rPr>
        <w:t>M6(c)</w:t>
      </w:r>
      <w:r w:rsidR="008D4B65">
        <w:rPr>
          <w:rFonts w:cstheme="minorHAnsi"/>
        </w:rPr>
        <w:t xml:space="preserve"> R</w:t>
      </w:r>
      <w:r w:rsidR="009774F2">
        <w:rPr>
          <w:rFonts w:cstheme="minorHAnsi"/>
        </w:rPr>
        <w:t>efer to</w:t>
      </w:r>
      <w:r w:rsidR="007551C1">
        <w:rPr>
          <w:rFonts w:cstheme="minorHAnsi"/>
        </w:rPr>
        <w:t xml:space="preserve"> </w:t>
      </w:r>
      <w:r>
        <w:rPr>
          <w:rFonts w:cstheme="minorHAnsi"/>
        </w:rPr>
        <w:t xml:space="preserve">Metrics and Targets under CCD </w:t>
      </w:r>
      <w:hyperlink r:id="rId50" w:history="1">
        <w:r w:rsidRPr="000848FE">
          <w:rPr>
            <w:rStyle w:val="Hyperlink1"/>
          </w:rPr>
          <w:t>Application Guidance</w:t>
        </w:r>
      </w:hyperlink>
      <w:r>
        <w:rPr>
          <w:rFonts w:cstheme="minorHAnsi"/>
        </w:rPr>
        <w:t xml:space="preserve">.   </w:t>
      </w:r>
    </w:p>
    <w:p w14:paraId="1AA5593F" w14:textId="358D773B" w:rsidR="00F05754" w:rsidRDefault="00F05754" w:rsidP="008515B1">
      <w:pPr>
        <w:pStyle w:val="BodyText1"/>
      </w:pPr>
      <w:r w:rsidRPr="00FA369B">
        <w:t>Commonwealth entities and Commonwealth companies are encouraged to disclose more detail than outlined in th</w:t>
      </w:r>
      <w:r w:rsidR="00B20573">
        <w:t>e</w:t>
      </w:r>
      <w:r w:rsidRPr="00FA369B">
        <w:t xml:space="preserve"> emissions reporting template, including any additional information or caveats that may enable annual report users to understand an entity’s or company’s emissions. Any additional emission sources outside of the Framework will need to be documented and reported </w:t>
      </w:r>
      <w:r w:rsidR="0097360E">
        <w:t>separately to</w:t>
      </w:r>
      <w:r w:rsidRPr="00FA369B">
        <w:t xml:space="preserve"> the emissions inventory template</w:t>
      </w:r>
      <w:r w:rsidR="0097360E">
        <w:t>,</w:t>
      </w:r>
      <w:r w:rsidRPr="00FA369B">
        <w:t xml:space="preserve"> but in the same section of the annual report.</w:t>
      </w:r>
    </w:p>
    <w:p w14:paraId="7C274022" w14:textId="73BE2E34" w:rsidR="003B2D6A" w:rsidRDefault="008515B1" w:rsidP="00F05754">
      <w:pPr>
        <w:pStyle w:val="BodyText1"/>
      </w:pPr>
      <w:r w:rsidRPr="00AA5CB5">
        <w:t xml:space="preserve">Emissions inventories are required to be presented in a standardised format, </w:t>
      </w:r>
      <w:r w:rsidR="0097360E">
        <w:t xml:space="preserve">which </w:t>
      </w:r>
      <w:r w:rsidRPr="00AA5CB5">
        <w:t>includ</w:t>
      </w:r>
      <w:r w:rsidR="0097360E">
        <w:t>es</w:t>
      </w:r>
      <w:r w:rsidRPr="00AA5CB5">
        <w:t xml:space="preserve"> tables, graphs, and narrative summaries. This format ensures clarity and facilitates the comparison of emissions data across different reporting agencies. </w:t>
      </w:r>
      <w:r w:rsidR="2FF67657" w:rsidRPr="4746534C">
        <w:t>Commonwealth entities and Commonwealth companies should include in their Annual Reports the following:</w:t>
      </w:r>
    </w:p>
    <w:p w14:paraId="08D44B5F" w14:textId="3B8B6573" w:rsidR="003B2D6A" w:rsidRDefault="006C0BD3" w:rsidP="009A3F86">
      <w:pPr>
        <w:pStyle w:val="Bodybullet1"/>
      </w:pPr>
      <w:r>
        <w:t>A</w:t>
      </w:r>
      <w:r w:rsidR="003B2D6A" w:rsidRPr="007974CC">
        <w:t>n Emissions Reporting section or Climate-related Metrics section</w:t>
      </w:r>
      <w:r w:rsidR="00A4198D">
        <w:t>.</w:t>
      </w:r>
    </w:p>
    <w:p w14:paraId="535C2818" w14:textId="6DBFB169" w:rsidR="003B2D6A" w:rsidRDefault="006C0BD3" w:rsidP="009A3F86">
      <w:pPr>
        <w:pStyle w:val="Bodybullet1"/>
      </w:pPr>
      <w:r>
        <w:t>T</w:t>
      </w:r>
      <w:r w:rsidR="003B2D6A" w:rsidRPr="007974CC">
        <w:t>he 2024-25 Greenhouse Gas Emissions Inventory – Location-based method table</w:t>
      </w:r>
      <w:r w:rsidR="00444504">
        <w:t xml:space="preserve"> which includes: </w:t>
      </w:r>
    </w:p>
    <w:p w14:paraId="000215AA" w14:textId="7132DBD9" w:rsidR="003B2D6A" w:rsidRPr="00AC5943" w:rsidRDefault="003B2D6A" w:rsidP="00191E85">
      <w:pPr>
        <w:pStyle w:val="Bullet2ndlevel"/>
      </w:pPr>
      <w:r w:rsidRPr="00AA5CB5">
        <w:t>gross GHGs emissions generated during the reporting year, expressed as metric tonnes of CO</w:t>
      </w:r>
      <w:r w:rsidRPr="00AA5CB5">
        <w:rPr>
          <w:vertAlign w:val="subscript"/>
        </w:rPr>
        <w:t>2</w:t>
      </w:r>
      <w:r w:rsidRPr="00AA5CB5">
        <w:t xml:space="preserve"> equivalent (</w:t>
      </w:r>
      <w:r>
        <w:t xml:space="preserve">t </w:t>
      </w:r>
      <w:r w:rsidRPr="00AA5CB5">
        <w:t>CO</w:t>
      </w:r>
      <w:r w:rsidRPr="00AA5CB5">
        <w:rPr>
          <w:vertAlign w:val="subscript"/>
        </w:rPr>
        <w:t>2</w:t>
      </w:r>
      <w:r w:rsidRPr="00AA5CB5">
        <w:t>-e)</w:t>
      </w:r>
      <w:r w:rsidR="003F498A">
        <w:t>. These are then</w:t>
      </w:r>
      <w:r w:rsidRPr="00AA5CB5">
        <w:t xml:space="preserve"> classified as</w:t>
      </w:r>
      <w:r w:rsidR="003F498A">
        <w:t xml:space="preserve"> </w:t>
      </w:r>
      <w:r w:rsidRPr="00AC5943">
        <w:t xml:space="preserve">scope 1 </w:t>
      </w:r>
      <w:r w:rsidR="00E90152">
        <w:t>GHG</w:t>
      </w:r>
      <w:r w:rsidRPr="00AC5943">
        <w:t xml:space="preserve"> emissions</w:t>
      </w:r>
      <w:r w:rsidR="003F498A">
        <w:t xml:space="preserve">, </w:t>
      </w:r>
      <w:r w:rsidRPr="00AC5943">
        <w:t xml:space="preserve">scope 2 </w:t>
      </w:r>
      <w:r w:rsidR="00E90152">
        <w:t>GHG</w:t>
      </w:r>
      <w:r w:rsidRPr="00AC5943">
        <w:t xml:space="preserve"> emissions</w:t>
      </w:r>
      <w:r>
        <w:t xml:space="preserve"> (location-based method)</w:t>
      </w:r>
      <w:r w:rsidR="003F498A">
        <w:t xml:space="preserve"> and </w:t>
      </w:r>
      <w:r w:rsidRPr="00AC5943">
        <w:t xml:space="preserve">scope 3 </w:t>
      </w:r>
      <w:r w:rsidR="00E90152">
        <w:t>GHG</w:t>
      </w:r>
      <w:r w:rsidRPr="00AC5943">
        <w:t xml:space="preserve"> emissions, for select scope 3 </w:t>
      </w:r>
      <w:r w:rsidR="00E90152">
        <w:t>GHG</w:t>
      </w:r>
      <w:r w:rsidRPr="00AC5943">
        <w:t xml:space="preserve"> emissions as per the </w:t>
      </w:r>
      <w:r w:rsidR="00DF55FB">
        <w:t>Framework</w:t>
      </w:r>
      <w:r w:rsidRPr="00AC5943">
        <w:t>.</w:t>
      </w:r>
    </w:p>
    <w:p w14:paraId="117AFD7C" w14:textId="37496EA2" w:rsidR="003B2D6A" w:rsidRPr="00AF454C" w:rsidRDefault="003B2D6A" w:rsidP="009A3F86">
      <w:pPr>
        <w:pStyle w:val="Bodybullet1"/>
      </w:pPr>
      <w:r w:rsidRPr="007974CC">
        <w:t>The Electricity Greenhouse Gas Emissions table</w:t>
      </w:r>
      <w:r w:rsidR="00444504">
        <w:t xml:space="preserve"> </w:t>
      </w:r>
      <w:r w:rsidR="00063A3B">
        <w:t xml:space="preserve">outlining: </w:t>
      </w:r>
    </w:p>
    <w:p w14:paraId="78025C32" w14:textId="7263DCC2" w:rsidR="00063A3B" w:rsidRDefault="00444504" w:rsidP="009A3F86">
      <w:pPr>
        <w:pStyle w:val="Bullet2ndlevel"/>
      </w:pPr>
      <w:r>
        <w:t>M</w:t>
      </w:r>
      <w:r w:rsidR="008515B1" w:rsidRPr="00AA5CB5">
        <w:t xml:space="preserve">arket-based scope 2 and scope 3 </w:t>
      </w:r>
      <w:r w:rsidR="00E90152">
        <w:t>GHG</w:t>
      </w:r>
      <w:r w:rsidR="008515B1" w:rsidRPr="00AA5CB5">
        <w:t xml:space="preserve"> emissions for electricity-related </w:t>
      </w:r>
      <w:r w:rsidR="00E90152">
        <w:t>GHG</w:t>
      </w:r>
      <w:r w:rsidR="008C1F17">
        <w:t xml:space="preserve"> </w:t>
      </w:r>
      <w:r w:rsidR="008515B1" w:rsidRPr="00AA5CB5">
        <w:t>emissions</w:t>
      </w:r>
      <w:r w:rsidR="00063A3B">
        <w:t>, including w</w:t>
      </w:r>
      <w:r w:rsidR="00063A3B" w:rsidRPr="00AA5CB5">
        <w:t>here relevant, information about any contractual instruments necessary to inform users’ understanding of its scope 2 and scope 3 electricity-related GHG emissions.</w:t>
      </w:r>
    </w:p>
    <w:p w14:paraId="325BC58F" w14:textId="77777777" w:rsidR="00F05754" w:rsidRPr="00FA369B" w:rsidRDefault="00F05754" w:rsidP="00F05754">
      <w:pPr>
        <w:pStyle w:val="BodyText1"/>
        <w:rPr>
          <w:lang w:eastAsia="en-AU"/>
        </w:rPr>
      </w:pPr>
      <w:r w:rsidRPr="00FA369B">
        <w:rPr>
          <w:lang w:eastAsia="en-AU"/>
        </w:rPr>
        <w:lastRenderedPageBreak/>
        <w:t>If the emissions of a Commonwealth entity or Commonwealth company are encompassed in the emissions inventory of another Commonwealth entity or Commonwealth company, both entities or companies should specify in their annual reports that the emissions are aggregated and identify which emission sources are aggregated.</w:t>
      </w:r>
    </w:p>
    <w:p w14:paraId="12758317" w14:textId="7755275C" w:rsidR="00AC5943" w:rsidRDefault="00AC5943" w:rsidP="00F05754">
      <w:pPr>
        <w:pStyle w:val="BodyText1"/>
        <w:rPr>
          <w:rFonts w:eastAsia="Times New Roman" w:cstheme="minorHAnsi"/>
          <w:lang w:eastAsia="en-AU"/>
        </w:rPr>
      </w:pPr>
      <w:r w:rsidRPr="00FA369B">
        <w:rPr>
          <w:rFonts w:eastAsia="Times New Roman" w:cstheme="minorHAnsi"/>
          <w:lang w:eastAsia="en-AU"/>
        </w:rPr>
        <w:t xml:space="preserve">If a reporting agency deviates from the </w:t>
      </w:r>
      <w:hyperlink r:id="rId51" w:history="1">
        <w:r w:rsidRPr="00FA369B">
          <w:rPr>
            <w:rStyle w:val="Hyperlink"/>
            <w:rFonts w:eastAsia="Times New Roman" w:cstheme="minorHAnsi"/>
            <w:color w:val="auto"/>
            <w:lang w:eastAsia="en-AU"/>
          </w:rPr>
          <w:t>Emission Reporting Framework</w:t>
        </w:r>
      </w:hyperlink>
      <w:r w:rsidRPr="00FA369B">
        <w:rPr>
          <w:rFonts w:eastAsia="Times New Roman" w:cstheme="minorHAnsi"/>
          <w:lang w:eastAsia="en-AU"/>
        </w:rPr>
        <w:t>, this must be clearly stated within the Emissions Reporting or Climate-related Metrics section. Examples could include your entity disclosing more scope 3 emissions sources than required or aggregating some emissions sources for national security reasons.</w:t>
      </w:r>
    </w:p>
    <w:p w14:paraId="60CA9473" w14:textId="56ADEEE5" w:rsidR="00F05754" w:rsidRDefault="00F05754">
      <w:pPr>
        <w:spacing w:before="0" w:after="160" w:line="259" w:lineRule="auto"/>
        <w:rPr>
          <w:rFonts w:asciiTheme="minorHAnsi" w:eastAsia="Times New Roman" w:hAnsiTheme="minorHAnsi" w:cstheme="minorHAnsi"/>
          <w:sz w:val="22"/>
          <w:lang w:eastAsia="en-AU"/>
        </w:rPr>
      </w:pPr>
      <w:r>
        <w:rPr>
          <w:rFonts w:eastAsia="Times New Roman" w:cstheme="minorHAnsi"/>
          <w:lang w:eastAsia="en-AU"/>
        </w:rPr>
        <w:br w:type="page"/>
      </w:r>
    </w:p>
    <w:p w14:paraId="40BA4914" w14:textId="7B4BD757" w:rsidR="00AF454C" w:rsidRDefault="00D90D14" w:rsidP="00AF454C">
      <w:pPr>
        <w:pStyle w:val="Heading2"/>
      </w:pPr>
      <w:bookmarkStart w:id="107" w:name="_Ref201836369"/>
      <w:bookmarkStart w:id="108" w:name="_Ref201836400"/>
      <w:bookmarkStart w:id="109" w:name="_Toc201927354"/>
      <w:r>
        <w:lastRenderedPageBreak/>
        <w:t xml:space="preserve">Climate Statement Template </w:t>
      </w:r>
      <w:r w:rsidR="006F358C">
        <w:t xml:space="preserve">for </w:t>
      </w:r>
      <w:r w:rsidR="00F05754">
        <w:t>2024-25 Reporting Period</w:t>
      </w:r>
      <w:bookmarkEnd w:id="107"/>
      <w:bookmarkEnd w:id="108"/>
      <w:bookmarkEnd w:id="109"/>
      <w:r w:rsidR="00F05754">
        <w:t xml:space="preserve"> </w:t>
      </w:r>
    </w:p>
    <w:p w14:paraId="0B3B347A" w14:textId="2605ECCA" w:rsidR="004C085D" w:rsidRPr="00E9312F" w:rsidRDefault="004C085D" w:rsidP="00D90D14">
      <w:pPr>
        <w:pStyle w:val="Heading3"/>
      </w:pPr>
      <w:r w:rsidRPr="00E9312F">
        <w:t xml:space="preserve">Emissions </w:t>
      </w:r>
      <w:r w:rsidR="00062FDE">
        <w:t>r</w:t>
      </w:r>
      <w:r w:rsidRPr="00E9312F">
        <w:t>eporting</w:t>
      </w:r>
      <w:r>
        <w:t>/</w:t>
      </w:r>
      <w:r w:rsidR="00062FDE">
        <w:t>c</w:t>
      </w:r>
      <w:r>
        <w:t xml:space="preserve">limate-related </w:t>
      </w:r>
      <w:r w:rsidR="00062FDE">
        <w:t>m</w:t>
      </w:r>
      <w:r>
        <w:t>etrics</w:t>
      </w:r>
    </w:p>
    <w:p w14:paraId="7958EE54" w14:textId="41D487DF" w:rsidR="004C085D" w:rsidRPr="009700F3" w:rsidRDefault="004C085D" w:rsidP="004656E6">
      <w:pPr>
        <w:pStyle w:val="BodyText1"/>
        <w:rPr>
          <w:rFonts w:eastAsia="Times New Roman" w:cstheme="minorHAnsi"/>
          <w:lang w:eastAsia="en-AU"/>
        </w:rPr>
      </w:pPr>
      <w:r w:rsidRPr="009700F3">
        <w:rPr>
          <w:rFonts w:eastAsia="Times New Roman" w:cstheme="minorHAnsi"/>
          <w:lang w:eastAsia="en-AU"/>
        </w:rPr>
        <w:t xml:space="preserve">As part of the </w:t>
      </w:r>
      <w:hyperlink r:id="rId52" w:history="1">
        <w:r w:rsidRPr="00E07841">
          <w:rPr>
            <w:rStyle w:val="Hyperlink1"/>
          </w:rPr>
          <w:t>Net Zero in Government Operations Strategy</w:t>
        </w:r>
      </w:hyperlink>
      <w:r>
        <w:t xml:space="preserve">, </w:t>
      </w:r>
      <w:r w:rsidRPr="000E43D6">
        <w:rPr>
          <w:rFonts w:eastAsia="Times New Roman" w:cstheme="minorHAnsi"/>
          <w:lang w:eastAsia="en-AU"/>
        </w:rPr>
        <w:t xml:space="preserve">and the reporting requirements under section 516A of the </w:t>
      </w:r>
      <w:hyperlink r:id="rId53" w:history="1">
        <w:r w:rsidRPr="00F05754">
          <w:rPr>
            <w:rStyle w:val="Hyperlink1"/>
            <w:i/>
            <w:iCs/>
          </w:rPr>
          <w:t>Environment Protection and Biodiversity Conservation Act 1999</w:t>
        </w:r>
      </w:hyperlink>
      <w:r w:rsidRPr="00F05754">
        <w:rPr>
          <w:rStyle w:val="Hyperlink1"/>
          <w:i/>
          <w:iCs/>
        </w:rPr>
        <w:t>,</w:t>
      </w:r>
      <w:r w:rsidRPr="009700F3">
        <w:rPr>
          <w:rFonts w:eastAsia="Times New Roman" w:cstheme="minorHAnsi"/>
          <w:lang w:eastAsia="en-AU"/>
        </w:rPr>
        <w:t xml:space="preserve"> non-corporate Commonwealth entities, corporate Commonwealth entities and Commonwealth companies are required to report on their operational greenhouse gas emissions.</w:t>
      </w:r>
      <w:r>
        <w:rPr>
          <w:rFonts w:eastAsia="Times New Roman" w:cstheme="minorHAnsi"/>
          <w:lang w:eastAsia="en-AU"/>
        </w:rPr>
        <w:t xml:space="preserve">  </w:t>
      </w:r>
    </w:p>
    <w:p w14:paraId="63BC0DB1" w14:textId="4AC3CF5B" w:rsidR="004C085D" w:rsidRPr="009700F3" w:rsidRDefault="004C085D" w:rsidP="004656E6">
      <w:pPr>
        <w:pStyle w:val="BodyText1"/>
        <w:rPr>
          <w:rFonts w:eastAsia="Times New Roman" w:cstheme="minorHAnsi"/>
          <w:lang w:eastAsia="en-AU"/>
        </w:rPr>
      </w:pPr>
      <w:r w:rsidRPr="009700F3">
        <w:rPr>
          <w:rFonts w:eastAsia="Times New Roman" w:cstheme="minorHAnsi"/>
          <w:lang w:eastAsia="en-AU"/>
        </w:rPr>
        <w:t xml:space="preserve">The Greenhouse Gas Emissions Inventory </w:t>
      </w:r>
      <w:r>
        <w:rPr>
          <w:rFonts w:eastAsia="Times New Roman" w:cstheme="minorHAnsi"/>
          <w:lang w:eastAsia="en-AU"/>
        </w:rPr>
        <w:t xml:space="preserve">and Electricity Greenhouse Gas Emissions tables </w:t>
      </w:r>
      <w:r w:rsidRPr="009700F3">
        <w:rPr>
          <w:rFonts w:eastAsia="Times New Roman" w:cstheme="minorHAnsi"/>
          <w:lang w:eastAsia="en-AU"/>
        </w:rPr>
        <w:t xml:space="preserve">present greenhouse gas emissions over the 2024–25 financial year. </w:t>
      </w:r>
      <w:r>
        <w:rPr>
          <w:rFonts w:eastAsia="Times New Roman" w:cstheme="minorHAnsi"/>
          <w:lang w:eastAsia="en-AU"/>
        </w:rPr>
        <w:t>The greenhouse gas emissions reported are calculated</w:t>
      </w:r>
      <w:r w:rsidRPr="009700F3">
        <w:rPr>
          <w:rFonts w:eastAsia="Times New Roman" w:cstheme="minorHAnsi"/>
          <w:lang w:eastAsia="en-AU"/>
        </w:rPr>
        <w:t xml:space="preserve"> on the basis of Carbon Dioxide Equivalent (CO</w:t>
      </w:r>
      <w:r w:rsidRPr="009700F3">
        <w:rPr>
          <w:rFonts w:eastAsia="Times New Roman" w:cstheme="minorHAnsi"/>
          <w:vertAlign w:val="subscript"/>
          <w:lang w:eastAsia="en-AU"/>
        </w:rPr>
        <w:t>2</w:t>
      </w:r>
      <w:r w:rsidRPr="009700F3">
        <w:rPr>
          <w:rFonts w:eastAsia="Times New Roman" w:cstheme="minorHAnsi"/>
          <w:lang w:eastAsia="en-AU"/>
        </w:rPr>
        <w:t>-e)</w:t>
      </w:r>
      <w:r>
        <w:rPr>
          <w:rFonts w:eastAsia="Times New Roman" w:cstheme="minorHAnsi"/>
          <w:lang w:eastAsia="en-AU"/>
        </w:rPr>
        <w:t xml:space="preserve"> and </w:t>
      </w:r>
      <w:r w:rsidRPr="009700F3">
        <w:rPr>
          <w:rFonts w:eastAsia="Times New Roman" w:cstheme="minorHAnsi"/>
          <w:lang w:eastAsia="en-AU"/>
        </w:rPr>
        <w:t xml:space="preserve">in line with the </w:t>
      </w:r>
      <w:hyperlink r:id="rId54" w:history="1">
        <w:r w:rsidRPr="009700F3">
          <w:rPr>
            <w:rStyle w:val="Hyperlink"/>
            <w:rFonts w:eastAsia="Times New Roman" w:cstheme="minorHAnsi"/>
            <w:lang w:eastAsia="en-AU"/>
          </w:rPr>
          <w:t>Emissions Reporting Framework</w:t>
        </w:r>
      </w:hyperlink>
      <w:r>
        <w:rPr>
          <w:rFonts w:eastAsia="Times New Roman" w:cstheme="minorHAnsi"/>
          <w:lang w:eastAsia="en-AU"/>
        </w:rPr>
        <w:t>. This is</w:t>
      </w:r>
      <w:r w:rsidRPr="009700F3">
        <w:rPr>
          <w:rFonts w:eastAsia="Times New Roman" w:cstheme="minorHAnsi"/>
          <w:lang w:eastAsia="en-AU"/>
        </w:rPr>
        <w:t xml:space="preserve"> consistent with </w:t>
      </w:r>
      <w:r>
        <w:rPr>
          <w:rFonts w:eastAsia="Times New Roman" w:cstheme="minorHAnsi"/>
          <w:lang w:eastAsia="en-AU"/>
        </w:rPr>
        <w:t>a</w:t>
      </w:r>
      <w:r w:rsidRPr="009700F3">
        <w:rPr>
          <w:rFonts w:eastAsia="Times New Roman" w:cstheme="minorHAnsi"/>
          <w:lang w:eastAsia="en-AU"/>
        </w:rPr>
        <w:t xml:space="preserve"> </w:t>
      </w:r>
      <w:r w:rsidRPr="009700F3" w:rsidDel="00700809">
        <w:rPr>
          <w:rFonts w:eastAsia="Times New Roman" w:cstheme="minorHAnsi"/>
          <w:lang w:eastAsia="en-AU"/>
        </w:rPr>
        <w:t>Whole-of-Australian Government</w:t>
      </w:r>
      <w:r w:rsidRPr="009700F3">
        <w:rPr>
          <w:rFonts w:eastAsia="Times New Roman" w:cstheme="minorHAnsi"/>
          <w:lang w:eastAsia="en-AU"/>
        </w:rPr>
        <w:t xml:space="preserve"> approach</w:t>
      </w:r>
      <w:r>
        <w:rPr>
          <w:rFonts w:eastAsia="Times New Roman" w:cstheme="minorHAnsi"/>
          <w:lang w:eastAsia="en-AU"/>
        </w:rPr>
        <w:t xml:space="preserve">, outlined in </w:t>
      </w:r>
      <w:r w:rsidRPr="009700F3">
        <w:rPr>
          <w:rFonts w:eastAsia="Times New Roman" w:cstheme="minorHAnsi"/>
          <w:lang w:eastAsia="en-AU"/>
        </w:rPr>
        <w:t xml:space="preserve">the </w:t>
      </w:r>
      <w:r w:rsidRPr="009700F3" w:rsidDel="00FF06B6">
        <w:rPr>
          <w:rFonts w:eastAsia="Times New Roman" w:cstheme="minorHAnsi"/>
          <w:lang w:eastAsia="en-AU"/>
        </w:rPr>
        <w:t xml:space="preserve">Net Zero in Government Operations </w:t>
      </w:r>
      <w:r w:rsidRPr="009700F3">
        <w:rPr>
          <w:rFonts w:eastAsia="Times New Roman" w:cstheme="minorHAnsi"/>
          <w:lang w:eastAsia="en-AU"/>
        </w:rPr>
        <w:t>Strategy</w:t>
      </w:r>
      <w:r>
        <w:rPr>
          <w:rFonts w:eastAsia="Times New Roman" w:cstheme="minorHAnsi"/>
          <w:lang w:eastAsia="en-AU"/>
        </w:rPr>
        <w:t xml:space="preserve">, and </w:t>
      </w:r>
      <w:hyperlink r:id="rId55" w:history="1">
        <w:r w:rsidRPr="007B7C0A">
          <w:rPr>
            <w:rStyle w:val="Hyperlink"/>
            <w:rFonts w:eastAsia="Times New Roman" w:cstheme="minorHAnsi"/>
            <w:lang w:eastAsia="en-AU"/>
          </w:rPr>
          <w:t>Commonwealth Climate Disclosure</w:t>
        </w:r>
      </w:hyperlink>
      <w:r>
        <w:rPr>
          <w:rFonts w:eastAsia="Times New Roman" w:cstheme="minorHAnsi"/>
          <w:lang w:eastAsia="en-AU"/>
        </w:rPr>
        <w:t xml:space="preserve"> requirements</w:t>
      </w:r>
      <w:r w:rsidRPr="009700F3">
        <w:rPr>
          <w:rFonts w:eastAsia="Times New Roman" w:cstheme="minorHAnsi"/>
          <w:lang w:eastAsia="en-AU"/>
        </w:rPr>
        <w:t xml:space="preserve">. </w:t>
      </w:r>
    </w:p>
    <w:p w14:paraId="40661ED6" w14:textId="77777777" w:rsidR="004C085D" w:rsidRPr="009700F3" w:rsidRDefault="004C085D" w:rsidP="004656E6">
      <w:pPr>
        <w:pStyle w:val="BodyText1"/>
        <w:rPr>
          <w:rFonts w:eastAsia="Times New Roman" w:cstheme="minorHAnsi"/>
          <w:lang w:eastAsia="en-AU"/>
        </w:rPr>
      </w:pPr>
      <w:r w:rsidRPr="009700F3">
        <w:rPr>
          <w:rFonts w:eastAsia="Times New Roman" w:cstheme="minorHAnsi"/>
          <w:lang w:eastAsia="en-AU"/>
        </w:rPr>
        <w:t>Not all data sources were available at the time of the report and amendments to data may be required in future reports.</w:t>
      </w:r>
    </w:p>
    <w:p w14:paraId="28B9C1EC" w14:textId="77777777" w:rsidR="004C085D" w:rsidRDefault="004C085D" w:rsidP="004656E6">
      <w:pPr>
        <w:pStyle w:val="BodyText1"/>
        <w:rPr>
          <w:rFonts w:eastAsia="Times New Roman" w:cstheme="minorHAnsi"/>
          <w:lang w:eastAsia="en-AU"/>
        </w:rPr>
      </w:pPr>
      <w:r w:rsidRPr="009700F3">
        <w:rPr>
          <w:rFonts w:eastAsia="Times New Roman" w:cstheme="minorHAnsi"/>
          <w:lang w:eastAsia="en-AU"/>
        </w:rPr>
        <w:t>Reporting on refrigerants is being phased in over time as emissions reporting matures.</w:t>
      </w:r>
    </w:p>
    <w:p w14:paraId="3F23A8B7" w14:textId="79A268C5" w:rsidR="004C085D" w:rsidRPr="00B81A84" w:rsidRDefault="00EF2FF1" w:rsidP="004C085D">
      <w:pPr>
        <w:rPr>
          <w:rFonts w:asciiTheme="minorHAnsi" w:hAnsiTheme="minorHAnsi" w:cstheme="minorHAnsi"/>
          <w:sz w:val="24"/>
          <w:szCs w:val="28"/>
        </w:rPr>
      </w:pPr>
      <w:r w:rsidRPr="00B81A84">
        <w:rPr>
          <w:rStyle w:val="Strong"/>
          <w:rFonts w:asciiTheme="minorHAnsi" w:hAnsiTheme="minorHAnsi" w:cstheme="minorHAnsi"/>
          <w:color w:val="212529"/>
          <w:sz w:val="24"/>
          <w:szCs w:val="28"/>
          <w:shd w:val="clear" w:color="auto" w:fill="FFFFFF"/>
        </w:rPr>
        <w:t>2024-25 greenhouse gas emissions inventory</w:t>
      </w:r>
      <w:r>
        <w:rPr>
          <w:rStyle w:val="Strong"/>
          <w:rFonts w:asciiTheme="minorHAnsi" w:hAnsiTheme="minorHAnsi" w:cstheme="minorHAnsi"/>
          <w:color w:val="212529"/>
          <w:sz w:val="24"/>
          <w:szCs w:val="28"/>
          <w:shd w:val="clear" w:color="auto" w:fill="FFFFFF"/>
        </w:rPr>
        <w:t xml:space="preserve"> </w:t>
      </w:r>
      <w:r w:rsidRPr="00B81A84">
        <w:rPr>
          <w:rStyle w:val="Strong"/>
          <w:rFonts w:asciiTheme="minorHAnsi" w:hAnsiTheme="minorHAnsi" w:cstheme="minorHAnsi"/>
          <w:color w:val="212529"/>
          <w:sz w:val="24"/>
          <w:szCs w:val="28"/>
          <w:shd w:val="clear" w:color="auto" w:fill="FFFFFF"/>
        </w:rPr>
        <w:t xml:space="preserve">– location-based method </w:t>
      </w:r>
    </w:p>
    <w:tbl>
      <w:tblPr>
        <w:tblStyle w:val="GridTable4-Accent2"/>
        <w:tblW w:w="5000" w:type="pct"/>
        <w:tblInd w:w="0" w:type="dxa"/>
        <w:tblLook w:val="06A0" w:firstRow="1" w:lastRow="0" w:firstColumn="1" w:lastColumn="0" w:noHBand="1" w:noVBand="1"/>
      </w:tblPr>
      <w:tblGrid>
        <w:gridCol w:w="4180"/>
        <w:gridCol w:w="1318"/>
        <w:gridCol w:w="1331"/>
        <w:gridCol w:w="1244"/>
        <w:gridCol w:w="1277"/>
      </w:tblGrid>
      <w:tr w:rsidR="00753931" w:rsidRPr="009700F3" w14:paraId="368AAF0B"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35" w:type="pct"/>
            <w:noWrap/>
            <w:vAlign w:val="center"/>
            <w:hideMark/>
          </w:tcPr>
          <w:p w14:paraId="560C4122" w14:textId="77777777" w:rsidR="004C085D" w:rsidRPr="009700F3" w:rsidRDefault="004C085D" w:rsidP="00F441E2">
            <w:pPr>
              <w:spacing w:line="240" w:lineRule="exact"/>
              <w:contextualSpacing/>
              <w:rPr>
                <w:rFonts w:asciiTheme="minorHAnsi" w:hAnsiTheme="minorHAnsi" w:cstheme="minorHAnsi"/>
                <w:b w:val="0"/>
                <w:bCs w:val="0"/>
                <w:sz w:val="22"/>
                <w:lang w:eastAsia="en-AU"/>
              </w:rPr>
            </w:pPr>
            <w:r w:rsidRPr="009700F3">
              <w:rPr>
                <w:rFonts w:asciiTheme="minorHAnsi" w:hAnsiTheme="minorHAnsi" w:cstheme="minorHAnsi"/>
                <w:sz w:val="22"/>
                <w:lang w:eastAsia="en-AU"/>
              </w:rPr>
              <w:t>Emission Source</w:t>
            </w:r>
          </w:p>
        </w:tc>
        <w:tc>
          <w:tcPr>
            <w:tcW w:w="705" w:type="pct"/>
            <w:noWrap/>
            <w:vAlign w:val="center"/>
            <w:hideMark/>
          </w:tcPr>
          <w:p w14:paraId="2F2B8839"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eastAsia="en-AU"/>
              </w:rPr>
            </w:pPr>
            <w:r w:rsidRPr="009700F3">
              <w:rPr>
                <w:rFonts w:asciiTheme="minorHAnsi" w:hAnsiTheme="minorHAnsi" w:cstheme="minorHAnsi"/>
                <w:sz w:val="22"/>
                <w:lang w:eastAsia="en-AU"/>
              </w:rPr>
              <w:t>Scope 1</w:t>
            </w:r>
          </w:p>
          <w:p w14:paraId="3415C880"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eastAsia="en-AU"/>
              </w:rPr>
            </w:pPr>
            <w:r w:rsidRPr="009700F3">
              <w:rPr>
                <w:rFonts w:asciiTheme="minorHAnsi" w:hAnsiTheme="minorHAnsi" w:cstheme="minorHAnsi"/>
                <w:sz w:val="22"/>
                <w:lang w:eastAsia="en-AU"/>
              </w:rPr>
              <w:t>t CO</w:t>
            </w:r>
            <w:r w:rsidRPr="009700F3">
              <w:rPr>
                <w:rFonts w:asciiTheme="minorHAnsi" w:hAnsiTheme="minorHAnsi" w:cstheme="minorHAnsi"/>
                <w:sz w:val="22"/>
                <w:vertAlign w:val="subscript"/>
                <w:lang w:eastAsia="en-AU"/>
              </w:rPr>
              <w:t>2</w:t>
            </w:r>
            <w:r w:rsidRPr="009700F3">
              <w:rPr>
                <w:rFonts w:asciiTheme="minorHAnsi" w:hAnsiTheme="minorHAnsi" w:cstheme="minorHAnsi"/>
                <w:sz w:val="22"/>
                <w:lang w:eastAsia="en-AU"/>
              </w:rPr>
              <w:t>-e</w:t>
            </w:r>
          </w:p>
        </w:tc>
        <w:tc>
          <w:tcPr>
            <w:tcW w:w="712" w:type="pct"/>
            <w:noWrap/>
            <w:vAlign w:val="center"/>
            <w:hideMark/>
          </w:tcPr>
          <w:p w14:paraId="42B9AF84"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eastAsia="en-AU"/>
              </w:rPr>
            </w:pPr>
            <w:r w:rsidRPr="009700F3">
              <w:rPr>
                <w:rFonts w:asciiTheme="minorHAnsi" w:hAnsiTheme="minorHAnsi" w:cstheme="minorHAnsi"/>
                <w:sz w:val="22"/>
                <w:lang w:eastAsia="en-AU"/>
              </w:rPr>
              <w:t>Scope 2</w:t>
            </w:r>
          </w:p>
          <w:p w14:paraId="688F2CB3"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eastAsia="en-AU"/>
              </w:rPr>
            </w:pPr>
            <w:r w:rsidRPr="009700F3">
              <w:rPr>
                <w:rFonts w:asciiTheme="minorHAnsi" w:hAnsiTheme="minorHAnsi" w:cstheme="minorHAnsi"/>
                <w:sz w:val="22"/>
                <w:lang w:eastAsia="en-AU"/>
              </w:rPr>
              <w:t>t CO</w:t>
            </w:r>
            <w:r w:rsidRPr="009700F3">
              <w:rPr>
                <w:rFonts w:asciiTheme="minorHAnsi" w:hAnsiTheme="minorHAnsi" w:cstheme="minorHAnsi"/>
                <w:sz w:val="22"/>
                <w:vertAlign w:val="subscript"/>
                <w:lang w:eastAsia="en-AU"/>
              </w:rPr>
              <w:t>2</w:t>
            </w:r>
            <w:r w:rsidRPr="009700F3">
              <w:rPr>
                <w:rFonts w:asciiTheme="minorHAnsi" w:hAnsiTheme="minorHAnsi" w:cstheme="minorHAnsi"/>
                <w:sz w:val="22"/>
                <w:lang w:eastAsia="en-AU"/>
              </w:rPr>
              <w:t>-e</w:t>
            </w:r>
          </w:p>
        </w:tc>
        <w:tc>
          <w:tcPr>
            <w:tcW w:w="665" w:type="pct"/>
            <w:noWrap/>
            <w:vAlign w:val="center"/>
            <w:hideMark/>
          </w:tcPr>
          <w:p w14:paraId="57B2AF62"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eastAsia="en-AU"/>
              </w:rPr>
            </w:pPr>
            <w:r w:rsidRPr="009700F3">
              <w:rPr>
                <w:rFonts w:asciiTheme="minorHAnsi" w:hAnsiTheme="minorHAnsi" w:cstheme="minorHAnsi"/>
                <w:sz w:val="22"/>
                <w:lang w:eastAsia="en-AU"/>
              </w:rPr>
              <w:t>Scope 3</w:t>
            </w:r>
          </w:p>
          <w:p w14:paraId="7CFF3311"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eastAsia="en-AU"/>
              </w:rPr>
            </w:pPr>
            <w:r w:rsidRPr="009700F3">
              <w:rPr>
                <w:rFonts w:asciiTheme="minorHAnsi" w:hAnsiTheme="minorHAnsi" w:cstheme="minorHAnsi"/>
                <w:sz w:val="22"/>
                <w:lang w:eastAsia="en-AU"/>
              </w:rPr>
              <w:t>t CO</w:t>
            </w:r>
            <w:r w:rsidRPr="009700F3">
              <w:rPr>
                <w:rFonts w:asciiTheme="minorHAnsi" w:hAnsiTheme="minorHAnsi" w:cstheme="minorHAnsi"/>
                <w:sz w:val="22"/>
                <w:vertAlign w:val="subscript"/>
                <w:lang w:eastAsia="en-AU"/>
              </w:rPr>
              <w:t>2</w:t>
            </w:r>
            <w:r w:rsidRPr="009700F3">
              <w:rPr>
                <w:rFonts w:asciiTheme="minorHAnsi" w:hAnsiTheme="minorHAnsi" w:cstheme="minorHAnsi"/>
                <w:sz w:val="22"/>
                <w:lang w:eastAsia="en-AU"/>
              </w:rPr>
              <w:t>-e</w:t>
            </w:r>
          </w:p>
        </w:tc>
        <w:tc>
          <w:tcPr>
            <w:tcW w:w="683" w:type="pct"/>
            <w:noWrap/>
            <w:vAlign w:val="center"/>
            <w:hideMark/>
          </w:tcPr>
          <w:p w14:paraId="655705AA"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eastAsia="en-AU"/>
              </w:rPr>
            </w:pPr>
            <w:r w:rsidRPr="009700F3">
              <w:rPr>
                <w:rFonts w:asciiTheme="minorHAnsi" w:hAnsiTheme="minorHAnsi" w:cstheme="minorHAnsi"/>
                <w:sz w:val="22"/>
                <w:lang w:eastAsia="en-AU"/>
              </w:rPr>
              <w:t>Total</w:t>
            </w:r>
          </w:p>
          <w:p w14:paraId="56813993"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lang w:eastAsia="en-AU"/>
              </w:rPr>
            </w:pPr>
            <w:r w:rsidRPr="009700F3">
              <w:rPr>
                <w:rFonts w:asciiTheme="minorHAnsi" w:hAnsiTheme="minorHAnsi" w:cstheme="minorHAnsi"/>
                <w:sz w:val="22"/>
                <w:lang w:eastAsia="en-AU"/>
              </w:rPr>
              <w:t>t CO</w:t>
            </w:r>
            <w:r w:rsidRPr="009700F3">
              <w:rPr>
                <w:rFonts w:asciiTheme="minorHAnsi" w:hAnsiTheme="minorHAnsi" w:cstheme="minorHAnsi"/>
                <w:sz w:val="22"/>
                <w:vertAlign w:val="subscript"/>
                <w:lang w:eastAsia="en-AU"/>
              </w:rPr>
              <w:t>2</w:t>
            </w:r>
            <w:r w:rsidRPr="009700F3">
              <w:rPr>
                <w:rFonts w:asciiTheme="minorHAnsi" w:hAnsiTheme="minorHAnsi" w:cstheme="minorHAnsi"/>
                <w:sz w:val="22"/>
                <w:lang w:eastAsia="en-AU"/>
              </w:rPr>
              <w:t>-e</w:t>
            </w:r>
          </w:p>
        </w:tc>
      </w:tr>
      <w:tr w:rsidR="004C085D" w:rsidRPr="009700F3" w14:paraId="1B8DD0B3" w14:textId="77777777" w:rsidTr="00F441E2">
        <w:trPr>
          <w:trHeight w:val="300"/>
        </w:trPr>
        <w:tc>
          <w:tcPr>
            <w:cnfStyle w:val="001000000000" w:firstRow="0" w:lastRow="0" w:firstColumn="1" w:lastColumn="0" w:oddVBand="0" w:evenVBand="0" w:oddHBand="0" w:evenHBand="0" w:firstRowFirstColumn="0" w:firstRowLastColumn="0" w:lastRowFirstColumn="0" w:lastRowLastColumn="0"/>
            <w:tcW w:w="2235" w:type="pct"/>
            <w:noWrap/>
            <w:vAlign w:val="center"/>
            <w:hideMark/>
          </w:tcPr>
          <w:p w14:paraId="016A0F64" w14:textId="3A8BAF6B" w:rsidR="004C085D" w:rsidRPr="009700F3" w:rsidRDefault="004C085D" w:rsidP="00F441E2">
            <w:pPr>
              <w:spacing w:line="240" w:lineRule="exact"/>
              <w:contextualSpacing/>
              <w:rPr>
                <w:rFonts w:asciiTheme="minorHAnsi" w:hAnsiTheme="minorHAnsi" w:cstheme="minorHAnsi"/>
                <w:b w:val="0"/>
                <w:bCs w:val="0"/>
                <w:color w:val="000000"/>
                <w:sz w:val="22"/>
                <w:lang w:eastAsia="en-AU"/>
              </w:rPr>
            </w:pPr>
            <w:r w:rsidRPr="009700F3">
              <w:rPr>
                <w:rFonts w:asciiTheme="minorHAnsi" w:hAnsiTheme="minorHAnsi" w:cstheme="minorHAnsi"/>
                <w:b w:val="0"/>
                <w:bCs w:val="0"/>
                <w:color w:val="000000"/>
                <w:sz w:val="22"/>
                <w:lang w:eastAsia="en-AU"/>
              </w:rPr>
              <w:t>Electricity (</w:t>
            </w:r>
            <w:r w:rsidR="003F751E">
              <w:rPr>
                <w:rFonts w:asciiTheme="minorHAnsi" w:hAnsiTheme="minorHAnsi" w:cstheme="minorHAnsi"/>
                <w:b w:val="0"/>
                <w:bCs w:val="0"/>
                <w:color w:val="000000"/>
                <w:sz w:val="22"/>
                <w:lang w:eastAsia="en-AU"/>
              </w:rPr>
              <w:t>l</w:t>
            </w:r>
            <w:r w:rsidRPr="009700F3">
              <w:rPr>
                <w:rFonts w:asciiTheme="minorHAnsi" w:hAnsiTheme="minorHAnsi" w:cstheme="minorHAnsi"/>
                <w:b w:val="0"/>
                <w:bCs w:val="0"/>
                <w:color w:val="000000"/>
                <w:sz w:val="22"/>
                <w:lang w:eastAsia="en-AU"/>
              </w:rPr>
              <w:t>ocation-</w:t>
            </w:r>
            <w:r w:rsidR="003F751E">
              <w:rPr>
                <w:rFonts w:asciiTheme="minorHAnsi" w:hAnsiTheme="minorHAnsi" w:cstheme="minorHAnsi"/>
                <w:b w:val="0"/>
                <w:bCs w:val="0"/>
                <w:color w:val="000000"/>
                <w:sz w:val="22"/>
                <w:lang w:eastAsia="en-AU"/>
              </w:rPr>
              <w:t>b</w:t>
            </w:r>
            <w:r w:rsidRPr="009700F3">
              <w:rPr>
                <w:rFonts w:asciiTheme="minorHAnsi" w:hAnsiTheme="minorHAnsi" w:cstheme="minorHAnsi"/>
                <w:b w:val="0"/>
                <w:bCs w:val="0"/>
                <w:color w:val="000000"/>
                <w:sz w:val="22"/>
                <w:lang w:eastAsia="en-AU"/>
              </w:rPr>
              <w:t xml:space="preserve">ased </w:t>
            </w:r>
            <w:r w:rsidR="00EF2FF1">
              <w:rPr>
                <w:rFonts w:asciiTheme="minorHAnsi" w:hAnsiTheme="minorHAnsi" w:cstheme="minorHAnsi"/>
                <w:b w:val="0"/>
                <w:bCs w:val="0"/>
                <w:color w:val="000000"/>
                <w:sz w:val="22"/>
                <w:lang w:eastAsia="en-AU"/>
              </w:rPr>
              <w:t>method</w:t>
            </w:r>
            <w:r w:rsidRPr="009700F3">
              <w:rPr>
                <w:rFonts w:asciiTheme="minorHAnsi" w:hAnsiTheme="minorHAnsi" w:cstheme="minorHAnsi"/>
                <w:b w:val="0"/>
                <w:bCs w:val="0"/>
                <w:color w:val="000000"/>
                <w:sz w:val="22"/>
                <w:lang w:eastAsia="en-AU"/>
              </w:rPr>
              <w:t>)</w:t>
            </w:r>
          </w:p>
        </w:tc>
        <w:tc>
          <w:tcPr>
            <w:tcW w:w="705" w:type="pct"/>
            <w:vAlign w:val="center"/>
            <w:hideMark/>
          </w:tcPr>
          <w:p w14:paraId="5CDD335D"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712" w:type="pct"/>
            <w:vAlign w:val="center"/>
            <w:hideMark/>
          </w:tcPr>
          <w:p w14:paraId="2D084DEE"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softHyphen/>
              <w:t>—</w:t>
            </w:r>
          </w:p>
        </w:tc>
        <w:tc>
          <w:tcPr>
            <w:tcW w:w="665" w:type="pct"/>
            <w:vAlign w:val="center"/>
            <w:hideMark/>
          </w:tcPr>
          <w:p w14:paraId="32A26BEB"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softHyphen/>
              <w:t>—</w:t>
            </w:r>
          </w:p>
        </w:tc>
        <w:tc>
          <w:tcPr>
            <w:tcW w:w="683" w:type="pct"/>
            <w:vAlign w:val="center"/>
            <w:hideMark/>
          </w:tcPr>
          <w:p w14:paraId="1C12E2A7"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softHyphen/>
              <w:t>—</w:t>
            </w:r>
          </w:p>
        </w:tc>
      </w:tr>
      <w:tr w:rsidR="004C085D" w:rsidRPr="009700F3" w14:paraId="2E8948C1" w14:textId="77777777" w:rsidTr="00F441E2">
        <w:trPr>
          <w:trHeight w:val="300"/>
        </w:trPr>
        <w:tc>
          <w:tcPr>
            <w:cnfStyle w:val="001000000000" w:firstRow="0" w:lastRow="0" w:firstColumn="1" w:lastColumn="0" w:oddVBand="0" w:evenVBand="0" w:oddHBand="0" w:evenHBand="0" w:firstRowFirstColumn="0" w:firstRowLastColumn="0" w:lastRowFirstColumn="0" w:lastRowLastColumn="0"/>
            <w:tcW w:w="2235" w:type="pct"/>
            <w:noWrap/>
            <w:vAlign w:val="center"/>
            <w:hideMark/>
          </w:tcPr>
          <w:p w14:paraId="2A8C2710" w14:textId="7205D81C" w:rsidR="004C085D" w:rsidRPr="009700F3" w:rsidRDefault="004C085D" w:rsidP="00F441E2">
            <w:pPr>
              <w:spacing w:line="240" w:lineRule="exact"/>
              <w:contextualSpacing/>
              <w:rPr>
                <w:rFonts w:asciiTheme="minorHAnsi" w:hAnsiTheme="minorHAnsi" w:cstheme="minorHAnsi"/>
                <w:b w:val="0"/>
                <w:bCs w:val="0"/>
                <w:color w:val="000000"/>
                <w:sz w:val="22"/>
                <w:lang w:eastAsia="en-AU"/>
              </w:rPr>
            </w:pPr>
            <w:r w:rsidRPr="009700F3">
              <w:rPr>
                <w:rFonts w:asciiTheme="minorHAnsi" w:hAnsiTheme="minorHAnsi" w:cstheme="minorHAnsi"/>
                <w:b w:val="0"/>
                <w:bCs w:val="0"/>
                <w:color w:val="000000"/>
                <w:sz w:val="22"/>
                <w:lang w:eastAsia="en-AU"/>
              </w:rPr>
              <w:t xml:space="preserve">Natural </w:t>
            </w:r>
            <w:r w:rsidR="003F751E">
              <w:rPr>
                <w:rFonts w:asciiTheme="minorHAnsi" w:hAnsiTheme="minorHAnsi" w:cstheme="minorHAnsi"/>
                <w:b w:val="0"/>
                <w:bCs w:val="0"/>
                <w:color w:val="000000"/>
                <w:sz w:val="22"/>
                <w:lang w:eastAsia="en-AU"/>
              </w:rPr>
              <w:t>g</w:t>
            </w:r>
            <w:r w:rsidRPr="009700F3">
              <w:rPr>
                <w:rFonts w:asciiTheme="minorHAnsi" w:hAnsiTheme="minorHAnsi" w:cstheme="minorHAnsi"/>
                <w:b w:val="0"/>
                <w:bCs w:val="0"/>
                <w:color w:val="000000"/>
                <w:sz w:val="22"/>
                <w:lang w:eastAsia="en-AU"/>
              </w:rPr>
              <w:t>as</w:t>
            </w:r>
          </w:p>
        </w:tc>
        <w:tc>
          <w:tcPr>
            <w:tcW w:w="705" w:type="pct"/>
            <w:vAlign w:val="center"/>
            <w:hideMark/>
          </w:tcPr>
          <w:p w14:paraId="5DC367F4"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712" w:type="pct"/>
            <w:vAlign w:val="center"/>
            <w:hideMark/>
          </w:tcPr>
          <w:p w14:paraId="2C77DEFF"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65" w:type="pct"/>
            <w:vAlign w:val="center"/>
            <w:hideMark/>
          </w:tcPr>
          <w:p w14:paraId="0DB2B0EF"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683" w:type="pct"/>
            <w:vAlign w:val="center"/>
            <w:hideMark/>
          </w:tcPr>
          <w:p w14:paraId="1B3A8191"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00F60A1E" w14:textId="77777777" w:rsidTr="00F441E2">
        <w:trPr>
          <w:trHeight w:val="300"/>
        </w:trPr>
        <w:tc>
          <w:tcPr>
            <w:cnfStyle w:val="001000000000" w:firstRow="0" w:lastRow="0" w:firstColumn="1" w:lastColumn="0" w:oddVBand="0" w:evenVBand="0" w:oddHBand="0" w:evenHBand="0" w:firstRowFirstColumn="0" w:firstRowLastColumn="0" w:lastRowFirstColumn="0" w:lastRowLastColumn="0"/>
            <w:tcW w:w="2235" w:type="pct"/>
            <w:noWrap/>
            <w:vAlign w:val="center"/>
            <w:hideMark/>
          </w:tcPr>
          <w:p w14:paraId="63B8ECFA" w14:textId="46B566A1" w:rsidR="004C085D" w:rsidRPr="009700F3" w:rsidRDefault="004C085D" w:rsidP="00F441E2">
            <w:pPr>
              <w:spacing w:line="240" w:lineRule="exact"/>
              <w:contextualSpacing/>
              <w:rPr>
                <w:rFonts w:asciiTheme="minorHAnsi" w:hAnsiTheme="minorHAnsi" w:cstheme="minorHAnsi"/>
                <w:b w:val="0"/>
                <w:bCs w:val="0"/>
                <w:color w:val="000000"/>
                <w:sz w:val="22"/>
                <w:lang w:eastAsia="en-AU"/>
              </w:rPr>
            </w:pPr>
            <w:r w:rsidRPr="009700F3">
              <w:rPr>
                <w:rFonts w:asciiTheme="minorHAnsi" w:hAnsiTheme="minorHAnsi" w:cstheme="minorHAnsi"/>
                <w:b w:val="0"/>
                <w:bCs w:val="0"/>
                <w:color w:val="000000"/>
                <w:sz w:val="22"/>
                <w:lang w:eastAsia="en-AU"/>
              </w:rPr>
              <w:t xml:space="preserve">Solid </w:t>
            </w:r>
            <w:r w:rsidR="003F751E">
              <w:rPr>
                <w:rFonts w:asciiTheme="minorHAnsi" w:hAnsiTheme="minorHAnsi" w:cstheme="minorHAnsi"/>
                <w:b w:val="0"/>
                <w:bCs w:val="0"/>
                <w:color w:val="000000"/>
                <w:sz w:val="22"/>
                <w:lang w:eastAsia="en-AU"/>
              </w:rPr>
              <w:t>w</w:t>
            </w:r>
            <w:r w:rsidRPr="009700F3">
              <w:rPr>
                <w:rFonts w:asciiTheme="minorHAnsi" w:hAnsiTheme="minorHAnsi" w:cstheme="minorHAnsi"/>
                <w:b w:val="0"/>
                <w:bCs w:val="0"/>
                <w:color w:val="000000"/>
                <w:sz w:val="22"/>
                <w:lang w:eastAsia="en-AU"/>
              </w:rPr>
              <w:t>aste</w:t>
            </w:r>
          </w:p>
        </w:tc>
        <w:tc>
          <w:tcPr>
            <w:tcW w:w="705" w:type="pct"/>
            <w:vAlign w:val="center"/>
            <w:hideMark/>
          </w:tcPr>
          <w:p w14:paraId="48681CFE"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712" w:type="pct"/>
            <w:vAlign w:val="center"/>
            <w:hideMark/>
          </w:tcPr>
          <w:p w14:paraId="5D2D24DF"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65" w:type="pct"/>
            <w:vAlign w:val="center"/>
            <w:hideMark/>
          </w:tcPr>
          <w:p w14:paraId="27EC6EBB"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683" w:type="pct"/>
            <w:vAlign w:val="center"/>
            <w:hideMark/>
          </w:tcPr>
          <w:p w14:paraId="3460CF1B"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079B41ED" w14:textId="77777777" w:rsidTr="00F441E2">
        <w:trPr>
          <w:trHeight w:val="315"/>
        </w:trPr>
        <w:tc>
          <w:tcPr>
            <w:cnfStyle w:val="001000000000" w:firstRow="0" w:lastRow="0" w:firstColumn="1" w:lastColumn="0" w:oddVBand="0" w:evenVBand="0" w:oddHBand="0" w:evenHBand="0" w:firstRowFirstColumn="0" w:firstRowLastColumn="0" w:lastRowFirstColumn="0" w:lastRowLastColumn="0"/>
            <w:tcW w:w="2235" w:type="pct"/>
            <w:noWrap/>
            <w:vAlign w:val="center"/>
            <w:hideMark/>
          </w:tcPr>
          <w:p w14:paraId="79EEC310" w14:textId="77777777" w:rsidR="004C085D" w:rsidRPr="009700F3" w:rsidRDefault="004C085D" w:rsidP="00F441E2">
            <w:pPr>
              <w:spacing w:line="240" w:lineRule="exact"/>
              <w:contextualSpacing/>
              <w:rPr>
                <w:rFonts w:asciiTheme="minorHAnsi" w:hAnsiTheme="minorHAnsi" w:cstheme="minorHAnsi"/>
                <w:b w:val="0"/>
                <w:bCs w:val="0"/>
                <w:color w:val="000000"/>
                <w:sz w:val="22"/>
                <w:lang w:eastAsia="en-AU"/>
              </w:rPr>
            </w:pPr>
            <w:r w:rsidRPr="009700F3">
              <w:rPr>
                <w:rFonts w:asciiTheme="minorHAnsi" w:hAnsiTheme="minorHAnsi" w:cstheme="minorHAnsi"/>
                <w:b w:val="0"/>
                <w:bCs w:val="0"/>
                <w:color w:val="000000"/>
                <w:sz w:val="22"/>
                <w:lang w:eastAsia="en-AU"/>
              </w:rPr>
              <w:t>Refrigerants*</w:t>
            </w:r>
          </w:p>
        </w:tc>
        <w:tc>
          <w:tcPr>
            <w:tcW w:w="705" w:type="pct"/>
            <w:vAlign w:val="center"/>
            <w:hideMark/>
          </w:tcPr>
          <w:p w14:paraId="57BE366C"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712" w:type="pct"/>
            <w:vAlign w:val="center"/>
            <w:hideMark/>
          </w:tcPr>
          <w:p w14:paraId="373AAB1F"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65" w:type="pct"/>
            <w:vAlign w:val="center"/>
            <w:hideMark/>
          </w:tcPr>
          <w:p w14:paraId="60C38E97"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83" w:type="pct"/>
            <w:vAlign w:val="center"/>
            <w:hideMark/>
          </w:tcPr>
          <w:p w14:paraId="494217E3"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406352A0" w14:textId="77777777" w:rsidTr="00F441E2">
        <w:trPr>
          <w:trHeight w:val="300"/>
        </w:trPr>
        <w:tc>
          <w:tcPr>
            <w:cnfStyle w:val="001000000000" w:firstRow="0" w:lastRow="0" w:firstColumn="1" w:lastColumn="0" w:oddVBand="0" w:evenVBand="0" w:oddHBand="0" w:evenHBand="0" w:firstRowFirstColumn="0" w:firstRowLastColumn="0" w:lastRowFirstColumn="0" w:lastRowLastColumn="0"/>
            <w:tcW w:w="2235" w:type="pct"/>
            <w:noWrap/>
            <w:vAlign w:val="center"/>
            <w:hideMark/>
          </w:tcPr>
          <w:p w14:paraId="6A3CC822" w14:textId="48F8DD60" w:rsidR="004C085D" w:rsidRPr="009700F3" w:rsidRDefault="004C085D" w:rsidP="00F441E2">
            <w:pPr>
              <w:spacing w:line="240" w:lineRule="exact"/>
              <w:contextualSpacing/>
              <w:rPr>
                <w:rFonts w:asciiTheme="minorHAnsi" w:hAnsiTheme="minorHAnsi" w:cstheme="minorHAnsi"/>
                <w:b w:val="0"/>
                <w:bCs w:val="0"/>
                <w:color w:val="000000"/>
                <w:sz w:val="22"/>
                <w:lang w:eastAsia="en-AU"/>
              </w:rPr>
            </w:pPr>
            <w:r w:rsidRPr="009700F3">
              <w:rPr>
                <w:rFonts w:asciiTheme="minorHAnsi" w:hAnsiTheme="minorHAnsi" w:cstheme="minorHAnsi"/>
                <w:b w:val="0"/>
                <w:bCs w:val="0"/>
                <w:color w:val="000000"/>
                <w:sz w:val="22"/>
                <w:lang w:eastAsia="en-AU"/>
              </w:rPr>
              <w:t xml:space="preserve">Fleet and </w:t>
            </w:r>
            <w:r w:rsidR="003F751E">
              <w:rPr>
                <w:rFonts w:asciiTheme="minorHAnsi" w:hAnsiTheme="minorHAnsi" w:cstheme="minorHAnsi"/>
                <w:b w:val="0"/>
                <w:bCs w:val="0"/>
                <w:color w:val="000000"/>
                <w:sz w:val="22"/>
                <w:lang w:eastAsia="en-AU"/>
              </w:rPr>
              <w:t>o</w:t>
            </w:r>
            <w:r w:rsidRPr="009700F3">
              <w:rPr>
                <w:rFonts w:asciiTheme="minorHAnsi" w:hAnsiTheme="minorHAnsi" w:cstheme="minorHAnsi"/>
                <w:b w:val="0"/>
                <w:bCs w:val="0"/>
                <w:color w:val="000000"/>
                <w:sz w:val="22"/>
                <w:lang w:eastAsia="en-AU"/>
              </w:rPr>
              <w:t xml:space="preserve">ther </w:t>
            </w:r>
            <w:r w:rsidR="003F751E">
              <w:rPr>
                <w:rFonts w:asciiTheme="minorHAnsi" w:hAnsiTheme="minorHAnsi" w:cstheme="minorHAnsi"/>
                <w:b w:val="0"/>
                <w:bCs w:val="0"/>
                <w:color w:val="000000"/>
                <w:sz w:val="22"/>
                <w:lang w:eastAsia="en-AU"/>
              </w:rPr>
              <w:t>v</w:t>
            </w:r>
            <w:r w:rsidRPr="009700F3">
              <w:rPr>
                <w:rFonts w:asciiTheme="minorHAnsi" w:hAnsiTheme="minorHAnsi" w:cstheme="minorHAnsi"/>
                <w:b w:val="0"/>
                <w:bCs w:val="0"/>
                <w:color w:val="000000"/>
                <w:sz w:val="22"/>
                <w:lang w:eastAsia="en-AU"/>
              </w:rPr>
              <w:t>ehicles</w:t>
            </w:r>
          </w:p>
        </w:tc>
        <w:tc>
          <w:tcPr>
            <w:tcW w:w="705" w:type="pct"/>
            <w:vAlign w:val="center"/>
            <w:hideMark/>
          </w:tcPr>
          <w:p w14:paraId="38D6B28B"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712" w:type="pct"/>
            <w:vAlign w:val="center"/>
            <w:hideMark/>
          </w:tcPr>
          <w:p w14:paraId="1F8C5172"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65" w:type="pct"/>
            <w:vAlign w:val="center"/>
            <w:hideMark/>
          </w:tcPr>
          <w:p w14:paraId="651D38CF"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683" w:type="pct"/>
            <w:vAlign w:val="center"/>
            <w:hideMark/>
          </w:tcPr>
          <w:p w14:paraId="2D195875"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279654B2" w14:textId="77777777" w:rsidTr="00F441E2">
        <w:trPr>
          <w:trHeight w:val="300"/>
        </w:trPr>
        <w:tc>
          <w:tcPr>
            <w:cnfStyle w:val="001000000000" w:firstRow="0" w:lastRow="0" w:firstColumn="1" w:lastColumn="0" w:oddVBand="0" w:evenVBand="0" w:oddHBand="0" w:evenHBand="0" w:firstRowFirstColumn="0" w:firstRowLastColumn="0" w:lastRowFirstColumn="0" w:lastRowLastColumn="0"/>
            <w:tcW w:w="2235" w:type="pct"/>
            <w:noWrap/>
            <w:vAlign w:val="center"/>
            <w:hideMark/>
          </w:tcPr>
          <w:p w14:paraId="3D65A0F6" w14:textId="396A737F" w:rsidR="004C085D" w:rsidRPr="009700F3" w:rsidRDefault="004C085D" w:rsidP="00F441E2">
            <w:pPr>
              <w:spacing w:line="240" w:lineRule="exact"/>
              <w:contextualSpacing/>
              <w:rPr>
                <w:rFonts w:asciiTheme="minorHAnsi" w:hAnsiTheme="minorHAnsi" w:cstheme="minorHAnsi"/>
                <w:b w:val="0"/>
                <w:bCs w:val="0"/>
                <w:color w:val="000000"/>
                <w:sz w:val="22"/>
                <w:lang w:eastAsia="en-AU"/>
              </w:rPr>
            </w:pPr>
            <w:r w:rsidRPr="009700F3">
              <w:rPr>
                <w:rFonts w:asciiTheme="minorHAnsi" w:hAnsiTheme="minorHAnsi" w:cstheme="minorHAnsi"/>
                <w:b w:val="0"/>
                <w:bCs w:val="0"/>
                <w:color w:val="000000"/>
                <w:sz w:val="22"/>
                <w:lang w:eastAsia="en-AU"/>
              </w:rPr>
              <w:t xml:space="preserve">Domestic </w:t>
            </w:r>
            <w:r w:rsidR="003F751E">
              <w:rPr>
                <w:rFonts w:asciiTheme="minorHAnsi" w:hAnsiTheme="minorHAnsi" w:cstheme="minorHAnsi"/>
                <w:b w:val="0"/>
                <w:bCs w:val="0"/>
                <w:color w:val="000000"/>
                <w:sz w:val="22"/>
                <w:lang w:eastAsia="en-AU"/>
              </w:rPr>
              <w:t>c</w:t>
            </w:r>
            <w:r w:rsidRPr="009700F3">
              <w:rPr>
                <w:rFonts w:asciiTheme="minorHAnsi" w:hAnsiTheme="minorHAnsi" w:cstheme="minorHAnsi"/>
                <w:b w:val="0"/>
                <w:bCs w:val="0"/>
                <w:color w:val="000000"/>
                <w:sz w:val="22"/>
                <w:lang w:eastAsia="en-AU"/>
              </w:rPr>
              <w:t xml:space="preserve">ommercial </w:t>
            </w:r>
            <w:r w:rsidR="003F751E">
              <w:rPr>
                <w:rFonts w:asciiTheme="minorHAnsi" w:hAnsiTheme="minorHAnsi" w:cstheme="minorHAnsi"/>
                <w:b w:val="0"/>
                <w:bCs w:val="0"/>
                <w:color w:val="000000"/>
                <w:sz w:val="22"/>
                <w:lang w:eastAsia="en-AU"/>
              </w:rPr>
              <w:t>f</w:t>
            </w:r>
            <w:r w:rsidRPr="009700F3">
              <w:rPr>
                <w:rFonts w:asciiTheme="minorHAnsi" w:hAnsiTheme="minorHAnsi" w:cstheme="minorHAnsi"/>
                <w:b w:val="0"/>
                <w:bCs w:val="0"/>
                <w:color w:val="000000"/>
                <w:sz w:val="22"/>
                <w:lang w:eastAsia="en-AU"/>
              </w:rPr>
              <w:t>lights</w:t>
            </w:r>
          </w:p>
        </w:tc>
        <w:tc>
          <w:tcPr>
            <w:tcW w:w="705" w:type="pct"/>
            <w:vAlign w:val="center"/>
            <w:hideMark/>
          </w:tcPr>
          <w:p w14:paraId="7EDCD93A"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712" w:type="pct"/>
            <w:vAlign w:val="center"/>
            <w:hideMark/>
          </w:tcPr>
          <w:p w14:paraId="79867A6E"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65" w:type="pct"/>
            <w:vAlign w:val="center"/>
            <w:hideMark/>
          </w:tcPr>
          <w:p w14:paraId="3713D19C"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683" w:type="pct"/>
            <w:vAlign w:val="center"/>
            <w:hideMark/>
          </w:tcPr>
          <w:p w14:paraId="0E5D2D0F"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35CDD476" w14:textId="77777777" w:rsidTr="00F441E2">
        <w:trPr>
          <w:trHeight w:val="300"/>
        </w:trPr>
        <w:tc>
          <w:tcPr>
            <w:cnfStyle w:val="001000000000" w:firstRow="0" w:lastRow="0" w:firstColumn="1" w:lastColumn="0" w:oddVBand="0" w:evenVBand="0" w:oddHBand="0" w:evenHBand="0" w:firstRowFirstColumn="0" w:firstRowLastColumn="0" w:lastRowFirstColumn="0" w:lastRowLastColumn="0"/>
            <w:tcW w:w="2235" w:type="pct"/>
            <w:noWrap/>
            <w:vAlign w:val="center"/>
            <w:hideMark/>
          </w:tcPr>
          <w:p w14:paraId="4D3BE5A3" w14:textId="4CDCB3D1" w:rsidR="004C085D" w:rsidRPr="009700F3" w:rsidRDefault="004C085D" w:rsidP="00F441E2">
            <w:pPr>
              <w:spacing w:line="240" w:lineRule="exact"/>
              <w:contextualSpacing/>
              <w:rPr>
                <w:rFonts w:asciiTheme="minorHAnsi" w:hAnsiTheme="minorHAnsi" w:cstheme="minorHAnsi"/>
                <w:b w:val="0"/>
                <w:bCs w:val="0"/>
                <w:color w:val="000000"/>
                <w:sz w:val="22"/>
                <w:lang w:eastAsia="en-AU"/>
              </w:rPr>
            </w:pPr>
            <w:r w:rsidRPr="009700F3">
              <w:rPr>
                <w:rFonts w:asciiTheme="minorHAnsi" w:hAnsiTheme="minorHAnsi" w:cstheme="minorHAnsi"/>
                <w:b w:val="0"/>
                <w:bCs w:val="0"/>
                <w:color w:val="000000"/>
                <w:sz w:val="22"/>
                <w:lang w:eastAsia="en-AU"/>
              </w:rPr>
              <w:t xml:space="preserve">Domestic </w:t>
            </w:r>
            <w:r w:rsidR="003F751E">
              <w:rPr>
                <w:rFonts w:asciiTheme="minorHAnsi" w:hAnsiTheme="minorHAnsi" w:cstheme="minorHAnsi"/>
                <w:b w:val="0"/>
                <w:bCs w:val="0"/>
                <w:color w:val="000000"/>
                <w:sz w:val="22"/>
                <w:lang w:eastAsia="en-AU"/>
              </w:rPr>
              <w:t>h</w:t>
            </w:r>
            <w:r w:rsidRPr="009700F3">
              <w:rPr>
                <w:rFonts w:asciiTheme="minorHAnsi" w:hAnsiTheme="minorHAnsi" w:cstheme="minorHAnsi"/>
                <w:b w:val="0"/>
                <w:bCs w:val="0"/>
                <w:color w:val="000000"/>
                <w:sz w:val="22"/>
                <w:lang w:eastAsia="en-AU"/>
              </w:rPr>
              <w:t xml:space="preserve">ire </w:t>
            </w:r>
            <w:r w:rsidR="003F751E">
              <w:rPr>
                <w:rFonts w:asciiTheme="minorHAnsi" w:hAnsiTheme="minorHAnsi" w:cstheme="minorHAnsi"/>
                <w:b w:val="0"/>
                <w:bCs w:val="0"/>
                <w:color w:val="000000"/>
                <w:sz w:val="22"/>
                <w:lang w:eastAsia="en-AU"/>
              </w:rPr>
              <w:t>c</w:t>
            </w:r>
            <w:r w:rsidRPr="009700F3">
              <w:rPr>
                <w:rFonts w:asciiTheme="minorHAnsi" w:hAnsiTheme="minorHAnsi" w:cstheme="minorHAnsi"/>
                <w:b w:val="0"/>
                <w:bCs w:val="0"/>
                <w:color w:val="000000"/>
                <w:sz w:val="22"/>
                <w:lang w:eastAsia="en-AU"/>
              </w:rPr>
              <w:t>ar</w:t>
            </w:r>
          </w:p>
        </w:tc>
        <w:tc>
          <w:tcPr>
            <w:tcW w:w="705" w:type="pct"/>
            <w:vAlign w:val="center"/>
            <w:hideMark/>
          </w:tcPr>
          <w:p w14:paraId="0DE5882B"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712" w:type="pct"/>
            <w:vAlign w:val="center"/>
            <w:hideMark/>
          </w:tcPr>
          <w:p w14:paraId="39A586F4"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65" w:type="pct"/>
            <w:vAlign w:val="center"/>
            <w:hideMark/>
          </w:tcPr>
          <w:p w14:paraId="1E37145C"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683" w:type="pct"/>
            <w:vAlign w:val="center"/>
            <w:hideMark/>
          </w:tcPr>
          <w:p w14:paraId="4214DF78"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172692E7" w14:textId="77777777" w:rsidTr="00F441E2">
        <w:trPr>
          <w:trHeight w:val="300"/>
        </w:trPr>
        <w:tc>
          <w:tcPr>
            <w:cnfStyle w:val="001000000000" w:firstRow="0" w:lastRow="0" w:firstColumn="1" w:lastColumn="0" w:oddVBand="0" w:evenVBand="0" w:oddHBand="0" w:evenHBand="0" w:firstRowFirstColumn="0" w:firstRowLastColumn="0" w:lastRowFirstColumn="0" w:lastRowLastColumn="0"/>
            <w:tcW w:w="2235" w:type="pct"/>
            <w:noWrap/>
            <w:vAlign w:val="center"/>
            <w:hideMark/>
          </w:tcPr>
          <w:p w14:paraId="345C92DA" w14:textId="2FBFB066" w:rsidR="004C085D" w:rsidRPr="009700F3" w:rsidRDefault="004C085D" w:rsidP="00F441E2">
            <w:pPr>
              <w:spacing w:line="240" w:lineRule="exact"/>
              <w:contextualSpacing/>
              <w:rPr>
                <w:rFonts w:asciiTheme="minorHAnsi" w:hAnsiTheme="minorHAnsi" w:cstheme="minorHAnsi"/>
                <w:b w:val="0"/>
                <w:bCs w:val="0"/>
                <w:color w:val="000000"/>
                <w:sz w:val="22"/>
                <w:lang w:eastAsia="en-AU"/>
              </w:rPr>
            </w:pPr>
            <w:r w:rsidRPr="009700F3">
              <w:rPr>
                <w:rFonts w:asciiTheme="minorHAnsi" w:hAnsiTheme="minorHAnsi" w:cstheme="minorHAnsi"/>
                <w:b w:val="0"/>
                <w:bCs w:val="0"/>
                <w:color w:val="000000"/>
                <w:sz w:val="22"/>
                <w:lang w:eastAsia="en-AU"/>
              </w:rPr>
              <w:t xml:space="preserve">Domestic </w:t>
            </w:r>
            <w:r w:rsidR="003F751E">
              <w:rPr>
                <w:rFonts w:asciiTheme="minorHAnsi" w:hAnsiTheme="minorHAnsi" w:cstheme="minorHAnsi"/>
                <w:b w:val="0"/>
                <w:bCs w:val="0"/>
                <w:color w:val="000000"/>
                <w:sz w:val="22"/>
                <w:lang w:eastAsia="en-AU"/>
              </w:rPr>
              <w:t>t</w:t>
            </w:r>
            <w:r w:rsidRPr="009700F3">
              <w:rPr>
                <w:rFonts w:asciiTheme="minorHAnsi" w:hAnsiTheme="minorHAnsi" w:cstheme="minorHAnsi"/>
                <w:b w:val="0"/>
                <w:bCs w:val="0"/>
                <w:color w:val="000000"/>
                <w:sz w:val="22"/>
                <w:lang w:eastAsia="en-AU"/>
              </w:rPr>
              <w:t xml:space="preserve">ravel </w:t>
            </w:r>
            <w:r w:rsidR="007C3FF9">
              <w:rPr>
                <w:rFonts w:asciiTheme="minorHAnsi" w:hAnsiTheme="minorHAnsi" w:cstheme="minorHAnsi"/>
                <w:b w:val="0"/>
                <w:bCs w:val="0"/>
                <w:color w:val="000000"/>
                <w:sz w:val="22"/>
                <w:lang w:eastAsia="en-AU"/>
              </w:rPr>
              <w:t>a</w:t>
            </w:r>
            <w:r w:rsidRPr="009700F3">
              <w:rPr>
                <w:rFonts w:asciiTheme="minorHAnsi" w:hAnsiTheme="minorHAnsi" w:cstheme="minorHAnsi"/>
                <w:b w:val="0"/>
                <w:bCs w:val="0"/>
                <w:color w:val="000000"/>
                <w:sz w:val="22"/>
                <w:lang w:eastAsia="en-AU"/>
              </w:rPr>
              <w:t>ccommodation</w:t>
            </w:r>
          </w:p>
        </w:tc>
        <w:tc>
          <w:tcPr>
            <w:tcW w:w="705" w:type="pct"/>
            <w:vAlign w:val="center"/>
            <w:hideMark/>
          </w:tcPr>
          <w:p w14:paraId="5E7A82D2"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712" w:type="pct"/>
            <w:vAlign w:val="center"/>
            <w:hideMark/>
          </w:tcPr>
          <w:p w14:paraId="1CF99306"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65" w:type="pct"/>
            <w:vAlign w:val="center"/>
            <w:hideMark/>
          </w:tcPr>
          <w:p w14:paraId="2D8A13C3"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683" w:type="pct"/>
            <w:vAlign w:val="center"/>
            <w:hideMark/>
          </w:tcPr>
          <w:p w14:paraId="2524FDBA"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5953D487" w14:textId="77777777" w:rsidTr="00F441E2">
        <w:trPr>
          <w:trHeight w:val="300"/>
        </w:trPr>
        <w:tc>
          <w:tcPr>
            <w:cnfStyle w:val="001000000000" w:firstRow="0" w:lastRow="0" w:firstColumn="1" w:lastColumn="0" w:oddVBand="0" w:evenVBand="0" w:oddHBand="0" w:evenHBand="0" w:firstRowFirstColumn="0" w:firstRowLastColumn="0" w:lastRowFirstColumn="0" w:lastRowLastColumn="0"/>
            <w:tcW w:w="2235" w:type="pct"/>
            <w:noWrap/>
            <w:vAlign w:val="center"/>
          </w:tcPr>
          <w:p w14:paraId="3DDE6296" w14:textId="516DF8F4" w:rsidR="004C085D" w:rsidRPr="009700F3" w:rsidRDefault="004C085D" w:rsidP="00F441E2">
            <w:pPr>
              <w:spacing w:line="240" w:lineRule="exact"/>
              <w:contextualSpacing/>
              <w:rPr>
                <w:rFonts w:asciiTheme="minorHAnsi" w:hAnsiTheme="minorHAnsi" w:cstheme="minorHAnsi"/>
                <w:b w:val="0"/>
                <w:bCs w:val="0"/>
                <w:color w:val="000000"/>
                <w:sz w:val="22"/>
                <w:lang w:eastAsia="en-AU"/>
              </w:rPr>
            </w:pPr>
            <w:r w:rsidRPr="009700F3">
              <w:rPr>
                <w:rFonts w:asciiTheme="minorHAnsi" w:hAnsiTheme="minorHAnsi" w:cstheme="minorHAnsi"/>
                <w:b w:val="0"/>
                <w:bCs w:val="0"/>
                <w:color w:val="000000"/>
                <w:sz w:val="22"/>
                <w:lang w:eastAsia="en-AU"/>
              </w:rPr>
              <w:t xml:space="preserve">Other </w:t>
            </w:r>
            <w:r w:rsidR="007C3FF9">
              <w:rPr>
                <w:rFonts w:asciiTheme="minorHAnsi" w:hAnsiTheme="minorHAnsi" w:cstheme="minorHAnsi"/>
                <w:b w:val="0"/>
                <w:bCs w:val="0"/>
                <w:color w:val="000000"/>
                <w:sz w:val="22"/>
                <w:lang w:eastAsia="en-AU"/>
              </w:rPr>
              <w:t>e</w:t>
            </w:r>
            <w:r w:rsidRPr="009700F3">
              <w:rPr>
                <w:rFonts w:asciiTheme="minorHAnsi" w:hAnsiTheme="minorHAnsi" w:cstheme="minorHAnsi"/>
                <w:b w:val="0"/>
                <w:bCs w:val="0"/>
                <w:color w:val="000000"/>
                <w:sz w:val="22"/>
                <w:lang w:eastAsia="en-AU"/>
              </w:rPr>
              <w:t>nergy</w:t>
            </w:r>
          </w:p>
        </w:tc>
        <w:tc>
          <w:tcPr>
            <w:tcW w:w="705" w:type="pct"/>
            <w:vAlign w:val="center"/>
          </w:tcPr>
          <w:p w14:paraId="1778F6F3" w14:textId="690A308A"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712" w:type="pct"/>
            <w:vAlign w:val="center"/>
          </w:tcPr>
          <w:p w14:paraId="16A695AE"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65" w:type="pct"/>
            <w:vAlign w:val="center"/>
          </w:tcPr>
          <w:p w14:paraId="0FC9000B"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683" w:type="pct"/>
            <w:vAlign w:val="center"/>
          </w:tcPr>
          <w:p w14:paraId="2D135294" w14:textId="77777777" w:rsidR="004C085D" w:rsidRPr="009700F3" w:rsidRDefault="004C085D" w:rsidP="00F441E2">
            <w:pPr>
              <w:spacing w:line="240" w:lineRule="exact"/>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1475ED1C" w14:textId="77777777" w:rsidTr="00F441E2">
        <w:trPr>
          <w:trHeight w:val="315"/>
        </w:trPr>
        <w:tc>
          <w:tcPr>
            <w:cnfStyle w:val="001000000000" w:firstRow="0" w:lastRow="0" w:firstColumn="1" w:lastColumn="0" w:oddVBand="0" w:evenVBand="0" w:oddHBand="0" w:evenHBand="0" w:firstRowFirstColumn="0" w:firstRowLastColumn="0" w:lastRowFirstColumn="0" w:lastRowLastColumn="0"/>
            <w:tcW w:w="2235" w:type="pct"/>
            <w:shd w:val="clear" w:color="auto" w:fill="359D9A"/>
            <w:noWrap/>
            <w:vAlign w:val="center"/>
          </w:tcPr>
          <w:p w14:paraId="000D13F1" w14:textId="77777777" w:rsidR="004C085D" w:rsidRPr="009700F3" w:rsidRDefault="004C085D" w:rsidP="00F441E2">
            <w:pPr>
              <w:spacing w:line="240" w:lineRule="exact"/>
              <w:contextualSpacing/>
              <w:rPr>
                <w:rFonts w:asciiTheme="minorHAnsi" w:hAnsiTheme="minorHAnsi" w:cstheme="minorHAnsi"/>
                <w:color w:val="FFFFFF" w:themeColor="background1"/>
                <w:sz w:val="22"/>
                <w:lang w:eastAsia="en-AU"/>
              </w:rPr>
            </w:pPr>
            <w:r w:rsidRPr="009700F3">
              <w:rPr>
                <w:rFonts w:asciiTheme="minorHAnsi" w:hAnsiTheme="minorHAnsi" w:cstheme="minorHAnsi"/>
                <w:color w:val="FFFFFF" w:themeColor="background1"/>
                <w:sz w:val="22"/>
                <w:lang w:eastAsia="en-AU"/>
              </w:rPr>
              <w:t>Total</w:t>
            </w:r>
          </w:p>
          <w:p w14:paraId="10C2B050" w14:textId="77777777" w:rsidR="004C085D" w:rsidRPr="009700F3" w:rsidRDefault="004C085D" w:rsidP="00F441E2">
            <w:pPr>
              <w:spacing w:line="240" w:lineRule="exact"/>
              <w:contextualSpacing/>
              <w:rPr>
                <w:rFonts w:asciiTheme="minorHAnsi" w:hAnsiTheme="minorHAnsi" w:cstheme="minorHAnsi"/>
                <w:color w:val="FFFFFF" w:themeColor="background1"/>
                <w:sz w:val="22"/>
                <w:lang w:eastAsia="en-AU"/>
              </w:rPr>
            </w:pPr>
            <w:r w:rsidRPr="009700F3">
              <w:rPr>
                <w:rFonts w:asciiTheme="minorHAnsi" w:hAnsiTheme="minorHAnsi" w:cstheme="minorHAnsi"/>
                <w:color w:val="FFFFFF" w:themeColor="background1"/>
                <w:sz w:val="22"/>
                <w:lang w:eastAsia="en-AU"/>
              </w:rPr>
              <w:t>t CO</w:t>
            </w:r>
            <w:r w:rsidRPr="009700F3">
              <w:rPr>
                <w:rFonts w:asciiTheme="minorHAnsi" w:hAnsiTheme="minorHAnsi" w:cstheme="minorHAnsi"/>
                <w:color w:val="FFFFFF" w:themeColor="background1"/>
                <w:sz w:val="22"/>
                <w:vertAlign w:val="subscript"/>
                <w:lang w:eastAsia="en-AU"/>
              </w:rPr>
              <w:t>2</w:t>
            </w:r>
            <w:r w:rsidRPr="009700F3">
              <w:rPr>
                <w:rFonts w:asciiTheme="minorHAnsi" w:hAnsiTheme="minorHAnsi" w:cstheme="minorHAnsi"/>
                <w:color w:val="FFFFFF" w:themeColor="background1"/>
                <w:sz w:val="22"/>
                <w:lang w:eastAsia="en-AU"/>
              </w:rPr>
              <w:t>-e</w:t>
            </w:r>
          </w:p>
        </w:tc>
        <w:tc>
          <w:tcPr>
            <w:tcW w:w="705" w:type="pct"/>
            <w:shd w:val="clear" w:color="auto" w:fill="359D9A"/>
            <w:vAlign w:val="center"/>
            <w:hideMark/>
          </w:tcPr>
          <w:p w14:paraId="17F2A38A" w14:textId="77777777" w:rsidR="004C085D" w:rsidRPr="009700F3" w:rsidRDefault="004C085D" w:rsidP="00F441E2">
            <w:pPr>
              <w:spacing w:line="240" w:lineRule="exac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 </w:t>
            </w:r>
          </w:p>
        </w:tc>
        <w:tc>
          <w:tcPr>
            <w:tcW w:w="712" w:type="pct"/>
            <w:shd w:val="clear" w:color="auto" w:fill="359D9A"/>
            <w:vAlign w:val="center"/>
            <w:hideMark/>
          </w:tcPr>
          <w:p w14:paraId="5278A849" w14:textId="77777777" w:rsidR="004C085D" w:rsidRPr="009700F3" w:rsidRDefault="004C085D" w:rsidP="00F441E2">
            <w:pPr>
              <w:spacing w:line="240" w:lineRule="exac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 </w:t>
            </w:r>
          </w:p>
        </w:tc>
        <w:tc>
          <w:tcPr>
            <w:tcW w:w="665" w:type="pct"/>
            <w:shd w:val="clear" w:color="auto" w:fill="359D9A"/>
            <w:vAlign w:val="center"/>
            <w:hideMark/>
          </w:tcPr>
          <w:p w14:paraId="79DCE747" w14:textId="77777777" w:rsidR="004C085D" w:rsidRPr="009700F3" w:rsidRDefault="004C085D" w:rsidP="00F441E2">
            <w:pPr>
              <w:spacing w:line="240" w:lineRule="exac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 </w:t>
            </w:r>
          </w:p>
        </w:tc>
        <w:tc>
          <w:tcPr>
            <w:tcW w:w="683" w:type="pct"/>
            <w:shd w:val="clear" w:color="auto" w:fill="359D9A"/>
            <w:vAlign w:val="center"/>
            <w:hideMark/>
          </w:tcPr>
          <w:p w14:paraId="2AA198F6" w14:textId="77777777" w:rsidR="004C085D" w:rsidRPr="009700F3" w:rsidRDefault="004C085D" w:rsidP="00F441E2">
            <w:pPr>
              <w:spacing w:line="240" w:lineRule="exac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 </w:t>
            </w:r>
          </w:p>
        </w:tc>
      </w:tr>
    </w:tbl>
    <w:p w14:paraId="0B16198D" w14:textId="0ADB540E" w:rsidR="004C085D" w:rsidRPr="00B81A84" w:rsidRDefault="004C085D" w:rsidP="004C085D">
      <w:pPr>
        <w:spacing w:after="0" w:line="240" w:lineRule="exact"/>
        <w:rPr>
          <w:rFonts w:asciiTheme="minorHAnsi" w:hAnsiTheme="minorHAnsi" w:cstheme="minorHAnsi"/>
          <w:szCs w:val="20"/>
          <w:lang w:eastAsia="en-AU"/>
        </w:rPr>
      </w:pPr>
      <w:r w:rsidRPr="00B81A84">
        <w:rPr>
          <w:rFonts w:asciiTheme="minorHAnsi" w:hAnsiTheme="minorHAnsi" w:cstheme="minorHAnsi"/>
          <w:b/>
          <w:bCs/>
          <w:szCs w:val="20"/>
          <w:lang w:eastAsia="en-AU"/>
        </w:rPr>
        <w:t>Note: </w:t>
      </w:r>
      <w:r w:rsidRPr="0052220E">
        <w:rPr>
          <w:rFonts w:asciiTheme="minorHAnsi" w:hAnsiTheme="minorHAnsi" w:cstheme="minorHAnsi"/>
          <w:szCs w:val="20"/>
          <w:lang w:eastAsia="en-AU"/>
        </w:rPr>
        <w:t>T</w:t>
      </w:r>
      <w:r w:rsidRPr="00B81A84">
        <w:rPr>
          <w:rFonts w:asciiTheme="minorHAnsi" w:hAnsiTheme="minorHAnsi" w:cstheme="minorHAnsi"/>
          <w:szCs w:val="20"/>
          <w:lang w:eastAsia="en-AU"/>
        </w:rPr>
        <w:t>he table above presents emissions related to electricity usage using the location-based accounting method. CO</w:t>
      </w:r>
      <w:r w:rsidRPr="00B81A84">
        <w:rPr>
          <w:rFonts w:asciiTheme="minorHAnsi" w:hAnsiTheme="minorHAnsi" w:cstheme="minorHAnsi"/>
          <w:szCs w:val="20"/>
          <w:vertAlign w:val="subscript"/>
          <w:lang w:eastAsia="en-AU"/>
        </w:rPr>
        <w:t>2</w:t>
      </w:r>
      <w:r w:rsidRPr="00B81A84">
        <w:rPr>
          <w:rFonts w:asciiTheme="minorHAnsi" w:hAnsiTheme="minorHAnsi" w:cstheme="minorHAnsi"/>
          <w:szCs w:val="20"/>
          <w:lang w:eastAsia="en-AU"/>
        </w:rPr>
        <w:t xml:space="preserve">-e = Carbon </w:t>
      </w:r>
      <w:r w:rsidR="00343C6E">
        <w:rPr>
          <w:rFonts w:asciiTheme="minorHAnsi" w:hAnsiTheme="minorHAnsi" w:cstheme="minorHAnsi"/>
          <w:szCs w:val="20"/>
          <w:lang w:eastAsia="en-AU"/>
        </w:rPr>
        <w:t>d</w:t>
      </w:r>
      <w:r w:rsidRPr="00B81A84">
        <w:rPr>
          <w:rFonts w:asciiTheme="minorHAnsi" w:hAnsiTheme="minorHAnsi" w:cstheme="minorHAnsi"/>
          <w:szCs w:val="20"/>
          <w:lang w:eastAsia="en-AU"/>
        </w:rPr>
        <w:t xml:space="preserve">ioxide </w:t>
      </w:r>
      <w:r w:rsidR="00343C6E">
        <w:rPr>
          <w:rFonts w:asciiTheme="minorHAnsi" w:hAnsiTheme="minorHAnsi" w:cstheme="minorHAnsi"/>
          <w:szCs w:val="20"/>
          <w:lang w:eastAsia="en-AU"/>
        </w:rPr>
        <w:t>e</w:t>
      </w:r>
      <w:r w:rsidRPr="00B81A84">
        <w:rPr>
          <w:rFonts w:asciiTheme="minorHAnsi" w:hAnsiTheme="minorHAnsi" w:cstheme="minorHAnsi"/>
          <w:szCs w:val="20"/>
          <w:lang w:eastAsia="en-AU"/>
        </w:rPr>
        <w:t>quivalent.</w:t>
      </w:r>
    </w:p>
    <w:p w14:paraId="69DEE98C" w14:textId="3FA9D283" w:rsidR="004C085D" w:rsidRDefault="004C085D" w:rsidP="004C085D">
      <w:pPr>
        <w:spacing w:after="0" w:line="240" w:lineRule="exact"/>
        <w:rPr>
          <w:rFonts w:asciiTheme="minorHAnsi" w:hAnsiTheme="minorHAnsi" w:cstheme="minorHAnsi"/>
          <w:szCs w:val="20"/>
          <w:lang w:eastAsia="en-AU"/>
        </w:rPr>
      </w:pPr>
      <w:r w:rsidRPr="00B81A84">
        <w:rPr>
          <w:rFonts w:asciiTheme="minorHAnsi" w:hAnsiTheme="minorHAnsi" w:cstheme="minorHAnsi"/>
          <w:szCs w:val="20"/>
          <w:lang w:eastAsia="en-AU"/>
        </w:rPr>
        <w:t>*</w:t>
      </w:r>
      <w:r w:rsidRPr="00B81A84">
        <w:rPr>
          <w:rFonts w:asciiTheme="minorHAnsi" w:hAnsiTheme="minorHAnsi" w:cstheme="minorHAnsi"/>
        </w:rPr>
        <w:t xml:space="preserve"> </w:t>
      </w:r>
      <w:r w:rsidRPr="00B81A84">
        <w:rPr>
          <w:rFonts w:asciiTheme="minorHAnsi" w:hAnsiTheme="minorHAnsi" w:cstheme="minorHAnsi"/>
          <w:szCs w:val="20"/>
          <w:lang w:eastAsia="en-AU"/>
        </w:rPr>
        <w:t xml:space="preserve">Reporting on refrigerants is being phased in over time as emissions reporting matures and may be an optional source in 2024-25 emissions reporting.  </w:t>
      </w:r>
      <w:r w:rsidR="009774F2">
        <w:rPr>
          <w:rFonts w:asciiTheme="minorHAnsi" w:hAnsiTheme="minorHAnsi" w:cstheme="minorHAnsi"/>
          <w:szCs w:val="20"/>
          <w:lang w:eastAsia="en-AU"/>
        </w:rPr>
        <w:t>Refer to</w:t>
      </w:r>
      <w:r w:rsidRPr="00B81A84">
        <w:rPr>
          <w:rFonts w:asciiTheme="minorHAnsi" w:hAnsiTheme="minorHAnsi" w:cstheme="minorHAnsi"/>
          <w:szCs w:val="20"/>
          <w:lang w:eastAsia="en-AU"/>
        </w:rPr>
        <w:t xml:space="preserve"> the </w:t>
      </w:r>
      <w:hyperlink r:id="rId56" w:history="1">
        <w:r w:rsidRPr="00B81A84" w:rsidDel="00343C6E">
          <w:rPr>
            <w:rStyle w:val="Hyperlink"/>
            <w:rFonts w:asciiTheme="minorHAnsi" w:hAnsiTheme="minorHAnsi" w:cstheme="minorHAnsi"/>
            <w:szCs w:val="20"/>
            <w:lang w:eastAsia="en-AU"/>
          </w:rPr>
          <w:t>Emissions Reporting</w:t>
        </w:r>
        <w:r w:rsidRPr="00B81A84">
          <w:rPr>
            <w:rStyle w:val="Hyperlink"/>
            <w:rFonts w:asciiTheme="minorHAnsi" w:hAnsiTheme="minorHAnsi" w:cstheme="minorHAnsi"/>
            <w:szCs w:val="20"/>
            <w:lang w:eastAsia="en-AU"/>
          </w:rPr>
          <w:t xml:space="preserve"> Framework</w:t>
        </w:r>
      </w:hyperlink>
      <w:r w:rsidRPr="00B81A84">
        <w:rPr>
          <w:rFonts w:asciiTheme="minorHAnsi" w:hAnsiTheme="minorHAnsi" w:cstheme="minorHAnsi"/>
          <w:szCs w:val="20"/>
          <w:lang w:eastAsia="en-AU"/>
        </w:rPr>
        <w:t xml:space="preserve"> for more details. </w:t>
      </w:r>
    </w:p>
    <w:p w14:paraId="23A96E6B" w14:textId="77777777" w:rsidR="004656E6" w:rsidRDefault="004656E6" w:rsidP="004C085D">
      <w:pPr>
        <w:spacing w:after="0" w:line="240" w:lineRule="exact"/>
        <w:rPr>
          <w:rFonts w:asciiTheme="minorHAnsi" w:hAnsiTheme="minorHAnsi" w:cstheme="minorHAnsi"/>
          <w:szCs w:val="20"/>
          <w:lang w:eastAsia="en-AU"/>
        </w:rPr>
      </w:pPr>
    </w:p>
    <w:p w14:paraId="65029737" w14:textId="77777777" w:rsidR="004656E6" w:rsidRDefault="004656E6" w:rsidP="004C085D">
      <w:pPr>
        <w:spacing w:after="0" w:line="240" w:lineRule="exact"/>
        <w:rPr>
          <w:rFonts w:asciiTheme="minorHAnsi" w:hAnsiTheme="minorHAnsi" w:cstheme="minorHAnsi"/>
          <w:szCs w:val="20"/>
          <w:lang w:eastAsia="en-AU"/>
        </w:rPr>
      </w:pPr>
    </w:p>
    <w:p w14:paraId="7707D9D6" w14:textId="77777777" w:rsidR="004656E6" w:rsidRDefault="004656E6" w:rsidP="004C085D">
      <w:pPr>
        <w:spacing w:after="0" w:line="240" w:lineRule="exact"/>
        <w:rPr>
          <w:rFonts w:asciiTheme="minorHAnsi" w:hAnsiTheme="minorHAnsi" w:cstheme="minorHAnsi"/>
          <w:szCs w:val="20"/>
          <w:lang w:eastAsia="en-AU"/>
        </w:rPr>
      </w:pPr>
    </w:p>
    <w:p w14:paraId="4E5E52BC" w14:textId="77777777" w:rsidR="004656E6" w:rsidRPr="00B81A84" w:rsidRDefault="004656E6" w:rsidP="004C085D">
      <w:pPr>
        <w:spacing w:after="0" w:line="240" w:lineRule="exact"/>
        <w:rPr>
          <w:rFonts w:asciiTheme="minorHAnsi" w:hAnsiTheme="minorHAnsi" w:cstheme="minorHAnsi"/>
          <w:szCs w:val="20"/>
          <w:lang w:eastAsia="en-AU"/>
        </w:rPr>
      </w:pPr>
    </w:p>
    <w:p w14:paraId="2F0A7B1F" w14:textId="77777777" w:rsidR="005F363E" w:rsidRDefault="005F363E">
      <w:pPr>
        <w:spacing w:before="0" w:after="160" w:line="259" w:lineRule="auto"/>
        <w:rPr>
          <w:rStyle w:val="Strong"/>
          <w:rFonts w:asciiTheme="minorHAnsi" w:hAnsiTheme="minorHAnsi" w:cstheme="minorHAnsi"/>
          <w:color w:val="212529"/>
          <w:sz w:val="24"/>
          <w:szCs w:val="28"/>
          <w:shd w:val="clear" w:color="auto" w:fill="FFFFFF"/>
        </w:rPr>
      </w:pPr>
      <w:r>
        <w:rPr>
          <w:rStyle w:val="Strong"/>
          <w:rFonts w:asciiTheme="minorHAnsi" w:hAnsiTheme="minorHAnsi" w:cstheme="minorHAnsi"/>
          <w:color w:val="212529"/>
          <w:sz w:val="24"/>
          <w:szCs w:val="28"/>
          <w:shd w:val="clear" w:color="auto" w:fill="FFFFFF"/>
        </w:rPr>
        <w:br w:type="page"/>
      </w:r>
    </w:p>
    <w:p w14:paraId="27B289F6" w14:textId="61AE44D4" w:rsidR="004C085D" w:rsidRPr="00B81A84" w:rsidRDefault="00EF2FF1" w:rsidP="004C085D">
      <w:pPr>
        <w:rPr>
          <w:rStyle w:val="Strong"/>
          <w:rFonts w:asciiTheme="minorHAnsi" w:hAnsiTheme="minorHAnsi" w:cstheme="minorHAnsi"/>
          <w:color w:val="212529"/>
          <w:sz w:val="24"/>
          <w:szCs w:val="28"/>
          <w:shd w:val="clear" w:color="auto" w:fill="FFFFFF"/>
        </w:rPr>
      </w:pPr>
      <w:r w:rsidRPr="00B81A84">
        <w:rPr>
          <w:rStyle w:val="Strong"/>
          <w:rFonts w:asciiTheme="minorHAnsi" w:hAnsiTheme="minorHAnsi" w:cstheme="minorHAnsi"/>
          <w:color w:val="212529"/>
          <w:sz w:val="24"/>
          <w:szCs w:val="28"/>
          <w:shd w:val="clear" w:color="auto" w:fill="FFFFFF"/>
        </w:rPr>
        <w:lastRenderedPageBreak/>
        <w:t xml:space="preserve">2024-25 electricity greenhouse gas emissions </w:t>
      </w:r>
    </w:p>
    <w:tbl>
      <w:tblPr>
        <w:tblStyle w:val="GridTable4-Accent2"/>
        <w:tblW w:w="5000" w:type="pct"/>
        <w:tblInd w:w="0" w:type="dxa"/>
        <w:tblLayout w:type="fixed"/>
        <w:tblLook w:val="06A0" w:firstRow="1" w:lastRow="0" w:firstColumn="1" w:lastColumn="0" w:noHBand="1" w:noVBand="1"/>
      </w:tblPr>
      <w:tblGrid>
        <w:gridCol w:w="4085"/>
        <w:gridCol w:w="1174"/>
        <w:gridCol w:w="1176"/>
        <w:gridCol w:w="1176"/>
        <w:gridCol w:w="1739"/>
      </w:tblGrid>
      <w:tr w:rsidR="0020144B" w:rsidRPr="009700F3" w14:paraId="002A9097" w14:textId="7777777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84" w:type="pct"/>
            <w:noWrap/>
            <w:hideMark/>
          </w:tcPr>
          <w:p w14:paraId="07635DA4" w14:textId="77777777" w:rsidR="004C085D" w:rsidRPr="009700F3" w:rsidRDefault="004C085D" w:rsidP="00F441E2">
            <w:pPr>
              <w:spacing w:line="240" w:lineRule="exact"/>
              <w:contextualSpacing/>
              <w:jc w:val="center"/>
              <w:rPr>
                <w:rFonts w:asciiTheme="minorHAnsi" w:hAnsiTheme="minorHAnsi" w:cstheme="minorHAnsi"/>
                <w:b w:val="0"/>
                <w:bCs w:val="0"/>
                <w:sz w:val="22"/>
                <w:lang w:eastAsia="en-AU"/>
              </w:rPr>
            </w:pPr>
          </w:p>
        </w:tc>
        <w:tc>
          <w:tcPr>
            <w:tcW w:w="628" w:type="pct"/>
          </w:tcPr>
          <w:p w14:paraId="0A0C03B2"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2"/>
                <w:lang w:eastAsia="en-AU"/>
              </w:rPr>
            </w:pPr>
            <w:r w:rsidRPr="009700F3">
              <w:rPr>
                <w:rFonts w:asciiTheme="minorHAnsi" w:eastAsia="Times New Roman" w:hAnsiTheme="minorHAnsi" w:cstheme="minorHAnsi"/>
                <w:sz w:val="22"/>
                <w:lang w:eastAsia="en-AU"/>
              </w:rPr>
              <w:t>Scope 2</w:t>
            </w:r>
          </w:p>
          <w:p w14:paraId="09F6701A" w14:textId="77777777" w:rsidR="004C085D" w:rsidRPr="009700F3" w:rsidRDefault="004C085D" w:rsidP="00F441E2">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2"/>
                <w:lang w:eastAsia="en-AU"/>
              </w:rPr>
            </w:pPr>
            <w:r w:rsidRPr="009700F3">
              <w:rPr>
                <w:rFonts w:asciiTheme="minorHAnsi" w:eastAsia="Times New Roman" w:hAnsiTheme="minorHAnsi" w:cstheme="minorHAnsi"/>
                <w:sz w:val="22"/>
                <w:lang w:eastAsia="en-AU"/>
              </w:rPr>
              <w:t>t CO</w:t>
            </w:r>
            <w:r w:rsidRPr="009700F3">
              <w:rPr>
                <w:rFonts w:asciiTheme="minorHAnsi" w:eastAsia="Times New Roman" w:hAnsiTheme="minorHAnsi" w:cstheme="minorHAnsi"/>
                <w:sz w:val="22"/>
                <w:vertAlign w:val="subscript"/>
                <w:lang w:eastAsia="en-AU"/>
              </w:rPr>
              <w:t>2</w:t>
            </w:r>
            <w:r w:rsidRPr="009700F3">
              <w:rPr>
                <w:rFonts w:asciiTheme="minorHAnsi" w:eastAsia="Times New Roman" w:hAnsiTheme="minorHAnsi" w:cstheme="minorHAnsi"/>
                <w:sz w:val="22"/>
                <w:lang w:eastAsia="en-AU"/>
              </w:rPr>
              <w:t>-e</w:t>
            </w:r>
          </w:p>
        </w:tc>
        <w:tc>
          <w:tcPr>
            <w:tcW w:w="629" w:type="pct"/>
          </w:tcPr>
          <w:p w14:paraId="4E373DE8"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2"/>
                <w:lang w:eastAsia="en-AU"/>
              </w:rPr>
            </w:pPr>
            <w:r w:rsidRPr="009700F3">
              <w:rPr>
                <w:rFonts w:asciiTheme="minorHAnsi" w:eastAsia="Times New Roman" w:hAnsiTheme="minorHAnsi" w:cstheme="minorHAnsi"/>
                <w:sz w:val="22"/>
                <w:lang w:eastAsia="en-AU"/>
              </w:rPr>
              <w:t>Scope 3</w:t>
            </w:r>
          </w:p>
          <w:p w14:paraId="384ECA6B"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2"/>
                <w:lang w:eastAsia="en-AU"/>
              </w:rPr>
            </w:pPr>
            <w:r w:rsidRPr="009700F3">
              <w:rPr>
                <w:rFonts w:asciiTheme="minorHAnsi" w:eastAsia="Times New Roman" w:hAnsiTheme="minorHAnsi" w:cstheme="minorHAnsi"/>
                <w:sz w:val="22"/>
                <w:lang w:eastAsia="en-AU"/>
              </w:rPr>
              <w:t>t CO</w:t>
            </w:r>
            <w:r w:rsidRPr="009700F3">
              <w:rPr>
                <w:rFonts w:asciiTheme="minorHAnsi" w:eastAsia="Times New Roman" w:hAnsiTheme="minorHAnsi" w:cstheme="minorHAnsi"/>
                <w:sz w:val="22"/>
                <w:vertAlign w:val="subscript"/>
                <w:lang w:eastAsia="en-AU"/>
              </w:rPr>
              <w:t>2</w:t>
            </w:r>
            <w:r w:rsidRPr="009700F3">
              <w:rPr>
                <w:rFonts w:asciiTheme="minorHAnsi" w:eastAsia="Times New Roman" w:hAnsiTheme="minorHAnsi" w:cstheme="minorHAnsi"/>
                <w:sz w:val="22"/>
                <w:lang w:eastAsia="en-AU"/>
              </w:rPr>
              <w:t>-e</w:t>
            </w:r>
          </w:p>
        </w:tc>
        <w:tc>
          <w:tcPr>
            <w:tcW w:w="629" w:type="pct"/>
          </w:tcPr>
          <w:p w14:paraId="41B83C3E"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2"/>
                <w:lang w:eastAsia="en-AU"/>
              </w:rPr>
            </w:pPr>
            <w:r w:rsidRPr="009700F3">
              <w:rPr>
                <w:rFonts w:asciiTheme="minorHAnsi" w:eastAsia="Times New Roman" w:hAnsiTheme="minorHAnsi" w:cstheme="minorHAnsi"/>
                <w:sz w:val="22"/>
                <w:lang w:eastAsia="en-AU"/>
              </w:rPr>
              <w:t>Total</w:t>
            </w:r>
          </w:p>
          <w:p w14:paraId="53EBFA67"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2"/>
                <w:lang w:eastAsia="en-AU"/>
              </w:rPr>
            </w:pPr>
            <w:r w:rsidRPr="009700F3">
              <w:rPr>
                <w:rFonts w:asciiTheme="minorHAnsi" w:eastAsia="Times New Roman" w:hAnsiTheme="minorHAnsi" w:cstheme="minorHAnsi"/>
                <w:sz w:val="22"/>
                <w:lang w:eastAsia="en-AU"/>
              </w:rPr>
              <w:t>t CO</w:t>
            </w:r>
            <w:r w:rsidRPr="009700F3">
              <w:rPr>
                <w:rFonts w:asciiTheme="minorHAnsi" w:eastAsia="Times New Roman" w:hAnsiTheme="minorHAnsi" w:cstheme="minorHAnsi"/>
                <w:sz w:val="22"/>
                <w:vertAlign w:val="subscript"/>
                <w:lang w:eastAsia="en-AU"/>
              </w:rPr>
              <w:t>2</w:t>
            </w:r>
            <w:r w:rsidRPr="009700F3">
              <w:rPr>
                <w:rFonts w:asciiTheme="minorHAnsi" w:eastAsia="Times New Roman" w:hAnsiTheme="minorHAnsi" w:cstheme="minorHAnsi"/>
                <w:sz w:val="22"/>
                <w:lang w:eastAsia="en-AU"/>
              </w:rPr>
              <w:t>-e</w:t>
            </w:r>
          </w:p>
        </w:tc>
        <w:tc>
          <w:tcPr>
            <w:tcW w:w="930" w:type="pct"/>
            <w:noWrap/>
            <w:hideMark/>
          </w:tcPr>
          <w:p w14:paraId="1EF22021" w14:textId="77777777" w:rsidR="004C085D" w:rsidRPr="002E57FD"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AU"/>
              </w:rPr>
            </w:pPr>
            <w:r w:rsidRPr="009700F3">
              <w:rPr>
                <w:rFonts w:asciiTheme="minorHAnsi" w:eastAsia="Times New Roman" w:hAnsiTheme="minorHAnsi" w:cstheme="minorHAnsi"/>
                <w:sz w:val="22"/>
                <w:lang w:eastAsia="en-AU"/>
              </w:rPr>
              <w:t>Electricity</w:t>
            </w:r>
          </w:p>
          <w:p w14:paraId="49C75C3E" w14:textId="77777777" w:rsidR="004C085D" w:rsidRPr="009700F3" w:rsidRDefault="004C085D" w:rsidP="00F441E2">
            <w:pPr>
              <w:spacing w:line="240" w:lineRule="exact"/>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2"/>
                <w:lang w:eastAsia="en-AU"/>
              </w:rPr>
            </w:pPr>
            <w:r w:rsidRPr="009700F3">
              <w:rPr>
                <w:rFonts w:asciiTheme="minorHAnsi" w:eastAsia="Times New Roman" w:hAnsiTheme="minorHAnsi" w:cstheme="minorHAnsi"/>
                <w:sz w:val="22"/>
                <w:lang w:eastAsia="en-AU"/>
              </w:rPr>
              <w:t>kWh</w:t>
            </w:r>
          </w:p>
        </w:tc>
      </w:tr>
      <w:tr w:rsidR="004C085D" w:rsidRPr="009700F3" w14:paraId="4C17D88A" w14:textId="77777777" w:rsidTr="00F441E2">
        <w:trPr>
          <w:trHeight w:val="340"/>
        </w:trPr>
        <w:tc>
          <w:tcPr>
            <w:cnfStyle w:val="001000000000" w:firstRow="0" w:lastRow="0" w:firstColumn="1" w:lastColumn="0" w:oddVBand="0" w:evenVBand="0" w:oddHBand="0" w:evenHBand="0" w:firstRowFirstColumn="0" w:firstRowLastColumn="0" w:lastRowFirstColumn="0" w:lastRowLastColumn="0"/>
            <w:tcW w:w="2184" w:type="pct"/>
            <w:noWrap/>
            <w:hideMark/>
          </w:tcPr>
          <w:p w14:paraId="7BF9B111" w14:textId="77777777" w:rsidR="004C085D" w:rsidRPr="00B35DA6" w:rsidRDefault="004C085D" w:rsidP="00F441E2">
            <w:pPr>
              <w:spacing w:after="0"/>
              <w:rPr>
                <w:rFonts w:asciiTheme="minorHAnsi" w:eastAsia="Times New Roman" w:hAnsiTheme="minorHAnsi" w:cstheme="minorHAnsi"/>
                <w:b w:val="0"/>
                <w:bCs w:val="0"/>
                <w:sz w:val="22"/>
                <w:lang w:eastAsia="en-AU"/>
              </w:rPr>
            </w:pPr>
            <w:r w:rsidRPr="00B35DA6">
              <w:rPr>
                <w:rFonts w:asciiTheme="minorHAnsi" w:eastAsia="Times New Roman" w:hAnsiTheme="minorHAnsi" w:cstheme="minorHAnsi"/>
                <w:b w:val="0"/>
                <w:bCs w:val="0"/>
                <w:sz w:val="22"/>
                <w:lang w:eastAsia="en-AU"/>
              </w:rPr>
              <w:t>Location-based electricity emissions</w:t>
            </w:r>
          </w:p>
        </w:tc>
        <w:tc>
          <w:tcPr>
            <w:tcW w:w="628" w:type="pct"/>
          </w:tcPr>
          <w:p w14:paraId="350ACC91"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AU"/>
              </w:rPr>
            </w:pPr>
            <w:r w:rsidRPr="009700F3">
              <w:rPr>
                <w:rFonts w:asciiTheme="minorHAnsi" w:hAnsiTheme="minorHAnsi" w:cstheme="minorHAnsi"/>
                <w:color w:val="000000"/>
                <w:sz w:val="22"/>
                <w:lang w:eastAsia="en-AU"/>
              </w:rPr>
              <w:t>—</w:t>
            </w:r>
          </w:p>
        </w:tc>
        <w:tc>
          <w:tcPr>
            <w:tcW w:w="629" w:type="pct"/>
          </w:tcPr>
          <w:p w14:paraId="7A56B468"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AU"/>
              </w:rPr>
            </w:pPr>
            <w:r w:rsidRPr="009700F3">
              <w:rPr>
                <w:rFonts w:asciiTheme="minorHAnsi" w:hAnsiTheme="minorHAnsi" w:cstheme="minorHAnsi"/>
                <w:color w:val="000000"/>
                <w:sz w:val="22"/>
                <w:lang w:eastAsia="en-AU"/>
              </w:rPr>
              <w:t>—</w:t>
            </w:r>
          </w:p>
        </w:tc>
        <w:tc>
          <w:tcPr>
            <w:tcW w:w="629" w:type="pct"/>
          </w:tcPr>
          <w:p w14:paraId="6B5402E6"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AU"/>
              </w:rPr>
            </w:pPr>
            <w:r w:rsidRPr="009700F3">
              <w:rPr>
                <w:rFonts w:asciiTheme="minorHAnsi" w:hAnsiTheme="minorHAnsi" w:cstheme="minorHAnsi"/>
                <w:color w:val="000000"/>
                <w:sz w:val="22"/>
                <w:lang w:eastAsia="en-AU"/>
              </w:rPr>
              <w:t>—</w:t>
            </w:r>
          </w:p>
        </w:tc>
        <w:tc>
          <w:tcPr>
            <w:tcW w:w="930" w:type="pct"/>
            <w:hideMark/>
          </w:tcPr>
          <w:p w14:paraId="11001AFB"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AU"/>
              </w:rPr>
            </w:pPr>
            <w:r w:rsidRPr="009700F3">
              <w:rPr>
                <w:rFonts w:asciiTheme="minorHAnsi" w:hAnsiTheme="minorHAnsi" w:cstheme="minorHAnsi"/>
                <w:color w:val="000000"/>
                <w:sz w:val="22"/>
                <w:lang w:eastAsia="en-AU"/>
              </w:rPr>
              <w:t>—</w:t>
            </w:r>
          </w:p>
        </w:tc>
      </w:tr>
      <w:tr w:rsidR="004C085D" w:rsidRPr="009700F3" w14:paraId="19C69EDB" w14:textId="77777777" w:rsidTr="00F441E2">
        <w:trPr>
          <w:trHeight w:val="382"/>
        </w:trPr>
        <w:tc>
          <w:tcPr>
            <w:cnfStyle w:val="001000000000" w:firstRow="0" w:lastRow="0" w:firstColumn="1" w:lastColumn="0" w:oddVBand="0" w:evenVBand="0" w:oddHBand="0" w:evenHBand="0" w:firstRowFirstColumn="0" w:firstRowLastColumn="0" w:lastRowFirstColumn="0" w:lastRowLastColumn="0"/>
            <w:tcW w:w="2184" w:type="pct"/>
            <w:noWrap/>
          </w:tcPr>
          <w:p w14:paraId="49DAF94E" w14:textId="77777777" w:rsidR="004C085D" w:rsidRPr="00B35DA6" w:rsidRDefault="004C085D" w:rsidP="00F441E2">
            <w:pPr>
              <w:spacing w:after="0"/>
              <w:rPr>
                <w:rFonts w:asciiTheme="minorHAnsi" w:eastAsia="Times New Roman" w:hAnsiTheme="minorHAnsi" w:cstheme="minorHAnsi"/>
                <w:b w:val="0"/>
                <w:bCs w:val="0"/>
                <w:sz w:val="22"/>
                <w:lang w:eastAsia="en-AU"/>
              </w:rPr>
            </w:pPr>
            <w:r w:rsidRPr="00B35DA6">
              <w:rPr>
                <w:rFonts w:asciiTheme="minorHAnsi" w:eastAsia="Times New Roman" w:hAnsiTheme="minorHAnsi" w:cstheme="minorHAnsi"/>
                <w:b w:val="0"/>
                <w:bCs w:val="0"/>
                <w:sz w:val="22"/>
                <w:lang w:eastAsia="en-AU"/>
              </w:rPr>
              <w:t xml:space="preserve">Market-based electricity emissions </w:t>
            </w:r>
          </w:p>
        </w:tc>
        <w:tc>
          <w:tcPr>
            <w:tcW w:w="628" w:type="pct"/>
          </w:tcPr>
          <w:p w14:paraId="709AF0A3"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629" w:type="pct"/>
          </w:tcPr>
          <w:p w14:paraId="030E8C1D"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629" w:type="pct"/>
          </w:tcPr>
          <w:p w14:paraId="6021E16A"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en-AU"/>
              </w:rPr>
            </w:pPr>
            <w:r w:rsidRPr="009700F3">
              <w:rPr>
                <w:rFonts w:asciiTheme="minorHAnsi" w:hAnsiTheme="minorHAnsi" w:cstheme="minorHAnsi"/>
                <w:color w:val="000000"/>
                <w:sz w:val="22"/>
                <w:lang w:eastAsia="en-AU"/>
              </w:rPr>
              <w:t>—</w:t>
            </w:r>
          </w:p>
        </w:tc>
        <w:tc>
          <w:tcPr>
            <w:tcW w:w="930" w:type="pct"/>
          </w:tcPr>
          <w:p w14:paraId="0ED19826"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476F1424" w14:textId="77777777" w:rsidTr="00F441E2">
        <w:trPr>
          <w:trHeight w:val="292"/>
        </w:trPr>
        <w:tc>
          <w:tcPr>
            <w:cnfStyle w:val="001000000000" w:firstRow="0" w:lastRow="0" w:firstColumn="1" w:lastColumn="0" w:oddVBand="0" w:evenVBand="0" w:oddHBand="0" w:evenHBand="0" w:firstRowFirstColumn="0" w:firstRowLastColumn="0" w:lastRowFirstColumn="0" w:lastRowLastColumn="0"/>
            <w:tcW w:w="2184" w:type="pct"/>
            <w:shd w:val="clear" w:color="auto" w:fill="359D9A" w:themeFill="accent2"/>
            <w:noWrap/>
          </w:tcPr>
          <w:p w14:paraId="73C9021C" w14:textId="77777777" w:rsidR="004C085D" w:rsidRPr="00B35DA6" w:rsidRDefault="004C085D" w:rsidP="00F441E2">
            <w:pPr>
              <w:spacing w:after="0"/>
              <w:rPr>
                <w:rFonts w:asciiTheme="minorHAnsi" w:eastAsia="Times New Roman" w:hAnsiTheme="minorHAnsi" w:cstheme="minorHAnsi"/>
                <w:color w:val="FFFFFF" w:themeColor="background1"/>
                <w:sz w:val="22"/>
                <w:lang w:eastAsia="en-AU"/>
              </w:rPr>
            </w:pPr>
            <w:r w:rsidRPr="00B35DA6">
              <w:rPr>
                <w:rFonts w:asciiTheme="minorHAnsi" w:eastAsia="Times New Roman" w:hAnsiTheme="minorHAnsi" w:cstheme="minorHAnsi"/>
                <w:color w:val="FFFFFF" w:themeColor="background1"/>
                <w:sz w:val="22"/>
                <w:lang w:eastAsia="en-AU"/>
              </w:rPr>
              <w:t>Total renewable electricity consumed</w:t>
            </w:r>
          </w:p>
        </w:tc>
        <w:tc>
          <w:tcPr>
            <w:tcW w:w="628" w:type="pct"/>
            <w:shd w:val="clear" w:color="auto" w:fill="359D9A" w:themeFill="accent2"/>
          </w:tcPr>
          <w:p w14:paraId="0162E21D" w14:textId="77777777" w:rsidR="004C085D" w:rsidRPr="00B35DA6"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2"/>
                <w:lang w:eastAsia="en-AU"/>
              </w:rPr>
            </w:pPr>
            <w:r w:rsidRPr="00B35DA6">
              <w:rPr>
                <w:rFonts w:asciiTheme="minorHAnsi" w:hAnsiTheme="minorHAnsi" w:cstheme="minorHAnsi"/>
                <w:color w:val="FFFFFF" w:themeColor="background1"/>
                <w:sz w:val="22"/>
                <w:lang w:eastAsia="en-AU"/>
              </w:rPr>
              <w:t>n/a</w:t>
            </w:r>
          </w:p>
        </w:tc>
        <w:tc>
          <w:tcPr>
            <w:tcW w:w="629" w:type="pct"/>
            <w:shd w:val="clear" w:color="auto" w:fill="359D9A" w:themeFill="accent2"/>
          </w:tcPr>
          <w:p w14:paraId="4989226A" w14:textId="77777777" w:rsidR="004C085D" w:rsidRPr="00B35DA6"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2"/>
                <w:lang w:eastAsia="en-AU"/>
              </w:rPr>
            </w:pPr>
            <w:r w:rsidRPr="00B35DA6">
              <w:rPr>
                <w:rFonts w:asciiTheme="minorHAnsi" w:hAnsiTheme="minorHAnsi" w:cstheme="minorHAnsi"/>
                <w:color w:val="FFFFFF" w:themeColor="background1"/>
                <w:sz w:val="22"/>
                <w:lang w:eastAsia="en-AU"/>
              </w:rPr>
              <w:t>n/a</w:t>
            </w:r>
          </w:p>
        </w:tc>
        <w:tc>
          <w:tcPr>
            <w:tcW w:w="629" w:type="pct"/>
            <w:shd w:val="clear" w:color="auto" w:fill="359D9A" w:themeFill="accent2"/>
          </w:tcPr>
          <w:p w14:paraId="2CFA18F9" w14:textId="77777777" w:rsidR="004C085D" w:rsidRPr="00B35DA6"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2"/>
                <w:lang w:eastAsia="en-AU"/>
              </w:rPr>
            </w:pPr>
            <w:r w:rsidRPr="00B35DA6">
              <w:rPr>
                <w:rFonts w:asciiTheme="minorHAnsi" w:hAnsiTheme="minorHAnsi" w:cstheme="minorHAnsi"/>
                <w:color w:val="FFFFFF" w:themeColor="background1"/>
                <w:sz w:val="22"/>
                <w:lang w:eastAsia="en-AU"/>
              </w:rPr>
              <w:t>n/a</w:t>
            </w:r>
          </w:p>
        </w:tc>
        <w:tc>
          <w:tcPr>
            <w:tcW w:w="930" w:type="pct"/>
            <w:shd w:val="clear" w:color="auto" w:fill="359D9A" w:themeFill="accent2"/>
            <w:hideMark/>
          </w:tcPr>
          <w:p w14:paraId="119CCCF2" w14:textId="77777777" w:rsidR="004C085D" w:rsidRPr="00B35DA6"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themeColor="background1"/>
                <w:sz w:val="22"/>
                <w:lang w:eastAsia="en-AU"/>
              </w:rPr>
            </w:pPr>
            <w:r w:rsidRPr="00B35DA6">
              <w:rPr>
                <w:rFonts w:asciiTheme="minorHAnsi" w:hAnsiTheme="minorHAnsi" w:cstheme="minorHAnsi"/>
                <w:color w:val="FFFFFF" w:themeColor="background1"/>
                <w:sz w:val="22"/>
                <w:lang w:eastAsia="en-AU"/>
              </w:rPr>
              <w:t>—</w:t>
            </w:r>
          </w:p>
        </w:tc>
      </w:tr>
      <w:tr w:rsidR="004C085D" w:rsidRPr="009700F3" w14:paraId="7730AE8D" w14:textId="77777777" w:rsidTr="00F441E2">
        <w:trPr>
          <w:trHeight w:val="292"/>
        </w:trPr>
        <w:tc>
          <w:tcPr>
            <w:cnfStyle w:val="001000000000" w:firstRow="0" w:lastRow="0" w:firstColumn="1" w:lastColumn="0" w:oddVBand="0" w:evenVBand="0" w:oddHBand="0" w:evenHBand="0" w:firstRowFirstColumn="0" w:firstRowLastColumn="0" w:lastRowFirstColumn="0" w:lastRowLastColumn="0"/>
            <w:tcW w:w="2184" w:type="pct"/>
            <w:noWrap/>
          </w:tcPr>
          <w:p w14:paraId="0B6473B6" w14:textId="77777777" w:rsidR="004C085D" w:rsidRPr="009700F3" w:rsidRDefault="004C085D" w:rsidP="00F441E2">
            <w:pPr>
              <w:spacing w:after="0"/>
              <w:jc w:val="right"/>
              <w:rPr>
                <w:rFonts w:asciiTheme="minorHAnsi" w:eastAsia="Times New Roman" w:hAnsiTheme="minorHAnsi"/>
                <w:b w:val="0"/>
                <w:bCs w:val="0"/>
                <w:i/>
                <w:iCs/>
                <w:color w:val="000000"/>
                <w:sz w:val="22"/>
                <w:lang w:eastAsia="en-AU"/>
              </w:rPr>
            </w:pPr>
            <w:r w:rsidRPr="7BCD0234">
              <w:rPr>
                <w:rFonts w:asciiTheme="minorHAnsi" w:eastAsia="Times New Roman" w:hAnsiTheme="minorHAnsi"/>
                <w:b w:val="0"/>
                <w:bCs w:val="0"/>
                <w:i/>
                <w:iCs/>
                <w:color w:val="000000" w:themeColor="text1"/>
                <w:sz w:val="22"/>
                <w:lang w:eastAsia="en-AU"/>
              </w:rPr>
              <w:t>Renewable Power Percentage</w:t>
            </w:r>
            <w:r w:rsidRPr="7BCD0234">
              <w:rPr>
                <w:rFonts w:asciiTheme="minorHAnsi" w:eastAsia="Times New Roman" w:hAnsiTheme="minorHAnsi"/>
                <w:b w:val="0"/>
                <w:bCs w:val="0"/>
                <w:i/>
                <w:iCs/>
                <w:color w:val="000000" w:themeColor="text1"/>
                <w:sz w:val="22"/>
                <w:vertAlign w:val="superscript"/>
                <w:lang w:eastAsia="en-AU"/>
              </w:rPr>
              <w:t>1</w:t>
            </w:r>
          </w:p>
        </w:tc>
        <w:tc>
          <w:tcPr>
            <w:tcW w:w="628" w:type="pct"/>
          </w:tcPr>
          <w:p w14:paraId="27B7BD4C"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lang w:eastAsia="en-AU"/>
              </w:rPr>
            </w:pPr>
            <w:r w:rsidRPr="009700F3">
              <w:rPr>
                <w:rFonts w:asciiTheme="minorHAnsi" w:hAnsiTheme="minorHAnsi" w:cstheme="minorHAnsi"/>
                <w:color w:val="000000"/>
                <w:sz w:val="22"/>
                <w:lang w:eastAsia="en-AU"/>
              </w:rPr>
              <w:t>n/a</w:t>
            </w:r>
          </w:p>
        </w:tc>
        <w:tc>
          <w:tcPr>
            <w:tcW w:w="629" w:type="pct"/>
          </w:tcPr>
          <w:p w14:paraId="4EE5DE95"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lang w:eastAsia="en-AU"/>
              </w:rPr>
            </w:pPr>
            <w:r w:rsidRPr="009700F3">
              <w:rPr>
                <w:rFonts w:asciiTheme="minorHAnsi" w:hAnsiTheme="minorHAnsi" w:cstheme="minorHAnsi"/>
                <w:color w:val="000000"/>
                <w:sz w:val="22"/>
                <w:lang w:eastAsia="en-AU"/>
              </w:rPr>
              <w:t>n/a</w:t>
            </w:r>
          </w:p>
        </w:tc>
        <w:tc>
          <w:tcPr>
            <w:tcW w:w="629" w:type="pct"/>
          </w:tcPr>
          <w:p w14:paraId="6398C907"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lang w:eastAsia="en-AU"/>
              </w:rPr>
            </w:pPr>
            <w:r w:rsidRPr="009700F3">
              <w:rPr>
                <w:rFonts w:asciiTheme="minorHAnsi" w:hAnsiTheme="minorHAnsi" w:cstheme="minorHAnsi"/>
                <w:color w:val="000000"/>
                <w:sz w:val="22"/>
                <w:lang w:eastAsia="en-AU"/>
              </w:rPr>
              <w:t>n/a</w:t>
            </w:r>
          </w:p>
        </w:tc>
        <w:tc>
          <w:tcPr>
            <w:tcW w:w="930" w:type="pct"/>
          </w:tcPr>
          <w:p w14:paraId="7764F5A5"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22"/>
                <w:lang w:eastAsia="en-AU"/>
              </w:rPr>
            </w:pPr>
            <w:r w:rsidRPr="009700F3">
              <w:rPr>
                <w:rFonts w:asciiTheme="minorHAnsi" w:hAnsiTheme="minorHAnsi" w:cstheme="minorHAnsi"/>
                <w:color w:val="000000"/>
                <w:sz w:val="22"/>
                <w:lang w:eastAsia="en-AU"/>
              </w:rPr>
              <w:t>—</w:t>
            </w:r>
          </w:p>
        </w:tc>
      </w:tr>
      <w:tr w:rsidR="004C085D" w:rsidRPr="009700F3" w14:paraId="27483F0F" w14:textId="77777777" w:rsidTr="00F441E2">
        <w:trPr>
          <w:trHeight w:val="292"/>
        </w:trPr>
        <w:tc>
          <w:tcPr>
            <w:cnfStyle w:val="001000000000" w:firstRow="0" w:lastRow="0" w:firstColumn="1" w:lastColumn="0" w:oddVBand="0" w:evenVBand="0" w:oddHBand="0" w:evenHBand="0" w:firstRowFirstColumn="0" w:firstRowLastColumn="0" w:lastRowFirstColumn="0" w:lastRowLastColumn="0"/>
            <w:tcW w:w="2184" w:type="pct"/>
            <w:noWrap/>
          </w:tcPr>
          <w:p w14:paraId="21A561EB" w14:textId="77777777" w:rsidR="004C085D" w:rsidRPr="009700F3" w:rsidRDefault="004C085D" w:rsidP="00F441E2">
            <w:pPr>
              <w:spacing w:after="0"/>
              <w:jc w:val="right"/>
              <w:rPr>
                <w:rFonts w:asciiTheme="minorHAnsi" w:eastAsia="Times New Roman" w:hAnsiTheme="minorHAnsi"/>
                <w:b w:val="0"/>
                <w:bCs w:val="0"/>
                <w:i/>
                <w:iCs/>
                <w:color w:val="000000"/>
                <w:sz w:val="22"/>
                <w:lang w:eastAsia="en-AU"/>
              </w:rPr>
            </w:pPr>
            <w:r w:rsidRPr="483875B1">
              <w:rPr>
                <w:rFonts w:asciiTheme="minorHAnsi" w:eastAsia="Times New Roman" w:hAnsiTheme="minorHAnsi"/>
                <w:b w:val="0"/>
                <w:bCs w:val="0"/>
                <w:i/>
                <w:iCs/>
                <w:color w:val="000000" w:themeColor="text1"/>
                <w:sz w:val="22"/>
                <w:lang w:eastAsia="en-AU"/>
              </w:rPr>
              <w:t>Jurisdictional Renewable Power Percentage</w:t>
            </w:r>
            <w:r w:rsidRPr="483875B1">
              <w:rPr>
                <w:rFonts w:asciiTheme="minorHAnsi" w:eastAsia="Times New Roman" w:hAnsiTheme="minorHAnsi"/>
                <w:b w:val="0"/>
                <w:bCs w:val="0"/>
                <w:i/>
                <w:iCs/>
                <w:color w:val="000000" w:themeColor="text1"/>
                <w:sz w:val="22"/>
                <w:vertAlign w:val="superscript"/>
                <w:lang w:eastAsia="en-AU"/>
              </w:rPr>
              <w:t>2, 3</w:t>
            </w:r>
          </w:p>
        </w:tc>
        <w:tc>
          <w:tcPr>
            <w:tcW w:w="628" w:type="pct"/>
          </w:tcPr>
          <w:p w14:paraId="60AA303D"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29" w:type="pct"/>
          </w:tcPr>
          <w:p w14:paraId="7C097304"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29" w:type="pct"/>
          </w:tcPr>
          <w:p w14:paraId="118E5F03"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930" w:type="pct"/>
          </w:tcPr>
          <w:p w14:paraId="1DDFA1A0"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3F9F3B74" w14:textId="77777777" w:rsidTr="00F441E2">
        <w:trPr>
          <w:trHeight w:val="292"/>
        </w:trPr>
        <w:tc>
          <w:tcPr>
            <w:cnfStyle w:val="001000000000" w:firstRow="0" w:lastRow="0" w:firstColumn="1" w:lastColumn="0" w:oddVBand="0" w:evenVBand="0" w:oddHBand="0" w:evenHBand="0" w:firstRowFirstColumn="0" w:firstRowLastColumn="0" w:lastRowFirstColumn="0" w:lastRowLastColumn="0"/>
            <w:tcW w:w="2184" w:type="pct"/>
            <w:noWrap/>
          </w:tcPr>
          <w:p w14:paraId="19A7E450" w14:textId="77777777" w:rsidR="004C085D" w:rsidRPr="009700F3" w:rsidRDefault="004C085D" w:rsidP="00F441E2">
            <w:pPr>
              <w:spacing w:after="0"/>
              <w:jc w:val="right"/>
              <w:rPr>
                <w:rFonts w:asciiTheme="minorHAnsi" w:eastAsia="Times New Roman" w:hAnsiTheme="minorHAnsi" w:cstheme="minorHAnsi"/>
                <w:b w:val="0"/>
                <w:bCs w:val="0"/>
                <w:i/>
                <w:iCs/>
                <w:color w:val="000000"/>
                <w:sz w:val="22"/>
                <w:lang w:eastAsia="en-AU"/>
              </w:rPr>
            </w:pPr>
            <w:r w:rsidRPr="009700F3">
              <w:rPr>
                <w:rFonts w:asciiTheme="minorHAnsi" w:eastAsia="Times New Roman" w:hAnsiTheme="minorHAnsi" w:cstheme="minorHAnsi"/>
                <w:b w:val="0"/>
                <w:bCs w:val="0"/>
                <w:i/>
                <w:iCs/>
                <w:color w:val="000000"/>
                <w:sz w:val="22"/>
                <w:lang w:eastAsia="en-AU"/>
              </w:rPr>
              <w:t>GreenPower</w:t>
            </w:r>
            <w:r w:rsidRPr="009700F3">
              <w:rPr>
                <w:rFonts w:asciiTheme="minorHAnsi" w:eastAsia="Times New Roman" w:hAnsiTheme="minorHAnsi" w:cstheme="minorHAnsi"/>
                <w:b w:val="0"/>
                <w:bCs w:val="0"/>
                <w:i/>
                <w:iCs/>
                <w:color w:val="000000"/>
                <w:sz w:val="22"/>
                <w:vertAlign w:val="superscript"/>
                <w:lang w:eastAsia="en-AU"/>
              </w:rPr>
              <w:t>2</w:t>
            </w:r>
          </w:p>
        </w:tc>
        <w:tc>
          <w:tcPr>
            <w:tcW w:w="628" w:type="pct"/>
          </w:tcPr>
          <w:p w14:paraId="58EE9DF0"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lang w:eastAsia="en-AU"/>
              </w:rPr>
            </w:pPr>
            <w:r w:rsidRPr="009700F3">
              <w:rPr>
                <w:rFonts w:asciiTheme="minorHAnsi" w:hAnsiTheme="minorHAnsi" w:cstheme="minorHAnsi"/>
                <w:color w:val="000000"/>
                <w:sz w:val="22"/>
                <w:lang w:eastAsia="en-AU"/>
              </w:rPr>
              <w:t>n/a</w:t>
            </w:r>
          </w:p>
        </w:tc>
        <w:tc>
          <w:tcPr>
            <w:tcW w:w="629" w:type="pct"/>
          </w:tcPr>
          <w:p w14:paraId="552DE7F6"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lang w:eastAsia="en-AU"/>
              </w:rPr>
            </w:pPr>
            <w:r w:rsidRPr="009700F3">
              <w:rPr>
                <w:rFonts w:asciiTheme="minorHAnsi" w:hAnsiTheme="minorHAnsi" w:cstheme="minorHAnsi"/>
                <w:color w:val="000000"/>
                <w:sz w:val="22"/>
                <w:lang w:eastAsia="en-AU"/>
              </w:rPr>
              <w:t>n/a</w:t>
            </w:r>
          </w:p>
        </w:tc>
        <w:tc>
          <w:tcPr>
            <w:tcW w:w="629" w:type="pct"/>
          </w:tcPr>
          <w:p w14:paraId="5D28B829"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color w:val="000000"/>
                <w:sz w:val="22"/>
                <w:lang w:eastAsia="en-AU"/>
              </w:rPr>
            </w:pPr>
            <w:r w:rsidRPr="009700F3">
              <w:rPr>
                <w:rFonts w:asciiTheme="minorHAnsi" w:hAnsiTheme="minorHAnsi" w:cstheme="minorHAnsi"/>
                <w:color w:val="000000"/>
                <w:sz w:val="22"/>
                <w:lang w:eastAsia="en-AU"/>
              </w:rPr>
              <w:t>n/a</w:t>
            </w:r>
          </w:p>
        </w:tc>
        <w:tc>
          <w:tcPr>
            <w:tcW w:w="930" w:type="pct"/>
          </w:tcPr>
          <w:p w14:paraId="7E2DD708"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i/>
                <w:iCs/>
                <w:sz w:val="22"/>
                <w:lang w:eastAsia="en-AU"/>
              </w:rPr>
            </w:pPr>
            <w:r w:rsidRPr="009700F3">
              <w:rPr>
                <w:rFonts w:asciiTheme="minorHAnsi" w:hAnsiTheme="minorHAnsi" w:cstheme="minorHAnsi"/>
                <w:color w:val="000000"/>
                <w:sz w:val="22"/>
                <w:lang w:eastAsia="en-AU"/>
              </w:rPr>
              <w:t>—</w:t>
            </w:r>
          </w:p>
        </w:tc>
      </w:tr>
      <w:tr w:rsidR="004C085D" w:rsidRPr="009700F3" w14:paraId="7E487238" w14:textId="77777777" w:rsidTr="00F441E2">
        <w:trPr>
          <w:trHeight w:val="292"/>
        </w:trPr>
        <w:tc>
          <w:tcPr>
            <w:cnfStyle w:val="001000000000" w:firstRow="0" w:lastRow="0" w:firstColumn="1" w:lastColumn="0" w:oddVBand="0" w:evenVBand="0" w:oddHBand="0" w:evenHBand="0" w:firstRowFirstColumn="0" w:firstRowLastColumn="0" w:lastRowFirstColumn="0" w:lastRowLastColumn="0"/>
            <w:tcW w:w="2184" w:type="pct"/>
            <w:noWrap/>
          </w:tcPr>
          <w:p w14:paraId="5AB89A32" w14:textId="77777777" w:rsidR="004C085D" w:rsidRPr="009700F3" w:rsidRDefault="004C085D" w:rsidP="00F441E2">
            <w:pPr>
              <w:spacing w:after="0"/>
              <w:jc w:val="right"/>
              <w:rPr>
                <w:rFonts w:asciiTheme="minorHAnsi" w:eastAsia="Times New Roman" w:hAnsiTheme="minorHAnsi"/>
                <w:b w:val="0"/>
                <w:bCs w:val="0"/>
                <w:i/>
                <w:iCs/>
                <w:color w:val="000000"/>
                <w:sz w:val="22"/>
                <w:lang w:eastAsia="en-AU"/>
              </w:rPr>
            </w:pPr>
            <w:r w:rsidRPr="2932AF5C">
              <w:rPr>
                <w:rFonts w:asciiTheme="minorHAnsi" w:eastAsia="Times New Roman" w:hAnsiTheme="minorHAnsi"/>
                <w:b w:val="0"/>
                <w:bCs w:val="0"/>
                <w:i/>
                <w:iCs/>
                <w:color w:val="000000" w:themeColor="text1"/>
                <w:sz w:val="22"/>
                <w:lang w:eastAsia="en-AU"/>
              </w:rPr>
              <w:t xml:space="preserve">Large-scale generation certificates </w:t>
            </w:r>
            <w:r w:rsidRPr="2932AF5C">
              <w:rPr>
                <w:rFonts w:asciiTheme="minorHAnsi" w:eastAsia="Times New Roman" w:hAnsiTheme="minorHAnsi"/>
                <w:b w:val="0"/>
                <w:bCs w:val="0"/>
                <w:i/>
                <w:iCs/>
                <w:color w:val="000000" w:themeColor="text1"/>
                <w:sz w:val="22"/>
                <w:vertAlign w:val="superscript"/>
                <w:lang w:eastAsia="en-AU"/>
              </w:rPr>
              <w:t>2</w:t>
            </w:r>
          </w:p>
        </w:tc>
        <w:tc>
          <w:tcPr>
            <w:tcW w:w="628" w:type="pct"/>
          </w:tcPr>
          <w:p w14:paraId="77004DD2"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29" w:type="pct"/>
          </w:tcPr>
          <w:p w14:paraId="61B67370"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29" w:type="pct"/>
          </w:tcPr>
          <w:p w14:paraId="2F777D29"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930" w:type="pct"/>
          </w:tcPr>
          <w:p w14:paraId="16094FD6"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0E71E819" w14:textId="77777777" w:rsidTr="00F441E2">
        <w:trPr>
          <w:trHeight w:val="292"/>
        </w:trPr>
        <w:tc>
          <w:tcPr>
            <w:cnfStyle w:val="001000000000" w:firstRow="0" w:lastRow="0" w:firstColumn="1" w:lastColumn="0" w:oddVBand="0" w:evenVBand="0" w:oddHBand="0" w:evenHBand="0" w:firstRowFirstColumn="0" w:firstRowLastColumn="0" w:lastRowFirstColumn="0" w:lastRowLastColumn="0"/>
            <w:tcW w:w="2184" w:type="pct"/>
            <w:noWrap/>
          </w:tcPr>
          <w:p w14:paraId="3C52D85D" w14:textId="77777777" w:rsidR="004C085D" w:rsidRPr="009700F3" w:rsidRDefault="004C085D" w:rsidP="00F441E2">
            <w:pPr>
              <w:spacing w:after="0"/>
              <w:jc w:val="right"/>
              <w:rPr>
                <w:rFonts w:asciiTheme="minorHAnsi" w:eastAsia="Times New Roman" w:hAnsiTheme="minorHAnsi" w:cstheme="minorHAnsi"/>
                <w:b w:val="0"/>
                <w:bCs w:val="0"/>
                <w:i/>
                <w:iCs/>
                <w:color w:val="000000"/>
                <w:sz w:val="22"/>
                <w:lang w:eastAsia="en-AU"/>
              </w:rPr>
            </w:pPr>
            <w:r w:rsidRPr="009700F3">
              <w:rPr>
                <w:rFonts w:asciiTheme="minorHAnsi" w:eastAsia="Times New Roman" w:hAnsiTheme="minorHAnsi" w:cstheme="minorHAnsi"/>
                <w:b w:val="0"/>
                <w:bCs w:val="0"/>
                <w:i/>
                <w:iCs/>
                <w:color w:val="000000"/>
                <w:sz w:val="22"/>
                <w:lang w:eastAsia="en-AU"/>
              </w:rPr>
              <w:t>Behind the meter solar</w:t>
            </w:r>
            <w:r w:rsidRPr="009700F3">
              <w:rPr>
                <w:rFonts w:asciiTheme="minorHAnsi" w:eastAsia="Times New Roman" w:hAnsiTheme="minorHAnsi" w:cstheme="minorHAnsi"/>
                <w:b w:val="0"/>
                <w:bCs w:val="0"/>
                <w:i/>
                <w:iCs/>
                <w:color w:val="000000"/>
                <w:sz w:val="22"/>
                <w:vertAlign w:val="superscript"/>
                <w:lang w:eastAsia="en-AU"/>
              </w:rPr>
              <w:t>4</w:t>
            </w:r>
            <w:r w:rsidRPr="009700F3">
              <w:rPr>
                <w:rFonts w:asciiTheme="minorHAnsi" w:eastAsia="Times New Roman" w:hAnsiTheme="minorHAnsi" w:cstheme="minorHAnsi"/>
                <w:b w:val="0"/>
                <w:bCs w:val="0"/>
                <w:i/>
                <w:iCs/>
                <w:color w:val="000000"/>
                <w:sz w:val="22"/>
                <w:lang w:eastAsia="en-AU"/>
              </w:rPr>
              <w:t xml:space="preserve"> </w:t>
            </w:r>
          </w:p>
        </w:tc>
        <w:tc>
          <w:tcPr>
            <w:tcW w:w="628" w:type="pct"/>
          </w:tcPr>
          <w:p w14:paraId="514331BD"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29" w:type="pct"/>
          </w:tcPr>
          <w:p w14:paraId="19D80437"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29" w:type="pct"/>
          </w:tcPr>
          <w:p w14:paraId="0F2682AE"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930" w:type="pct"/>
          </w:tcPr>
          <w:p w14:paraId="537018BD"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68FE6028" w14:textId="77777777" w:rsidTr="00F441E2">
        <w:trPr>
          <w:trHeight w:val="292"/>
        </w:trPr>
        <w:tc>
          <w:tcPr>
            <w:cnfStyle w:val="001000000000" w:firstRow="0" w:lastRow="0" w:firstColumn="1" w:lastColumn="0" w:oddVBand="0" w:evenVBand="0" w:oddHBand="0" w:evenHBand="0" w:firstRowFirstColumn="0" w:firstRowLastColumn="0" w:lastRowFirstColumn="0" w:lastRowLastColumn="0"/>
            <w:tcW w:w="2184" w:type="pct"/>
            <w:shd w:val="clear" w:color="auto" w:fill="359D9A" w:themeFill="accent2"/>
            <w:noWrap/>
          </w:tcPr>
          <w:p w14:paraId="42E1CDF7" w14:textId="77777777" w:rsidR="004C085D" w:rsidRPr="00B35DA6" w:rsidRDefault="004C085D" w:rsidP="00F441E2">
            <w:pPr>
              <w:spacing w:after="0"/>
              <w:rPr>
                <w:rFonts w:asciiTheme="minorHAnsi" w:eastAsia="Times New Roman" w:hAnsiTheme="minorHAnsi" w:cstheme="minorHAnsi"/>
                <w:i/>
                <w:iCs/>
                <w:color w:val="FFFFFF" w:themeColor="background1"/>
                <w:sz w:val="22"/>
                <w:lang w:eastAsia="en-AU"/>
              </w:rPr>
            </w:pPr>
            <w:r w:rsidRPr="00B35DA6">
              <w:rPr>
                <w:rFonts w:asciiTheme="minorHAnsi" w:eastAsia="Times New Roman" w:hAnsiTheme="minorHAnsi" w:cstheme="minorHAnsi"/>
                <w:color w:val="FFFFFF" w:themeColor="background1"/>
                <w:sz w:val="22"/>
                <w:lang w:eastAsia="en-AU"/>
              </w:rPr>
              <w:t>Total renewable electricity produced</w:t>
            </w:r>
          </w:p>
        </w:tc>
        <w:tc>
          <w:tcPr>
            <w:tcW w:w="628" w:type="pct"/>
            <w:shd w:val="clear" w:color="auto" w:fill="359D9A" w:themeFill="accent2"/>
          </w:tcPr>
          <w:p w14:paraId="6BA75020" w14:textId="77777777" w:rsidR="004C085D" w:rsidRPr="00B35DA6"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lang w:eastAsia="en-AU"/>
              </w:rPr>
            </w:pPr>
            <w:r w:rsidRPr="00B35DA6">
              <w:rPr>
                <w:rFonts w:asciiTheme="minorHAnsi" w:hAnsiTheme="minorHAnsi" w:cstheme="minorHAnsi"/>
                <w:color w:val="FFFFFF" w:themeColor="background1"/>
                <w:sz w:val="22"/>
                <w:lang w:eastAsia="en-AU"/>
              </w:rPr>
              <w:t>n/a</w:t>
            </w:r>
          </w:p>
        </w:tc>
        <w:tc>
          <w:tcPr>
            <w:tcW w:w="629" w:type="pct"/>
            <w:shd w:val="clear" w:color="auto" w:fill="359D9A" w:themeFill="accent2"/>
          </w:tcPr>
          <w:p w14:paraId="0CB9BBD6" w14:textId="77777777" w:rsidR="004C085D" w:rsidRPr="00B35DA6"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lang w:eastAsia="en-AU"/>
              </w:rPr>
            </w:pPr>
            <w:r w:rsidRPr="00B35DA6">
              <w:rPr>
                <w:rFonts w:asciiTheme="minorHAnsi" w:hAnsiTheme="minorHAnsi" w:cstheme="minorHAnsi"/>
                <w:color w:val="FFFFFF" w:themeColor="background1"/>
                <w:sz w:val="22"/>
                <w:lang w:eastAsia="en-AU"/>
              </w:rPr>
              <w:t>n/a</w:t>
            </w:r>
          </w:p>
        </w:tc>
        <w:tc>
          <w:tcPr>
            <w:tcW w:w="629" w:type="pct"/>
            <w:shd w:val="clear" w:color="auto" w:fill="359D9A" w:themeFill="accent2"/>
          </w:tcPr>
          <w:p w14:paraId="4C67BCE9" w14:textId="77777777" w:rsidR="004C085D" w:rsidRPr="00B35DA6"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lang w:eastAsia="en-AU"/>
              </w:rPr>
            </w:pPr>
            <w:r w:rsidRPr="00B35DA6">
              <w:rPr>
                <w:rFonts w:asciiTheme="minorHAnsi" w:hAnsiTheme="minorHAnsi" w:cstheme="minorHAnsi"/>
                <w:color w:val="FFFFFF" w:themeColor="background1"/>
                <w:sz w:val="22"/>
                <w:lang w:eastAsia="en-AU"/>
              </w:rPr>
              <w:t>n/a</w:t>
            </w:r>
          </w:p>
        </w:tc>
        <w:tc>
          <w:tcPr>
            <w:tcW w:w="930" w:type="pct"/>
            <w:shd w:val="clear" w:color="auto" w:fill="359D9A" w:themeFill="accent2"/>
          </w:tcPr>
          <w:p w14:paraId="42C70B04" w14:textId="77777777" w:rsidR="004C085D" w:rsidRPr="00B35DA6"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lang w:eastAsia="en-AU"/>
              </w:rPr>
            </w:pPr>
            <w:r w:rsidRPr="00B35DA6">
              <w:rPr>
                <w:rFonts w:asciiTheme="minorHAnsi" w:hAnsiTheme="minorHAnsi" w:cstheme="minorHAnsi"/>
                <w:color w:val="FFFFFF" w:themeColor="background1"/>
                <w:sz w:val="22"/>
                <w:lang w:eastAsia="en-AU"/>
              </w:rPr>
              <w:t>—</w:t>
            </w:r>
          </w:p>
        </w:tc>
      </w:tr>
      <w:tr w:rsidR="004C085D" w:rsidRPr="009700F3" w14:paraId="335378B3" w14:textId="77777777" w:rsidTr="00F441E2">
        <w:trPr>
          <w:trHeight w:val="292"/>
        </w:trPr>
        <w:tc>
          <w:tcPr>
            <w:cnfStyle w:val="001000000000" w:firstRow="0" w:lastRow="0" w:firstColumn="1" w:lastColumn="0" w:oddVBand="0" w:evenVBand="0" w:oddHBand="0" w:evenHBand="0" w:firstRowFirstColumn="0" w:firstRowLastColumn="0" w:lastRowFirstColumn="0" w:lastRowLastColumn="0"/>
            <w:tcW w:w="2184" w:type="pct"/>
            <w:noWrap/>
          </w:tcPr>
          <w:p w14:paraId="01BBD838" w14:textId="77777777" w:rsidR="004C085D" w:rsidRPr="009700F3" w:rsidRDefault="004C085D" w:rsidP="00F441E2">
            <w:pPr>
              <w:spacing w:after="0"/>
              <w:jc w:val="right"/>
              <w:rPr>
                <w:rFonts w:asciiTheme="minorHAnsi" w:eastAsia="Times New Roman" w:hAnsiTheme="minorHAnsi" w:cstheme="minorHAnsi"/>
                <w:b w:val="0"/>
                <w:bCs w:val="0"/>
                <w:i/>
                <w:iCs/>
                <w:color w:val="000000"/>
                <w:sz w:val="22"/>
                <w:lang w:eastAsia="en-AU"/>
              </w:rPr>
            </w:pPr>
            <w:r w:rsidRPr="009700F3">
              <w:rPr>
                <w:rFonts w:asciiTheme="minorHAnsi" w:eastAsia="Times New Roman" w:hAnsiTheme="minorHAnsi" w:cstheme="minorHAnsi"/>
                <w:b w:val="0"/>
                <w:bCs w:val="0"/>
                <w:i/>
                <w:iCs/>
                <w:color w:val="000000"/>
                <w:sz w:val="22"/>
                <w:lang w:eastAsia="en-AU"/>
              </w:rPr>
              <w:t xml:space="preserve">Large-scale generation certificates </w:t>
            </w:r>
            <w:r w:rsidRPr="009700F3">
              <w:rPr>
                <w:rFonts w:asciiTheme="minorHAnsi" w:eastAsia="Times New Roman" w:hAnsiTheme="minorHAnsi" w:cstheme="minorHAnsi"/>
                <w:b w:val="0"/>
                <w:bCs w:val="0"/>
                <w:i/>
                <w:iCs/>
                <w:color w:val="000000"/>
                <w:sz w:val="22"/>
                <w:vertAlign w:val="superscript"/>
                <w:lang w:eastAsia="en-AU"/>
              </w:rPr>
              <w:t>2</w:t>
            </w:r>
          </w:p>
        </w:tc>
        <w:tc>
          <w:tcPr>
            <w:tcW w:w="628" w:type="pct"/>
          </w:tcPr>
          <w:p w14:paraId="1E628F39"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29" w:type="pct"/>
          </w:tcPr>
          <w:p w14:paraId="461D3DFF"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29" w:type="pct"/>
          </w:tcPr>
          <w:p w14:paraId="6AE04AA2"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930" w:type="pct"/>
          </w:tcPr>
          <w:p w14:paraId="399C1161"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r w:rsidR="004C085D" w:rsidRPr="009700F3" w14:paraId="5D262A28" w14:textId="77777777" w:rsidTr="00F441E2">
        <w:trPr>
          <w:trHeight w:val="292"/>
        </w:trPr>
        <w:tc>
          <w:tcPr>
            <w:cnfStyle w:val="001000000000" w:firstRow="0" w:lastRow="0" w:firstColumn="1" w:lastColumn="0" w:oddVBand="0" w:evenVBand="0" w:oddHBand="0" w:evenHBand="0" w:firstRowFirstColumn="0" w:firstRowLastColumn="0" w:lastRowFirstColumn="0" w:lastRowLastColumn="0"/>
            <w:tcW w:w="2184" w:type="pct"/>
            <w:noWrap/>
          </w:tcPr>
          <w:p w14:paraId="244A494A" w14:textId="77777777" w:rsidR="004C085D" w:rsidRPr="009700F3" w:rsidRDefault="004C085D" w:rsidP="00F441E2">
            <w:pPr>
              <w:spacing w:after="0"/>
              <w:jc w:val="right"/>
              <w:rPr>
                <w:rFonts w:asciiTheme="minorHAnsi" w:eastAsia="Times New Roman" w:hAnsiTheme="minorHAnsi" w:cstheme="minorHAnsi"/>
                <w:b w:val="0"/>
                <w:bCs w:val="0"/>
                <w:i/>
                <w:iCs/>
                <w:color w:val="000000"/>
                <w:sz w:val="22"/>
                <w:lang w:eastAsia="en-AU"/>
              </w:rPr>
            </w:pPr>
            <w:r w:rsidRPr="009700F3">
              <w:rPr>
                <w:rFonts w:asciiTheme="minorHAnsi" w:eastAsia="Times New Roman" w:hAnsiTheme="minorHAnsi" w:cstheme="minorHAnsi"/>
                <w:b w:val="0"/>
                <w:bCs w:val="0"/>
                <w:i/>
                <w:iCs/>
                <w:color w:val="000000"/>
                <w:sz w:val="22"/>
                <w:lang w:eastAsia="en-AU"/>
              </w:rPr>
              <w:t>Behind the meter solar</w:t>
            </w:r>
            <w:r w:rsidRPr="009700F3">
              <w:rPr>
                <w:rFonts w:asciiTheme="minorHAnsi" w:eastAsia="Times New Roman" w:hAnsiTheme="minorHAnsi" w:cstheme="minorHAnsi"/>
                <w:b w:val="0"/>
                <w:bCs w:val="0"/>
                <w:i/>
                <w:iCs/>
                <w:color w:val="000000"/>
                <w:sz w:val="22"/>
                <w:vertAlign w:val="superscript"/>
                <w:lang w:eastAsia="en-AU"/>
              </w:rPr>
              <w:t>4</w:t>
            </w:r>
            <w:r w:rsidRPr="009700F3">
              <w:rPr>
                <w:rFonts w:asciiTheme="minorHAnsi" w:eastAsia="Times New Roman" w:hAnsiTheme="minorHAnsi" w:cstheme="minorHAnsi"/>
                <w:b w:val="0"/>
                <w:bCs w:val="0"/>
                <w:i/>
                <w:iCs/>
                <w:color w:val="000000"/>
                <w:sz w:val="22"/>
                <w:lang w:eastAsia="en-AU"/>
              </w:rPr>
              <w:t xml:space="preserve"> </w:t>
            </w:r>
          </w:p>
        </w:tc>
        <w:tc>
          <w:tcPr>
            <w:tcW w:w="628" w:type="pct"/>
          </w:tcPr>
          <w:p w14:paraId="50EA62B0"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29" w:type="pct"/>
          </w:tcPr>
          <w:p w14:paraId="4AD8ECBA"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629" w:type="pct"/>
          </w:tcPr>
          <w:p w14:paraId="7EFE7FE5"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n/a</w:t>
            </w:r>
          </w:p>
        </w:tc>
        <w:tc>
          <w:tcPr>
            <w:tcW w:w="930" w:type="pct"/>
          </w:tcPr>
          <w:p w14:paraId="047D7CB7" w14:textId="77777777" w:rsidR="004C085D" w:rsidRPr="009700F3" w:rsidRDefault="004C085D" w:rsidP="00F441E2">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lang w:eastAsia="en-AU"/>
              </w:rPr>
            </w:pPr>
            <w:r w:rsidRPr="009700F3">
              <w:rPr>
                <w:rFonts w:asciiTheme="minorHAnsi" w:hAnsiTheme="minorHAnsi" w:cstheme="minorHAnsi"/>
                <w:color w:val="000000"/>
                <w:sz w:val="22"/>
                <w:lang w:eastAsia="en-AU"/>
              </w:rPr>
              <w:t>—</w:t>
            </w:r>
          </w:p>
        </w:tc>
      </w:tr>
    </w:tbl>
    <w:p w14:paraId="1C2C2AC8" w14:textId="34EB3CCA" w:rsidR="004C085D" w:rsidRPr="00B81A84" w:rsidRDefault="004C085D" w:rsidP="004C085D">
      <w:pPr>
        <w:spacing w:after="0" w:line="240" w:lineRule="exact"/>
        <w:rPr>
          <w:rFonts w:asciiTheme="minorHAnsi" w:hAnsiTheme="minorHAnsi" w:cstheme="minorHAnsi"/>
          <w:szCs w:val="20"/>
          <w:lang w:eastAsia="en-AU"/>
        </w:rPr>
      </w:pPr>
      <w:r w:rsidRPr="00B81A84">
        <w:rPr>
          <w:rFonts w:asciiTheme="minorHAnsi" w:hAnsiTheme="minorHAnsi" w:cstheme="minorHAnsi"/>
          <w:b/>
          <w:bCs/>
          <w:szCs w:val="20"/>
          <w:lang w:eastAsia="en-AU"/>
        </w:rPr>
        <w:t>Note: </w:t>
      </w:r>
      <w:r w:rsidRPr="004F0B32">
        <w:rPr>
          <w:rFonts w:asciiTheme="minorHAnsi" w:hAnsiTheme="minorHAnsi" w:cstheme="minorHAnsi"/>
          <w:szCs w:val="20"/>
          <w:lang w:eastAsia="en-AU"/>
        </w:rPr>
        <w:t>T</w:t>
      </w:r>
      <w:r w:rsidRPr="00B81A84">
        <w:rPr>
          <w:rFonts w:asciiTheme="minorHAnsi" w:hAnsiTheme="minorHAnsi" w:cstheme="minorHAnsi"/>
          <w:szCs w:val="20"/>
          <w:lang w:eastAsia="en-AU"/>
        </w:rPr>
        <w:t>he table above presents emissions related to electricity usage using both the location-based and the market-based accounting methods. CO</w:t>
      </w:r>
      <w:r w:rsidRPr="00B81A84">
        <w:rPr>
          <w:rFonts w:asciiTheme="minorHAnsi" w:hAnsiTheme="minorHAnsi" w:cstheme="minorHAnsi"/>
          <w:szCs w:val="20"/>
          <w:vertAlign w:val="subscript"/>
          <w:lang w:eastAsia="en-AU"/>
        </w:rPr>
        <w:t>2</w:t>
      </w:r>
      <w:r w:rsidRPr="00B81A84">
        <w:rPr>
          <w:rFonts w:asciiTheme="minorHAnsi" w:hAnsiTheme="minorHAnsi" w:cstheme="minorHAnsi"/>
          <w:szCs w:val="20"/>
          <w:lang w:eastAsia="en-AU"/>
        </w:rPr>
        <w:t xml:space="preserve">-e = </w:t>
      </w:r>
      <w:r w:rsidR="00084E9E">
        <w:rPr>
          <w:rFonts w:asciiTheme="minorHAnsi" w:hAnsiTheme="minorHAnsi" w:cstheme="minorHAnsi"/>
          <w:szCs w:val="20"/>
          <w:lang w:eastAsia="en-AU"/>
        </w:rPr>
        <w:t>c</w:t>
      </w:r>
      <w:r w:rsidRPr="00B81A84">
        <w:rPr>
          <w:rFonts w:asciiTheme="minorHAnsi" w:hAnsiTheme="minorHAnsi" w:cstheme="minorHAnsi"/>
          <w:szCs w:val="20"/>
          <w:lang w:eastAsia="en-AU"/>
        </w:rPr>
        <w:t xml:space="preserve">arbon </w:t>
      </w:r>
      <w:r w:rsidR="00084E9E">
        <w:rPr>
          <w:rFonts w:asciiTheme="minorHAnsi" w:hAnsiTheme="minorHAnsi" w:cstheme="minorHAnsi"/>
          <w:szCs w:val="20"/>
          <w:lang w:eastAsia="en-AU"/>
        </w:rPr>
        <w:t>d</w:t>
      </w:r>
      <w:r w:rsidRPr="00B81A84">
        <w:rPr>
          <w:rFonts w:asciiTheme="minorHAnsi" w:hAnsiTheme="minorHAnsi" w:cstheme="minorHAnsi"/>
          <w:szCs w:val="20"/>
          <w:lang w:eastAsia="en-AU"/>
        </w:rPr>
        <w:t xml:space="preserve">ioxide </w:t>
      </w:r>
      <w:r w:rsidR="00084E9E">
        <w:rPr>
          <w:rFonts w:asciiTheme="minorHAnsi" w:hAnsiTheme="minorHAnsi" w:cstheme="minorHAnsi"/>
          <w:szCs w:val="20"/>
          <w:lang w:eastAsia="en-AU"/>
        </w:rPr>
        <w:t>e</w:t>
      </w:r>
      <w:r w:rsidRPr="00B81A84">
        <w:rPr>
          <w:rFonts w:asciiTheme="minorHAnsi" w:hAnsiTheme="minorHAnsi" w:cstheme="minorHAnsi"/>
          <w:szCs w:val="20"/>
          <w:lang w:eastAsia="en-AU"/>
        </w:rPr>
        <w:t>quivalent.</w:t>
      </w:r>
      <w:r>
        <w:rPr>
          <w:rFonts w:asciiTheme="minorHAnsi" w:hAnsiTheme="minorHAnsi" w:cstheme="minorHAnsi"/>
          <w:szCs w:val="20"/>
          <w:lang w:eastAsia="en-AU"/>
        </w:rPr>
        <w:t xml:space="preserve"> Electricity usage is measured in kilowatt hours (kWh).</w:t>
      </w:r>
    </w:p>
    <w:p w14:paraId="657203DC" w14:textId="3F87CF80" w:rsidR="004C085D" w:rsidRPr="00B81A84" w:rsidRDefault="004C085D" w:rsidP="004C085D">
      <w:pPr>
        <w:spacing w:after="0" w:line="240" w:lineRule="exact"/>
        <w:rPr>
          <w:rFonts w:asciiTheme="minorHAnsi" w:eastAsia="Times New Roman" w:hAnsiTheme="minorHAnsi" w:cstheme="minorHAnsi"/>
          <w:color w:val="000000"/>
          <w:szCs w:val="20"/>
          <w:lang w:eastAsia="en-AU"/>
        </w:rPr>
      </w:pPr>
      <w:r w:rsidRPr="00B81A84">
        <w:rPr>
          <w:rFonts w:asciiTheme="minorHAnsi" w:eastAsia="Times New Roman" w:hAnsiTheme="minorHAnsi" w:cstheme="minorHAnsi"/>
          <w:color w:val="000000"/>
          <w:szCs w:val="20"/>
          <w:vertAlign w:val="superscript"/>
          <w:lang w:eastAsia="en-AU"/>
        </w:rPr>
        <w:t>1</w:t>
      </w:r>
      <w:r w:rsidRPr="00B81A84">
        <w:rPr>
          <w:rFonts w:asciiTheme="minorHAnsi" w:eastAsia="Times New Roman" w:hAnsiTheme="minorHAnsi" w:cstheme="minorHAnsi"/>
          <w:color w:val="000000"/>
          <w:szCs w:val="20"/>
          <w:lang w:eastAsia="en-AU"/>
        </w:rPr>
        <w:t xml:space="preserve"> Listed as Mandatory renewables in 2023-24 Annual Reports.</w:t>
      </w:r>
      <w:r w:rsidRPr="00B81A84" w:rsidDel="00084E9E">
        <w:rPr>
          <w:rFonts w:asciiTheme="minorHAnsi" w:eastAsia="Times New Roman" w:hAnsiTheme="minorHAnsi" w:cstheme="minorHAnsi"/>
          <w:color w:val="000000"/>
          <w:szCs w:val="20"/>
          <w:lang w:eastAsia="en-AU"/>
        </w:rPr>
        <w:t xml:space="preserve"> </w:t>
      </w:r>
      <w:r w:rsidRPr="00B81A84">
        <w:rPr>
          <w:rFonts w:asciiTheme="minorHAnsi" w:eastAsia="Times New Roman" w:hAnsiTheme="minorHAnsi" w:cstheme="minorHAnsi"/>
          <w:color w:val="000000"/>
          <w:szCs w:val="20"/>
          <w:lang w:eastAsia="en-AU"/>
        </w:rPr>
        <w:t xml:space="preserve">The renewable power percentage (RPP) accounts for the portion of electricity used, from the grid, that falls within the Renewable Energy Target (RET).  </w:t>
      </w:r>
    </w:p>
    <w:p w14:paraId="620AFA84" w14:textId="77777777" w:rsidR="004C085D" w:rsidRDefault="004C085D" w:rsidP="004C085D">
      <w:pPr>
        <w:spacing w:after="0" w:line="240" w:lineRule="exact"/>
        <w:rPr>
          <w:rFonts w:asciiTheme="minorHAnsi" w:eastAsia="Times New Roman" w:hAnsiTheme="minorHAnsi" w:cstheme="minorHAnsi"/>
          <w:color w:val="000000"/>
          <w:szCs w:val="20"/>
          <w:lang w:eastAsia="en-AU"/>
        </w:rPr>
      </w:pPr>
      <w:r w:rsidRPr="00B81A84">
        <w:rPr>
          <w:rFonts w:asciiTheme="minorHAnsi" w:eastAsia="Times New Roman" w:hAnsiTheme="minorHAnsi" w:cstheme="minorHAnsi"/>
          <w:color w:val="000000"/>
          <w:szCs w:val="20"/>
          <w:vertAlign w:val="superscript"/>
          <w:lang w:eastAsia="en-AU"/>
        </w:rPr>
        <w:t>2</w:t>
      </w:r>
      <w:r w:rsidRPr="00B81A84">
        <w:rPr>
          <w:rFonts w:asciiTheme="minorHAnsi" w:eastAsia="Times New Roman" w:hAnsiTheme="minorHAnsi" w:cstheme="minorHAnsi"/>
          <w:color w:val="000000"/>
          <w:szCs w:val="20"/>
          <w:lang w:eastAsia="en-AU"/>
        </w:rPr>
        <w:t xml:space="preserve"> Listed as Voluntary renewables in 2023-24 Annual Reports. </w:t>
      </w:r>
    </w:p>
    <w:p w14:paraId="5A3993DC" w14:textId="77777777" w:rsidR="004C085D" w:rsidRPr="00B81A84" w:rsidRDefault="004C085D" w:rsidP="004C085D">
      <w:pPr>
        <w:spacing w:after="0" w:line="240" w:lineRule="exact"/>
        <w:rPr>
          <w:rFonts w:asciiTheme="minorHAnsi" w:eastAsia="Times New Roman" w:hAnsiTheme="minorHAnsi" w:cstheme="minorHAnsi"/>
          <w:color w:val="000000"/>
          <w:szCs w:val="20"/>
          <w:lang w:eastAsia="en-AU"/>
        </w:rPr>
      </w:pPr>
      <w:r w:rsidRPr="00B81A84">
        <w:rPr>
          <w:rFonts w:asciiTheme="minorHAnsi" w:eastAsia="Times New Roman" w:hAnsiTheme="minorHAnsi" w:cstheme="minorHAnsi"/>
          <w:color w:val="000000"/>
          <w:szCs w:val="20"/>
          <w:vertAlign w:val="superscript"/>
          <w:lang w:eastAsia="en-AU"/>
        </w:rPr>
        <w:t>3</w:t>
      </w:r>
      <w:r w:rsidRPr="00B81A84">
        <w:rPr>
          <w:rFonts w:asciiTheme="minorHAnsi" w:eastAsia="Times New Roman" w:hAnsiTheme="minorHAnsi" w:cstheme="minorHAnsi"/>
          <w:color w:val="000000"/>
          <w:szCs w:val="20"/>
          <w:lang w:eastAsia="en-AU"/>
        </w:rPr>
        <w:t xml:space="preserve"> The A</w:t>
      </w:r>
      <w:r>
        <w:rPr>
          <w:rFonts w:asciiTheme="minorHAnsi" w:eastAsia="Times New Roman" w:hAnsiTheme="minorHAnsi" w:cstheme="minorHAnsi"/>
          <w:color w:val="000000"/>
          <w:szCs w:val="20"/>
          <w:lang w:eastAsia="en-AU"/>
        </w:rPr>
        <w:t xml:space="preserve">ustralian </w:t>
      </w:r>
      <w:r w:rsidRPr="00B81A84">
        <w:rPr>
          <w:rFonts w:asciiTheme="minorHAnsi" w:eastAsia="Times New Roman" w:hAnsiTheme="minorHAnsi" w:cstheme="minorHAnsi"/>
          <w:color w:val="000000"/>
          <w:szCs w:val="20"/>
          <w:lang w:eastAsia="en-AU"/>
        </w:rPr>
        <w:t>C</w:t>
      </w:r>
      <w:r>
        <w:rPr>
          <w:rFonts w:asciiTheme="minorHAnsi" w:eastAsia="Times New Roman" w:hAnsiTheme="minorHAnsi" w:cstheme="minorHAnsi"/>
          <w:color w:val="000000"/>
          <w:szCs w:val="20"/>
          <w:lang w:eastAsia="en-AU"/>
        </w:rPr>
        <w:t xml:space="preserve">apital </w:t>
      </w:r>
      <w:r w:rsidRPr="00B81A84">
        <w:rPr>
          <w:rFonts w:asciiTheme="minorHAnsi" w:eastAsia="Times New Roman" w:hAnsiTheme="minorHAnsi" w:cstheme="minorHAnsi"/>
          <w:color w:val="000000"/>
          <w:szCs w:val="20"/>
          <w:lang w:eastAsia="en-AU"/>
        </w:rPr>
        <w:t>T</w:t>
      </w:r>
      <w:r>
        <w:rPr>
          <w:rFonts w:asciiTheme="minorHAnsi" w:eastAsia="Times New Roman" w:hAnsiTheme="minorHAnsi" w:cstheme="minorHAnsi"/>
          <w:color w:val="000000"/>
          <w:szCs w:val="20"/>
          <w:lang w:eastAsia="en-AU"/>
        </w:rPr>
        <w:t>erritory</w:t>
      </w:r>
      <w:r w:rsidRPr="00B81A84">
        <w:rPr>
          <w:rFonts w:asciiTheme="minorHAnsi" w:eastAsia="Times New Roman" w:hAnsiTheme="minorHAnsi" w:cstheme="minorHAnsi"/>
          <w:color w:val="000000"/>
          <w:szCs w:val="20"/>
          <w:lang w:eastAsia="en-AU"/>
        </w:rPr>
        <w:t xml:space="preserve"> is currently the only state with a jurisdictional renewable power percentage (JRPP).  </w:t>
      </w:r>
    </w:p>
    <w:p w14:paraId="6DEA4D10" w14:textId="0B4870B2" w:rsidR="004C085D" w:rsidRDefault="004C085D" w:rsidP="004C085D">
      <w:pPr>
        <w:spacing w:after="0" w:line="240" w:lineRule="exact"/>
        <w:rPr>
          <w:rFonts w:asciiTheme="minorHAnsi" w:hAnsiTheme="minorHAnsi" w:cstheme="minorHAnsi"/>
          <w:noProof/>
        </w:rPr>
      </w:pPr>
      <w:r w:rsidRPr="00B81A84">
        <w:rPr>
          <w:rFonts w:asciiTheme="minorHAnsi" w:eastAsia="Times New Roman" w:hAnsiTheme="minorHAnsi" w:cstheme="minorHAnsi"/>
          <w:color w:val="000000"/>
          <w:szCs w:val="20"/>
          <w:vertAlign w:val="superscript"/>
          <w:lang w:eastAsia="en-AU"/>
        </w:rPr>
        <w:t>4</w:t>
      </w:r>
      <w:r w:rsidRPr="00B81A84">
        <w:rPr>
          <w:rFonts w:asciiTheme="minorHAnsi" w:eastAsia="Times New Roman" w:hAnsiTheme="minorHAnsi" w:cstheme="minorHAnsi"/>
          <w:color w:val="000000"/>
          <w:szCs w:val="20"/>
          <w:lang w:eastAsia="en-AU"/>
        </w:rPr>
        <w:t xml:space="preserve"> Reporting behind</w:t>
      </w:r>
      <w:r w:rsidR="00084E9E">
        <w:rPr>
          <w:rFonts w:asciiTheme="minorHAnsi" w:eastAsia="Times New Roman" w:hAnsiTheme="minorHAnsi" w:cstheme="minorHAnsi"/>
          <w:color w:val="000000"/>
          <w:szCs w:val="20"/>
          <w:lang w:eastAsia="en-AU"/>
        </w:rPr>
        <w:t>-</w:t>
      </w:r>
      <w:r w:rsidRPr="00B81A84">
        <w:rPr>
          <w:rFonts w:asciiTheme="minorHAnsi" w:eastAsia="Times New Roman" w:hAnsiTheme="minorHAnsi" w:cstheme="minorHAnsi"/>
          <w:color w:val="000000"/>
          <w:szCs w:val="20"/>
          <w:lang w:eastAsia="en-AU"/>
        </w:rPr>
        <w:t>the</w:t>
      </w:r>
      <w:r w:rsidR="00084E9E">
        <w:rPr>
          <w:rFonts w:asciiTheme="minorHAnsi" w:eastAsia="Times New Roman" w:hAnsiTheme="minorHAnsi" w:cstheme="minorHAnsi"/>
          <w:color w:val="000000"/>
          <w:szCs w:val="20"/>
          <w:lang w:eastAsia="en-AU"/>
        </w:rPr>
        <w:t>-</w:t>
      </w:r>
      <w:r w:rsidRPr="00B81A84">
        <w:rPr>
          <w:rFonts w:asciiTheme="minorHAnsi" w:eastAsia="Times New Roman" w:hAnsiTheme="minorHAnsi" w:cstheme="minorHAnsi"/>
          <w:color w:val="000000"/>
          <w:szCs w:val="20"/>
          <w:lang w:eastAsia="en-AU"/>
        </w:rPr>
        <w:t>meter solar consumption and/or production is optional. The quality of data is expected to improve over time as emissions reporting matures.</w:t>
      </w:r>
      <w:r w:rsidRPr="00EE248F">
        <w:rPr>
          <w:rFonts w:asciiTheme="minorHAnsi" w:hAnsiTheme="minorHAnsi" w:cstheme="minorHAnsi"/>
          <w:noProof/>
        </w:rPr>
        <w:t xml:space="preserve"> </w:t>
      </w:r>
    </w:p>
    <w:p w14:paraId="73AA2D6C" w14:textId="5E3A8EDA" w:rsidR="004C085D" w:rsidRDefault="004C085D" w:rsidP="004C085D">
      <w:pPr>
        <w:spacing w:before="0" w:after="160" w:line="259" w:lineRule="auto"/>
        <w:rPr>
          <w:rFonts w:asciiTheme="minorHAnsi" w:hAnsiTheme="minorHAnsi" w:cstheme="minorHAnsi"/>
          <w:noProof/>
        </w:rPr>
      </w:pPr>
    </w:p>
    <w:bookmarkEnd w:id="90"/>
    <w:bookmarkEnd w:id="91"/>
    <w:bookmarkEnd w:id="105"/>
    <w:bookmarkEnd w:id="106"/>
    <w:p w14:paraId="7A686F68" w14:textId="77777777" w:rsidR="004656E6" w:rsidRDefault="004656E6">
      <w:pPr>
        <w:spacing w:before="0" w:after="160" w:line="259" w:lineRule="auto"/>
        <w:rPr>
          <w:rFonts w:asciiTheme="majorHAnsi" w:eastAsiaTheme="majorEastAsia" w:hAnsiTheme="majorHAnsi" w:cstheme="majorBidi"/>
          <w:b/>
          <w:color w:val="359D9A"/>
          <w:sz w:val="48"/>
          <w:szCs w:val="32"/>
        </w:rPr>
      </w:pPr>
      <w:r>
        <w:br w:type="page"/>
      </w:r>
    </w:p>
    <w:p w14:paraId="772DAAA8" w14:textId="12DD0F0C" w:rsidR="00B94FEC" w:rsidRPr="00AA5CB5" w:rsidRDefault="004E1354" w:rsidP="00CA2AA9">
      <w:pPr>
        <w:pStyle w:val="Heading1"/>
      </w:pPr>
      <w:bookmarkStart w:id="110" w:name="_Toc201927355"/>
      <w:r w:rsidRPr="00AA5CB5">
        <w:lastRenderedPageBreak/>
        <w:t>Continuous Improvement</w:t>
      </w:r>
      <w:bookmarkEnd w:id="110"/>
    </w:p>
    <w:p w14:paraId="1FCEE95B" w14:textId="6036414C" w:rsidR="006831B1" w:rsidRPr="00AA5CB5" w:rsidRDefault="006831B1" w:rsidP="006831B1">
      <w:pPr>
        <w:pStyle w:val="BodyText1"/>
      </w:pPr>
      <w:bookmarkStart w:id="111" w:name="_Toc197426952"/>
      <w:bookmarkStart w:id="112" w:name="_Toc197438617"/>
      <w:r w:rsidRPr="00AA5CB5">
        <w:t xml:space="preserve">The Framework is designed to assist reporting agencies to take responsibility for identifying and implementing climate action and will involve a continuous improvement cycle as reporting matures. Finance and reporting agencies will practice continuous improvement in climate-related data reporting. Data quality is expected to be enhanced over time as emissions reporting matures. </w:t>
      </w:r>
    </w:p>
    <w:p w14:paraId="70A574C8" w14:textId="061373F5" w:rsidR="006831B1" w:rsidRPr="00AA5CB5" w:rsidRDefault="006831B1" w:rsidP="006831B1">
      <w:pPr>
        <w:pStyle w:val="Heading2"/>
      </w:pPr>
      <w:bookmarkStart w:id="113" w:name="_Toc201927356"/>
      <w:r w:rsidRPr="00AA5CB5">
        <w:t>Time series consistency</w:t>
      </w:r>
      <w:bookmarkEnd w:id="113"/>
    </w:p>
    <w:p w14:paraId="7E02F8CE" w14:textId="77777777" w:rsidR="00C026FE" w:rsidRPr="00AA5CB5" w:rsidRDefault="00B93F27" w:rsidP="00CA2AA9">
      <w:pPr>
        <w:pStyle w:val="BodyText1"/>
      </w:pPr>
      <w:r w:rsidRPr="00AA5CB5">
        <w:t xml:space="preserve">Time series show historical emissions trends and can be used to track the effects of emission reduction strategies. Efforts are made by Finance to calculate time series using the same methods and data sources in all years. </w:t>
      </w:r>
    </w:p>
    <w:p w14:paraId="40C4C9DD" w14:textId="3272F1A8" w:rsidR="00B93F27" w:rsidRPr="00AA5CB5" w:rsidRDefault="00E509BB" w:rsidP="00CA2AA9">
      <w:pPr>
        <w:pStyle w:val="BodyText1"/>
      </w:pPr>
      <w:r w:rsidRPr="00AA5CB5">
        <w:t>A</w:t>
      </w:r>
      <w:r w:rsidR="006D60B9" w:rsidRPr="00AA5CB5">
        <w:t>s GHG reporting matures scientifically</w:t>
      </w:r>
      <w:r w:rsidR="00B93F27" w:rsidRPr="00AA5CB5">
        <w:t>,</w:t>
      </w:r>
      <w:r w:rsidR="006D60B9" w:rsidRPr="00AA5CB5">
        <w:t xml:space="preserve"> changes </w:t>
      </w:r>
      <w:r w:rsidR="00B93F27" w:rsidRPr="00AA5CB5">
        <w:t xml:space="preserve">are expected </w:t>
      </w:r>
      <w:r w:rsidR="006D60B9" w:rsidRPr="00AA5CB5">
        <w:t xml:space="preserve">in emissions measurements, data collection methods, </w:t>
      </w:r>
      <w:r w:rsidR="006831B1" w:rsidRPr="00AA5CB5">
        <w:t xml:space="preserve">calculation </w:t>
      </w:r>
      <w:r w:rsidR="00B93F27" w:rsidRPr="00AA5CB5">
        <w:t>methodologies</w:t>
      </w:r>
      <w:r w:rsidR="006D60B9" w:rsidRPr="00AA5CB5">
        <w:t xml:space="preserve"> and reporting requirements</w:t>
      </w:r>
      <w:r w:rsidR="00B93F27" w:rsidRPr="00AA5CB5">
        <w:t>.</w:t>
      </w:r>
      <w:r w:rsidR="004C7314" w:rsidRPr="00AA5CB5">
        <w:t xml:space="preserve"> These changes </w:t>
      </w:r>
      <w:r w:rsidR="00381349" w:rsidRPr="00AA5CB5">
        <w:t xml:space="preserve">impact on time series consistency. </w:t>
      </w:r>
    </w:p>
    <w:p w14:paraId="376581B3" w14:textId="3E87C63A" w:rsidR="00CA2AA9" w:rsidRPr="00AA5CB5" w:rsidRDefault="00CA2AA9" w:rsidP="00CA2AA9">
      <w:pPr>
        <w:pStyle w:val="BodyText1"/>
      </w:pPr>
      <w:r w:rsidRPr="00AA5CB5">
        <w:t>Strategies to ensure consistency</w:t>
      </w:r>
      <w:r w:rsidR="00B93F27" w:rsidRPr="00AA5CB5">
        <w:t xml:space="preserve"> across the time series</w:t>
      </w:r>
      <w:r w:rsidRPr="00AA5CB5">
        <w:t xml:space="preserve"> have been implemented from commencement of the </w:t>
      </w:r>
      <w:r w:rsidR="00236E90" w:rsidRPr="00AA5CB5">
        <w:t>Government emissions reporting</w:t>
      </w:r>
      <w:r w:rsidRPr="00AA5CB5">
        <w:t xml:space="preserve"> and will be continually added and improved upon as required. </w:t>
      </w:r>
    </w:p>
    <w:p w14:paraId="4C2D8B97" w14:textId="059C8163" w:rsidR="00CA2AA9" w:rsidRPr="00AA5CB5" w:rsidRDefault="00CA2AA9" w:rsidP="00CA2AA9">
      <w:pPr>
        <w:pStyle w:val="BodyText1"/>
      </w:pPr>
      <w:r w:rsidRPr="00AA5CB5">
        <w:t xml:space="preserve">These strategies </w:t>
      </w:r>
      <w:r w:rsidR="00236E90" w:rsidRPr="00AA5CB5">
        <w:t>include</w:t>
      </w:r>
      <w:r w:rsidRPr="00AA5CB5">
        <w:t xml:space="preserve">: </w:t>
      </w:r>
    </w:p>
    <w:p w14:paraId="0A50F859" w14:textId="77777777" w:rsidR="00CA2AA9" w:rsidRPr="00AA5CB5" w:rsidRDefault="00CA2AA9" w:rsidP="00CA2AA9">
      <w:pPr>
        <w:pStyle w:val="Bodybullet1"/>
      </w:pPr>
      <w:r w:rsidRPr="00AA5CB5">
        <w:t>Applying the Intergovernmental Panel on Climate Change (IPCC) emissions estimation guidelines on time series consistency, including transparently documenting:</w:t>
      </w:r>
    </w:p>
    <w:p w14:paraId="5F5435AA" w14:textId="1291E1DD" w:rsidR="00CA2AA9" w:rsidRPr="00AA5CB5" w:rsidRDefault="006E1B16" w:rsidP="005D0661">
      <w:pPr>
        <w:pStyle w:val="Bullet2ndlevel"/>
      </w:pPr>
      <w:r>
        <w:t>A</w:t>
      </w:r>
      <w:r w:rsidR="00CA2AA9" w:rsidRPr="00AA5CB5">
        <w:t>pproaches to emissions estimation including particular methods, emission factors and data sources, and explaining why this approach was appropriate.</w:t>
      </w:r>
    </w:p>
    <w:p w14:paraId="3C9B919A" w14:textId="0192A3BF" w:rsidR="00CA2AA9" w:rsidRPr="00AA5CB5" w:rsidRDefault="006E1B16" w:rsidP="005D0661">
      <w:pPr>
        <w:pStyle w:val="Bullet2ndlevel"/>
      </w:pPr>
      <w:r>
        <w:t>C</w:t>
      </w:r>
      <w:r w:rsidR="00CA2AA9" w:rsidRPr="00AA5CB5">
        <w:t>hanges to the emissions estimation approach and why that change was appropriate.</w:t>
      </w:r>
    </w:p>
    <w:p w14:paraId="372D886E" w14:textId="71A07C4C" w:rsidR="00CA2AA9" w:rsidRPr="00AA5CB5" w:rsidRDefault="006E1B16" w:rsidP="005D0661">
      <w:pPr>
        <w:pStyle w:val="Bullet2ndlevel"/>
      </w:pPr>
      <w:r>
        <w:t>H</w:t>
      </w:r>
      <w:r w:rsidR="00CA2AA9" w:rsidRPr="00AA5CB5">
        <w:t>ow time-series consistency was maintained following changes to an emission estimated approach, including a quantification of the change throughout the time series.</w:t>
      </w:r>
    </w:p>
    <w:p w14:paraId="68D7A260" w14:textId="6C860A27" w:rsidR="00CA2AA9" w:rsidRPr="00AA5CB5" w:rsidRDefault="00CA2AA9" w:rsidP="00CA2AA9">
      <w:pPr>
        <w:pStyle w:val="Bodybullet1"/>
      </w:pPr>
      <w:r w:rsidRPr="00AA5CB5">
        <w:t xml:space="preserve">Disaggregation of data to observe changes in activity levels. Efforts </w:t>
      </w:r>
      <w:r w:rsidR="00233042" w:rsidRPr="00AA5CB5">
        <w:t>are</w:t>
      </w:r>
      <w:r w:rsidRPr="00AA5CB5">
        <w:t xml:space="preserve"> made to report activity data disaggregated into appropriate subcategories, future proofing against potential consistency issues with analysis and reporting.</w:t>
      </w:r>
    </w:p>
    <w:p w14:paraId="337D227B" w14:textId="28969E1B" w:rsidR="00CA2AA9" w:rsidRPr="00AA5CB5" w:rsidRDefault="00CA2AA9" w:rsidP="00CA2AA9">
      <w:pPr>
        <w:pStyle w:val="Bodybullet1"/>
      </w:pPr>
      <w:r w:rsidRPr="00AA5CB5">
        <w:t xml:space="preserve">Updates to the </w:t>
      </w:r>
      <w:r w:rsidR="00DF55FB">
        <w:t>Framework</w:t>
      </w:r>
      <w:r w:rsidR="009B329B">
        <w:t>, including</w:t>
      </w:r>
      <w:r w:rsidR="007E4780">
        <w:t>,</w:t>
      </w:r>
      <w:r w:rsidRPr="00AA5CB5">
        <w:t xml:space="preserve"> where required, relevant methodologies, data sources and caveats to provide transparency across the time series. </w:t>
      </w:r>
      <w:r w:rsidR="00D12961" w:rsidRPr="00AA5CB5">
        <w:t xml:space="preserve">The yearly NZGO APR may also include updates as required. </w:t>
      </w:r>
    </w:p>
    <w:p w14:paraId="65A64975" w14:textId="78721080" w:rsidR="00917E49" w:rsidRPr="00AA5CB5" w:rsidRDefault="00917E49" w:rsidP="00C46888">
      <w:pPr>
        <w:pStyle w:val="Heading2"/>
      </w:pPr>
      <w:bookmarkStart w:id="114" w:name="_Ref201762614"/>
      <w:bookmarkStart w:id="115" w:name="_Toc201927357"/>
      <w:bookmarkEnd w:id="111"/>
      <w:bookmarkEnd w:id="112"/>
      <w:r w:rsidRPr="00AA5CB5">
        <w:t xml:space="preserve">Data </w:t>
      </w:r>
      <w:r w:rsidR="006A48BE">
        <w:t>a</w:t>
      </w:r>
      <w:r w:rsidRPr="00AA5CB5">
        <w:t xml:space="preserve">mendment </w:t>
      </w:r>
      <w:r w:rsidR="006A48BE">
        <w:t>p</w:t>
      </w:r>
      <w:r w:rsidRPr="00AA5CB5">
        <w:t>rocess</w:t>
      </w:r>
      <w:bookmarkEnd w:id="114"/>
      <w:bookmarkEnd w:id="115"/>
      <w:r w:rsidRPr="00AA5CB5">
        <w:t xml:space="preserve"> </w:t>
      </w:r>
    </w:p>
    <w:p w14:paraId="7803FDC5" w14:textId="3F0CF3F4" w:rsidR="002B385C" w:rsidRPr="00AA5CB5" w:rsidRDefault="0E17F1AA" w:rsidP="002B385C">
      <w:pPr>
        <w:pStyle w:val="BodyText1"/>
      </w:pPr>
      <w:r w:rsidRPr="00AA5CB5">
        <w:t xml:space="preserve">Emissions reporting is to be disclosed </w:t>
      </w:r>
      <w:r w:rsidR="6F9DC67D" w:rsidRPr="00AA5CB5">
        <w:t xml:space="preserve">with the </w:t>
      </w:r>
      <w:r w:rsidR="79640123" w:rsidRPr="00AA5CB5">
        <w:t>most accurate and complete data at the time</w:t>
      </w:r>
      <w:r w:rsidR="00E6027C">
        <w:t xml:space="preserve"> of </w:t>
      </w:r>
      <w:r w:rsidR="00BB1A7E">
        <w:t>submission</w:t>
      </w:r>
      <w:r w:rsidR="49D75AFB" w:rsidRPr="00AA5CB5">
        <w:t xml:space="preserve">. </w:t>
      </w:r>
      <w:r w:rsidRPr="00AA5CB5">
        <w:t xml:space="preserve">Ongoing efforts are required </w:t>
      </w:r>
      <w:r w:rsidR="49D75AFB" w:rsidRPr="00AA5CB5">
        <w:t xml:space="preserve">by the reporting agencies and Finance, </w:t>
      </w:r>
      <w:r w:rsidRPr="00AA5CB5">
        <w:t>to identify and resolve any uncertainties, inaccuracies, or issues</w:t>
      </w:r>
      <w:r w:rsidR="14CB3A18" w:rsidRPr="00AA5CB5">
        <w:t>,</w:t>
      </w:r>
      <w:r w:rsidR="00355AB4">
        <w:t xml:space="preserve"> in order</w:t>
      </w:r>
      <w:r w:rsidRPr="00AA5CB5">
        <w:t xml:space="preserve"> to</w:t>
      </w:r>
      <w:r w:rsidR="14CB3A18" w:rsidRPr="00AA5CB5">
        <w:t xml:space="preserve"> improve accuracy and </w:t>
      </w:r>
      <w:r w:rsidR="14CB3A18" w:rsidRPr="00AA5CB5">
        <w:lastRenderedPageBreak/>
        <w:t>completeness</w:t>
      </w:r>
      <w:r w:rsidRPr="00AA5CB5">
        <w:t>.</w:t>
      </w:r>
      <w:r w:rsidR="14CB3A18" w:rsidRPr="00AA5CB5">
        <w:t xml:space="preserve"> </w:t>
      </w:r>
      <w:r w:rsidR="61D6DDBF" w:rsidRPr="00AA5CB5">
        <w:t xml:space="preserve">Despite best efforts to report accurately, some factors remain beyond the control of reporting agencies and </w:t>
      </w:r>
      <w:r w:rsidR="0097515A">
        <w:t>F</w:t>
      </w:r>
      <w:r w:rsidR="61D6DDBF" w:rsidRPr="00AA5CB5">
        <w:t xml:space="preserve">inance. </w:t>
      </w:r>
    </w:p>
    <w:p w14:paraId="3B88BD81" w14:textId="77777777" w:rsidR="00FC2203" w:rsidRPr="00AA5CB5" w:rsidRDefault="00917E49" w:rsidP="00917E49">
      <w:pPr>
        <w:pStyle w:val="BodyText1"/>
      </w:pPr>
      <w:r w:rsidRPr="00AA5CB5">
        <w:t xml:space="preserve">The data amendment process is an opportunity for Finance to provide updates and for reporting agencies to revise and update their activity data after the data collection period closes. </w:t>
      </w:r>
    </w:p>
    <w:p w14:paraId="375CF1FC" w14:textId="0DE594C3" w:rsidR="00917E49" w:rsidRPr="00AA5CB5" w:rsidRDefault="00917E49" w:rsidP="00917E49">
      <w:pPr>
        <w:pStyle w:val="BodyText1"/>
      </w:pPr>
      <w:r w:rsidRPr="00AA5CB5">
        <w:t xml:space="preserve">An amendment is defined as a correction of a reported or published error or reconciliation of activity data and calculated emissions and emissions inventories.  </w:t>
      </w:r>
    </w:p>
    <w:p w14:paraId="03BC1A48" w14:textId="77777777" w:rsidR="00917E49" w:rsidRPr="00AA5CB5" w:rsidRDefault="00917E49" w:rsidP="00917E49">
      <w:pPr>
        <w:pStyle w:val="BodyText1"/>
      </w:pPr>
      <w:r w:rsidRPr="00AA5CB5">
        <w:t xml:space="preserve">The amendment process follows similar stages to the data collection process; however, the amendment period is extended and during this period reporting agencies are invited to correct or update data from any previous reporting period. </w:t>
      </w:r>
    </w:p>
    <w:p w14:paraId="6248E571" w14:textId="7213D833" w:rsidR="00917E49" w:rsidRPr="00AA5CB5" w:rsidRDefault="00917E49" w:rsidP="00CA2AA9">
      <w:pPr>
        <w:pStyle w:val="Bodybullet1"/>
      </w:pPr>
      <w:r w:rsidRPr="00AA5CB5">
        <w:t xml:space="preserve">The amendment period opens at the start of each calendar year, allowing agencies to submit amendments for previous reporting periods between 1 January </w:t>
      </w:r>
      <w:r w:rsidR="00815AD4" w:rsidRPr="004A65EE">
        <w:t>and</w:t>
      </w:r>
      <w:r w:rsidRPr="004A65EE">
        <w:t xml:space="preserve"> 31</w:t>
      </w:r>
      <w:r w:rsidRPr="00AA5CB5">
        <w:t xml:space="preserve"> May</w:t>
      </w:r>
      <w:r w:rsidR="004A65EE">
        <w:t>, approximately</w:t>
      </w:r>
      <w:r w:rsidRPr="00AA5CB5">
        <w:t>.</w:t>
      </w:r>
    </w:p>
    <w:p w14:paraId="2196FD1D" w14:textId="55A4D12C" w:rsidR="00917E49" w:rsidRPr="00AA5CB5" w:rsidRDefault="00917E49" w:rsidP="00CA2AA9">
      <w:pPr>
        <w:pStyle w:val="Bodybullet1"/>
      </w:pPr>
      <w:r w:rsidRPr="00AA5CB5">
        <w:t>Finance works with P</w:t>
      </w:r>
      <w:r w:rsidR="001514AD" w:rsidRPr="00AA5CB5">
        <w:t>SP</w:t>
      </w:r>
      <w:r w:rsidRPr="00AA5CB5">
        <w:t>s</w:t>
      </w:r>
      <w:r w:rsidR="0080417D" w:rsidRPr="00AA5CB5">
        <w:t>, where applicable,</w:t>
      </w:r>
      <w:r w:rsidRPr="00AA5CB5">
        <w:t xml:space="preserve"> to source any reconciled activity data and sends affected agencies amended </w:t>
      </w:r>
      <w:r w:rsidR="00357FB5" w:rsidRPr="00AA5CB5">
        <w:t xml:space="preserve">data </w:t>
      </w:r>
      <w:r w:rsidR="004A65EE">
        <w:t>during the amendment period</w:t>
      </w:r>
      <w:r w:rsidRPr="00AA5CB5">
        <w:t xml:space="preserve">. </w:t>
      </w:r>
      <w:r w:rsidR="00F97ED8" w:rsidRPr="00AA5CB5">
        <w:t xml:space="preserve">For </w:t>
      </w:r>
      <w:r w:rsidR="00DA505D" w:rsidRPr="00AA5CB5">
        <w:t xml:space="preserve">reporting </w:t>
      </w:r>
      <w:r w:rsidR="00F97ED8" w:rsidRPr="00AA5CB5">
        <w:t xml:space="preserve">agencies who do not </w:t>
      </w:r>
      <w:r w:rsidR="00DA505D" w:rsidRPr="00AA5CB5">
        <w:t xml:space="preserve">use a </w:t>
      </w:r>
      <w:r w:rsidR="0080417D" w:rsidRPr="00AA5CB5">
        <w:t>P</w:t>
      </w:r>
      <w:r w:rsidR="001514AD" w:rsidRPr="00AA5CB5">
        <w:t>SP</w:t>
      </w:r>
      <w:r w:rsidR="00DA505D" w:rsidRPr="00AA5CB5">
        <w:t xml:space="preserve">, the </w:t>
      </w:r>
      <w:r w:rsidR="00517874" w:rsidRPr="00AA5CB5">
        <w:t>reporting agen</w:t>
      </w:r>
      <w:r w:rsidR="00DA505D" w:rsidRPr="00AA5CB5">
        <w:t>cy</w:t>
      </w:r>
      <w:r w:rsidR="00517874" w:rsidRPr="00AA5CB5">
        <w:t xml:space="preserve"> will source </w:t>
      </w:r>
      <w:r w:rsidR="004B6D27" w:rsidRPr="00AA5CB5">
        <w:t xml:space="preserve">reconciled </w:t>
      </w:r>
      <w:r w:rsidR="00517874" w:rsidRPr="00AA5CB5">
        <w:t xml:space="preserve">activity data themselves. </w:t>
      </w:r>
    </w:p>
    <w:p w14:paraId="38790BF1" w14:textId="0E668A72" w:rsidR="00917E49" w:rsidRPr="00AA5CB5" w:rsidRDefault="00917E49" w:rsidP="00CA2AA9">
      <w:pPr>
        <w:pStyle w:val="Bodybullet1"/>
      </w:pPr>
      <w:r w:rsidRPr="00AA5CB5">
        <w:t>Submitted data is validated by Finance and any issues that are identified a</w:t>
      </w:r>
      <w:r w:rsidR="009E15C1" w:rsidRPr="00AA5CB5">
        <w:t>re</w:t>
      </w:r>
      <w:r w:rsidRPr="00AA5CB5">
        <w:t xml:space="preserve"> communicated to the reporting agencies for correction.</w:t>
      </w:r>
    </w:p>
    <w:p w14:paraId="16CBDE31" w14:textId="77777777" w:rsidR="00917E49" w:rsidRPr="00AA5CB5" w:rsidRDefault="00917E49" w:rsidP="00CA2AA9">
      <w:pPr>
        <w:pStyle w:val="Bodybullet1"/>
      </w:pPr>
      <w:r w:rsidRPr="00AA5CB5">
        <w:t xml:space="preserve">The reporting agency’s emissions are calculated by Finance and amended emissions inventories are returned to reporting agencies. </w:t>
      </w:r>
    </w:p>
    <w:p w14:paraId="2617B5C6" w14:textId="77777777" w:rsidR="00917E49" w:rsidRPr="00AA5CB5" w:rsidRDefault="00917E49" w:rsidP="00CA2AA9">
      <w:pPr>
        <w:pStyle w:val="Bodybullet1"/>
      </w:pPr>
      <w:r w:rsidRPr="00AA5CB5">
        <w:t>Reporting agencies review their emissions inventories with an opportunity to correct any issues or provide sign-off by an approving official.</w:t>
      </w:r>
    </w:p>
    <w:p w14:paraId="76A53AB4" w14:textId="49DD6953" w:rsidR="00917E49" w:rsidRPr="00AA5CB5" w:rsidRDefault="00917E49" w:rsidP="00CA2AA9">
      <w:pPr>
        <w:pStyle w:val="Bodybullet1"/>
      </w:pPr>
      <w:r w:rsidRPr="00AA5CB5">
        <w:t xml:space="preserve">Amended data is included in the following year’s </w:t>
      </w:r>
      <w:r w:rsidR="00336420">
        <w:t>NZGO APR</w:t>
      </w:r>
      <w:r w:rsidRPr="00AA5CB5">
        <w:t xml:space="preserve">. </w:t>
      </w:r>
    </w:p>
    <w:p w14:paraId="72FB5002" w14:textId="77777777" w:rsidR="00917E49" w:rsidRPr="00AA5CB5" w:rsidRDefault="00917E49" w:rsidP="00917E49">
      <w:pPr>
        <w:pStyle w:val="BodyText1"/>
        <w:rPr>
          <w:b/>
        </w:rPr>
      </w:pPr>
      <w:bookmarkStart w:id="116" w:name="_Toc197426957"/>
      <w:bookmarkStart w:id="117" w:name="_Toc197438622"/>
      <w:r w:rsidRPr="00AA5CB5">
        <w:rPr>
          <w:b/>
        </w:rPr>
        <w:t>Reporting amendments</w:t>
      </w:r>
      <w:bookmarkEnd w:id="116"/>
      <w:bookmarkEnd w:id="117"/>
      <w:r w:rsidRPr="00AA5CB5">
        <w:rPr>
          <w:b/>
        </w:rPr>
        <w:t xml:space="preserve"> </w:t>
      </w:r>
    </w:p>
    <w:p w14:paraId="1159AD40" w14:textId="3B0354B9" w:rsidR="009E15C1" w:rsidRPr="00AA5CB5" w:rsidRDefault="0002255C" w:rsidP="009E15C1">
      <w:pPr>
        <w:pStyle w:val="FootnoteText1"/>
      </w:pPr>
      <w:r w:rsidRPr="00AA5CB5">
        <w:t>Reporting agencies may publish a</w:t>
      </w:r>
      <w:r w:rsidR="0024293E" w:rsidRPr="00AA5CB5">
        <w:t xml:space="preserve">mendments to prior year emissions inventory data on the relevant agency’s website. </w:t>
      </w:r>
      <w:r w:rsidR="005F1E0E" w:rsidRPr="00AA5CB5">
        <w:t>Additional e</w:t>
      </w:r>
      <w:r w:rsidR="0024293E" w:rsidRPr="00AA5CB5">
        <w:t xml:space="preserve">nhancements to the amendments reporting process </w:t>
      </w:r>
      <w:r w:rsidR="00B25EBA">
        <w:t>are</w:t>
      </w:r>
      <w:r w:rsidR="0024293E" w:rsidRPr="00AA5CB5">
        <w:t xml:space="preserve"> under investigation.</w:t>
      </w:r>
      <w:bookmarkStart w:id="118" w:name="_Ref197436570"/>
      <w:bookmarkStart w:id="119" w:name="_Toc197438630"/>
      <w:bookmarkStart w:id="120" w:name="_Ref194950704"/>
      <w:bookmarkStart w:id="121" w:name="_Toc197426965"/>
      <w:r w:rsidR="004843FC" w:rsidRPr="00AA5CB5">
        <w:br w:type="page"/>
      </w:r>
    </w:p>
    <w:p w14:paraId="37938D08" w14:textId="385E7DA3" w:rsidR="00FC5A72" w:rsidRPr="00AA5CB5" w:rsidRDefault="00FC5A72" w:rsidP="009E15C1">
      <w:pPr>
        <w:pStyle w:val="Heading1"/>
      </w:pPr>
      <w:bookmarkStart w:id="122" w:name="_Ref201836788"/>
      <w:bookmarkStart w:id="123" w:name="_Ref201836891"/>
      <w:bookmarkStart w:id="124" w:name="_Toc201927358"/>
      <w:r w:rsidRPr="00AA5CB5">
        <w:lastRenderedPageBreak/>
        <w:t xml:space="preserve">Annex A: Scope 3 categories in Greenhouse Gas Protocol and </w:t>
      </w:r>
      <w:bookmarkEnd w:id="118"/>
      <w:bookmarkEnd w:id="119"/>
      <w:r w:rsidR="00520860">
        <w:t>Framework</w:t>
      </w:r>
      <w:bookmarkEnd w:id="122"/>
      <w:bookmarkEnd w:id="123"/>
      <w:bookmarkEnd w:id="124"/>
      <w:r w:rsidR="00520860">
        <w:t xml:space="preserve"> </w:t>
      </w:r>
      <w:r w:rsidRPr="00AA5CB5">
        <w:t xml:space="preserve"> </w:t>
      </w:r>
    </w:p>
    <w:tbl>
      <w:tblPr>
        <w:tblW w:w="5079" w:type="pct"/>
        <w:tblInd w:w="-147" w:type="dxa"/>
        <w:tblBorders>
          <w:top w:val="single" w:sz="4" w:space="0" w:color="85D6D4" w:themeColor="accent6"/>
          <w:left w:val="single" w:sz="4" w:space="0" w:color="85D6D4" w:themeColor="accent6"/>
          <w:bottom w:val="single" w:sz="4" w:space="0" w:color="85D6D4" w:themeColor="accent6"/>
          <w:right w:val="single" w:sz="4" w:space="0" w:color="85D6D4" w:themeColor="accent6"/>
          <w:insideH w:val="single" w:sz="4" w:space="0" w:color="85D6D4" w:themeColor="accent6"/>
          <w:insideV w:val="single" w:sz="4" w:space="0" w:color="85D6D4" w:themeColor="accent6"/>
        </w:tblBorders>
        <w:tblLook w:val="04A0" w:firstRow="1" w:lastRow="0" w:firstColumn="1" w:lastColumn="0" w:noHBand="0" w:noVBand="1"/>
      </w:tblPr>
      <w:tblGrid>
        <w:gridCol w:w="1417"/>
        <w:gridCol w:w="1440"/>
        <w:gridCol w:w="2327"/>
        <w:gridCol w:w="2471"/>
        <w:gridCol w:w="1843"/>
      </w:tblGrid>
      <w:tr w:rsidR="00E7542F" w:rsidRPr="00AA5CB5" w14:paraId="275E7CAE" w14:textId="77777777" w:rsidTr="2D57CE8C">
        <w:trPr>
          <w:cantSplit/>
          <w:trHeight w:val="300"/>
          <w:tblHeader/>
        </w:trPr>
        <w:tc>
          <w:tcPr>
            <w:tcW w:w="746" w:type="pct"/>
            <w:shd w:val="clear" w:color="auto" w:fill="CEEEED" w:themeFill="accent6" w:themeFillTint="66"/>
            <w:hideMark/>
          </w:tcPr>
          <w:p w14:paraId="32963EC7" w14:textId="77777777" w:rsidR="00FC5A72" w:rsidRPr="00AA5CB5" w:rsidRDefault="00FC5A72" w:rsidP="00CF2168">
            <w:pPr>
              <w:pStyle w:val="Tableheading"/>
            </w:pPr>
            <w:r w:rsidRPr="00AA5CB5">
              <w:t xml:space="preserve">Location in supply chain </w:t>
            </w:r>
          </w:p>
        </w:tc>
        <w:tc>
          <w:tcPr>
            <w:tcW w:w="758" w:type="pct"/>
            <w:shd w:val="clear" w:color="auto" w:fill="CEEEED" w:themeFill="accent6" w:themeFillTint="66"/>
            <w:hideMark/>
          </w:tcPr>
          <w:p w14:paraId="48F32E16" w14:textId="77777777" w:rsidR="00FC5A72" w:rsidRPr="00AA5CB5" w:rsidRDefault="00FC5A72" w:rsidP="00CF2168">
            <w:pPr>
              <w:pStyle w:val="Tableheading"/>
            </w:pPr>
            <w:r w:rsidRPr="00AA5CB5">
              <w:t xml:space="preserve">Category </w:t>
            </w:r>
          </w:p>
        </w:tc>
        <w:tc>
          <w:tcPr>
            <w:tcW w:w="1225" w:type="pct"/>
            <w:shd w:val="clear" w:color="auto" w:fill="CEEEED" w:themeFill="accent6" w:themeFillTint="66"/>
            <w:hideMark/>
          </w:tcPr>
          <w:p w14:paraId="343BDB02" w14:textId="77777777" w:rsidR="00FC5A72" w:rsidRPr="00AA5CB5" w:rsidRDefault="00FC5A72" w:rsidP="00CF2168">
            <w:pPr>
              <w:pStyle w:val="Tableheading"/>
            </w:pPr>
            <w:r w:rsidRPr="00AA5CB5">
              <w:t xml:space="preserve">Category description </w:t>
            </w:r>
          </w:p>
        </w:tc>
        <w:tc>
          <w:tcPr>
            <w:tcW w:w="1301" w:type="pct"/>
            <w:shd w:val="clear" w:color="auto" w:fill="CEEEED" w:themeFill="accent6" w:themeFillTint="66"/>
            <w:hideMark/>
          </w:tcPr>
          <w:p w14:paraId="774DAD78" w14:textId="77777777" w:rsidR="00FC5A72" w:rsidRPr="00AA5CB5" w:rsidRDefault="00FC5A72" w:rsidP="00CF2168">
            <w:pPr>
              <w:pStyle w:val="Tableheading"/>
            </w:pPr>
            <w:r w:rsidRPr="00AA5CB5">
              <w:t xml:space="preserve">Minimum boundary </w:t>
            </w:r>
          </w:p>
        </w:tc>
        <w:tc>
          <w:tcPr>
            <w:tcW w:w="970" w:type="pct"/>
            <w:shd w:val="clear" w:color="auto" w:fill="CEEEED" w:themeFill="accent6" w:themeFillTint="66"/>
            <w:hideMark/>
          </w:tcPr>
          <w:p w14:paraId="7A04DB50" w14:textId="32F07DF8" w:rsidR="00FC5A72" w:rsidRPr="00AA5CB5" w:rsidRDefault="00E56530" w:rsidP="00CF2168">
            <w:pPr>
              <w:pStyle w:val="Tableheading"/>
            </w:pPr>
            <w:r w:rsidRPr="00AA5CB5">
              <w:t xml:space="preserve">Name in the </w:t>
            </w:r>
            <w:r w:rsidR="00520860">
              <w:t xml:space="preserve">Framework </w:t>
            </w:r>
            <w:r w:rsidR="00FC5A72" w:rsidRPr="00AA5CB5">
              <w:t xml:space="preserve">  </w:t>
            </w:r>
          </w:p>
        </w:tc>
      </w:tr>
      <w:tr w:rsidR="00E7542F" w:rsidRPr="00AA5CB5" w14:paraId="21C3281D" w14:textId="77777777" w:rsidTr="2D57CE8C">
        <w:trPr>
          <w:trHeight w:val="300"/>
        </w:trPr>
        <w:tc>
          <w:tcPr>
            <w:tcW w:w="746" w:type="pct"/>
            <w:shd w:val="clear" w:color="auto" w:fill="FFFFFF" w:themeFill="background1"/>
            <w:hideMark/>
          </w:tcPr>
          <w:p w14:paraId="6EE1F959" w14:textId="77777777" w:rsidR="00FC5A72" w:rsidRPr="00AA5CB5" w:rsidRDefault="00FC5A72" w:rsidP="00CF2168">
            <w:pPr>
              <w:pStyle w:val="Tablebodytext"/>
              <w:rPr>
                <w:b/>
              </w:rPr>
            </w:pPr>
            <w:r w:rsidRPr="00AA5CB5">
              <w:rPr>
                <w:b/>
              </w:rPr>
              <w:t xml:space="preserve">Upstream </w:t>
            </w:r>
          </w:p>
        </w:tc>
        <w:tc>
          <w:tcPr>
            <w:tcW w:w="758" w:type="pct"/>
            <w:shd w:val="clear" w:color="auto" w:fill="FFFFFF" w:themeFill="background1"/>
            <w:hideMark/>
          </w:tcPr>
          <w:p w14:paraId="6E27B8E0" w14:textId="77777777" w:rsidR="00FC5A72" w:rsidRPr="00AA5CB5" w:rsidRDefault="00FC5A72" w:rsidP="00CF2168">
            <w:pPr>
              <w:pStyle w:val="Tablebodytext"/>
            </w:pPr>
            <w:r w:rsidRPr="00AA5CB5">
              <w:t>1. Purchased goods and services</w:t>
            </w:r>
          </w:p>
        </w:tc>
        <w:tc>
          <w:tcPr>
            <w:tcW w:w="1225" w:type="pct"/>
            <w:shd w:val="clear" w:color="auto" w:fill="FFFFFF" w:themeFill="background1"/>
            <w:hideMark/>
          </w:tcPr>
          <w:p w14:paraId="04EC58CC" w14:textId="37A34F0A" w:rsidR="00FC5A72" w:rsidRPr="00AA5CB5" w:rsidRDefault="00FC5A72" w:rsidP="00CF2168">
            <w:pPr>
              <w:pStyle w:val="Tablebodytext"/>
            </w:pPr>
            <w:r w:rsidRPr="00AA5CB5">
              <w:t>Extraction, production, and transportation of goods and services purchased or acquired by the reporting company in the reporting year, not otherwise included in Categories 2 – 8</w:t>
            </w:r>
          </w:p>
        </w:tc>
        <w:tc>
          <w:tcPr>
            <w:tcW w:w="1301" w:type="pct"/>
            <w:shd w:val="clear" w:color="auto" w:fill="FFFFFF" w:themeFill="background1"/>
            <w:hideMark/>
          </w:tcPr>
          <w:p w14:paraId="7A17417A" w14:textId="4D23E83A" w:rsidR="00FC5A72" w:rsidRPr="00AA5CB5" w:rsidRDefault="00FC5A72" w:rsidP="00CF2168">
            <w:pPr>
              <w:pStyle w:val="Tablebodytext"/>
            </w:pPr>
            <w:r w:rsidRPr="00AA5CB5">
              <w:t>All upstream (cradle-to-gate) emissions of purchased goods and services</w:t>
            </w:r>
          </w:p>
        </w:tc>
        <w:tc>
          <w:tcPr>
            <w:tcW w:w="970" w:type="pct"/>
            <w:shd w:val="clear" w:color="auto" w:fill="E7E6E6" w:themeFill="background2"/>
          </w:tcPr>
          <w:p w14:paraId="0C405268" w14:textId="0DC1A0E6" w:rsidR="00EC02B3" w:rsidRPr="00AA5CB5" w:rsidRDefault="00EC02B3" w:rsidP="00EC02B3">
            <w:pPr>
              <w:pStyle w:val="Tablebodytext"/>
            </w:pPr>
            <w:r w:rsidRPr="00AA5CB5">
              <w:t xml:space="preserve">Not included – </w:t>
            </w:r>
            <w:r w:rsidR="009774F2">
              <w:t>refer to</w:t>
            </w:r>
            <w:r w:rsidRPr="00AA5CB5">
              <w:t xml:space="preserve"> </w:t>
            </w:r>
            <w:r w:rsidRPr="00C61520">
              <w:rPr>
                <w:rStyle w:val="Hyperlink1"/>
              </w:rPr>
              <w:fldChar w:fldCharType="begin"/>
            </w:r>
            <w:r w:rsidRPr="00C61520">
              <w:rPr>
                <w:rStyle w:val="Hyperlink1"/>
              </w:rPr>
              <w:instrText xml:space="preserve"> REF _Ref199186652 \h </w:instrText>
            </w:r>
            <w:r w:rsidR="00B06885" w:rsidRPr="00C61520">
              <w:rPr>
                <w:rStyle w:val="Hyperlink1"/>
              </w:rPr>
              <w:instrText xml:space="preserve"> \* MERGEFORMAT </w:instrText>
            </w:r>
            <w:r w:rsidRPr="00C61520">
              <w:rPr>
                <w:rStyle w:val="Hyperlink1"/>
              </w:rPr>
            </w:r>
            <w:r w:rsidRPr="00C61520">
              <w:rPr>
                <w:rStyle w:val="Hyperlink1"/>
              </w:rPr>
              <w:fldChar w:fldCharType="separate"/>
            </w:r>
            <w:r w:rsidR="00422A37" w:rsidRPr="00422A37">
              <w:rPr>
                <w:rStyle w:val="Hyperlink1"/>
                <w:sz w:val="20"/>
                <w:szCs w:val="24"/>
              </w:rPr>
              <w:t xml:space="preserve">Scope 3 emissions </w:t>
            </w:r>
            <w:r w:rsidRPr="00C61520">
              <w:rPr>
                <w:rStyle w:val="Hyperlink1"/>
              </w:rPr>
              <w:fldChar w:fldCharType="end"/>
            </w:r>
          </w:p>
          <w:p w14:paraId="6937EE70" w14:textId="68F51ADF" w:rsidR="00FC5A72" w:rsidRPr="00AA5CB5" w:rsidRDefault="00FC5A72" w:rsidP="00CF2168">
            <w:pPr>
              <w:pStyle w:val="Tablebodytext"/>
            </w:pPr>
          </w:p>
        </w:tc>
      </w:tr>
      <w:tr w:rsidR="00E7542F" w:rsidRPr="00AA5CB5" w14:paraId="2594997B" w14:textId="77777777" w:rsidTr="2D57CE8C">
        <w:trPr>
          <w:trHeight w:val="300"/>
        </w:trPr>
        <w:tc>
          <w:tcPr>
            <w:tcW w:w="746" w:type="pct"/>
            <w:shd w:val="clear" w:color="auto" w:fill="FFFFFF" w:themeFill="background1"/>
            <w:hideMark/>
          </w:tcPr>
          <w:p w14:paraId="56E6A9D0" w14:textId="77777777" w:rsidR="003B5C15" w:rsidRPr="00AA5CB5" w:rsidRDefault="003B5C15" w:rsidP="003B5C15">
            <w:pPr>
              <w:pStyle w:val="Tablebodytext"/>
              <w:rPr>
                <w:b/>
              </w:rPr>
            </w:pPr>
            <w:r w:rsidRPr="00AA5CB5">
              <w:rPr>
                <w:b/>
              </w:rPr>
              <w:t>Upstream</w:t>
            </w:r>
          </w:p>
        </w:tc>
        <w:tc>
          <w:tcPr>
            <w:tcW w:w="758" w:type="pct"/>
            <w:shd w:val="clear" w:color="auto" w:fill="FFFFFF" w:themeFill="background1"/>
            <w:hideMark/>
          </w:tcPr>
          <w:p w14:paraId="6A0D8320" w14:textId="77777777" w:rsidR="003B5C15" w:rsidRPr="00AA5CB5" w:rsidRDefault="003B5C15" w:rsidP="003B5C15">
            <w:pPr>
              <w:pStyle w:val="Tablebodytext"/>
            </w:pPr>
            <w:r w:rsidRPr="00AA5CB5">
              <w:t xml:space="preserve">2. Capital goods </w:t>
            </w:r>
          </w:p>
        </w:tc>
        <w:tc>
          <w:tcPr>
            <w:tcW w:w="1225" w:type="pct"/>
            <w:shd w:val="clear" w:color="auto" w:fill="FFFFFF" w:themeFill="background1"/>
          </w:tcPr>
          <w:p w14:paraId="4ECD3D8E" w14:textId="1BDEFABD" w:rsidR="003B5C15" w:rsidRPr="00AA5CB5" w:rsidRDefault="003B5C15" w:rsidP="003B5C15">
            <w:pPr>
              <w:pStyle w:val="Tablebodytext"/>
            </w:pPr>
            <w:r w:rsidRPr="00AA5CB5">
              <w:t>Extraction, production, and transportation of capital goods purchased or acquired by the reporting company in the reporting year</w:t>
            </w:r>
            <w:r w:rsidR="00577C32">
              <w:t>.</w:t>
            </w:r>
          </w:p>
        </w:tc>
        <w:tc>
          <w:tcPr>
            <w:tcW w:w="1301" w:type="pct"/>
            <w:shd w:val="clear" w:color="auto" w:fill="FFFFFF" w:themeFill="background1"/>
            <w:hideMark/>
          </w:tcPr>
          <w:p w14:paraId="32BF597D" w14:textId="77777777" w:rsidR="003B5C15" w:rsidRPr="00AA5CB5" w:rsidRDefault="003B5C15" w:rsidP="003B5C15">
            <w:pPr>
              <w:pStyle w:val="Tablebodytext"/>
            </w:pPr>
            <w:r w:rsidRPr="00AA5CB5">
              <w:t>All upstream (cradle-to-gate) emissions of purchased capital goods</w:t>
            </w:r>
          </w:p>
        </w:tc>
        <w:tc>
          <w:tcPr>
            <w:tcW w:w="970" w:type="pct"/>
            <w:shd w:val="clear" w:color="auto" w:fill="E7E6E6" w:themeFill="background2"/>
          </w:tcPr>
          <w:p w14:paraId="71D8CF46" w14:textId="2CDFC16A" w:rsidR="003B5C15" w:rsidRPr="00AA5CB5" w:rsidRDefault="00EC02B3" w:rsidP="003B5C15">
            <w:pPr>
              <w:pStyle w:val="Tablebodytext"/>
            </w:pPr>
            <w:r w:rsidRPr="00AA5CB5">
              <w:t xml:space="preserve">Not included –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r w:rsidR="002221BB" w:rsidRPr="002221BB">
              <w:rPr>
                <w:rStyle w:val="Hyperlink1"/>
                <w:sz w:val="20"/>
                <w:szCs w:val="24"/>
              </w:rPr>
              <w:t xml:space="preserve"> </w:t>
            </w:r>
          </w:p>
        </w:tc>
      </w:tr>
      <w:tr w:rsidR="00E7542F" w:rsidRPr="00AA5CB5" w14:paraId="720CE80A" w14:textId="77777777" w:rsidTr="2D57CE8C">
        <w:trPr>
          <w:trHeight w:val="300"/>
        </w:trPr>
        <w:tc>
          <w:tcPr>
            <w:tcW w:w="746" w:type="pct"/>
            <w:vMerge w:val="restart"/>
            <w:shd w:val="clear" w:color="auto" w:fill="FFFFFF" w:themeFill="background1"/>
            <w:hideMark/>
          </w:tcPr>
          <w:p w14:paraId="50D0D0A2" w14:textId="77777777" w:rsidR="003B5C15" w:rsidRPr="00AA5CB5" w:rsidRDefault="003B5C15" w:rsidP="003B5C15">
            <w:pPr>
              <w:pStyle w:val="Tablebodytext"/>
              <w:rPr>
                <w:b/>
              </w:rPr>
            </w:pPr>
            <w:r w:rsidRPr="00AA5CB5">
              <w:rPr>
                <w:b/>
              </w:rPr>
              <w:t>Upstream</w:t>
            </w:r>
          </w:p>
        </w:tc>
        <w:tc>
          <w:tcPr>
            <w:tcW w:w="758" w:type="pct"/>
            <w:vMerge w:val="restart"/>
            <w:shd w:val="clear" w:color="auto" w:fill="FFFFFF" w:themeFill="background1"/>
            <w:hideMark/>
          </w:tcPr>
          <w:p w14:paraId="75E0C598" w14:textId="77777777" w:rsidR="003B5C15" w:rsidRPr="00AA5CB5" w:rsidRDefault="003B5C15" w:rsidP="003B5C15">
            <w:pPr>
              <w:pStyle w:val="Tablebodytext"/>
            </w:pPr>
            <w:r w:rsidRPr="00AA5CB5">
              <w:t>3. Fuel- and energy related activities (not included in scope 1 or scope 2)</w:t>
            </w:r>
          </w:p>
        </w:tc>
        <w:tc>
          <w:tcPr>
            <w:tcW w:w="1225" w:type="pct"/>
            <w:shd w:val="clear" w:color="auto" w:fill="FFFFFF" w:themeFill="background1"/>
            <w:hideMark/>
          </w:tcPr>
          <w:p w14:paraId="4B0943E4" w14:textId="77777777" w:rsidR="003B5C15" w:rsidRPr="00AA5CB5" w:rsidRDefault="003B5C15" w:rsidP="003B5C15">
            <w:pPr>
              <w:pStyle w:val="Tablebodytext"/>
            </w:pPr>
            <w:r w:rsidRPr="00AA5CB5">
              <w:t>Extraction, production, and transportation of fuels and energy purchased or acquired by the reporting company in the reporting year, not already accounted for in scope 1 or scope 2, including:</w:t>
            </w:r>
          </w:p>
        </w:tc>
        <w:tc>
          <w:tcPr>
            <w:tcW w:w="1301" w:type="pct"/>
            <w:shd w:val="clear" w:color="auto" w:fill="FFFFFF" w:themeFill="background1"/>
            <w:hideMark/>
          </w:tcPr>
          <w:p w14:paraId="3D7E5C6B" w14:textId="6F764B21" w:rsidR="003B5C15" w:rsidRPr="00AA5CB5" w:rsidRDefault="003B5C15" w:rsidP="003B5C15">
            <w:pPr>
              <w:pStyle w:val="Tablebodytext"/>
            </w:pPr>
          </w:p>
        </w:tc>
        <w:tc>
          <w:tcPr>
            <w:tcW w:w="970" w:type="pct"/>
            <w:shd w:val="clear" w:color="auto" w:fill="E7E6E6" w:themeFill="background2"/>
          </w:tcPr>
          <w:p w14:paraId="33AC3F80" w14:textId="2EC7864D" w:rsidR="003B5C15" w:rsidRPr="00AA5CB5" w:rsidRDefault="00EC02B3" w:rsidP="003B5C15">
            <w:pPr>
              <w:pStyle w:val="Tablebodytext"/>
            </w:pPr>
            <w:r w:rsidRPr="00AA5CB5">
              <w:t xml:space="preserve">Not included –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r w:rsidR="002221BB" w:rsidRPr="002221BB">
              <w:rPr>
                <w:rStyle w:val="Hyperlink1"/>
                <w:sz w:val="20"/>
                <w:szCs w:val="24"/>
              </w:rPr>
              <w:t xml:space="preserve"> </w:t>
            </w:r>
          </w:p>
        </w:tc>
      </w:tr>
      <w:tr w:rsidR="00787EB7" w:rsidRPr="00AA5CB5" w14:paraId="4F7CABE3" w14:textId="77777777" w:rsidTr="2D57CE8C">
        <w:trPr>
          <w:trHeight w:val="1200"/>
        </w:trPr>
        <w:tc>
          <w:tcPr>
            <w:tcW w:w="0" w:type="auto"/>
            <w:vMerge/>
            <w:vAlign w:val="center"/>
            <w:hideMark/>
          </w:tcPr>
          <w:p w14:paraId="742EBFF7" w14:textId="77777777" w:rsidR="003B5C15" w:rsidRPr="00AA5CB5" w:rsidRDefault="003B5C15" w:rsidP="003B5C15">
            <w:pPr>
              <w:pStyle w:val="Tablebodytext"/>
              <w:rPr>
                <w:b/>
              </w:rPr>
            </w:pPr>
          </w:p>
        </w:tc>
        <w:tc>
          <w:tcPr>
            <w:tcW w:w="0" w:type="auto"/>
            <w:vMerge/>
            <w:vAlign w:val="center"/>
            <w:hideMark/>
          </w:tcPr>
          <w:p w14:paraId="40875C25" w14:textId="77777777" w:rsidR="003B5C15" w:rsidRPr="00AA5CB5" w:rsidRDefault="003B5C15" w:rsidP="003B5C15">
            <w:pPr>
              <w:pStyle w:val="Tablebodytext"/>
            </w:pPr>
          </w:p>
        </w:tc>
        <w:tc>
          <w:tcPr>
            <w:tcW w:w="1225" w:type="pct"/>
            <w:shd w:val="clear" w:color="auto" w:fill="FFFFFF" w:themeFill="background1"/>
            <w:hideMark/>
          </w:tcPr>
          <w:p w14:paraId="23E6C332" w14:textId="77777777" w:rsidR="003B5C15" w:rsidRPr="00AA5CB5" w:rsidRDefault="003B5C15" w:rsidP="003B5C15">
            <w:pPr>
              <w:pStyle w:val="Tablebodytext"/>
            </w:pPr>
            <w:r w:rsidRPr="00AA5CB5">
              <w:t>a. Upstream emissions of purchased fuels (extraction, production, and transportation of fuels consumed by the reporting company)</w:t>
            </w:r>
          </w:p>
        </w:tc>
        <w:tc>
          <w:tcPr>
            <w:tcW w:w="1301" w:type="pct"/>
            <w:shd w:val="clear" w:color="auto" w:fill="FFFFFF" w:themeFill="background1"/>
            <w:hideMark/>
          </w:tcPr>
          <w:p w14:paraId="66DB2124" w14:textId="403D0C5E" w:rsidR="003B5C15" w:rsidRPr="00AA5CB5" w:rsidRDefault="003B5C15" w:rsidP="003B5C15">
            <w:pPr>
              <w:pStyle w:val="Tablebodytext"/>
            </w:pPr>
            <w:r w:rsidRPr="00AA5CB5">
              <w:t>For upstream emissions of purchased fuels: All upstream (cradle-to-gate) emissions of purchased fuels (from raw material extraction up to the point of, but excluding combustion)</w:t>
            </w:r>
          </w:p>
        </w:tc>
        <w:tc>
          <w:tcPr>
            <w:tcW w:w="970" w:type="pct"/>
            <w:shd w:val="clear" w:color="auto" w:fill="E8F0FE" w:themeFill="accent5" w:themeFillTint="33"/>
            <w:hideMark/>
          </w:tcPr>
          <w:p w14:paraId="7F9342F5" w14:textId="5B6B24C8" w:rsidR="003B5C15" w:rsidRPr="00AA5CB5" w:rsidRDefault="003B5C15" w:rsidP="003B5C15">
            <w:pPr>
              <w:pStyle w:val="Tablebodytext"/>
            </w:pPr>
            <w:r w:rsidRPr="00AA5CB5">
              <w:t>The extraction, production and transport of energy sources</w:t>
            </w:r>
          </w:p>
        </w:tc>
      </w:tr>
      <w:tr w:rsidR="00787EB7" w:rsidRPr="00AA5CB5" w14:paraId="5DA5059F" w14:textId="77777777" w:rsidTr="2D57CE8C">
        <w:trPr>
          <w:trHeight w:val="900"/>
        </w:trPr>
        <w:tc>
          <w:tcPr>
            <w:tcW w:w="0" w:type="auto"/>
            <w:vMerge/>
            <w:vAlign w:val="center"/>
            <w:hideMark/>
          </w:tcPr>
          <w:p w14:paraId="7CDAF91B" w14:textId="77777777" w:rsidR="003B5C15" w:rsidRPr="00AA5CB5" w:rsidRDefault="003B5C15" w:rsidP="003B5C15">
            <w:pPr>
              <w:pStyle w:val="Tablebodytext"/>
              <w:rPr>
                <w:b/>
              </w:rPr>
            </w:pPr>
          </w:p>
        </w:tc>
        <w:tc>
          <w:tcPr>
            <w:tcW w:w="0" w:type="auto"/>
            <w:vMerge/>
            <w:vAlign w:val="center"/>
            <w:hideMark/>
          </w:tcPr>
          <w:p w14:paraId="7793723F" w14:textId="77777777" w:rsidR="003B5C15" w:rsidRPr="00AA5CB5" w:rsidRDefault="003B5C15" w:rsidP="003B5C15">
            <w:pPr>
              <w:pStyle w:val="Tablebodytext"/>
            </w:pPr>
          </w:p>
        </w:tc>
        <w:tc>
          <w:tcPr>
            <w:tcW w:w="1225" w:type="pct"/>
            <w:shd w:val="clear" w:color="auto" w:fill="FFFFFF" w:themeFill="background1"/>
            <w:hideMark/>
          </w:tcPr>
          <w:p w14:paraId="6E92DB63" w14:textId="77777777" w:rsidR="003B5C15" w:rsidRPr="00AA5CB5" w:rsidRDefault="003B5C15" w:rsidP="003B5C15">
            <w:pPr>
              <w:pStyle w:val="Tablebodytext"/>
            </w:pPr>
            <w:r w:rsidRPr="00AA5CB5">
              <w:t xml:space="preserve">b. Upstream emissions of purchased electricity (extraction, production, and transportation of fuels consumed in the generation of </w:t>
            </w:r>
            <w:r w:rsidRPr="00AA5CB5">
              <w:lastRenderedPageBreak/>
              <w:t>electricity, steam, heating, and cooling consumed by the reporting company)</w:t>
            </w:r>
          </w:p>
        </w:tc>
        <w:tc>
          <w:tcPr>
            <w:tcW w:w="1301" w:type="pct"/>
            <w:shd w:val="clear" w:color="auto" w:fill="FFFFFF" w:themeFill="background1"/>
            <w:hideMark/>
          </w:tcPr>
          <w:p w14:paraId="12F75297" w14:textId="0BAF8A2D" w:rsidR="003B5C15" w:rsidRPr="00AA5CB5" w:rsidRDefault="003B5C15" w:rsidP="003B5C15">
            <w:pPr>
              <w:pStyle w:val="Tablebodytext"/>
            </w:pPr>
            <w:r w:rsidRPr="00AA5CB5">
              <w:lastRenderedPageBreak/>
              <w:t xml:space="preserve">For upstream emissions of purchased electricity: All upstream (cradle-to-gate) emissions of purchased fuels (from raw material extraction </w:t>
            </w:r>
            <w:r w:rsidRPr="00AA5CB5">
              <w:lastRenderedPageBreak/>
              <w:t>up to the point of, but excluding, combustion by a power generator)</w:t>
            </w:r>
          </w:p>
        </w:tc>
        <w:tc>
          <w:tcPr>
            <w:tcW w:w="970" w:type="pct"/>
            <w:vMerge w:val="restart"/>
            <w:shd w:val="clear" w:color="auto" w:fill="E8F0FE" w:themeFill="accent5" w:themeFillTint="33"/>
            <w:hideMark/>
          </w:tcPr>
          <w:p w14:paraId="35281471" w14:textId="77777777" w:rsidR="003B5C15" w:rsidRPr="00AA5CB5" w:rsidRDefault="003B5C15" w:rsidP="003B5C15">
            <w:pPr>
              <w:pStyle w:val="Tablebodytext"/>
            </w:pPr>
            <w:r w:rsidRPr="00AA5CB5">
              <w:lastRenderedPageBreak/>
              <w:t>The transmission and distribution losses associated with electricity use</w:t>
            </w:r>
          </w:p>
        </w:tc>
      </w:tr>
      <w:tr w:rsidR="00787EB7" w:rsidRPr="00AA5CB5" w14:paraId="2D29A2B3" w14:textId="77777777" w:rsidTr="2D57CE8C">
        <w:trPr>
          <w:trHeight w:val="300"/>
        </w:trPr>
        <w:tc>
          <w:tcPr>
            <w:tcW w:w="0" w:type="auto"/>
            <w:vMerge/>
            <w:vAlign w:val="center"/>
            <w:hideMark/>
          </w:tcPr>
          <w:p w14:paraId="1ED5850C" w14:textId="77777777" w:rsidR="003B5C15" w:rsidRPr="00AA5CB5" w:rsidRDefault="003B5C15" w:rsidP="003B5C15">
            <w:pPr>
              <w:pStyle w:val="Tablebodytext"/>
              <w:rPr>
                <w:b/>
              </w:rPr>
            </w:pPr>
          </w:p>
        </w:tc>
        <w:tc>
          <w:tcPr>
            <w:tcW w:w="0" w:type="auto"/>
            <w:vMerge/>
            <w:vAlign w:val="center"/>
            <w:hideMark/>
          </w:tcPr>
          <w:p w14:paraId="005DE080" w14:textId="77777777" w:rsidR="003B5C15" w:rsidRPr="00AA5CB5" w:rsidRDefault="003B5C15" w:rsidP="003B5C15">
            <w:pPr>
              <w:pStyle w:val="Tablebodytext"/>
            </w:pPr>
          </w:p>
        </w:tc>
        <w:tc>
          <w:tcPr>
            <w:tcW w:w="1225" w:type="pct"/>
            <w:shd w:val="clear" w:color="auto" w:fill="FFFFFF" w:themeFill="background1"/>
            <w:hideMark/>
          </w:tcPr>
          <w:p w14:paraId="2C7A3863" w14:textId="77777777" w:rsidR="003B5C15" w:rsidRPr="00AA5CB5" w:rsidRDefault="003B5C15" w:rsidP="003B5C15">
            <w:pPr>
              <w:pStyle w:val="Tablebodytext"/>
            </w:pPr>
            <w:r w:rsidRPr="00AA5CB5">
              <w:t>c. Transmission and distribution (T&amp;D) losses (generation of electricity, steam, heating and cooling that is consumed (i.e., lost) in a T&amp;D system) – reported by end user</w:t>
            </w:r>
          </w:p>
        </w:tc>
        <w:tc>
          <w:tcPr>
            <w:tcW w:w="1301" w:type="pct"/>
            <w:shd w:val="clear" w:color="auto" w:fill="FFFFFF" w:themeFill="background1"/>
            <w:hideMark/>
          </w:tcPr>
          <w:p w14:paraId="67D1F60C" w14:textId="41F8AFEB" w:rsidR="003B5C15" w:rsidRPr="00AA5CB5" w:rsidRDefault="003B5C15" w:rsidP="003B5C15">
            <w:pPr>
              <w:pStyle w:val="Tablebodytext"/>
            </w:pPr>
            <w:r w:rsidRPr="00AA5CB5">
              <w:t>For T&amp;D losses: All upstream (cradle-to-gate) emissions of energy consumed in a T&amp;D system, including emissions from combustion</w:t>
            </w:r>
          </w:p>
        </w:tc>
        <w:tc>
          <w:tcPr>
            <w:tcW w:w="970" w:type="pct"/>
            <w:vMerge/>
            <w:vAlign w:val="center"/>
            <w:hideMark/>
          </w:tcPr>
          <w:p w14:paraId="7CD9088A" w14:textId="77777777" w:rsidR="003B5C15" w:rsidRPr="00AA5CB5" w:rsidRDefault="003B5C15" w:rsidP="003B5C15">
            <w:pPr>
              <w:pStyle w:val="Tablebodytext"/>
            </w:pPr>
          </w:p>
        </w:tc>
      </w:tr>
      <w:tr w:rsidR="00787EB7" w:rsidRPr="00AA5CB5" w14:paraId="445CDA05" w14:textId="77777777" w:rsidTr="2D57CE8C">
        <w:trPr>
          <w:trHeight w:val="300"/>
        </w:trPr>
        <w:tc>
          <w:tcPr>
            <w:tcW w:w="0" w:type="auto"/>
            <w:vMerge/>
            <w:vAlign w:val="center"/>
            <w:hideMark/>
          </w:tcPr>
          <w:p w14:paraId="31537D94" w14:textId="77777777" w:rsidR="003B5C15" w:rsidRPr="00AA5CB5" w:rsidRDefault="003B5C15" w:rsidP="003B5C15">
            <w:pPr>
              <w:pStyle w:val="Tablebodytext"/>
              <w:rPr>
                <w:b/>
              </w:rPr>
            </w:pPr>
          </w:p>
        </w:tc>
        <w:tc>
          <w:tcPr>
            <w:tcW w:w="0" w:type="auto"/>
            <w:vMerge/>
            <w:vAlign w:val="center"/>
            <w:hideMark/>
          </w:tcPr>
          <w:p w14:paraId="6B05545B" w14:textId="77777777" w:rsidR="003B5C15" w:rsidRPr="00AA5CB5" w:rsidRDefault="003B5C15" w:rsidP="003B5C15">
            <w:pPr>
              <w:pStyle w:val="Tablebodytext"/>
            </w:pPr>
          </w:p>
        </w:tc>
        <w:tc>
          <w:tcPr>
            <w:tcW w:w="1225" w:type="pct"/>
            <w:shd w:val="clear" w:color="auto" w:fill="FFFFFF" w:themeFill="background1"/>
            <w:hideMark/>
          </w:tcPr>
          <w:p w14:paraId="46820CBC" w14:textId="77777777" w:rsidR="003B5C15" w:rsidRPr="00AA5CB5" w:rsidRDefault="003B5C15" w:rsidP="003B5C15">
            <w:pPr>
              <w:pStyle w:val="Tablebodytext"/>
            </w:pPr>
            <w:r w:rsidRPr="00AA5CB5">
              <w:t>d. Generation of purchased electricity that is sold to end users (generation of electricity, steam, heating, and cooling that is purchased by the reporting company and sold to end users) – reported by utility company or energy retailer only</w:t>
            </w:r>
          </w:p>
        </w:tc>
        <w:tc>
          <w:tcPr>
            <w:tcW w:w="1301" w:type="pct"/>
            <w:shd w:val="clear" w:color="auto" w:fill="FFFFFF" w:themeFill="background1"/>
            <w:hideMark/>
          </w:tcPr>
          <w:p w14:paraId="062F74DF" w14:textId="2AA826C5" w:rsidR="003B5C15" w:rsidRPr="00AA5CB5" w:rsidRDefault="003B5C15" w:rsidP="003B5C15">
            <w:pPr>
              <w:pStyle w:val="Tablebodytext"/>
            </w:pPr>
            <w:r w:rsidRPr="00AA5CB5">
              <w:t>For generation of purchased electricity that is sold to end users: Emissions from the generation of purchased energy</w:t>
            </w:r>
          </w:p>
        </w:tc>
        <w:tc>
          <w:tcPr>
            <w:tcW w:w="970" w:type="pct"/>
            <w:shd w:val="clear" w:color="auto" w:fill="E7E6E6" w:themeFill="background2"/>
          </w:tcPr>
          <w:p w14:paraId="12E5D236" w14:textId="07852A8C" w:rsidR="00EC02B3" w:rsidRPr="00AA5CB5" w:rsidRDefault="00EC02B3" w:rsidP="00EC02B3">
            <w:pPr>
              <w:pStyle w:val="Tablebodytext"/>
            </w:pPr>
            <w:r w:rsidRPr="00AA5CB5">
              <w:t xml:space="preserve">Not included –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p>
          <w:p w14:paraId="65A34A0E" w14:textId="7A486641" w:rsidR="003B5C15" w:rsidRPr="00AA5CB5" w:rsidRDefault="003B5C15" w:rsidP="003B5C15">
            <w:pPr>
              <w:pStyle w:val="Tablebodytext"/>
            </w:pPr>
          </w:p>
        </w:tc>
      </w:tr>
      <w:tr w:rsidR="00E7542F" w:rsidRPr="00AA5CB5" w14:paraId="72886DE4" w14:textId="77777777" w:rsidTr="2D57CE8C">
        <w:trPr>
          <w:trHeight w:val="300"/>
        </w:trPr>
        <w:tc>
          <w:tcPr>
            <w:tcW w:w="746" w:type="pct"/>
            <w:vMerge w:val="restart"/>
            <w:shd w:val="clear" w:color="auto" w:fill="FFFFFF" w:themeFill="background1"/>
            <w:hideMark/>
          </w:tcPr>
          <w:p w14:paraId="3924D0FA" w14:textId="77777777" w:rsidR="003B5C15" w:rsidRPr="00AA5CB5" w:rsidRDefault="003B5C15" w:rsidP="003B5C15">
            <w:pPr>
              <w:pStyle w:val="Tablebodytext"/>
              <w:rPr>
                <w:b/>
              </w:rPr>
            </w:pPr>
            <w:r w:rsidRPr="00AA5CB5">
              <w:rPr>
                <w:b/>
              </w:rPr>
              <w:t>Upstream</w:t>
            </w:r>
          </w:p>
        </w:tc>
        <w:tc>
          <w:tcPr>
            <w:tcW w:w="758" w:type="pct"/>
            <w:vMerge w:val="restart"/>
            <w:shd w:val="clear" w:color="auto" w:fill="FFFFFF" w:themeFill="background1"/>
            <w:hideMark/>
          </w:tcPr>
          <w:p w14:paraId="5471D485" w14:textId="77777777" w:rsidR="003B5C15" w:rsidRPr="00AA5CB5" w:rsidRDefault="003B5C15" w:rsidP="003B5C15">
            <w:pPr>
              <w:pStyle w:val="Tablebodytext"/>
            </w:pPr>
            <w:r w:rsidRPr="00AA5CB5">
              <w:t>4. Upstream transportation and distribution</w:t>
            </w:r>
          </w:p>
        </w:tc>
        <w:tc>
          <w:tcPr>
            <w:tcW w:w="1225" w:type="pct"/>
            <w:shd w:val="clear" w:color="auto" w:fill="FFFFFF" w:themeFill="background1"/>
            <w:hideMark/>
          </w:tcPr>
          <w:p w14:paraId="2DF2DA05" w14:textId="77777777" w:rsidR="003B5C15" w:rsidRPr="00AA5CB5" w:rsidRDefault="003B5C15" w:rsidP="003B5C15">
            <w:pPr>
              <w:pStyle w:val="Tablebodytext"/>
            </w:pPr>
            <w:r w:rsidRPr="00AA5CB5">
              <w:t xml:space="preserve">Transportation and distribution of products purchased by the reporting company in the reporting year between a company’s tier 1 suppliers and its own operations (in vehicles and facilities not owned or controlled by the reporting company) </w:t>
            </w:r>
          </w:p>
        </w:tc>
        <w:tc>
          <w:tcPr>
            <w:tcW w:w="1301" w:type="pct"/>
            <w:shd w:val="clear" w:color="auto" w:fill="FFFFFF" w:themeFill="background1"/>
            <w:hideMark/>
          </w:tcPr>
          <w:p w14:paraId="58A2B447" w14:textId="352D4D3C" w:rsidR="003B5C15" w:rsidRPr="00AA5CB5" w:rsidRDefault="003B5C15" w:rsidP="003B5C15">
            <w:pPr>
              <w:pStyle w:val="Tablebodytext"/>
            </w:pPr>
            <w:r w:rsidRPr="00AA5CB5">
              <w:t xml:space="preserve">The scope 1 and scope 2 emissions of transportation and distribution providers that occur during use of vehicles and facilities (e.g. from energy use) </w:t>
            </w:r>
          </w:p>
        </w:tc>
        <w:tc>
          <w:tcPr>
            <w:tcW w:w="970" w:type="pct"/>
            <w:shd w:val="clear" w:color="auto" w:fill="E7E6E6" w:themeFill="background2"/>
          </w:tcPr>
          <w:p w14:paraId="74EAE60D" w14:textId="2D0F6A3D" w:rsidR="003B5C15" w:rsidRPr="00AA5CB5" w:rsidRDefault="00EC02B3" w:rsidP="003B5C15">
            <w:pPr>
              <w:pStyle w:val="Tablebodytext"/>
            </w:pPr>
            <w:r w:rsidRPr="00AA5CB5">
              <w:t xml:space="preserve">Not included –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r w:rsidR="002221BB" w:rsidRPr="002221BB">
              <w:rPr>
                <w:rStyle w:val="Hyperlink1"/>
                <w:sz w:val="20"/>
                <w:szCs w:val="24"/>
              </w:rPr>
              <w:t xml:space="preserve"> </w:t>
            </w:r>
          </w:p>
        </w:tc>
      </w:tr>
      <w:tr w:rsidR="00787EB7" w:rsidRPr="00AA5CB5" w14:paraId="3D0C5C87" w14:textId="77777777" w:rsidTr="2D57CE8C">
        <w:trPr>
          <w:trHeight w:val="300"/>
        </w:trPr>
        <w:tc>
          <w:tcPr>
            <w:tcW w:w="0" w:type="auto"/>
            <w:vMerge/>
            <w:vAlign w:val="center"/>
            <w:hideMark/>
          </w:tcPr>
          <w:p w14:paraId="76ECB6B1" w14:textId="77777777" w:rsidR="003B5C15" w:rsidRPr="00AA5CB5" w:rsidRDefault="003B5C15" w:rsidP="003B5C15">
            <w:pPr>
              <w:pStyle w:val="Tablebodytext"/>
              <w:rPr>
                <w:b/>
              </w:rPr>
            </w:pPr>
          </w:p>
        </w:tc>
        <w:tc>
          <w:tcPr>
            <w:tcW w:w="0" w:type="auto"/>
            <w:vMerge/>
            <w:vAlign w:val="center"/>
            <w:hideMark/>
          </w:tcPr>
          <w:p w14:paraId="72298FAC" w14:textId="77777777" w:rsidR="003B5C15" w:rsidRPr="00AA5CB5" w:rsidRDefault="003B5C15" w:rsidP="003B5C15">
            <w:pPr>
              <w:pStyle w:val="Tablebodytext"/>
            </w:pPr>
          </w:p>
        </w:tc>
        <w:tc>
          <w:tcPr>
            <w:tcW w:w="1225" w:type="pct"/>
            <w:shd w:val="clear" w:color="auto" w:fill="FFFFFF" w:themeFill="background1"/>
            <w:hideMark/>
          </w:tcPr>
          <w:p w14:paraId="3F799E90" w14:textId="74299AA2" w:rsidR="003B5C15" w:rsidRPr="00AA5CB5" w:rsidRDefault="003B5C15" w:rsidP="003B5C15">
            <w:pPr>
              <w:pStyle w:val="Tablebodytext"/>
            </w:pPr>
            <w:r w:rsidRPr="00AA5CB5">
              <w:t xml:space="preserve">Transportation and distribution services purchased by the reporting company in the reporting year, including inbound logistics, outbound logistics (e.g. of sold products), and transportation and distribution between a company’s own facilities (in vehicles </w:t>
            </w:r>
            <w:r w:rsidRPr="00AA5CB5">
              <w:lastRenderedPageBreak/>
              <w:t>and facilities not owned or controlled by the reporting company</w:t>
            </w:r>
          </w:p>
        </w:tc>
        <w:tc>
          <w:tcPr>
            <w:tcW w:w="1301" w:type="pct"/>
            <w:shd w:val="clear" w:color="auto" w:fill="FFFFFF" w:themeFill="background1"/>
            <w:hideMark/>
          </w:tcPr>
          <w:p w14:paraId="37C4D580" w14:textId="5643450F" w:rsidR="003B5C15" w:rsidRPr="00AA5CB5" w:rsidRDefault="003B5C15" w:rsidP="003B5C15">
            <w:pPr>
              <w:pStyle w:val="Tablebodytext"/>
            </w:pPr>
            <w:r w:rsidRPr="00AA5CB5">
              <w:lastRenderedPageBreak/>
              <w:t>Optional: The life cycle emissions associated with manufacturing vehicles, facilities, or infrastructure</w:t>
            </w:r>
          </w:p>
        </w:tc>
        <w:tc>
          <w:tcPr>
            <w:tcW w:w="970" w:type="pct"/>
            <w:shd w:val="clear" w:color="auto" w:fill="E7E6E6" w:themeFill="background2"/>
          </w:tcPr>
          <w:p w14:paraId="153F6B84" w14:textId="33C44C9D" w:rsidR="003B5C15" w:rsidRPr="00AA5CB5" w:rsidRDefault="00EC02B3" w:rsidP="003B5C15">
            <w:pPr>
              <w:pStyle w:val="Tablebodytext"/>
            </w:pPr>
            <w:r w:rsidRPr="00AA5CB5">
              <w:t xml:space="preserve">Not included –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r w:rsidR="002221BB" w:rsidRPr="002221BB">
              <w:rPr>
                <w:rStyle w:val="Hyperlink1"/>
                <w:sz w:val="20"/>
                <w:szCs w:val="24"/>
              </w:rPr>
              <w:t xml:space="preserve"> </w:t>
            </w:r>
          </w:p>
        </w:tc>
      </w:tr>
      <w:tr w:rsidR="00E7542F" w:rsidRPr="00AA5CB5" w14:paraId="44EC4176" w14:textId="77777777" w:rsidTr="2D57CE8C">
        <w:trPr>
          <w:trHeight w:val="900"/>
        </w:trPr>
        <w:tc>
          <w:tcPr>
            <w:tcW w:w="746" w:type="pct"/>
            <w:shd w:val="clear" w:color="auto" w:fill="FFFFFF" w:themeFill="background1"/>
            <w:hideMark/>
          </w:tcPr>
          <w:p w14:paraId="1E467C04" w14:textId="77777777" w:rsidR="003B5C15" w:rsidRPr="00AA5CB5" w:rsidRDefault="003B5C15" w:rsidP="003B5C15">
            <w:pPr>
              <w:pStyle w:val="Tablebodytext"/>
              <w:rPr>
                <w:b/>
              </w:rPr>
            </w:pPr>
            <w:r w:rsidRPr="00AA5CB5">
              <w:rPr>
                <w:b/>
              </w:rPr>
              <w:t>Upstream</w:t>
            </w:r>
          </w:p>
        </w:tc>
        <w:tc>
          <w:tcPr>
            <w:tcW w:w="758" w:type="pct"/>
            <w:shd w:val="clear" w:color="auto" w:fill="FFFFFF" w:themeFill="background1"/>
            <w:hideMark/>
          </w:tcPr>
          <w:p w14:paraId="1110582F" w14:textId="77777777" w:rsidR="003B5C15" w:rsidRPr="00AA5CB5" w:rsidRDefault="003B5C15" w:rsidP="003B5C15">
            <w:pPr>
              <w:pStyle w:val="Tablebodytext"/>
            </w:pPr>
            <w:r w:rsidRPr="00AA5CB5">
              <w:t>5. Waste generated in operations</w:t>
            </w:r>
          </w:p>
        </w:tc>
        <w:tc>
          <w:tcPr>
            <w:tcW w:w="1225" w:type="pct"/>
            <w:shd w:val="clear" w:color="auto" w:fill="FFFFFF" w:themeFill="background1"/>
            <w:hideMark/>
          </w:tcPr>
          <w:p w14:paraId="3B13B56D" w14:textId="77777777" w:rsidR="003B5C15" w:rsidRPr="00AA5CB5" w:rsidRDefault="003B5C15" w:rsidP="003B5C15">
            <w:pPr>
              <w:pStyle w:val="Tablebodytext"/>
            </w:pPr>
            <w:r w:rsidRPr="00AA5CB5">
              <w:t>Disposal and treatment of waste generated in the reporting company’s operations in the reporting year (in facilities not owned or controlled by the reporting company)</w:t>
            </w:r>
          </w:p>
        </w:tc>
        <w:tc>
          <w:tcPr>
            <w:tcW w:w="1301" w:type="pct"/>
            <w:shd w:val="clear" w:color="auto" w:fill="FFFFFF" w:themeFill="background1"/>
            <w:hideMark/>
          </w:tcPr>
          <w:p w14:paraId="7E23F2D5" w14:textId="5D7BE3E7" w:rsidR="003B5C15" w:rsidRPr="00AA5CB5" w:rsidRDefault="003B5C15" w:rsidP="003B5C15">
            <w:pPr>
              <w:pStyle w:val="Tablebodytext"/>
            </w:pPr>
            <w:r w:rsidRPr="00AA5CB5">
              <w:t xml:space="preserve">The scope 1 and scope 2 emissions of waste management suppliers that occur during disposal or treatment. Optional: Emissions from transportation of waste </w:t>
            </w:r>
          </w:p>
        </w:tc>
        <w:tc>
          <w:tcPr>
            <w:tcW w:w="970" w:type="pct"/>
            <w:shd w:val="clear" w:color="auto" w:fill="E8F0FE" w:themeFill="accent5" w:themeFillTint="33"/>
            <w:hideMark/>
          </w:tcPr>
          <w:p w14:paraId="4427C639" w14:textId="77777777" w:rsidR="003B5C15" w:rsidRPr="00AA5CB5" w:rsidRDefault="003B5C15" w:rsidP="003B5C15">
            <w:pPr>
              <w:pStyle w:val="Tablebodytext"/>
            </w:pPr>
            <w:r w:rsidRPr="00AA5CB5">
              <w:t xml:space="preserve">Solid waste disposal and treatment. </w:t>
            </w:r>
          </w:p>
        </w:tc>
      </w:tr>
      <w:tr w:rsidR="00E7542F" w:rsidRPr="00AA5CB5" w14:paraId="3E3C9493" w14:textId="77777777" w:rsidTr="2D57CE8C">
        <w:trPr>
          <w:trHeight w:val="1349"/>
        </w:trPr>
        <w:tc>
          <w:tcPr>
            <w:tcW w:w="746" w:type="pct"/>
            <w:vMerge w:val="restart"/>
            <w:shd w:val="clear" w:color="auto" w:fill="FFFFFF" w:themeFill="background1"/>
            <w:hideMark/>
          </w:tcPr>
          <w:p w14:paraId="36983405" w14:textId="77777777" w:rsidR="003B5C15" w:rsidRPr="00AA5CB5" w:rsidRDefault="003B5C15" w:rsidP="003B5C15">
            <w:pPr>
              <w:pStyle w:val="Tablebodytext"/>
              <w:rPr>
                <w:b/>
              </w:rPr>
            </w:pPr>
            <w:r w:rsidRPr="00AA5CB5">
              <w:rPr>
                <w:b/>
              </w:rPr>
              <w:t>Upstream</w:t>
            </w:r>
          </w:p>
        </w:tc>
        <w:tc>
          <w:tcPr>
            <w:tcW w:w="758" w:type="pct"/>
            <w:vMerge w:val="restart"/>
            <w:shd w:val="clear" w:color="auto" w:fill="FFFFFF" w:themeFill="background1"/>
            <w:hideMark/>
          </w:tcPr>
          <w:p w14:paraId="081069BA" w14:textId="77777777" w:rsidR="003B5C15" w:rsidRPr="00AA5CB5" w:rsidRDefault="003B5C15" w:rsidP="003B5C15">
            <w:pPr>
              <w:pStyle w:val="Tablebodytext"/>
            </w:pPr>
            <w:r w:rsidRPr="00AA5CB5">
              <w:t xml:space="preserve">6. Business travel </w:t>
            </w:r>
          </w:p>
        </w:tc>
        <w:tc>
          <w:tcPr>
            <w:tcW w:w="1225" w:type="pct"/>
            <w:vMerge w:val="restart"/>
            <w:shd w:val="clear" w:color="auto" w:fill="FFFFFF" w:themeFill="background1"/>
            <w:hideMark/>
          </w:tcPr>
          <w:p w14:paraId="78B4CA1A" w14:textId="77777777" w:rsidR="003B5C15" w:rsidRPr="00AA5CB5" w:rsidRDefault="003B5C15" w:rsidP="003B5C15">
            <w:pPr>
              <w:pStyle w:val="Tablebodytext"/>
            </w:pPr>
            <w:r w:rsidRPr="00AA5CB5">
              <w:t xml:space="preserve">Transportation of employees for business-related activities during the reporting year (in vehicles not owned or operated by the reporting company) </w:t>
            </w:r>
          </w:p>
        </w:tc>
        <w:tc>
          <w:tcPr>
            <w:tcW w:w="1301" w:type="pct"/>
            <w:vMerge w:val="restart"/>
            <w:shd w:val="clear" w:color="auto" w:fill="FFFFFF" w:themeFill="background1"/>
            <w:hideMark/>
          </w:tcPr>
          <w:p w14:paraId="091D4935" w14:textId="40D19B71" w:rsidR="00E57FB3" w:rsidRDefault="003B5C15" w:rsidP="003B5C15">
            <w:pPr>
              <w:pStyle w:val="Tablebodytext"/>
            </w:pPr>
            <w:r w:rsidRPr="00AA5CB5">
              <w:t xml:space="preserve">The scope 1 and scope 2 emissions of transportation carriers that occur during use of vehicles (e.g. from energy use) </w:t>
            </w:r>
          </w:p>
          <w:p w14:paraId="4ABA36DD" w14:textId="2A0E535D" w:rsidR="003B5C15" w:rsidRPr="00AA5CB5" w:rsidRDefault="003B5C15" w:rsidP="003B5C15">
            <w:pPr>
              <w:pStyle w:val="Tablebodytext"/>
            </w:pPr>
            <w:r w:rsidRPr="00AA5CB5">
              <w:t>Optional: The life cycle emissions associated with manufacturing vehicles or infrastructure</w:t>
            </w:r>
          </w:p>
        </w:tc>
        <w:tc>
          <w:tcPr>
            <w:tcW w:w="970" w:type="pct"/>
            <w:shd w:val="clear" w:color="auto" w:fill="E8F0FE" w:themeFill="accent5" w:themeFillTint="33"/>
            <w:hideMark/>
          </w:tcPr>
          <w:p w14:paraId="64D79A05" w14:textId="77777777" w:rsidR="003B5C15" w:rsidRPr="00AA5CB5" w:rsidRDefault="003B5C15" w:rsidP="003B5C15">
            <w:pPr>
              <w:pStyle w:val="Tablebodytext"/>
            </w:pPr>
            <w:r w:rsidRPr="00AA5CB5">
              <w:t>Domestic Hire car</w:t>
            </w:r>
          </w:p>
        </w:tc>
      </w:tr>
      <w:tr w:rsidR="00787EB7" w:rsidRPr="00AA5CB5" w14:paraId="16227E09" w14:textId="77777777" w:rsidTr="2D57CE8C">
        <w:trPr>
          <w:trHeight w:val="639"/>
        </w:trPr>
        <w:tc>
          <w:tcPr>
            <w:tcW w:w="0" w:type="auto"/>
            <w:vMerge/>
            <w:vAlign w:val="center"/>
            <w:hideMark/>
          </w:tcPr>
          <w:p w14:paraId="351C8E50" w14:textId="77777777" w:rsidR="003B5C15" w:rsidRPr="00AA5CB5" w:rsidRDefault="003B5C15" w:rsidP="003B5C15">
            <w:pPr>
              <w:pStyle w:val="Tablebodytext"/>
              <w:rPr>
                <w:b/>
              </w:rPr>
            </w:pPr>
          </w:p>
        </w:tc>
        <w:tc>
          <w:tcPr>
            <w:tcW w:w="0" w:type="auto"/>
            <w:vMerge/>
            <w:vAlign w:val="center"/>
            <w:hideMark/>
          </w:tcPr>
          <w:p w14:paraId="238C74C5" w14:textId="77777777" w:rsidR="003B5C15" w:rsidRPr="00AA5CB5" w:rsidRDefault="003B5C15" w:rsidP="003B5C15">
            <w:pPr>
              <w:pStyle w:val="Tablebodytext"/>
            </w:pPr>
          </w:p>
        </w:tc>
        <w:tc>
          <w:tcPr>
            <w:tcW w:w="1225" w:type="pct"/>
            <w:vMerge/>
            <w:vAlign w:val="center"/>
            <w:hideMark/>
          </w:tcPr>
          <w:p w14:paraId="5E687E02" w14:textId="77777777" w:rsidR="003B5C15" w:rsidRPr="00AA5CB5" w:rsidRDefault="003B5C15" w:rsidP="003B5C15">
            <w:pPr>
              <w:pStyle w:val="Tablebodytext"/>
            </w:pPr>
          </w:p>
        </w:tc>
        <w:tc>
          <w:tcPr>
            <w:tcW w:w="1301" w:type="pct"/>
            <w:vMerge/>
            <w:vAlign w:val="center"/>
            <w:hideMark/>
          </w:tcPr>
          <w:p w14:paraId="69B707C3" w14:textId="77777777" w:rsidR="003B5C15" w:rsidRPr="00AA5CB5" w:rsidRDefault="003B5C15" w:rsidP="003B5C15">
            <w:pPr>
              <w:pStyle w:val="Tablebodytext"/>
            </w:pPr>
          </w:p>
        </w:tc>
        <w:tc>
          <w:tcPr>
            <w:tcW w:w="970" w:type="pct"/>
            <w:shd w:val="clear" w:color="auto" w:fill="E8F0FE" w:themeFill="accent5" w:themeFillTint="33"/>
            <w:hideMark/>
          </w:tcPr>
          <w:p w14:paraId="2DB1B967" w14:textId="77777777" w:rsidR="003B5C15" w:rsidRPr="00AA5CB5" w:rsidRDefault="003B5C15" w:rsidP="003B5C15">
            <w:pPr>
              <w:pStyle w:val="Tablebodytext"/>
            </w:pPr>
            <w:r w:rsidRPr="00AA5CB5">
              <w:t xml:space="preserve">Domestic Accommodation </w:t>
            </w:r>
          </w:p>
        </w:tc>
      </w:tr>
      <w:tr w:rsidR="00787EB7" w:rsidRPr="00AA5CB5" w14:paraId="1AD2BC3B" w14:textId="77777777" w:rsidTr="2D57CE8C">
        <w:trPr>
          <w:trHeight w:val="87"/>
        </w:trPr>
        <w:tc>
          <w:tcPr>
            <w:tcW w:w="0" w:type="auto"/>
            <w:vMerge/>
            <w:vAlign w:val="center"/>
            <w:hideMark/>
          </w:tcPr>
          <w:p w14:paraId="4449DC09" w14:textId="77777777" w:rsidR="003B5C15" w:rsidRPr="00AA5CB5" w:rsidRDefault="003B5C15" w:rsidP="003B5C15">
            <w:pPr>
              <w:pStyle w:val="Tablebodytext"/>
              <w:rPr>
                <w:b/>
              </w:rPr>
            </w:pPr>
          </w:p>
        </w:tc>
        <w:tc>
          <w:tcPr>
            <w:tcW w:w="0" w:type="auto"/>
            <w:vMerge/>
            <w:vAlign w:val="center"/>
            <w:hideMark/>
          </w:tcPr>
          <w:p w14:paraId="608B2B05" w14:textId="77777777" w:rsidR="003B5C15" w:rsidRPr="00AA5CB5" w:rsidRDefault="003B5C15" w:rsidP="003B5C15">
            <w:pPr>
              <w:pStyle w:val="Tablebodytext"/>
            </w:pPr>
          </w:p>
        </w:tc>
        <w:tc>
          <w:tcPr>
            <w:tcW w:w="1225" w:type="pct"/>
            <w:vMerge/>
            <w:vAlign w:val="center"/>
            <w:hideMark/>
          </w:tcPr>
          <w:p w14:paraId="55FE5248" w14:textId="77777777" w:rsidR="003B5C15" w:rsidRPr="00AA5CB5" w:rsidRDefault="003B5C15" w:rsidP="003B5C15">
            <w:pPr>
              <w:pStyle w:val="Tablebodytext"/>
            </w:pPr>
          </w:p>
        </w:tc>
        <w:tc>
          <w:tcPr>
            <w:tcW w:w="1301" w:type="pct"/>
            <w:vMerge/>
            <w:vAlign w:val="center"/>
            <w:hideMark/>
          </w:tcPr>
          <w:p w14:paraId="18A76A7A" w14:textId="77777777" w:rsidR="003B5C15" w:rsidRPr="00AA5CB5" w:rsidRDefault="003B5C15" w:rsidP="003B5C15">
            <w:pPr>
              <w:pStyle w:val="Tablebodytext"/>
            </w:pPr>
          </w:p>
        </w:tc>
        <w:tc>
          <w:tcPr>
            <w:tcW w:w="970" w:type="pct"/>
            <w:shd w:val="clear" w:color="auto" w:fill="E8F0FE" w:themeFill="accent5" w:themeFillTint="33"/>
            <w:hideMark/>
          </w:tcPr>
          <w:p w14:paraId="69AC8762" w14:textId="77777777" w:rsidR="003B5C15" w:rsidRPr="00AA5CB5" w:rsidRDefault="003B5C15" w:rsidP="003B5C15">
            <w:pPr>
              <w:pStyle w:val="Tablebodytext"/>
            </w:pPr>
            <w:r w:rsidRPr="00AA5CB5">
              <w:t xml:space="preserve">Domestic Air Travel </w:t>
            </w:r>
          </w:p>
        </w:tc>
      </w:tr>
      <w:tr w:rsidR="00E7542F" w:rsidRPr="00AA5CB5" w14:paraId="0C08E7D9" w14:textId="77777777" w:rsidTr="2D57CE8C">
        <w:trPr>
          <w:trHeight w:val="300"/>
        </w:trPr>
        <w:tc>
          <w:tcPr>
            <w:tcW w:w="746" w:type="pct"/>
            <w:shd w:val="clear" w:color="auto" w:fill="FFFFFF" w:themeFill="background1"/>
            <w:hideMark/>
          </w:tcPr>
          <w:p w14:paraId="218BE00E" w14:textId="77777777" w:rsidR="003B5C15" w:rsidRPr="00AA5CB5" w:rsidRDefault="003B5C15" w:rsidP="003B5C15">
            <w:pPr>
              <w:pStyle w:val="Tablebodytext"/>
              <w:rPr>
                <w:b/>
              </w:rPr>
            </w:pPr>
            <w:r w:rsidRPr="00AA5CB5">
              <w:rPr>
                <w:b/>
              </w:rPr>
              <w:t>Upstream</w:t>
            </w:r>
          </w:p>
        </w:tc>
        <w:tc>
          <w:tcPr>
            <w:tcW w:w="758" w:type="pct"/>
            <w:shd w:val="clear" w:color="auto" w:fill="FFFFFF" w:themeFill="background1"/>
            <w:hideMark/>
          </w:tcPr>
          <w:p w14:paraId="0E1F2A8B" w14:textId="77777777" w:rsidR="003B5C15" w:rsidRPr="00AA5CB5" w:rsidRDefault="003B5C15" w:rsidP="003B5C15">
            <w:pPr>
              <w:pStyle w:val="Tablebodytext"/>
            </w:pPr>
            <w:r w:rsidRPr="00AA5CB5">
              <w:t xml:space="preserve">7. Employee commuting </w:t>
            </w:r>
          </w:p>
        </w:tc>
        <w:tc>
          <w:tcPr>
            <w:tcW w:w="1225" w:type="pct"/>
            <w:shd w:val="clear" w:color="auto" w:fill="FFFFFF" w:themeFill="background1"/>
            <w:hideMark/>
          </w:tcPr>
          <w:p w14:paraId="5CAFC57A" w14:textId="77777777" w:rsidR="003B5C15" w:rsidRPr="00AA5CB5" w:rsidRDefault="003B5C15" w:rsidP="003B5C15">
            <w:pPr>
              <w:pStyle w:val="Tablebodytext"/>
            </w:pPr>
            <w:r w:rsidRPr="00AA5CB5">
              <w:t>Transportation of employees between their homes and their worksites during the reporting year (in vehicles not owned or operated by the reporting company)</w:t>
            </w:r>
          </w:p>
        </w:tc>
        <w:tc>
          <w:tcPr>
            <w:tcW w:w="1301" w:type="pct"/>
            <w:shd w:val="clear" w:color="auto" w:fill="FFFFFF" w:themeFill="background1"/>
            <w:hideMark/>
          </w:tcPr>
          <w:p w14:paraId="5E37AEE3" w14:textId="70A6D98A" w:rsidR="003B5C15" w:rsidRPr="00AA5CB5" w:rsidRDefault="003B5C15" w:rsidP="003B5C15">
            <w:pPr>
              <w:pStyle w:val="Tablebodytext"/>
            </w:pPr>
            <w:r w:rsidRPr="00AA5CB5">
              <w:t xml:space="preserve">The scope 1 and scope 2 emissions of employees and transportation providers that occur during use of vehicles (e.g. from energy use) </w:t>
            </w:r>
          </w:p>
          <w:p w14:paraId="193D24F1" w14:textId="7C9EF717" w:rsidR="003B5C15" w:rsidRPr="00AA5CB5" w:rsidRDefault="003B5C15" w:rsidP="003B5C15">
            <w:pPr>
              <w:pStyle w:val="Tablebodytext"/>
            </w:pPr>
            <w:r w:rsidRPr="00AA5CB5">
              <w:t>Optional: Emissions from employee teleworking</w:t>
            </w:r>
          </w:p>
        </w:tc>
        <w:tc>
          <w:tcPr>
            <w:tcW w:w="970" w:type="pct"/>
            <w:shd w:val="clear" w:color="auto" w:fill="E7E6E6" w:themeFill="background2"/>
          </w:tcPr>
          <w:p w14:paraId="59BEE94C" w14:textId="05900E06" w:rsidR="003B5C15" w:rsidRPr="00AA5CB5" w:rsidRDefault="00EC02B3" w:rsidP="003B5C15">
            <w:pPr>
              <w:pStyle w:val="Tablebodytext"/>
            </w:pPr>
            <w:r w:rsidRPr="00AA5CB5">
              <w:t xml:space="preserve">Not included –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r w:rsidR="002221BB" w:rsidRPr="002221BB">
              <w:rPr>
                <w:rStyle w:val="Hyperlink1"/>
                <w:sz w:val="20"/>
                <w:szCs w:val="24"/>
              </w:rPr>
              <w:t xml:space="preserve"> </w:t>
            </w:r>
          </w:p>
        </w:tc>
      </w:tr>
      <w:tr w:rsidR="00E7542F" w:rsidRPr="00AA5CB5" w14:paraId="43BB4A32" w14:textId="77777777" w:rsidTr="2D57CE8C">
        <w:trPr>
          <w:trHeight w:val="300"/>
        </w:trPr>
        <w:tc>
          <w:tcPr>
            <w:tcW w:w="746" w:type="pct"/>
            <w:shd w:val="clear" w:color="auto" w:fill="FFFFFF" w:themeFill="background1"/>
            <w:hideMark/>
          </w:tcPr>
          <w:p w14:paraId="4CB31E23" w14:textId="77777777" w:rsidR="003B5C15" w:rsidRPr="00AA5CB5" w:rsidRDefault="003B5C15" w:rsidP="003B5C15">
            <w:pPr>
              <w:pStyle w:val="Tablebodytext"/>
              <w:rPr>
                <w:b/>
              </w:rPr>
            </w:pPr>
            <w:r w:rsidRPr="00AA5CB5">
              <w:rPr>
                <w:b/>
              </w:rPr>
              <w:t>Upstream</w:t>
            </w:r>
          </w:p>
        </w:tc>
        <w:tc>
          <w:tcPr>
            <w:tcW w:w="758" w:type="pct"/>
            <w:shd w:val="clear" w:color="auto" w:fill="FFFFFF" w:themeFill="background1"/>
            <w:hideMark/>
          </w:tcPr>
          <w:p w14:paraId="0E98084C" w14:textId="77777777" w:rsidR="003B5C15" w:rsidRPr="00AA5CB5" w:rsidRDefault="003B5C15" w:rsidP="003B5C15">
            <w:pPr>
              <w:pStyle w:val="Tablebodytext"/>
            </w:pPr>
            <w:r w:rsidRPr="00AA5CB5">
              <w:t xml:space="preserve">8. Upstream leased assets </w:t>
            </w:r>
          </w:p>
        </w:tc>
        <w:tc>
          <w:tcPr>
            <w:tcW w:w="1225" w:type="pct"/>
            <w:shd w:val="clear" w:color="auto" w:fill="FFFFFF" w:themeFill="background1"/>
            <w:hideMark/>
          </w:tcPr>
          <w:p w14:paraId="79830E71" w14:textId="77777777" w:rsidR="003B5C15" w:rsidRPr="00AA5CB5" w:rsidRDefault="003B5C15" w:rsidP="003B5C15">
            <w:pPr>
              <w:pStyle w:val="Tablebodytext"/>
            </w:pPr>
            <w:r w:rsidRPr="00AA5CB5">
              <w:t xml:space="preserve">Operation of assets leased by the reporting company (lessee) in the reporting year and not included in scope 1 and scope 2 – reported by lessee </w:t>
            </w:r>
          </w:p>
        </w:tc>
        <w:tc>
          <w:tcPr>
            <w:tcW w:w="1301" w:type="pct"/>
            <w:shd w:val="clear" w:color="auto" w:fill="FFFFFF" w:themeFill="background1"/>
            <w:hideMark/>
          </w:tcPr>
          <w:p w14:paraId="33CE0627" w14:textId="5C611915" w:rsidR="003B5C15" w:rsidRPr="00AA5CB5" w:rsidRDefault="003B5C15" w:rsidP="003B5C15">
            <w:pPr>
              <w:pStyle w:val="Tablebodytext"/>
            </w:pPr>
            <w:r w:rsidRPr="00AA5CB5">
              <w:t xml:space="preserve">The scope 1 and scope 2 emissions of lessors that occur during the reporting company’s operation of leased assets (e.g. from energy use) </w:t>
            </w:r>
          </w:p>
          <w:p w14:paraId="01CEDED0" w14:textId="2E35145F" w:rsidR="003B5C15" w:rsidRPr="00AA5CB5" w:rsidRDefault="003B5C15" w:rsidP="003B5C15">
            <w:pPr>
              <w:pStyle w:val="Tablebodytext"/>
            </w:pPr>
            <w:r w:rsidRPr="00AA5CB5">
              <w:t>Optional: The life cycle emissions associated with manufacturing or constructing leased assets</w:t>
            </w:r>
          </w:p>
        </w:tc>
        <w:tc>
          <w:tcPr>
            <w:tcW w:w="970" w:type="pct"/>
            <w:shd w:val="clear" w:color="auto" w:fill="E7E6E6" w:themeFill="background2"/>
          </w:tcPr>
          <w:p w14:paraId="4889ED01" w14:textId="692C588B" w:rsidR="00EC02B3" w:rsidRPr="00B06885" w:rsidRDefault="00EC02B3" w:rsidP="00EC02B3">
            <w:pPr>
              <w:pStyle w:val="Tablebodytext"/>
              <w:rPr>
                <w:rStyle w:val="Hyperlink1"/>
                <w:sz w:val="20"/>
                <w:szCs w:val="24"/>
              </w:rPr>
            </w:pPr>
            <w:r w:rsidRPr="00AA5CB5">
              <w:t xml:space="preserve">Not included – </w:t>
            </w:r>
            <w:r w:rsidR="00D80A67">
              <w:t>refer to</w:t>
            </w:r>
            <w:r w:rsidR="00D80A67"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p>
          <w:p w14:paraId="78468077" w14:textId="6B9DC8C4" w:rsidR="003B5C15" w:rsidRPr="00AA5CB5" w:rsidRDefault="003B5C15" w:rsidP="003B5C15">
            <w:pPr>
              <w:pStyle w:val="Tablebodytext"/>
            </w:pPr>
          </w:p>
        </w:tc>
      </w:tr>
      <w:tr w:rsidR="00E7542F" w:rsidRPr="00AA5CB5" w14:paraId="37A925C1" w14:textId="77777777" w:rsidTr="2D57CE8C">
        <w:trPr>
          <w:trHeight w:val="300"/>
        </w:trPr>
        <w:tc>
          <w:tcPr>
            <w:tcW w:w="746" w:type="pct"/>
            <w:shd w:val="clear" w:color="auto" w:fill="FFFFFF" w:themeFill="background1"/>
            <w:hideMark/>
          </w:tcPr>
          <w:p w14:paraId="031A3F67" w14:textId="77777777" w:rsidR="003B5C15" w:rsidRPr="00AA5CB5" w:rsidRDefault="003B5C15" w:rsidP="003B5C15">
            <w:pPr>
              <w:pStyle w:val="Tablebodytext"/>
              <w:rPr>
                <w:b/>
              </w:rPr>
            </w:pPr>
            <w:r w:rsidRPr="00AA5CB5">
              <w:rPr>
                <w:b/>
              </w:rPr>
              <w:t xml:space="preserve">Downstream </w:t>
            </w:r>
          </w:p>
        </w:tc>
        <w:tc>
          <w:tcPr>
            <w:tcW w:w="758" w:type="pct"/>
            <w:shd w:val="clear" w:color="auto" w:fill="FFFFFF" w:themeFill="background1"/>
            <w:hideMark/>
          </w:tcPr>
          <w:p w14:paraId="20FF00BA" w14:textId="77777777" w:rsidR="003B5C15" w:rsidRPr="00AA5CB5" w:rsidRDefault="003B5C15" w:rsidP="003B5C15">
            <w:pPr>
              <w:pStyle w:val="Tablebodytext"/>
            </w:pPr>
            <w:r w:rsidRPr="00AA5CB5">
              <w:t xml:space="preserve">9. Downstream transportation and distribution </w:t>
            </w:r>
          </w:p>
        </w:tc>
        <w:tc>
          <w:tcPr>
            <w:tcW w:w="1225" w:type="pct"/>
            <w:shd w:val="clear" w:color="auto" w:fill="FFFFFF" w:themeFill="background1"/>
            <w:hideMark/>
          </w:tcPr>
          <w:p w14:paraId="71CB9CC9" w14:textId="77777777" w:rsidR="003B5C15" w:rsidRPr="00AA5CB5" w:rsidRDefault="003B5C15" w:rsidP="003B5C15">
            <w:pPr>
              <w:pStyle w:val="Tablebodytext"/>
            </w:pPr>
            <w:r w:rsidRPr="00AA5CB5">
              <w:t xml:space="preserve">Transportation and distribution of products sold by the reporting company in the reporting year between the reporting company’s operations </w:t>
            </w:r>
            <w:r w:rsidRPr="00AA5CB5">
              <w:lastRenderedPageBreak/>
              <w:t xml:space="preserve">and the end consumer (if not paid for by the reporting company), including retail and storage (in vehicles and facilities not owned or controlled by the reporting company) </w:t>
            </w:r>
          </w:p>
        </w:tc>
        <w:tc>
          <w:tcPr>
            <w:tcW w:w="1301" w:type="pct"/>
            <w:shd w:val="clear" w:color="auto" w:fill="FFFFFF" w:themeFill="background1"/>
            <w:hideMark/>
          </w:tcPr>
          <w:p w14:paraId="2B4ACB39" w14:textId="5A27DD14" w:rsidR="003B5C15" w:rsidRPr="00AA5CB5" w:rsidRDefault="003B5C15" w:rsidP="003B5C15">
            <w:pPr>
              <w:pStyle w:val="Tablebodytext"/>
            </w:pPr>
            <w:r w:rsidRPr="00AA5CB5">
              <w:lastRenderedPageBreak/>
              <w:t xml:space="preserve">The scope 1 and scope 2 emissions of transportation providers, distributors, and retailers that occur during use of </w:t>
            </w:r>
            <w:r w:rsidRPr="00AA5CB5">
              <w:lastRenderedPageBreak/>
              <w:t xml:space="preserve">vehicles and facilities (e.g. from energy use) </w:t>
            </w:r>
          </w:p>
          <w:p w14:paraId="6F631B74" w14:textId="638CC258" w:rsidR="003B5C15" w:rsidRPr="00AA5CB5" w:rsidRDefault="003B5C15" w:rsidP="003B5C15">
            <w:pPr>
              <w:pStyle w:val="Tablebodytext"/>
            </w:pPr>
            <w:r w:rsidRPr="00AA5CB5">
              <w:t>Optional: The life cycle emissions associated with manufacturing vehicles, facilities, or infrastructure</w:t>
            </w:r>
          </w:p>
        </w:tc>
        <w:tc>
          <w:tcPr>
            <w:tcW w:w="970" w:type="pct"/>
            <w:shd w:val="clear" w:color="auto" w:fill="E7E6E6" w:themeFill="background2"/>
          </w:tcPr>
          <w:p w14:paraId="66E3B454" w14:textId="2FF0C48E" w:rsidR="00EC02B3" w:rsidRPr="00AA5CB5" w:rsidRDefault="00EC02B3" w:rsidP="00EC02B3">
            <w:pPr>
              <w:pStyle w:val="Tablebodytext"/>
            </w:pPr>
            <w:r w:rsidRPr="00AA5CB5">
              <w:lastRenderedPageBreak/>
              <w:t>Not included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p>
          <w:p w14:paraId="48211180" w14:textId="4DBE2ABB" w:rsidR="003B5C15" w:rsidRPr="00AA5CB5" w:rsidRDefault="003B5C15" w:rsidP="003B5C15">
            <w:pPr>
              <w:pStyle w:val="Tablebodytext"/>
            </w:pPr>
          </w:p>
        </w:tc>
      </w:tr>
      <w:tr w:rsidR="00E7542F" w:rsidRPr="00AA5CB5" w14:paraId="23531DD2" w14:textId="77777777" w:rsidTr="2D57CE8C">
        <w:trPr>
          <w:trHeight w:val="300"/>
        </w:trPr>
        <w:tc>
          <w:tcPr>
            <w:tcW w:w="746" w:type="pct"/>
            <w:shd w:val="clear" w:color="auto" w:fill="FFFFFF" w:themeFill="background1"/>
            <w:hideMark/>
          </w:tcPr>
          <w:p w14:paraId="6F1A372D" w14:textId="77777777" w:rsidR="003B5C15" w:rsidRPr="00AA5CB5" w:rsidRDefault="003B5C15" w:rsidP="003B5C15">
            <w:pPr>
              <w:pStyle w:val="Tablebodytext"/>
              <w:rPr>
                <w:b/>
              </w:rPr>
            </w:pPr>
            <w:r w:rsidRPr="00AA5CB5">
              <w:rPr>
                <w:b/>
              </w:rPr>
              <w:t>Downstream</w:t>
            </w:r>
          </w:p>
        </w:tc>
        <w:tc>
          <w:tcPr>
            <w:tcW w:w="758" w:type="pct"/>
            <w:shd w:val="clear" w:color="auto" w:fill="FFFFFF" w:themeFill="background1"/>
            <w:hideMark/>
          </w:tcPr>
          <w:p w14:paraId="5BC39FEC" w14:textId="77777777" w:rsidR="003B5C15" w:rsidRPr="00AA5CB5" w:rsidRDefault="003B5C15" w:rsidP="003B5C15">
            <w:pPr>
              <w:pStyle w:val="Tablebodytext"/>
            </w:pPr>
            <w:r w:rsidRPr="00AA5CB5">
              <w:t>10. Processing of sold products</w:t>
            </w:r>
          </w:p>
        </w:tc>
        <w:tc>
          <w:tcPr>
            <w:tcW w:w="1225" w:type="pct"/>
            <w:shd w:val="clear" w:color="auto" w:fill="FFFFFF" w:themeFill="background1"/>
            <w:hideMark/>
          </w:tcPr>
          <w:p w14:paraId="7ADB1432" w14:textId="47FA3A52" w:rsidR="003B5C15" w:rsidRPr="00AA5CB5" w:rsidRDefault="003B5C15" w:rsidP="003B5C15">
            <w:pPr>
              <w:pStyle w:val="Tablebodytext"/>
            </w:pPr>
            <w:r w:rsidRPr="00AA5CB5">
              <w:t xml:space="preserve">Processing of intermediate products sold in the reporting year by downstream companies (e.g. manufacturers) </w:t>
            </w:r>
          </w:p>
        </w:tc>
        <w:tc>
          <w:tcPr>
            <w:tcW w:w="1301" w:type="pct"/>
            <w:shd w:val="clear" w:color="auto" w:fill="FFFFFF" w:themeFill="background1"/>
            <w:hideMark/>
          </w:tcPr>
          <w:p w14:paraId="41A2BED8" w14:textId="23C6AD19" w:rsidR="003B5C15" w:rsidRPr="00AA5CB5" w:rsidRDefault="003B5C15" w:rsidP="003B5C15">
            <w:pPr>
              <w:pStyle w:val="Tablebodytext"/>
            </w:pPr>
            <w:r w:rsidRPr="00AA5CB5">
              <w:t>The scope 1 and scope 2 emissions of downstream companies that occur during processing (e.g. from energy use)</w:t>
            </w:r>
          </w:p>
        </w:tc>
        <w:tc>
          <w:tcPr>
            <w:tcW w:w="970" w:type="pct"/>
            <w:shd w:val="clear" w:color="auto" w:fill="E7E6E6" w:themeFill="background2"/>
          </w:tcPr>
          <w:p w14:paraId="47DC3B82" w14:textId="4FA670BD" w:rsidR="00EC02B3" w:rsidRPr="00AA5CB5" w:rsidRDefault="00EC02B3" w:rsidP="00EC02B3">
            <w:pPr>
              <w:pStyle w:val="Tablebodytext"/>
            </w:pPr>
            <w:r w:rsidRPr="00AA5CB5">
              <w:t>Not included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p>
          <w:p w14:paraId="1B8047E7" w14:textId="4878E7E0" w:rsidR="003B5C15" w:rsidRPr="00AA5CB5" w:rsidRDefault="003B5C15" w:rsidP="003B5C15">
            <w:pPr>
              <w:pStyle w:val="Tablebodytext"/>
            </w:pPr>
          </w:p>
        </w:tc>
      </w:tr>
      <w:tr w:rsidR="00E7542F" w:rsidRPr="00AA5CB5" w14:paraId="572E823B" w14:textId="77777777" w:rsidTr="2D57CE8C">
        <w:trPr>
          <w:trHeight w:val="300"/>
        </w:trPr>
        <w:tc>
          <w:tcPr>
            <w:tcW w:w="746" w:type="pct"/>
            <w:shd w:val="clear" w:color="auto" w:fill="FFFFFF" w:themeFill="background1"/>
            <w:hideMark/>
          </w:tcPr>
          <w:p w14:paraId="46ABBDE8" w14:textId="77777777" w:rsidR="003B5C15" w:rsidRPr="00AA5CB5" w:rsidRDefault="003B5C15" w:rsidP="003B5C15">
            <w:pPr>
              <w:pStyle w:val="Tablebodytext"/>
              <w:rPr>
                <w:b/>
              </w:rPr>
            </w:pPr>
            <w:r w:rsidRPr="00AA5CB5">
              <w:rPr>
                <w:b/>
              </w:rPr>
              <w:t>Downstream</w:t>
            </w:r>
          </w:p>
        </w:tc>
        <w:tc>
          <w:tcPr>
            <w:tcW w:w="758" w:type="pct"/>
            <w:shd w:val="clear" w:color="auto" w:fill="FFFFFF" w:themeFill="background1"/>
            <w:hideMark/>
          </w:tcPr>
          <w:p w14:paraId="45A14519" w14:textId="77777777" w:rsidR="003B5C15" w:rsidRPr="00AA5CB5" w:rsidRDefault="003B5C15" w:rsidP="003B5C15">
            <w:pPr>
              <w:pStyle w:val="Tablebodytext"/>
            </w:pPr>
            <w:r w:rsidRPr="00AA5CB5">
              <w:t xml:space="preserve">11. Use of sold products </w:t>
            </w:r>
          </w:p>
        </w:tc>
        <w:tc>
          <w:tcPr>
            <w:tcW w:w="1225" w:type="pct"/>
            <w:shd w:val="clear" w:color="auto" w:fill="FFFFFF" w:themeFill="background1"/>
            <w:hideMark/>
          </w:tcPr>
          <w:p w14:paraId="56E4A56D" w14:textId="77777777" w:rsidR="003B5C15" w:rsidRPr="00AA5CB5" w:rsidRDefault="003B5C15" w:rsidP="003B5C15">
            <w:pPr>
              <w:pStyle w:val="Tablebodytext"/>
            </w:pPr>
            <w:r w:rsidRPr="00AA5CB5">
              <w:t>End use of goods and services sold by the reporting company in the reporting year</w:t>
            </w:r>
          </w:p>
        </w:tc>
        <w:tc>
          <w:tcPr>
            <w:tcW w:w="1301" w:type="pct"/>
            <w:shd w:val="clear" w:color="auto" w:fill="FFFFFF" w:themeFill="background1"/>
            <w:hideMark/>
          </w:tcPr>
          <w:p w14:paraId="1CAB1C2B" w14:textId="3AB867DC" w:rsidR="003B5C15" w:rsidRPr="00AA5CB5" w:rsidRDefault="003B5C15" w:rsidP="003B5C15">
            <w:pPr>
              <w:pStyle w:val="Tablebodytext"/>
            </w:pPr>
            <w:r w:rsidRPr="00AA5CB5">
              <w:t xml:space="preserve">The direct use-phase emissions of sold products over their expected lifetime (i.e., the scope 1 and scope 2 emissions of end users that occur from the use of: products that directly consume energy (fuels or electricity) during use; fuels and feedstocks; and greenhouse gases and products that contain or form greenhouse gases that are emitted during use) </w:t>
            </w:r>
          </w:p>
          <w:p w14:paraId="6B6461BB" w14:textId="60219114" w:rsidR="003B5C15" w:rsidRPr="00AA5CB5" w:rsidRDefault="003B5C15" w:rsidP="003B5C15">
            <w:pPr>
              <w:pStyle w:val="Tablebodytext"/>
            </w:pPr>
            <w:r w:rsidRPr="00AA5CB5">
              <w:t>Optional: The indirect use-phase emissions of sold products over their expected lifetime (i.e., emissions from the use of products that indirectly consume energy (fuels or electricity) during use)</w:t>
            </w:r>
          </w:p>
        </w:tc>
        <w:tc>
          <w:tcPr>
            <w:tcW w:w="970" w:type="pct"/>
            <w:shd w:val="clear" w:color="auto" w:fill="E7E6E6" w:themeFill="background2"/>
          </w:tcPr>
          <w:p w14:paraId="0506210C" w14:textId="7C1F36A6" w:rsidR="003B5C15" w:rsidRPr="00AA5CB5" w:rsidRDefault="00EC02B3" w:rsidP="003B5C15">
            <w:pPr>
              <w:pStyle w:val="Tablebodytext"/>
            </w:pPr>
            <w:r w:rsidRPr="00AA5CB5">
              <w:t>Not included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r w:rsidR="002221BB" w:rsidRPr="002221BB">
              <w:rPr>
                <w:rStyle w:val="Hyperlink1"/>
                <w:sz w:val="20"/>
                <w:szCs w:val="24"/>
              </w:rPr>
              <w:t xml:space="preserve"> </w:t>
            </w:r>
          </w:p>
        </w:tc>
      </w:tr>
      <w:tr w:rsidR="00E7542F" w:rsidRPr="00AA5CB5" w14:paraId="75CF2469" w14:textId="77777777" w:rsidTr="2D57CE8C">
        <w:trPr>
          <w:trHeight w:val="300"/>
        </w:trPr>
        <w:tc>
          <w:tcPr>
            <w:tcW w:w="746" w:type="pct"/>
            <w:shd w:val="clear" w:color="auto" w:fill="FFFFFF" w:themeFill="background1"/>
            <w:hideMark/>
          </w:tcPr>
          <w:p w14:paraId="2E46E61B" w14:textId="77777777" w:rsidR="003B5C15" w:rsidRPr="00AA5CB5" w:rsidRDefault="003B5C15" w:rsidP="003B5C15">
            <w:pPr>
              <w:pStyle w:val="Tablebodytext"/>
              <w:rPr>
                <w:b/>
              </w:rPr>
            </w:pPr>
            <w:r w:rsidRPr="00AA5CB5">
              <w:rPr>
                <w:b/>
              </w:rPr>
              <w:t>Downstream</w:t>
            </w:r>
          </w:p>
        </w:tc>
        <w:tc>
          <w:tcPr>
            <w:tcW w:w="758" w:type="pct"/>
            <w:shd w:val="clear" w:color="auto" w:fill="FFFFFF" w:themeFill="background1"/>
            <w:hideMark/>
          </w:tcPr>
          <w:p w14:paraId="70F65706" w14:textId="77777777" w:rsidR="003B5C15" w:rsidRPr="00AA5CB5" w:rsidRDefault="003B5C15" w:rsidP="003B5C15">
            <w:pPr>
              <w:pStyle w:val="Tablebodytext"/>
            </w:pPr>
            <w:r w:rsidRPr="00AA5CB5">
              <w:t xml:space="preserve">12. End-of-life treatment of sold products </w:t>
            </w:r>
          </w:p>
        </w:tc>
        <w:tc>
          <w:tcPr>
            <w:tcW w:w="1225" w:type="pct"/>
            <w:shd w:val="clear" w:color="auto" w:fill="FFFFFF" w:themeFill="background1"/>
            <w:hideMark/>
          </w:tcPr>
          <w:p w14:paraId="35756A61" w14:textId="77777777" w:rsidR="003B5C15" w:rsidRPr="00AA5CB5" w:rsidRDefault="003B5C15" w:rsidP="003B5C15">
            <w:pPr>
              <w:pStyle w:val="Tablebodytext"/>
            </w:pPr>
            <w:r w:rsidRPr="00AA5CB5">
              <w:t>Waste disposal and treatment of products sold by the reporting company (in the reporting year) at the end of their life</w:t>
            </w:r>
          </w:p>
        </w:tc>
        <w:tc>
          <w:tcPr>
            <w:tcW w:w="1301" w:type="pct"/>
            <w:shd w:val="clear" w:color="auto" w:fill="FFFFFF" w:themeFill="background1"/>
            <w:hideMark/>
          </w:tcPr>
          <w:p w14:paraId="747EE5F9" w14:textId="3E2DEBED" w:rsidR="003B5C15" w:rsidRPr="00AA5CB5" w:rsidRDefault="003B5C15" w:rsidP="003B5C15">
            <w:pPr>
              <w:pStyle w:val="Tablebodytext"/>
            </w:pPr>
            <w:r w:rsidRPr="00AA5CB5">
              <w:t>The scope 1 and scope 2 emissions of waste management companies that occur during disposal or treatment of sold products</w:t>
            </w:r>
          </w:p>
        </w:tc>
        <w:tc>
          <w:tcPr>
            <w:tcW w:w="970" w:type="pct"/>
            <w:shd w:val="clear" w:color="auto" w:fill="E7E6E6" w:themeFill="background2"/>
            <w:hideMark/>
          </w:tcPr>
          <w:p w14:paraId="43498063" w14:textId="5FBB1BFE" w:rsidR="003B5C15" w:rsidRPr="00AA5CB5" w:rsidRDefault="00EC02B3" w:rsidP="003B5C15">
            <w:pPr>
              <w:pStyle w:val="Tablebodytext"/>
            </w:pPr>
            <w:r w:rsidRPr="00AA5CB5">
              <w:t>Not included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r w:rsidR="002221BB" w:rsidRPr="002221BB">
              <w:rPr>
                <w:rStyle w:val="Hyperlink1"/>
                <w:sz w:val="20"/>
                <w:szCs w:val="24"/>
              </w:rPr>
              <w:t xml:space="preserve"> </w:t>
            </w:r>
          </w:p>
        </w:tc>
      </w:tr>
      <w:tr w:rsidR="00E7542F" w:rsidRPr="00AA5CB5" w14:paraId="169E8164" w14:textId="77777777" w:rsidTr="2D57CE8C">
        <w:trPr>
          <w:trHeight w:val="300"/>
        </w:trPr>
        <w:tc>
          <w:tcPr>
            <w:tcW w:w="746" w:type="pct"/>
            <w:shd w:val="clear" w:color="auto" w:fill="FFFFFF" w:themeFill="background1"/>
            <w:hideMark/>
          </w:tcPr>
          <w:p w14:paraId="26B4D72B" w14:textId="77777777" w:rsidR="003B5C15" w:rsidRPr="00AA5CB5" w:rsidRDefault="003B5C15" w:rsidP="003B5C15">
            <w:pPr>
              <w:pStyle w:val="Tablebodytext"/>
              <w:rPr>
                <w:b/>
              </w:rPr>
            </w:pPr>
            <w:r w:rsidRPr="00AA5CB5">
              <w:rPr>
                <w:b/>
              </w:rPr>
              <w:t>Downstream</w:t>
            </w:r>
          </w:p>
        </w:tc>
        <w:tc>
          <w:tcPr>
            <w:tcW w:w="758" w:type="pct"/>
            <w:shd w:val="clear" w:color="auto" w:fill="FFFFFF" w:themeFill="background1"/>
            <w:hideMark/>
          </w:tcPr>
          <w:p w14:paraId="02AF4C64" w14:textId="77777777" w:rsidR="003B5C15" w:rsidRPr="00AA5CB5" w:rsidRDefault="003B5C15" w:rsidP="003B5C15">
            <w:pPr>
              <w:pStyle w:val="Tablebodytext"/>
            </w:pPr>
            <w:r w:rsidRPr="00AA5CB5">
              <w:t xml:space="preserve">13. Downstream leased assets </w:t>
            </w:r>
          </w:p>
        </w:tc>
        <w:tc>
          <w:tcPr>
            <w:tcW w:w="1225" w:type="pct"/>
            <w:shd w:val="clear" w:color="auto" w:fill="FFFFFF" w:themeFill="background1"/>
            <w:hideMark/>
          </w:tcPr>
          <w:p w14:paraId="1A123B8C" w14:textId="77777777" w:rsidR="003B5C15" w:rsidRPr="00AA5CB5" w:rsidRDefault="003B5C15" w:rsidP="003B5C15">
            <w:pPr>
              <w:pStyle w:val="Tablebodytext"/>
            </w:pPr>
            <w:r w:rsidRPr="00AA5CB5">
              <w:t xml:space="preserve">Operation of assets owned by the reporting company (lessor) and leased to other entities in the reporting year, </w:t>
            </w:r>
            <w:r w:rsidRPr="00AA5CB5">
              <w:lastRenderedPageBreak/>
              <w:t>not included in scope 1 and scope 2 – reported by lessor</w:t>
            </w:r>
          </w:p>
        </w:tc>
        <w:tc>
          <w:tcPr>
            <w:tcW w:w="1301" w:type="pct"/>
            <w:shd w:val="clear" w:color="auto" w:fill="FFFFFF" w:themeFill="background1"/>
            <w:hideMark/>
          </w:tcPr>
          <w:p w14:paraId="6B2B7C58" w14:textId="6AC15499" w:rsidR="003B5C15" w:rsidRPr="00AA5CB5" w:rsidRDefault="003B5C15" w:rsidP="003B5C15">
            <w:pPr>
              <w:pStyle w:val="Tablebodytext"/>
            </w:pPr>
            <w:r w:rsidRPr="00AA5CB5">
              <w:lastRenderedPageBreak/>
              <w:t xml:space="preserve">The scope 1 and scope 2 emissions of lessees that occur during operation of leased assets (e.g. from energy use). Optional: </w:t>
            </w:r>
            <w:r w:rsidRPr="00AA5CB5">
              <w:lastRenderedPageBreak/>
              <w:t>The life cycle emissions associated with manufacturing or constructing leased assets</w:t>
            </w:r>
          </w:p>
        </w:tc>
        <w:tc>
          <w:tcPr>
            <w:tcW w:w="970" w:type="pct"/>
            <w:shd w:val="clear" w:color="auto" w:fill="E7E6E6" w:themeFill="background2"/>
            <w:hideMark/>
          </w:tcPr>
          <w:p w14:paraId="1D8198DD" w14:textId="7FBE0BC4" w:rsidR="00EC02B3" w:rsidRPr="00AA5CB5" w:rsidRDefault="00EC02B3" w:rsidP="00EC02B3">
            <w:pPr>
              <w:pStyle w:val="Tablebodytext"/>
            </w:pPr>
            <w:r w:rsidRPr="00AA5CB5">
              <w:lastRenderedPageBreak/>
              <w:t>Not included –</w:t>
            </w:r>
            <w:r w:rsidR="009774F2">
              <w:t>refer to</w:t>
            </w:r>
            <w:r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p>
          <w:p w14:paraId="7E4E22EB" w14:textId="01AE0498" w:rsidR="003B5C15" w:rsidRPr="00AA5CB5" w:rsidRDefault="003B5C15" w:rsidP="003B5C15">
            <w:pPr>
              <w:pStyle w:val="Tablebodytext"/>
            </w:pPr>
          </w:p>
        </w:tc>
      </w:tr>
      <w:tr w:rsidR="00E7542F" w:rsidRPr="00AA5CB5" w14:paraId="1E395461" w14:textId="77777777" w:rsidTr="2D57CE8C">
        <w:trPr>
          <w:trHeight w:val="300"/>
        </w:trPr>
        <w:tc>
          <w:tcPr>
            <w:tcW w:w="746" w:type="pct"/>
            <w:shd w:val="clear" w:color="auto" w:fill="FFFFFF" w:themeFill="background1"/>
            <w:hideMark/>
          </w:tcPr>
          <w:p w14:paraId="59D6A215" w14:textId="77777777" w:rsidR="003B5C15" w:rsidRPr="00AA5CB5" w:rsidRDefault="003B5C15" w:rsidP="003B5C15">
            <w:pPr>
              <w:pStyle w:val="Tablebodytext"/>
              <w:rPr>
                <w:b/>
              </w:rPr>
            </w:pPr>
            <w:r w:rsidRPr="00AA5CB5">
              <w:rPr>
                <w:b/>
              </w:rPr>
              <w:t>Downstream</w:t>
            </w:r>
          </w:p>
        </w:tc>
        <w:tc>
          <w:tcPr>
            <w:tcW w:w="758" w:type="pct"/>
            <w:shd w:val="clear" w:color="auto" w:fill="FFFFFF" w:themeFill="background1"/>
            <w:hideMark/>
          </w:tcPr>
          <w:p w14:paraId="1A14E7C8" w14:textId="77777777" w:rsidR="003B5C15" w:rsidRPr="00AA5CB5" w:rsidRDefault="003B5C15" w:rsidP="003B5C15">
            <w:pPr>
              <w:pStyle w:val="Tablebodytext"/>
            </w:pPr>
            <w:r w:rsidRPr="00AA5CB5">
              <w:t xml:space="preserve">14. Franchises </w:t>
            </w:r>
          </w:p>
        </w:tc>
        <w:tc>
          <w:tcPr>
            <w:tcW w:w="1225" w:type="pct"/>
            <w:shd w:val="clear" w:color="auto" w:fill="FFFFFF" w:themeFill="background1"/>
            <w:hideMark/>
          </w:tcPr>
          <w:p w14:paraId="2F0CA991" w14:textId="77777777" w:rsidR="003B5C15" w:rsidRPr="00AA5CB5" w:rsidRDefault="003B5C15" w:rsidP="003B5C15">
            <w:pPr>
              <w:pStyle w:val="Tablebodytext"/>
            </w:pPr>
            <w:r w:rsidRPr="00AA5CB5">
              <w:t>Operation of franchises in the reporting year, not included in scope 1 and scope 2 – reported by franchisor</w:t>
            </w:r>
          </w:p>
        </w:tc>
        <w:tc>
          <w:tcPr>
            <w:tcW w:w="1301" w:type="pct"/>
            <w:shd w:val="clear" w:color="auto" w:fill="FFFFFF" w:themeFill="background1"/>
            <w:hideMark/>
          </w:tcPr>
          <w:p w14:paraId="765311AB" w14:textId="327F346A" w:rsidR="003B5C15" w:rsidRPr="00AA5CB5" w:rsidRDefault="003B5C15" w:rsidP="003B5C15">
            <w:pPr>
              <w:pStyle w:val="Tablebodytext"/>
            </w:pPr>
            <w:r w:rsidRPr="00AA5CB5">
              <w:t>The scope 1 and scope 2 emissions of franchisees that occur during operation of franchises (e.g. from energy use) Optional: The life cycle emissions associated with manufacturing or constructing franchises</w:t>
            </w:r>
          </w:p>
        </w:tc>
        <w:tc>
          <w:tcPr>
            <w:tcW w:w="970" w:type="pct"/>
            <w:shd w:val="clear" w:color="auto" w:fill="E7E6E6" w:themeFill="background2"/>
            <w:hideMark/>
          </w:tcPr>
          <w:p w14:paraId="6BD9D124" w14:textId="2B3EAD7F" w:rsidR="003B5C15" w:rsidRPr="00AA5CB5" w:rsidRDefault="003B5C15" w:rsidP="00E8783B">
            <w:pPr>
              <w:spacing w:before="0" w:after="160" w:line="259" w:lineRule="auto"/>
            </w:pPr>
            <w:r w:rsidRPr="00AA5CB5">
              <w:t>Not included –</w:t>
            </w:r>
            <w:r w:rsidR="009774F2">
              <w:t>refer to</w:t>
            </w:r>
            <w:r w:rsidR="00791B61" w:rsidRPr="00AA5CB5">
              <w:t xml:space="preserve"> </w:t>
            </w:r>
            <w:r w:rsidR="002221BB" w:rsidRPr="002221BB">
              <w:rPr>
                <w:rStyle w:val="Hyperlink1"/>
                <w:sz w:val="20"/>
                <w:szCs w:val="24"/>
              </w:rPr>
              <w:fldChar w:fldCharType="begin"/>
            </w:r>
            <w:r w:rsidR="002221BB" w:rsidRPr="002221BB">
              <w:rPr>
                <w:rStyle w:val="Hyperlink1"/>
                <w:sz w:val="20"/>
                <w:szCs w:val="24"/>
              </w:rPr>
              <w:instrText xml:space="preserve"> REF _Ref201927084 \h  \* MERGEFORMAT </w:instrText>
            </w:r>
            <w:r w:rsidR="002221BB" w:rsidRPr="002221BB">
              <w:rPr>
                <w:rStyle w:val="Hyperlink1"/>
                <w:sz w:val="20"/>
                <w:szCs w:val="24"/>
              </w:rPr>
            </w:r>
            <w:r w:rsidR="002221BB" w:rsidRPr="002221BB">
              <w:rPr>
                <w:rStyle w:val="Hyperlink1"/>
                <w:sz w:val="20"/>
                <w:szCs w:val="24"/>
              </w:rPr>
              <w:fldChar w:fldCharType="separate"/>
            </w:r>
            <w:r w:rsidR="00422A37" w:rsidRPr="00422A37">
              <w:rPr>
                <w:rStyle w:val="Hyperlink1"/>
                <w:sz w:val="20"/>
                <w:szCs w:val="24"/>
              </w:rPr>
              <w:t>Scope 3 emissions exclusions</w:t>
            </w:r>
            <w:r w:rsidR="002221BB" w:rsidRPr="002221BB">
              <w:rPr>
                <w:rStyle w:val="Hyperlink1"/>
                <w:sz w:val="20"/>
                <w:szCs w:val="24"/>
              </w:rPr>
              <w:fldChar w:fldCharType="end"/>
            </w:r>
            <w:r w:rsidR="002221BB" w:rsidRPr="002221BB">
              <w:rPr>
                <w:rStyle w:val="Hyperlink1"/>
                <w:sz w:val="20"/>
                <w:szCs w:val="24"/>
              </w:rPr>
              <w:t xml:space="preserve"> </w:t>
            </w:r>
          </w:p>
        </w:tc>
      </w:tr>
      <w:tr w:rsidR="00E7542F" w:rsidRPr="00AA5CB5" w14:paraId="1059D883" w14:textId="77777777" w:rsidTr="2D57CE8C">
        <w:trPr>
          <w:trHeight w:val="300"/>
        </w:trPr>
        <w:tc>
          <w:tcPr>
            <w:tcW w:w="746" w:type="pct"/>
            <w:shd w:val="clear" w:color="auto" w:fill="FFFFFF" w:themeFill="background1"/>
            <w:hideMark/>
          </w:tcPr>
          <w:p w14:paraId="1866E249" w14:textId="77777777" w:rsidR="003B5C15" w:rsidRPr="00AA5CB5" w:rsidRDefault="003B5C15" w:rsidP="003B5C15">
            <w:pPr>
              <w:pStyle w:val="Tablebodytext"/>
              <w:rPr>
                <w:b/>
              </w:rPr>
            </w:pPr>
            <w:r w:rsidRPr="00AA5CB5">
              <w:rPr>
                <w:b/>
              </w:rPr>
              <w:t>Downstream</w:t>
            </w:r>
          </w:p>
        </w:tc>
        <w:tc>
          <w:tcPr>
            <w:tcW w:w="758" w:type="pct"/>
            <w:shd w:val="clear" w:color="auto" w:fill="FFFFFF" w:themeFill="background1"/>
            <w:hideMark/>
          </w:tcPr>
          <w:p w14:paraId="3E03C437" w14:textId="77777777" w:rsidR="003B5C15" w:rsidRPr="00AA5CB5" w:rsidRDefault="003B5C15" w:rsidP="003B5C15">
            <w:pPr>
              <w:pStyle w:val="Tablebodytext"/>
            </w:pPr>
            <w:r w:rsidRPr="00AA5CB5">
              <w:t xml:space="preserve">15. Investments </w:t>
            </w:r>
          </w:p>
        </w:tc>
        <w:tc>
          <w:tcPr>
            <w:tcW w:w="1225" w:type="pct"/>
            <w:shd w:val="clear" w:color="auto" w:fill="FFFFFF" w:themeFill="background1"/>
            <w:hideMark/>
          </w:tcPr>
          <w:p w14:paraId="318B4693" w14:textId="77777777" w:rsidR="003B5C15" w:rsidRPr="00AA5CB5" w:rsidRDefault="003B5C15" w:rsidP="003B5C15">
            <w:pPr>
              <w:pStyle w:val="Tablebodytext"/>
            </w:pPr>
            <w:r w:rsidRPr="00AA5CB5">
              <w:t>Operation of investments (including equity and debt investments and project finance) in the reporting year, not included in scope 1 or scope 2</w:t>
            </w:r>
          </w:p>
        </w:tc>
        <w:tc>
          <w:tcPr>
            <w:tcW w:w="1301" w:type="pct"/>
            <w:shd w:val="clear" w:color="auto" w:fill="FFFFFF" w:themeFill="background1"/>
            <w:hideMark/>
          </w:tcPr>
          <w:p w14:paraId="471F5203" w14:textId="205DE72E" w:rsidR="003B5C15" w:rsidRPr="00AA5CB5" w:rsidRDefault="003B5C15" w:rsidP="003B5C15">
            <w:pPr>
              <w:pStyle w:val="Tablebodytext"/>
            </w:pPr>
            <w:r w:rsidRPr="00AA5CB5">
              <w:t>Companies that use a control approach account only for those equity investments that are under the company’s control in scope 1 and scope 2. Investments not included in the company’s scope 1 or scope 2 emissions are included in scope 3, in this category</w:t>
            </w:r>
          </w:p>
        </w:tc>
        <w:tc>
          <w:tcPr>
            <w:tcW w:w="970" w:type="pct"/>
            <w:shd w:val="clear" w:color="auto" w:fill="E7E6E6" w:themeFill="background2"/>
            <w:hideMark/>
          </w:tcPr>
          <w:p w14:paraId="179A2A6A" w14:textId="116B4A26" w:rsidR="003B5C15" w:rsidRPr="00AA5CB5" w:rsidRDefault="003B5C15" w:rsidP="003B5C15">
            <w:pPr>
              <w:pStyle w:val="Tablebodytext"/>
            </w:pPr>
            <w:r w:rsidRPr="00AA5CB5">
              <w:t>Refer to Y</w:t>
            </w:r>
            <w:r w:rsidR="00C7406B">
              <w:t>ea</w:t>
            </w:r>
            <w:r w:rsidRPr="00AA5CB5">
              <w:t>r 3 CCD Requirements</w:t>
            </w:r>
          </w:p>
        </w:tc>
      </w:tr>
    </w:tbl>
    <w:p w14:paraId="61D3CF50" w14:textId="77777777" w:rsidR="00FC5A72" w:rsidRPr="00AA5CB5" w:rsidRDefault="00FC5A72" w:rsidP="00FC5A72">
      <w:pPr>
        <w:pStyle w:val="BodyText1"/>
        <w:sectPr w:rsidR="00FC5A72" w:rsidRPr="00AA5CB5" w:rsidSect="000B5C5E">
          <w:pgSz w:w="12240" w:h="15840"/>
          <w:pgMar w:top="1440" w:right="1440" w:bottom="1440" w:left="1440" w:header="720" w:footer="720" w:gutter="0"/>
          <w:cols w:space="720"/>
          <w:docGrid w:linePitch="272"/>
        </w:sectPr>
      </w:pPr>
    </w:p>
    <w:p w14:paraId="328FB8FF" w14:textId="79E6E0A9" w:rsidR="00FC5A72" w:rsidRPr="00AA5CB5" w:rsidRDefault="00FC5A72" w:rsidP="00356C20">
      <w:pPr>
        <w:pStyle w:val="Heading1"/>
        <w:rPr>
          <w:bCs/>
        </w:rPr>
      </w:pPr>
      <w:bookmarkStart w:id="125" w:name="_Ref197436604"/>
      <w:bookmarkStart w:id="126" w:name="_Ref197436842"/>
      <w:bookmarkStart w:id="127" w:name="_Toc197438635"/>
      <w:bookmarkStart w:id="128" w:name="_Toc201927359"/>
      <w:r w:rsidRPr="00AA5CB5">
        <w:lastRenderedPageBreak/>
        <w:t xml:space="preserve">Annex </w:t>
      </w:r>
      <w:r w:rsidR="00C447D9" w:rsidRPr="00AA5CB5">
        <w:t>B</w:t>
      </w:r>
      <w:r w:rsidRPr="00AA5CB5">
        <w:t>: Operational Control Scorecard</w:t>
      </w:r>
      <w:bookmarkEnd w:id="120"/>
      <w:bookmarkEnd w:id="121"/>
      <w:bookmarkEnd w:id="125"/>
      <w:bookmarkEnd w:id="126"/>
      <w:bookmarkEnd w:id="127"/>
      <w:bookmarkEnd w:id="128"/>
      <w:r w:rsidRPr="00AA5CB5">
        <w:t xml:space="preserve"> </w:t>
      </w:r>
    </w:p>
    <w:p w14:paraId="4EB8EA6C" w14:textId="511AA842" w:rsidR="00FC5A72" w:rsidRPr="00AA5CB5" w:rsidRDefault="00FC5A72" w:rsidP="00064F8D">
      <w:pPr>
        <w:pStyle w:val="Heading2"/>
      </w:pPr>
      <w:bookmarkStart w:id="129" w:name="_Toc197426966"/>
      <w:bookmarkStart w:id="130" w:name="_Toc197438636"/>
      <w:bookmarkStart w:id="131" w:name="_Toc201927360"/>
      <w:r w:rsidRPr="00AA5CB5">
        <w:t>Overview</w:t>
      </w:r>
      <w:bookmarkEnd w:id="129"/>
      <w:bookmarkEnd w:id="130"/>
      <w:bookmarkEnd w:id="131"/>
    </w:p>
    <w:p w14:paraId="30D1E7D2" w14:textId="18BAB31E" w:rsidR="00FC5A72" w:rsidRPr="00AA5CB5" w:rsidRDefault="00FC5A72" w:rsidP="00FC5A72">
      <w:pPr>
        <w:pStyle w:val="BodyText1"/>
      </w:pPr>
      <w:r w:rsidRPr="00AA5CB5">
        <w:t xml:space="preserve">The Operational Control Scorecard </w:t>
      </w:r>
      <w:r w:rsidR="00CE4028" w:rsidRPr="00AA5CB5">
        <w:t>(</w:t>
      </w:r>
      <w:r w:rsidR="00A03FD1">
        <w:t xml:space="preserve">the </w:t>
      </w:r>
      <w:r w:rsidR="00CE4028" w:rsidRPr="00AA5CB5">
        <w:t xml:space="preserve">Scorecard) </w:t>
      </w:r>
      <w:r w:rsidR="00374ABB" w:rsidRPr="00AA5CB5">
        <w:t>may be used</w:t>
      </w:r>
      <w:r w:rsidRPr="00AA5CB5">
        <w:t xml:space="preserve"> to assess and determine which agency holds operational control over a facility and associated assets. It evaluates the extent of authority an agency has in implementing operating, health and safety, and environmental policies. The Scorecard can also be used where Machinery of Government changes have occurred, or entities ceased operations within the reporting period. Seek advice from the Emissions Accounting Team to ensure that data is attributed to the appropriate reporting agency. </w:t>
      </w:r>
    </w:p>
    <w:p w14:paraId="7FB73B40" w14:textId="77777777" w:rsidR="00FC5A72" w:rsidRPr="00AA5CB5" w:rsidRDefault="00FC5A72" w:rsidP="00064F8D">
      <w:pPr>
        <w:pStyle w:val="Heading2"/>
      </w:pPr>
      <w:bookmarkStart w:id="132" w:name="_Toc197426967"/>
      <w:bookmarkStart w:id="133" w:name="_Toc197438637"/>
      <w:bookmarkStart w:id="134" w:name="_Toc201927361"/>
      <w:r w:rsidRPr="00AA5CB5">
        <w:t>Instructions</w:t>
      </w:r>
      <w:bookmarkEnd w:id="132"/>
      <w:bookmarkEnd w:id="133"/>
      <w:bookmarkEnd w:id="134"/>
      <w:r w:rsidRPr="00AA5CB5">
        <w:t xml:space="preserve"> </w:t>
      </w:r>
    </w:p>
    <w:p w14:paraId="4BEAC0AB" w14:textId="61B13342" w:rsidR="00FC5A72" w:rsidRPr="00AA5CB5" w:rsidRDefault="00FC5A72" w:rsidP="00FC5A72">
      <w:pPr>
        <w:pStyle w:val="BodyText1"/>
      </w:pPr>
      <w:r w:rsidRPr="00AA5CB5">
        <w:rPr>
          <w:b/>
          <w:bCs/>
        </w:rPr>
        <w:t xml:space="preserve">Step 1: Identify the </w:t>
      </w:r>
      <w:r w:rsidR="006A48BE">
        <w:rPr>
          <w:b/>
          <w:bCs/>
        </w:rPr>
        <w:t>b</w:t>
      </w:r>
      <w:r w:rsidRPr="00AA5CB5">
        <w:rPr>
          <w:b/>
          <w:bCs/>
        </w:rPr>
        <w:t>uilding</w:t>
      </w:r>
      <w:r w:rsidR="00FE399D">
        <w:rPr>
          <w:b/>
          <w:bCs/>
        </w:rPr>
        <w:t xml:space="preserve">: </w:t>
      </w:r>
      <w:r w:rsidR="00CE4028" w:rsidRPr="00AA5CB5">
        <w:t>On the</w:t>
      </w:r>
      <w:r w:rsidRPr="00AA5CB5">
        <w:t xml:space="preserve"> Scorecard </w:t>
      </w:r>
      <w:r w:rsidR="00D25B90">
        <w:t>provide</w:t>
      </w:r>
      <w:r w:rsidR="00D25B90" w:rsidRPr="00AA5CB5">
        <w:t xml:space="preserve"> </w:t>
      </w:r>
      <w:r w:rsidRPr="00AA5CB5">
        <w:t xml:space="preserve">the </w:t>
      </w:r>
      <w:r w:rsidR="006E44E1">
        <w:t>S</w:t>
      </w:r>
      <w:r w:rsidR="00D25B90">
        <w:t xml:space="preserve">ite </w:t>
      </w:r>
      <w:r w:rsidR="006E44E1">
        <w:t>N</w:t>
      </w:r>
      <w:r w:rsidRPr="00AA5CB5">
        <w:t xml:space="preserve">ame </w:t>
      </w:r>
      <w:r w:rsidR="00495208">
        <w:t>(name of the building)</w:t>
      </w:r>
      <w:r w:rsidRPr="00AA5CB5">
        <w:t xml:space="preserve">, the </w:t>
      </w:r>
      <w:r w:rsidR="00495208">
        <w:t>B</w:t>
      </w:r>
      <w:r w:rsidR="00D25B90">
        <w:t xml:space="preserve">uilding </w:t>
      </w:r>
      <w:r w:rsidR="00495208">
        <w:t>A</w:t>
      </w:r>
      <w:r w:rsidRPr="00AA5CB5">
        <w:t>ddress</w:t>
      </w:r>
      <w:r w:rsidR="00A0708B">
        <w:t>,</w:t>
      </w:r>
      <w:r w:rsidRPr="00AA5CB5">
        <w:t xml:space="preserve"> and the AGPR Building ID</w:t>
      </w:r>
      <w:r w:rsidR="00495208">
        <w:t>,</w:t>
      </w:r>
      <w:r w:rsidRPr="00AA5CB5">
        <w:t xml:space="preserve"> if applicable to that building. </w:t>
      </w:r>
    </w:p>
    <w:p w14:paraId="0C915294" w14:textId="7F7A63F6" w:rsidR="00FC5A72" w:rsidRPr="00AA5CB5" w:rsidRDefault="00FC5A72" w:rsidP="00FC5A72">
      <w:pPr>
        <w:pStyle w:val="BodyText1"/>
      </w:pPr>
      <w:r w:rsidRPr="00AA5CB5">
        <w:rPr>
          <w:b/>
          <w:bCs/>
        </w:rPr>
        <w:t xml:space="preserve">Step 2: Identify the </w:t>
      </w:r>
      <w:r w:rsidR="006A48BE">
        <w:rPr>
          <w:b/>
          <w:bCs/>
        </w:rPr>
        <w:t>o</w:t>
      </w:r>
      <w:r w:rsidRPr="00AA5CB5">
        <w:rPr>
          <w:b/>
          <w:bCs/>
        </w:rPr>
        <w:t xml:space="preserve">ther </w:t>
      </w:r>
      <w:r w:rsidR="006A48BE">
        <w:rPr>
          <w:b/>
          <w:bCs/>
        </w:rPr>
        <w:t>p</w:t>
      </w:r>
      <w:r w:rsidRPr="00AA5CB5">
        <w:rPr>
          <w:b/>
          <w:bCs/>
        </w:rPr>
        <w:t>arties</w:t>
      </w:r>
      <w:r w:rsidR="00FE399D">
        <w:rPr>
          <w:b/>
          <w:bCs/>
        </w:rPr>
        <w:t xml:space="preserve">: </w:t>
      </w:r>
      <w:r w:rsidR="7E6D289C">
        <w:t xml:space="preserve">Identify </w:t>
      </w:r>
      <w:r w:rsidR="00071628">
        <w:t>all</w:t>
      </w:r>
      <w:r w:rsidR="7E6D289C">
        <w:t xml:space="preserve"> Commonwealth </w:t>
      </w:r>
      <w:r w:rsidR="002F6CF8">
        <w:t>e</w:t>
      </w:r>
      <w:r w:rsidR="7E6D289C">
        <w:t xml:space="preserve">ntities or Commonwealth </w:t>
      </w:r>
      <w:r w:rsidR="002F6CF8">
        <w:t>c</w:t>
      </w:r>
      <w:r w:rsidR="7E6D289C">
        <w:t xml:space="preserve">ompanies that may have authority over the facility. Along with your agency’s name, write the name of each </w:t>
      </w:r>
      <w:r w:rsidR="002A2CD1">
        <w:t xml:space="preserve">additional </w:t>
      </w:r>
      <w:r w:rsidR="7E6D289C">
        <w:t xml:space="preserve">reporting agency in the Scorecard. Where the other party is </w:t>
      </w:r>
      <w:r w:rsidR="23C395A1">
        <w:t xml:space="preserve">an external </w:t>
      </w:r>
      <w:r w:rsidR="002A2CD1">
        <w:t>agency</w:t>
      </w:r>
      <w:r w:rsidR="23C395A1">
        <w:t xml:space="preserve"> and</w:t>
      </w:r>
      <w:r w:rsidR="6078CAF1">
        <w:t xml:space="preserve"> </w:t>
      </w:r>
      <w:r w:rsidR="7E6D289C">
        <w:t xml:space="preserve">not a Commonwealth </w:t>
      </w:r>
      <w:r w:rsidR="00382431">
        <w:t>e</w:t>
      </w:r>
      <w:r w:rsidR="7E6D289C">
        <w:t xml:space="preserve">ntity or Commonwealth </w:t>
      </w:r>
      <w:r w:rsidR="00382431">
        <w:t>c</w:t>
      </w:r>
      <w:r w:rsidR="7E6D289C">
        <w:t xml:space="preserve">ompany make note of this in the Scorecard. </w:t>
      </w:r>
    </w:p>
    <w:p w14:paraId="6C94F800" w14:textId="0050024E" w:rsidR="00FE399D" w:rsidRDefault="00FC5A72" w:rsidP="004D4CE2">
      <w:pPr>
        <w:pStyle w:val="BodyText1"/>
      </w:pPr>
      <w:r w:rsidRPr="00AA5CB5">
        <w:rPr>
          <w:b/>
          <w:bCs/>
        </w:rPr>
        <w:t xml:space="preserve">Step 3: </w:t>
      </w:r>
      <w:r w:rsidR="00336620" w:rsidRPr="00AA5CB5">
        <w:rPr>
          <w:b/>
          <w:bCs/>
        </w:rPr>
        <w:t>Complete the building questions</w:t>
      </w:r>
      <w:r w:rsidR="00FE399D">
        <w:rPr>
          <w:b/>
          <w:bCs/>
        </w:rPr>
        <w:t xml:space="preserve">: </w:t>
      </w:r>
      <w:r w:rsidR="007F5DC1" w:rsidRPr="007F5DC1">
        <w:t>Answer each of the questions provided. Record your answers in the Answers column, either by providing a written answer or selecting the appropriate option.</w:t>
      </w:r>
      <w:r w:rsidR="007F5DC1">
        <w:t xml:space="preserve"> </w:t>
      </w:r>
    </w:p>
    <w:p w14:paraId="7C4F8FEC" w14:textId="2348E1A2" w:rsidR="00B25EBA" w:rsidRPr="00B25EBA" w:rsidRDefault="004D4CE2" w:rsidP="00B25EBA">
      <w:pPr>
        <w:pStyle w:val="BodyText1"/>
      </w:pPr>
      <w:r w:rsidRPr="00AA5CB5">
        <w:rPr>
          <w:b/>
          <w:bCs/>
        </w:rPr>
        <w:t xml:space="preserve">Step 4: Answer the </w:t>
      </w:r>
      <w:r w:rsidR="006A48BE">
        <w:rPr>
          <w:b/>
          <w:bCs/>
        </w:rPr>
        <w:t>p</w:t>
      </w:r>
      <w:r w:rsidRPr="00AA5CB5">
        <w:rPr>
          <w:b/>
          <w:bCs/>
        </w:rPr>
        <w:t>olicy control questions</w:t>
      </w:r>
      <w:r w:rsidR="00FE399D">
        <w:rPr>
          <w:b/>
          <w:bCs/>
        </w:rPr>
        <w:t xml:space="preserve">: </w:t>
      </w:r>
      <w:r w:rsidR="00B25EBA" w:rsidRPr="00B25EBA">
        <w:t>Please complete each question in the Question column by ticking the appropriate box. Ensure that for each question, only one box is ticked based on who has the MOST authority or the final say in these matters. Consider the overall site and common property, rather than areas exclusive to your reporting agency.</w:t>
      </w:r>
    </w:p>
    <w:p w14:paraId="0BD40A4C" w14:textId="091C48CE" w:rsidR="00AF2D10" w:rsidRDefault="00FC5A72" w:rsidP="00FC5A72">
      <w:pPr>
        <w:pStyle w:val="BodyText1"/>
      </w:pPr>
      <w:r w:rsidRPr="00AA5CB5">
        <w:rPr>
          <w:b/>
          <w:bCs/>
        </w:rPr>
        <w:t xml:space="preserve">Step </w:t>
      </w:r>
      <w:r w:rsidR="00EE3D83" w:rsidRPr="00AA5CB5">
        <w:rPr>
          <w:b/>
          <w:bCs/>
        </w:rPr>
        <w:t>5</w:t>
      </w:r>
      <w:r w:rsidRPr="00AA5CB5">
        <w:rPr>
          <w:b/>
          <w:bCs/>
        </w:rPr>
        <w:t xml:space="preserve">: List the </w:t>
      </w:r>
      <w:r w:rsidR="006A48BE">
        <w:rPr>
          <w:b/>
          <w:bCs/>
        </w:rPr>
        <w:t>a</w:t>
      </w:r>
      <w:r w:rsidRPr="00AA5CB5">
        <w:rPr>
          <w:b/>
          <w:bCs/>
        </w:rPr>
        <w:t>ssets</w:t>
      </w:r>
      <w:r w:rsidR="00FE399D">
        <w:rPr>
          <w:b/>
          <w:bCs/>
        </w:rPr>
        <w:t xml:space="preserve">: </w:t>
      </w:r>
      <w:r w:rsidR="00AF2D10" w:rsidRPr="00AF2D10">
        <w:t>Where responses to Building questions and Policy control questions do not identify operational control, create a detailed list of assets within the facility that are relevant to its operation. Record these assets on the Scorecard for reference.</w:t>
      </w:r>
    </w:p>
    <w:p w14:paraId="017B938C" w14:textId="41E01B3E" w:rsidR="008478A6" w:rsidRPr="008478A6" w:rsidRDefault="00FC5A72" w:rsidP="008478A6">
      <w:pPr>
        <w:pStyle w:val="BodyText1"/>
      </w:pPr>
      <w:r w:rsidRPr="00AA5CB5">
        <w:rPr>
          <w:b/>
          <w:bCs/>
        </w:rPr>
        <w:t>Step 6: Contact Emissions Accounting Team</w:t>
      </w:r>
      <w:r w:rsidR="00FE399D">
        <w:rPr>
          <w:b/>
          <w:bCs/>
        </w:rPr>
        <w:t xml:space="preserve">: </w:t>
      </w:r>
      <w:r w:rsidR="008478A6" w:rsidRPr="008478A6">
        <w:t xml:space="preserve">If no agreement is reached, please seek further guidance from the Emissions Accounting Team at </w:t>
      </w:r>
      <w:hyperlink r:id="rId57" w:history="1">
        <w:r w:rsidR="008478A6" w:rsidRPr="0007457F">
          <w:rPr>
            <w:rStyle w:val="Hyperlink1"/>
          </w:rPr>
          <w:t>emissionsaccounting@finance.gov.au</w:t>
        </w:r>
      </w:hyperlink>
    </w:p>
    <w:p w14:paraId="1A330351" w14:textId="78066FB5" w:rsidR="00FC5A72" w:rsidRPr="00AA5CB5" w:rsidRDefault="00FC5A72" w:rsidP="00FC5A72">
      <w:pPr>
        <w:pStyle w:val="BodyText1"/>
        <w:rPr>
          <w:b/>
          <w:bCs/>
        </w:rPr>
      </w:pPr>
      <w:r w:rsidRPr="3D1CEC3C">
        <w:rPr>
          <w:b/>
          <w:bCs/>
        </w:rPr>
        <w:t xml:space="preserve">Step </w:t>
      </w:r>
      <w:r w:rsidR="00374ABB" w:rsidRPr="3D1CEC3C">
        <w:rPr>
          <w:b/>
          <w:bCs/>
        </w:rPr>
        <w:t>7</w:t>
      </w:r>
      <w:r w:rsidRPr="3D1CEC3C">
        <w:rPr>
          <w:b/>
          <w:bCs/>
        </w:rPr>
        <w:t xml:space="preserve">: Document </w:t>
      </w:r>
      <w:r w:rsidR="006A48BE">
        <w:rPr>
          <w:b/>
          <w:bCs/>
        </w:rPr>
        <w:t>f</w:t>
      </w:r>
      <w:r w:rsidRPr="3D1CEC3C">
        <w:rPr>
          <w:b/>
          <w:bCs/>
        </w:rPr>
        <w:t>indings</w:t>
      </w:r>
      <w:r w:rsidR="00FE399D">
        <w:rPr>
          <w:b/>
          <w:bCs/>
        </w:rPr>
        <w:t xml:space="preserve">: </w:t>
      </w:r>
      <w:r>
        <w:t xml:space="preserve">Maintain detailed records of findings and decisions using </w:t>
      </w:r>
      <w:r w:rsidR="00E35DF0">
        <w:t>a</w:t>
      </w:r>
      <w:r>
        <w:t xml:space="preserve"> </w:t>
      </w:r>
      <w:r w:rsidR="00374ABB">
        <w:t>S</w:t>
      </w:r>
      <w:r>
        <w:t xml:space="preserve">corecard for each building. Ensure documentation is thorough and accessible for audit and compliance purposes. Reporting agencies may implement a standardised process for reassessing operational control whenever ownership or management changes. </w:t>
      </w:r>
      <w:r w:rsidRPr="3D1CEC3C">
        <w:rPr>
          <w:b/>
          <w:bCs/>
        </w:rPr>
        <w:br w:type="page"/>
      </w:r>
    </w:p>
    <w:p w14:paraId="32130175" w14:textId="77777777" w:rsidR="00FC5A72" w:rsidRPr="00AA5CB5" w:rsidRDefault="00FC5A72" w:rsidP="00064F8D">
      <w:pPr>
        <w:pStyle w:val="Heading2"/>
      </w:pPr>
      <w:bookmarkStart w:id="135" w:name="_Toc197426968"/>
      <w:bookmarkStart w:id="136" w:name="_Toc197438638"/>
      <w:bookmarkStart w:id="137" w:name="_Toc201927362"/>
      <w:r w:rsidRPr="00AA5CB5">
        <w:lastRenderedPageBreak/>
        <w:t>Operational Control Scorecard</w:t>
      </w:r>
      <w:bookmarkEnd w:id="135"/>
      <w:bookmarkEnd w:id="136"/>
      <w:bookmarkEnd w:id="137"/>
    </w:p>
    <w:tbl>
      <w:tblPr>
        <w:tblW w:w="5067" w:type="pct"/>
        <w:tblLook w:val="06A0" w:firstRow="1" w:lastRow="0" w:firstColumn="1" w:lastColumn="0" w:noHBand="1" w:noVBand="1"/>
      </w:tblPr>
      <w:tblGrid>
        <w:gridCol w:w="3257"/>
        <w:gridCol w:w="6271"/>
      </w:tblGrid>
      <w:tr w:rsidR="00A06560" w:rsidRPr="00AA5CB5" w14:paraId="13DEE75E" w14:textId="77777777" w:rsidTr="0007457F">
        <w:tc>
          <w:tcPr>
            <w:tcW w:w="17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491D5B0C" w14:textId="77777777" w:rsidR="00A06560" w:rsidRPr="00AA5CB5" w:rsidRDefault="00A06560">
            <w:pPr>
              <w:pStyle w:val="Tablebodytext"/>
            </w:pPr>
            <w:r w:rsidRPr="00AA5CB5">
              <w:t>Completed by (include role/title)</w:t>
            </w:r>
          </w:p>
        </w:tc>
        <w:tc>
          <w:tcPr>
            <w:tcW w:w="3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3AABD6" w14:textId="77777777" w:rsidR="00A06560" w:rsidRPr="00AA5CB5" w:rsidRDefault="00A06560">
            <w:pPr>
              <w:pStyle w:val="Tablebodytext"/>
            </w:pPr>
          </w:p>
        </w:tc>
      </w:tr>
    </w:tbl>
    <w:p w14:paraId="1E2BC6D7" w14:textId="5F2CCDA9" w:rsidR="00FC5A72" w:rsidRPr="00AA5CB5" w:rsidRDefault="00FC5A72" w:rsidP="00FC5A72">
      <w:pPr>
        <w:pStyle w:val="BodyText1"/>
        <w:rPr>
          <w:b/>
          <w:bCs/>
        </w:rPr>
      </w:pPr>
      <w:r w:rsidRPr="00AA5CB5">
        <w:rPr>
          <w:b/>
          <w:bCs/>
        </w:rPr>
        <w:t>Building</w:t>
      </w:r>
    </w:p>
    <w:tbl>
      <w:tblPr>
        <w:tblW w:w="5067" w:type="pct"/>
        <w:tblLook w:val="06A0" w:firstRow="1" w:lastRow="0" w:firstColumn="1" w:lastColumn="0" w:noHBand="1" w:noVBand="1"/>
      </w:tblPr>
      <w:tblGrid>
        <w:gridCol w:w="3257"/>
        <w:gridCol w:w="6271"/>
      </w:tblGrid>
      <w:tr w:rsidR="006E31A0" w:rsidRPr="00AA5CB5" w14:paraId="30CF10A6" w14:textId="77777777" w:rsidTr="0007457F">
        <w:tc>
          <w:tcPr>
            <w:tcW w:w="17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60D4CC70" w14:textId="1DDF0AB8" w:rsidR="006E31A0" w:rsidRPr="00AA5CB5" w:rsidRDefault="006E31A0" w:rsidP="008121D9">
            <w:pPr>
              <w:pStyle w:val="Tablebodytext"/>
            </w:pPr>
            <w:r w:rsidRPr="00AA5CB5">
              <w:t>Site name</w:t>
            </w:r>
          </w:p>
        </w:tc>
        <w:tc>
          <w:tcPr>
            <w:tcW w:w="3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B3BFB9" w14:textId="77777777" w:rsidR="006E31A0" w:rsidRPr="00AA5CB5" w:rsidRDefault="006E31A0" w:rsidP="008121D9">
            <w:pPr>
              <w:pStyle w:val="Tablebodytext"/>
            </w:pPr>
          </w:p>
        </w:tc>
      </w:tr>
      <w:tr w:rsidR="00FC5A72" w:rsidRPr="00AA5CB5" w14:paraId="39DC0C99" w14:textId="77777777" w:rsidTr="0007457F">
        <w:tc>
          <w:tcPr>
            <w:tcW w:w="17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hideMark/>
          </w:tcPr>
          <w:p w14:paraId="1077D7B6" w14:textId="77777777" w:rsidR="00FC5A72" w:rsidRPr="00AA5CB5" w:rsidRDefault="00FC5A72" w:rsidP="008121D9">
            <w:pPr>
              <w:pStyle w:val="Tablebodytext"/>
            </w:pPr>
            <w:r w:rsidRPr="00AA5CB5">
              <w:t xml:space="preserve">Building Address </w:t>
            </w:r>
          </w:p>
        </w:tc>
        <w:tc>
          <w:tcPr>
            <w:tcW w:w="3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9B1E08" w14:textId="77777777" w:rsidR="00FC5A72" w:rsidRPr="00AA5CB5" w:rsidRDefault="00FC5A72" w:rsidP="008121D9">
            <w:pPr>
              <w:pStyle w:val="Tablebodytext"/>
            </w:pPr>
          </w:p>
        </w:tc>
      </w:tr>
      <w:tr w:rsidR="00FC5A72" w:rsidRPr="00AA5CB5" w14:paraId="46634749" w14:textId="77777777" w:rsidTr="0007457F">
        <w:tc>
          <w:tcPr>
            <w:tcW w:w="17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hideMark/>
          </w:tcPr>
          <w:p w14:paraId="49DC0E71" w14:textId="77777777" w:rsidR="00FC5A72" w:rsidRPr="00AA5CB5" w:rsidRDefault="00FC5A72" w:rsidP="008121D9">
            <w:pPr>
              <w:pStyle w:val="Tablebodytext"/>
            </w:pPr>
            <w:r w:rsidRPr="00AA5CB5">
              <w:t xml:space="preserve">AGPR Building ID (if applicable) </w:t>
            </w:r>
          </w:p>
        </w:tc>
        <w:tc>
          <w:tcPr>
            <w:tcW w:w="329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22DC1F" w14:textId="77777777" w:rsidR="00FC5A72" w:rsidRPr="00AA5CB5" w:rsidRDefault="00FC5A72" w:rsidP="008121D9">
            <w:pPr>
              <w:pStyle w:val="Tablebodytext"/>
            </w:pPr>
          </w:p>
        </w:tc>
      </w:tr>
    </w:tbl>
    <w:p w14:paraId="53ED12D1" w14:textId="44FFDB21" w:rsidR="00FC5A72" w:rsidRPr="00AA5CB5" w:rsidRDefault="00FC5A72" w:rsidP="00FC5A72">
      <w:pPr>
        <w:pStyle w:val="BodyText1"/>
        <w:rPr>
          <w:b/>
          <w:bCs/>
        </w:rPr>
      </w:pPr>
      <w:r w:rsidRPr="00AA5CB5">
        <w:rPr>
          <w:b/>
          <w:bCs/>
        </w:rPr>
        <w:t xml:space="preserve">Parties </w:t>
      </w:r>
    </w:p>
    <w:tbl>
      <w:tblPr>
        <w:tblW w:w="5067" w:type="pct"/>
        <w:tblLook w:val="06A0" w:firstRow="1" w:lastRow="0" w:firstColumn="1" w:lastColumn="0" w:noHBand="1" w:noVBand="1"/>
      </w:tblPr>
      <w:tblGrid>
        <w:gridCol w:w="1980"/>
        <w:gridCol w:w="7548"/>
      </w:tblGrid>
      <w:tr w:rsidR="00CE22C3" w:rsidRPr="00AA5CB5" w14:paraId="7A774423" w14:textId="77777777" w:rsidTr="00DA3BF1">
        <w:tc>
          <w:tcPr>
            <w:tcW w:w="10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tcPr>
          <w:p w14:paraId="4BED8A08" w14:textId="449A60A3" w:rsidR="00CE22C3" w:rsidRPr="00AA5CB5" w:rsidRDefault="00CE22C3" w:rsidP="00CE22C3">
            <w:pPr>
              <w:pStyle w:val="Tablebodytext"/>
            </w:pPr>
            <w:r w:rsidRPr="00AA5CB5">
              <w:t xml:space="preserve">Name of party </w:t>
            </w:r>
          </w:p>
        </w:tc>
        <w:tc>
          <w:tcPr>
            <w:tcW w:w="3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tcPr>
          <w:p w14:paraId="72D542F9" w14:textId="77777777" w:rsidR="00CE22C3" w:rsidRPr="00AA5CB5" w:rsidRDefault="00CE22C3" w:rsidP="00CE22C3">
            <w:pPr>
              <w:pStyle w:val="Tablebodytext"/>
            </w:pPr>
            <w:r w:rsidRPr="00AA5CB5">
              <w:t>Contact Details</w:t>
            </w:r>
          </w:p>
        </w:tc>
      </w:tr>
      <w:tr w:rsidR="00CE22C3" w:rsidRPr="00AA5CB5" w14:paraId="6909C2CD" w14:textId="77777777">
        <w:tc>
          <w:tcPr>
            <w:tcW w:w="1039"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CEEEED" w:themeFill="accent6" w:themeFillTint="66"/>
          </w:tcPr>
          <w:p w14:paraId="4C7DF251" w14:textId="77777777" w:rsidR="00CE22C3" w:rsidRPr="00AA5CB5" w:rsidRDefault="00CE22C3" w:rsidP="00CE22C3">
            <w:pPr>
              <w:pStyle w:val="Tablebodytext"/>
            </w:pPr>
            <w:r w:rsidRPr="00AA5CB5">
              <w:t xml:space="preserve">Reporting agency </w:t>
            </w:r>
          </w:p>
        </w:tc>
        <w:tc>
          <w:tcPr>
            <w:tcW w:w="3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C5F428" w14:textId="77777777" w:rsidR="00CE22C3" w:rsidRDefault="00CE22C3">
            <w:pPr>
              <w:pStyle w:val="Tablebodytext"/>
            </w:pPr>
            <w:r w:rsidRPr="00AA5CB5">
              <w:t xml:space="preserve">Name: </w:t>
            </w:r>
          </w:p>
          <w:p w14:paraId="15AE6986" w14:textId="5F12F22D" w:rsidR="00125E6D" w:rsidRPr="00AA5CB5" w:rsidRDefault="00125E6D">
            <w:pPr>
              <w:pStyle w:val="Tablebodytext"/>
            </w:pPr>
            <w:r w:rsidRPr="00AA5CB5">
              <w:t>Email Address:</w:t>
            </w:r>
          </w:p>
          <w:p w14:paraId="49FF7A75" w14:textId="2192FB81" w:rsidR="00CE22C3" w:rsidRPr="00AA5CB5" w:rsidRDefault="00125E6D" w:rsidP="00125E6D">
            <w:pPr>
              <w:pStyle w:val="Tablebodytext"/>
            </w:pPr>
            <w:r w:rsidRPr="00AA5CB5">
              <w:t>Phone Number:</w:t>
            </w:r>
          </w:p>
        </w:tc>
      </w:tr>
      <w:tr w:rsidR="00CE22C3" w:rsidRPr="00AA5CB5" w14:paraId="3CB0FB6B" w14:textId="77777777">
        <w:tc>
          <w:tcPr>
            <w:tcW w:w="1039"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CEEEED" w:themeFill="accent6" w:themeFillTint="66"/>
          </w:tcPr>
          <w:p w14:paraId="36832CAE" w14:textId="77777777" w:rsidR="00CE22C3" w:rsidRPr="00AA5CB5" w:rsidRDefault="00CE22C3" w:rsidP="00CE22C3">
            <w:pPr>
              <w:pStyle w:val="Tablebodytext"/>
            </w:pPr>
            <w:r w:rsidRPr="00AA5CB5">
              <w:t xml:space="preserve">Landlord </w:t>
            </w:r>
          </w:p>
        </w:tc>
        <w:tc>
          <w:tcPr>
            <w:tcW w:w="3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FEE20A" w14:textId="77777777" w:rsidR="00125E6D" w:rsidRDefault="00125E6D" w:rsidP="00125E6D">
            <w:pPr>
              <w:pStyle w:val="Tablebodytext"/>
            </w:pPr>
            <w:r w:rsidRPr="00AA5CB5">
              <w:t xml:space="preserve">Name: </w:t>
            </w:r>
          </w:p>
          <w:p w14:paraId="6632975C" w14:textId="77777777" w:rsidR="00125E6D" w:rsidRPr="00AA5CB5" w:rsidRDefault="00125E6D" w:rsidP="00125E6D">
            <w:pPr>
              <w:pStyle w:val="Tablebodytext"/>
            </w:pPr>
            <w:r w:rsidRPr="00AA5CB5">
              <w:t>Email Address:</w:t>
            </w:r>
          </w:p>
          <w:p w14:paraId="3F1250C2" w14:textId="3DE59CD5" w:rsidR="00CE22C3" w:rsidRPr="00AA5CB5" w:rsidRDefault="00125E6D" w:rsidP="00125E6D">
            <w:pPr>
              <w:pStyle w:val="Tablebodytext"/>
            </w:pPr>
            <w:r w:rsidRPr="00AA5CB5">
              <w:t>Phone Number:</w:t>
            </w:r>
          </w:p>
        </w:tc>
      </w:tr>
      <w:tr w:rsidR="00CE22C3" w:rsidRPr="00AA5CB5" w14:paraId="200A4F02" w14:textId="77777777">
        <w:tc>
          <w:tcPr>
            <w:tcW w:w="1039"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CEEEED" w:themeFill="accent6" w:themeFillTint="66"/>
          </w:tcPr>
          <w:p w14:paraId="6CAA02A6" w14:textId="77777777" w:rsidR="00CE22C3" w:rsidRPr="00AA5CB5" w:rsidRDefault="00CE22C3" w:rsidP="00CE22C3">
            <w:pPr>
              <w:pStyle w:val="Tablebodytext"/>
            </w:pPr>
            <w:r w:rsidRPr="00AA5CB5">
              <w:t xml:space="preserve">Other </w:t>
            </w:r>
          </w:p>
        </w:tc>
        <w:tc>
          <w:tcPr>
            <w:tcW w:w="3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F7704B" w14:textId="77777777" w:rsidR="00125E6D" w:rsidRDefault="00125E6D" w:rsidP="00125E6D">
            <w:pPr>
              <w:pStyle w:val="Tablebodytext"/>
            </w:pPr>
            <w:r w:rsidRPr="00AA5CB5">
              <w:t xml:space="preserve">Name: </w:t>
            </w:r>
          </w:p>
          <w:p w14:paraId="519B9914" w14:textId="77777777" w:rsidR="00125E6D" w:rsidRPr="00AA5CB5" w:rsidRDefault="00125E6D" w:rsidP="00125E6D">
            <w:pPr>
              <w:pStyle w:val="Tablebodytext"/>
            </w:pPr>
            <w:r w:rsidRPr="00AA5CB5">
              <w:t>Email Address:</w:t>
            </w:r>
          </w:p>
          <w:p w14:paraId="5D6FAB45" w14:textId="594C7812" w:rsidR="00CE22C3" w:rsidRPr="00AA5CB5" w:rsidRDefault="00125E6D" w:rsidP="00125E6D">
            <w:pPr>
              <w:pStyle w:val="Tablebodytext"/>
            </w:pPr>
            <w:r w:rsidRPr="00AA5CB5">
              <w:t>Phone Number:</w:t>
            </w:r>
          </w:p>
        </w:tc>
      </w:tr>
    </w:tbl>
    <w:p w14:paraId="40B5386F" w14:textId="0CEB9EF0" w:rsidR="00CE22C3" w:rsidRPr="00AA5CB5" w:rsidRDefault="006F7547" w:rsidP="00361E8A">
      <w:pPr>
        <w:pStyle w:val="BodyText1"/>
        <w:rPr>
          <w:b/>
          <w:bCs/>
        </w:rPr>
      </w:pPr>
      <w:r w:rsidRPr="00AA5CB5">
        <w:rPr>
          <w:b/>
          <w:bCs/>
        </w:rPr>
        <w:t xml:space="preserve">Building </w:t>
      </w:r>
      <w:r w:rsidR="006A48BE">
        <w:rPr>
          <w:b/>
          <w:bCs/>
        </w:rPr>
        <w:t>q</w:t>
      </w:r>
      <w:r w:rsidR="007423AF" w:rsidRPr="00AA5CB5">
        <w:rPr>
          <w:b/>
          <w:bCs/>
        </w:rPr>
        <w:t>uestions</w:t>
      </w:r>
    </w:p>
    <w:tbl>
      <w:tblPr>
        <w:tblW w:w="5067" w:type="pct"/>
        <w:tblLook w:val="06A0" w:firstRow="1" w:lastRow="0" w:firstColumn="1" w:lastColumn="0" w:noHBand="1" w:noVBand="1"/>
      </w:tblPr>
      <w:tblGrid>
        <w:gridCol w:w="5949"/>
        <w:gridCol w:w="3579"/>
      </w:tblGrid>
      <w:tr w:rsidR="00A023A4" w:rsidRPr="00AA5CB5" w14:paraId="761ED634" w14:textId="77777777" w:rsidTr="00A023A4">
        <w:tc>
          <w:tcPr>
            <w:tcW w:w="31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tcPr>
          <w:p w14:paraId="44839FE0" w14:textId="3BBFD22F" w:rsidR="00A023A4" w:rsidRPr="00AA5CB5" w:rsidRDefault="00A023A4" w:rsidP="00A023A4">
            <w:pPr>
              <w:pStyle w:val="Tableheading"/>
            </w:pPr>
            <w:r w:rsidRPr="00AA5CB5">
              <w:t xml:space="preserve">Questions </w:t>
            </w:r>
          </w:p>
        </w:tc>
        <w:tc>
          <w:tcPr>
            <w:tcW w:w="1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tcPr>
          <w:p w14:paraId="089924A0" w14:textId="0299B8ED" w:rsidR="00A023A4" w:rsidRPr="00AA5CB5" w:rsidRDefault="00A023A4" w:rsidP="00A023A4">
            <w:pPr>
              <w:pStyle w:val="Tableheading"/>
            </w:pPr>
            <w:r w:rsidRPr="00AA5CB5">
              <w:t>Answers</w:t>
            </w:r>
          </w:p>
        </w:tc>
      </w:tr>
      <w:tr w:rsidR="006E31A0" w:rsidRPr="00AA5CB5" w14:paraId="0429F7E5" w14:textId="77777777" w:rsidTr="007423AF">
        <w:tc>
          <w:tcPr>
            <w:tcW w:w="31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2C0B8E5F" w14:textId="6F66C352" w:rsidR="006E31A0" w:rsidRPr="00AA5CB5" w:rsidRDefault="00822BF8" w:rsidP="008121D9">
            <w:pPr>
              <w:pStyle w:val="Tablebodytext"/>
            </w:pPr>
            <w:r w:rsidRPr="00AA5CB5">
              <w:t xml:space="preserve">Does the reporting agency own this property/building? </w:t>
            </w:r>
          </w:p>
        </w:tc>
        <w:tc>
          <w:tcPr>
            <w:tcW w:w="1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6191FA" w14:textId="6D2AA47B" w:rsidR="006E31A0" w:rsidRPr="00AA5CB5" w:rsidRDefault="007423AF" w:rsidP="0007457F">
            <w:pPr>
              <w:pStyle w:val="Tablebodytext"/>
            </w:pPr>
            <w:r w:rsidRPr="00AA5CB5">
              <w:t>Yes/No</w:t>
            </w:r>
          </w:p>
        </w:tc>
      </w:tr>
      <w:tr w:rsidR="00822BF8" w:rsidRPr="00AA5CB5" w14:paraId="480D9FE2" w14:textId="77777777" w:rsidTr="007423AF">
        <w:tc>
          <w:tcPr>
            <w:tcW w:w="31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026621B5" w14:textId="1E3B26B2" w:rsidR="00822BF8" w:rsidRPr="00AA5CB5" w:rsidRDefault="00822BF8" w:rsidP="00822BF8">
            <w:pPr>
              <w:pStyle w:val="Tablebodytext"/>
            </w:pPr>
            <w:r w:rsidRPr="00AA5CB5">
              <w:rPr>
                <w:lang w:eastAsia="en-AU"/>
              </w:rPr>
              <w:t xml:space="preserve">Is this property or part of this property leased? </w:t>
            </w:r>
          </w:p>
        </w:tc>
        <w:tc>
          <w:tcPr>
            <w:tcW w:w="1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27C718" w14:textId="7290AB4F" w:rsidR="00822BF8" w:rsidRPr="00AA5CB5" w:rsidRDefault="007423AF" w:rsidP="0007457F">
            <w:pPr>
              <w:pStyle w:val="Tablebodytext"/>
            </w:pPr>
            <w:r w:rsidRPr="00AA5CB5">
              <w:t>Yes/No</w:t>
            </w:r>
          </w:p>
        </w:tc>
      </w:tr>
      <w:tr w:rsidR="00822BF8" w:rsidRPr="00AA5CB5" w14:paraId="6B876AE0" w14:textId="77777777" w:rsidTr="007423AF">
        <w:tc>
          <w:tcPr>
            <w:tcW w:w="31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54789E3B" w14:textId="2BB2A0C2" w:rsidR="00822BF8" w:rsidRPr="00AA5CB5" w:rsidRDefault="00822BF8" w:rsidP="00822BF8">
            <w:pPr>
              <w:pStyle w:val="Tablebodytext"/>
            </w:pPr>
            <w:r w:rsidRPr="00AA5CB5">
              <w:t>Is the reporting agency a tenant (lessee) or lessor?</w:t>
            </w:r>
          </w:p>
        </w:tc>
        <w:tc>
          <w:tcPr>
            <w:tcW w:w="1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5B16D3" w14:textId="454D23AA" w:rsidR="00822BF8" w:rsidRPr="00AA5CB5" w:rsidRDefault="00EE5A94" w:rsidP="0007457F">
            <w:pPr>
              <w:pStyle w:val="Tablebodytext"/>
            </w:pPr>
            <w:r w:rsidRPr="00AA5CB5">
              <w:t>Tenant</w:t>
            </w:r>
            <w:r w:rsidR="007423AF" w:rsidRPr="00AA5CB5">
              <w:t>/Lessor</w:t>
            </w:r>
          </w:p>
        </w:tc>
      </w:tr>
      <w:tr w:rsidR="00D24942" w:rsidRPr="00AA5CB5" w14:paraId="7AF23B30" w14:textId="77777777" w:rsidTr="005A5A19">
        <w:trPr>
          <w:trHeight w:val="179"/>
        </w:trPr>
        <w:tc>
          <w:tcPr>
            <w:tcW w:w="3122"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CEEEED" w:themeFill="accent6" w:themeFillTint="66"/>
          </w:tcPr>
          <w:p w14:paraId="52017FAD" w14:textId="22DFF210" w:rsidR="00D24942" w:rsidRPr="00AA5CB5" w:rsidRDefault="00D24942" w:rsidP="007423AF">
            <w:pPr>
              <w:pStyle w:val="Tablebodytext"/>
            </w:pPr>
            <w:r w:rsidRPr="00AA5CB5">
              <w:rPr>
                <w:lang w:eastAsia="en-AU"/>
              </w:rPr>
              <w:t xml:space="preserve">If </w:t>
            </w:r>
            <w:r w:rsidRPr="00AA5CB5">
              <w:t>the reporting agency</w:t>
            </w:r>
            <w:r w:rsidRPr="00AA5CB5">
              <w:rPr>
                <w:lang w:eastAsia="en-AU"/>
              </w:rPr>
              <w:t xml:space="preserve"> is lessor, is the tenant/lessee a Commonwealth entity</w:t>
            </w:r>
            <w:r w:rsidR="007423AF" w:rsidRPr="00AA5CB5">
              <w:rPr>
                <w:lang w:eastAsia="en-AU"/>
              </w:rPr>
              <w:t xml:space="preserve"> or Commonwealth company, or an external entity</w:t>
            </w:r>
            <w:r w:rsidRPr="00AA5CB5">
              <w:rPr>
                <w:lang w:eastAsia="en-AU"/>
              </w:rPr>
              <w:t xml:space="preserve">? </w:t>
            </w:r>
          </w:p>
        </w:tc>
        <w:tc>
          <w:tcPr>
            <w:tcW w:w="1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8BF993" w14:textId="1DE3B098" w:rsidR="00BD40A2" w:rsidRPr="00AA5CB5" w:rsidRDefault="00EE5A94" w:rsidP="0007457F">
            <w:pPr>
              <w:pStyle w:val="Tablebodytext"/>
            </w:pPr>
            <w:r w:rsidRPr="00AA5CB5">
              <w:t xml:space="preserve">Names of </w:t>
            </w:r>
            <w:r w:rsidR="00BD40A2" w:rsidRPr="00AA5CB5">
              <w:t xml:space="preserve">tenants/lessees </w:t>
            </w:r>
          </w:p>
        </w:tc>
      </w:tr>
      <w:tr w:rsidR="0051592A" w:rsidRPr="00AA5CB5" w14:paraId="5C3BE997" w14:textId="77777777" w:rsidTr="005A5A19">
        <w:trPr>
          <w:trHeight w:val="242"/>
        </w:trPr>
        <w:tc>
          <w:tcPr>
            <w:tcW w:w="3122" w:type="pct"/>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66050984" w14:textId="77777777" w:rsidR="0051592A" w:rsidRPr="00AA5CB5" w:rsidRDefault="0051592A" w:rsidP="007423AF">
            <w:pPr>
              <w:pStyle w:val="Tablebodytext"/>
              <w:rPr>
                <w:lang w:eastAsia="en-AU"/>
              </w:rPr>
            </w:pPr>
          </w:p>
        </w:tc>
        <w:tc>
          <w:tcPr>
            <w:tcW w:w="1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4B0CEE" w14:textId="11473415" w:rsidR="0051592A" w:rsidRPr="00AA5CB5" w:rsidRDefault="0051592A" w:rsidP="0007457F">
            <w:pPr>
              <w:pStyle w:val="Tablebodytext"/>
            </w:pPr>
            <w:r w:rsidRPr="00AA5CB5">
              <w:t>Type of entity (Commonwealth/ external entity)</w:t>
            </w:r>
          </w:p>
        </w:tc>
      </w:tr>
      <w:tr w:rsidR="00CE22C3" w:rsidRPr="00AA5CB5" w14:paraId="153BFDA6" w14:textId="77777777" w:rsidTr="007423AF">
        <w:tc>
          <w:tcPr>
            <w:tcW w:w="31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4E1429F3" w14:textId="072571C0" w:rsidR="00CE22C3" w:rsidRPr="00AA5CB5" w:rsidRDefault="007423AF" w:rsidP="00CE22C3">
            <w:pPr>
              <w:pStyle w:val="Tablebodytext"/>
              <w:rPr>
                <w:lang w:eastAsia="en-AU"/>
              </w:rPr>
            </w:pPr>
            <w:r w:rsidRPr="00AA5CB5">
              <w:rPr>
                <w:lang w:eastAsia="en-AU"/>
              </w:rPr>
              <w:t xml:space="preserve">If this facility has tenants, what is the proportion (%) of Gross </w:t>
            </w:r>
            <w:r w:rsidR="00D1783A" w:rsidRPr="00AA5CB5">
              <w:rPr>
                <w:lang w:eastAsia="en-AU"/>
              </w:rPr>
              <w:t xml:space="preserve">Floor Area </w:t>
            </w:r>
            <w:r w:rsidRPr="00AA5CB5">
              <w:rPr>
                <w:lang w:eastAsia="en-AU"/>
              </w:rPr>
              <w:t xml:space="preserve">(GFA) occupied by </w:t>
            </w:r>
            <w:r w:rsidRPr="00AA5CB5">
              <w:t xml:space="preserve">the reporting agency </w:t>
            </w:r>
            <w:r w:rsidRPr="00AA5CB5">
              <w:rPr>
                <w:lang w:eastAsia="en-AU"/>
              </w:rPr>
              <w:t xml:space="preserve">at this property? </w:t>
            </w:r>
          </w:p>
        </w:tc>
        <w:tc>
          <w:tcPr>
            <w:tcW w:w="1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9A36FA" w14:textId="29393976" w:rsidR="00CE22C3" w:rsidRPr="00AA5CB5" w:rsidRDefault="00336620" w:rsidP="0007457F">
            <w:pPr>
              <w:pStyle w:val="Tablebodytext"/>
            </w:pPr>
            <w:r w:rsidRPr="00AA5CB5">
              <w:t>%</w:t>
            </w:r>
          </w:p>
        </w:tc>
      </w:tr>
      <w:tr w:rsidR="006E4BE0" w:rsidRPr="00AA5CB5" w14:paraId="68496A66" w14:textId="77777777" w:rsidTr="007423AF">
        <w:tc>
          <w:tcPr>
            <w:tcW w:w="31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675563B3" w14:textId="7BCA8325" w:rsidR="006E4BE0" w:rsidRPr="00AA5CB5" w:rsidRDefault="006E4BE0" w:rsidP="00D1783A">
            <w:pPr>
              <w:pStyle w:val="Tablebodytext"/>
              <w:rPr>
                <w:lang w:eastAsia="en-AU"/>
              </w:rPr>
            </w:pPr>
            <w:r w:rsidRPr="00AA5CB5">
              <w:rPr>
                <w:lang w:eastAsia="en-AU"/>
              </w:rPr>
              <w:t xml:space="preserve">In case of multiple agencies having control over operating, health and safety or environmental policies, </w:t>
            </w:r>
            <w:r w:rsidR="00D1783A" w:rsidRPr="00AA5CB5">
              <w:rPr>
                <w:lang w:eastAsia="en-AU"/>
              </w:rPr>
              <w:t>d</w:t>
            </w:r>
            <w:r w:rsidRPr="00AA5CB5">
              <w:rPr>
                <w:lang w:eastAsia="en-AU"/>
              </w:rPr>
              <w:t>oes the reporting agency have greater authority in decision making and implementation of any of these policies?</w:t>
            </w:r>
          </w:p>
        </w:tc>
        <w:tc>
          <w:tcPr>
            <w:tcW w:w="187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DEB819" w14:textId="1AA43734" w:rsidR="006E4BE0" w:rsidRPr="00AA5CB5" w:rsidRDefault="00336620" w:rsidP="0007457F">
            <w:pPr>
              <w:pStyle w:val="Tablebodytext"/>
            </w:pPr>
            <w:r w:rsidRPr="00AA5CB5">
              <w:t>Yes/No</w:t>
            </w:r>
          </w:p>
        </w:tc>
      </w:tr>
    </w:tbl>
    <w:p w14:paraId="5B5D4AD3" w14:textId="443FAB96" w:rsidR="00E333F8" w:rsidRPr="00AA5CB5" w:rsidRDefault="004D4CE2" w:rsidP="00D1783A">
      <w:pPr>
        <w:pStyle w:val="BodyText1"/>
        <w:rPr>
          <w:b/>
          <w:bCs/>
        </w:rPr>
      </w:pPr>
      <w:r w:rsidRPr="00AA5CB5">
        <w:rPr>
          <w:b/>
          <w:bCs/>
        </w:rPr>
        <w:t>P</w:t>
      </w:r>
      <w:r w:rsidR="00D1783A" w:rsidRPr="00AA5CB5">
        <w:rPr>
          <w:b/>
          <w:bCs/>
        </w:rPr>
        <w:t>olic</w:t>
      </w:r>
      <w:r w:rsidRPr="00AA5CB5">
        <w:rPr>
          <w:b/>
          <w:bCs/>
        </w:rPr>
        <w:t>y control questions</w:t>
      </w:r>
      <w:r w:rsidR="00D1783A" w:rsidRPr="00AA5CB5">
        <w:rPr>
          <w:b/>
          <w:bCs/>
        </w:rPr>
        <w:t xml:space="preserve"> </w:t>
      </w:r>
    </w:p>
    <w:tbl>
      <w:tblPr>
        <w:tblStyle w:val="TableGridLight"/>
        <w:tblW w:w="0" w:type="auto"/>
        <w:tblInd w:w="0" w:type="dxa"/>
        <w:tblLook w:val="04A0" w:firstRow="1" w:lastRow="0" w:firstColumn="1" w:lastColumn="0" w:noHBand="0" w:noVBand="1"/>
      </w:tblPr>
      <w:tblGrid>
        <w:gridCol w:w="3397"/>
        <w:gridCol w:w="1201"/>
        <w:gridCol w:w="1201"/>
        <w:gridCol w:w="1201"/>
        <w:gridCol w:w="1201"/>
        <w:gridCol w:w="1201"/>
      </w:tblGrid>
      <w:tr w:rsidR="002D0C7B" w:rsidRPr="00AA5CB5" w14:paraId="50ED2307" w14:textId="77777777" w:rsidTr="00D438E1">
        <w:trPr>
          <w:tblHeader/>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hideMark/>
          </w:tcPr>
          <w:p w14:paraId="1F17BAFB" w14:textId="77777777" w:rsidR="002D0C7B" w:rsidRPr="00AA5CB5" w:rsidRDefault="002D0C7B" w:rsidP="00D438E1">
            <w:pPr>
              <w:pStyle w:val="Tableheading"/>
              <w:rPr>
                <w:lang w:val="en-AU"/>
              </w:rPr>
            </w:pPr>
            <w:r w:rsidRPr="00AA5CB5">
              <w:rPr>
                <w:rFonts w:eastAsiaTheme="majorEastAsia"/>
                <w:lang w:val="en-AU"/>
              </w:rPr>
              <w:t>Questions</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hideMark/>
          </w:tcPr>
          <w:p w14:paraId="6C6CEA60" w14:textId="7F263795" w:rsidR="002D0C7B" w:rsidRPr="00AA5CB5" w:rsidRDefault="002D0C7B" w:rsidP="00D438E1">
            <w:pPr>
              <w:pStyle w:val="Tableheading"/>
              <w:rPr>
                <w:rFonts w:eastAsiaTheme="majorEastAsia"/>
                <w:lang w:val="en-AU"/>
              </w:rPr>
            </w:pPr>
            <w:r w:rsidRPr="00AA5CB5">
              <w:rPr>
                <w:rFonts w:eastAsiaTheme="majorEastAsia"/>
                <w:lang w:val="en-AU"/>
              </w:rPr>
              <w:t>Reporting agency</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hideMark/>
          </w:tcPr>
          <w:p w14:paraId="296851BF" w14:textId="77777777" w:rsidR="002D0C7B" w:rsidRPr="00AA5CB5" w:rsidRDefault="002D0C7B" w:rsidP="00D438E1">
            <w:pPr>
              <w:pStyle w:val="Tableheading"/>
              <w:rPr>
                <w:rFonts w:eastAsiaTheme="majorEastAsia"/>
                <w:lang w:val="en-AU"/>
              </w:rPr>
            </w:pPr>
            <w:r w:rsidRPr="00AA5CB5">
              <w:rPr>
                <w:rFonts w:eastAsiaTheme="majorEastAsia"/>
                <w:lang w:val="en-AU"/>
              </w:rPr>
              <w:t>Landlord</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hideMark/>
          </w:tcPr>
          <w:p w14:paraId="2214E361" w14:textId="77777777" w:rsidR="002D0C7B" w:rsidRPr="00AA5CB5" w:rsidRDefault="002D0C7B" w:rsidP="00D438E1">
            <w:pPr>
              <w:pStyle w:val="Tableheading"/>
              <w:rPr>
                <w:rFonts w:eastAsiaTheme="majorEastAsia"/>
                <w:lang w:val="en-AU"/>
              </w:rPr>
            </w:pPr>
            <w:r w:rsidRPr="00AA5CB5">
              <w:rPr>
                <w:rFonts w:eastAsiaTheme="majorEastAsia"/>
                <w:lang w:val="en-AU"/>
              </w:rPr>
              <w:t>Other</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hideMark/>
          </w:tcPr>
          <w:p w14:paraId="1663D5A9" w14:textId="32B1E47A" w:rsidR="002D0C7B" w:rsidRPr="00AA5CB5" w:rsidRDefault="00CC46F0" w:rsidP="00D438E1">
            <w:pPr>
              <w:pStyle w:val="Tableheading"/>
              <w:rPr>
                <w:rFonts w:eastAsiaTheme="majorEastAsia"/>
                <w:lang w:val="en-AU"/>
              </w:rPr>
            </w:pPr>
            <w:r>
              <w:rPr>
                <w:rFonts w:eastAsiaTheme="majorEastAsia"/>
                <w:lang w:val="en-AU"/>
              </w:rPr>
              <w:t>N/A</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hideMark/>
          </w:tcPr>
          <w:p w14:paraId="0F086A92" w14:textId="77777777" w:rsidR="002D0C7B" w:rsidRPr="00AA5CB5" w:rsidRDefault="002D0C7B" w:rsidP="00D438E1">
            <w:pPr>
              <w:pStyle w:val="Tableheading"/>
              <w:rPr>
                <w:rFonts w:eastAsiaTheme="majorEastAsia"/>
                <w:lang w:val="en-AU"/>
              </w:rPr>
            </w:pPr>
            <w:r w:rsidRPr="00AA5CB5">
              <w:rPr>
                <w:rFonts w:eastAsiaTheme="majorEastAsia"/>
                <w:lang w:val="en-AU"/>
              </w:rPr>
              <w:t>Notes</w:t>
            </w:r>
          </w:p>
        </w:tc>
      </w:tr>
      <w:tr w:rsidR="002D0C7B" w:rsidRPr="00AA5CB5" w14:paraId="048F9065"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hideMark/>
          </w:tcPr>
          <w:p w14:paraId="3465A207" w14:textId="77777777" w:rsidR="002D0C7B" w:rsidRPr="00AA5CB5" w:rsidRDefault="002D0C7B" w:rsidP="008121D9">
            <w:pPr>
              <w:pStyle w:val="Tablebodytext"/>
              <w:rPr>
                <w:rFonts w:eastAsiaTheme="majorEastAsia"/>
                <w:lang w:val="en-AU"/>
              </w:rPr>
            </w:pPr>
            <w:r w:rsidRPr="00AA5CB5">
              <w:rPr>
                <w:rFonts w:eastAsiaTheme="majorEastAsia"/>
                <w:lang w:val="en-AU"/>
              </w:rPr>
              <w:t>Work, Health &amp; Safety:</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3A05C242"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09FA1E0B"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5B5F4B16"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71D06295"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6262D4EE" w14:textId="77777777" w:rsidR="002D0C7B" w:rsidRPr="00AA5CB5" w:rsidRDefault="002D0C7B" w:rsidP="008121D9">
            <w:pPr>
              <w:pStyle w:val="Tablebodytext"/>
              <w:rPr>
                <w:rFonts w:eastAsiaTheme="majorEastAsia"/>
                <w:lang w:val="en-AU"/>
              </w:rPr>
            </w:pPr>
          </w:p>
        </w:tc>
      </w:tr>
      <w:tr w:rsidR="002D0C7B" w:rsidRPr="00AA5CB5" w14:paraId="2AE3126B"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A335AE" w14:textId="77777777" w:rsidR="002D0C7B" w:rsidRPr="00AA5CB5" w:rsidRDefault="002D0C7B" w:rsidP="008121D9">
            <w:pPr>
              <w:pStyle w:val="Tablebodytext"/>
              <w:rPr>
                <w:rFonts w:eastAsiaTheme="majorEastAsia"/>
                <w:lang w:val="en-AU"/>
              </w:rPr>
            </w:pPr>
            <w:r w:rsidRPr="00AA5CB5">
              <w:rPr>
                <w:lang w:val="en-AU"/>
              </w:rPr>
              <w:t xml:space="preserve">Who is responsible for the site’s overall workplace safety standards </w:t>
            </w:r>
            <w:r w:rsidRPr="00AA5CB5">
              <w:rPr>
                <w:lang w:val="en-AU"/>
              </w:rPr>
              <w:lastRenderedPageBreak/>
              <w:t>and ensuring compliance for common areas?</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4F1686"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1FE300"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546C6A"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CFEA30"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57F872" w14:textId="77777777" w:rsidR="002D0C7B" w:rsidRPr="00AA5CB5" w:rsidRDefault="002D0C7B" w:rsidP="008121D9">
            <w:pPr>
              <w:pStyle w:val="Tablebodytext"/>
              <w:rPr>
                <w:rFonts w:eastAsiaTheme="majorEastAsia"/>
                <w:lang w:val="en-AU"/>
              </w:rPr>
            </w:pPr>
          </w:p>
        </w:tc>
      </w:tr>
      <w:tr w:rsidR="002D0C7B" w:rsidRPr="00AA5CB5" w14:paraId="1902143F"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466704" w14:textId="77777777" w:rsidR="002D0C7B" w:rsidRPr="00AA5CB5" w:rsidRDefault="002D0C7B" w:rsidP="008121D9">
            <w:pPr>
              <w:pStyle w:val="Tablebodytext"/>
              <w:rPr>
                <w:rFonts w:eastAsiaTheme="majorEastAsia"/>
                <w:lang w:val="en-AU"/>
              </w:rPr>
            </w:pPr>
            <w:r w:rsidRPr="00AA5CB5">
              <w:rPr>
                <w:lang w:val="en-AU"/>
              </w:rPr>
              <w:t>Who is responsible for conducting regular safety audits or risk assessments for the site?  </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EADD9D"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44D614"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D5BBD1"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93392F"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05AE71" w14:textId="77777777" w:rsidR="002D0C7B" w:rsidRPr="00AA5CB5" w:rsidRDefault="002D0C7B" w:rsidP="008121D9">
            <w:pPr>
              <w:pStyle w:val="Tablebodytext"/>
              <w:rPr>
                <w:rFonts w:eastAsiaTheme="majorEastAsia"/>
                <w:lang w:val="en-AU"/>
              </w:rPr>
            </w:pPr>
          </w:p>
        </w:tc>
      </w:tr>
      <w:tr w:rsidR="002D0C7B" w:rsidRPr="00AA5CB5" w14:paraId="1877A3EF"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CF7DA3" w14:textId="77777777" w:rsidR="002D0C7B" w:rsidRPr="00AA5CB5" w:rsidRDefault="002D0C7B" w:rsidP="008121D9">
            <w:pPr>
              <w:pStyle w:val="Tablebodytext"/>
              <w:rPr>
                <w:rFonts w:eastAsiaTheme="majorEastAsia"/>
                <w:lang w:val="en-AU"/>
              </w:rPr>
            </w:pPr>
            <w:r w:rsidRPr="00AA5CB5">
              <w:rPr>
                <w:lang w:val="en-AU"/>
              </w:rPr>
              <w:t>Who is responsible for conducting emergency drills for the site?</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13E4BA"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3A9FFE"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18A6BE"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C1AE34"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44B8EF" w14:textId="77777777" w:rsidR="002D0C7B" w:rsidRPr="00AA5CB5" w:rsidRDefault="002D0C7B" w:rsidP="008121D9">
            <w:pPr>
              <w:pStyle w:val="Tablebodytext"/>
              <w:rPr>
                <w:rFonts w:eastAsiaTheme="majorEastAsia"/>
                <w:lang w:val="en-AU"/>
              </w:rPr>
            </w:pPr>
          </w:p>
        </w:tc>
      </w:tr>
      <w:tr w:rsidR="002D0C7B" w:rsidRPr="00AA5CB5" w14:paraId="7B404535"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D8CC02" w14:textId="357AC90C" w:rsidR="002D0C7B" w:rsidRPr="00AA5CB5" w:rsidRDefault="002D0C7B" w:rsidP="008121D9">
            <w:pPr>
              <w:pStyle w:val="Tablebodytext"/>
              <w:rPr>
                <w:rFonts w:eastAsiaTheme="majorEastAsia"/>
                <w:lang w:val="en-AU"/>
              </w:rPr>
            </w:pPr>
            <w:r w:rsidRPr="00AA5CB5">
              <w:rPr>
                <w:lang w:val="en-AU"/>
              </w:rPr>
              <w:t>Who made decisions about whether the site stayed open during C</w:t>
            </w:r>
            <w:r w:rsidR="0027182A" w:rsidRPr="00AA5CB5">
              <w:rPr>
                <w:lang w:val="en-AU"/>
              </w:rPr>
              <w:t>OVID-19</w:t>
            </w:r>
            <w:r w:rsidRPr="00AA5CB5">
              <w:rPr>
                <w:lang w:val="en-AU"/>
              </w:rPr>
              <w:t xml:space="preserve">? Or other site safety protocols during </w:t>
            </w:r>
            <w:r w:rsidR="00F33179" w:rsidRPr="00AA5CB5">
              <w:rPr>
                <w:lang w:val="en-AU"/>
              </w:rPr>
              <w:t>COVID-19</w:t>
            </w:r>
            <w:r w:rsidRPr="00AA5CB5">
              <w:rPr>
                <w:lang w:val="en-AU"/>
              </w:rPr>
              <w:t>?</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174DCE"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10B2F4"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ADE952"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DCCED9"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F82F6C" w14:textId="77777777" w:rsidR="002D0C7B" w:rsidRPr="00AA5CB5" w:rsidRDefault="002D0C7B" w:rsidP="008121D9">
            <w:pPr>
              <w:pStyle w:val="Tablebodytext"/>
              <w:rPr>
                <w:rFonts w:eastAsiaTheme="majorEastAsia"/>
                <w:lang w:val="en-AU"/>
              </w:rPr>
            </w:pPr>
          </w:p>
        </w:tc>
      </w:tr>
      <w:tr w:rsidR="002D0C7B" w:rsidRPr="00AA5CB5" w14:paraId="778E1CCD"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hideMark/>
          </w:tcPr>
          <w:p w14:paraId="6BABEF92" w14:textId="77777777" w:rsidR="002D0C7B" w:rsidRPr="00AA5CB5" w:rsidRDefault="002D0C7B" w:rsidP="008121D9">
            <w:pPr>
              <w:pStyle w:val="Tablebodytext"/>
              <w:rPr>
                <w:rFonts w:eastAsiaTheme="majorEastAsia"/>
                <w:lang w:val="en-AU"/>
              </w:rPr>
            </w:pPr>
            <w:r w:rsidRPr="00AA5CB5">
              <w:rPr>
                <w:rFonts w:eastAsiaTheme="majorEastAsia"/>
                <w:lang w:val="en-AU"/>
              </w:rPr>
              <w:t>Operations:</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3E12B4D7"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6EB07F3C"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040E068E"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291E1C7A"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03373237" w14:textId="77777777" w:rsidR="002D0C7B" w:rsidRPr="00AA5CB5" w:rsidRDefault="002D0C7B" w:rsidP="008121D9">
            <w:pPr>
              <w:pStyle w:val="Tablebodytext"/>
              <w:rPr>
                <w:rFonts w:eastAsiaTheme="majorEastAsia"/>
                <w:lang w:val="en-AU"/>
              </w:rPr>
            </w:pPr>
          </w:p>
        </w:tc>
      </w:tr>
      <w:tr w:rsidR="002D0C7B" w:rsidRPr="00AA5CB5" w14:paraId="5CB430CD"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F3E6DA" w14:textId="2CB53D3E" w:rsidR="002D0C7B" w:rsidRPr="00AA5CB5" w:rsidRDefault="002D0C7B" w:rsidP="008121D9">
            <w:pPr>
              <w:pStyle w:val="Tablebodytext"/>
              <w:rPr>
                <w:rFonts w:eastAsiaTheme="majorEastAsia"/>
                <w:lang w:val="en-AU"/>
              </w:rPr>
            </w:pPr>
            <w:r w:rsidRPr="00AA5CB5">
              <w:rPr>
                <w:lang w:val="en-AU"/>
              </w:rPr>
              <w:t>Who controls physical access to the site and decides on the implementation of site security measures (e.g. entry systems, visitor logs or access restrictions)?  </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C05D9"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A928B5"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8B572F"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9C7F17"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C4671A" w14:textId="77777777" w:rsidR="002D0C7B" w:rsidRPr="00AA5CB5" w:rsidRDefault="002D0C7B" w:rsidP="008121D9">
            <w:pPr>
              <w:pStyle w:val="Tablebodytext"/>
              <w:rPr>
                <w:rFonts w:eastAsiaTheme="majorEastAsia"/>
                <w:lang w:val="en-AU"/>
              </w:rPr>
            </w:pPr>
          </w:p>
        </w:tc>
      </w:tr>
      <w:tr w:rsidR="002D0C7B" w:rsidRPr="00AA5CB5" w14:paraId="5BC17129"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C11918" w14:textId="77777777" w:rsidR="002D0C7B" w:rsidRPr="00AA5CB5" w:rsidRDefault="002D0C7B" w:rsidP="008121D9">
            <w:pPr>
              <w:pStyle w:val="Tablebodytext"/>
              <w:rPr>
                <w:rFonts w:eastAsiaTheme="majorEastAsia"/>
                <w:lang w:val="en-AU"/>
              </w:rPr>
            </w:pPr>
            <w:r w:rsidRPr="00AA5CB5">
              <w:rPr>
                <w:lang w:val="en-AU"/>
              </w:rPr>
              <w:t>Is there a central management office? If so, who engaged them?</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EC616C"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622C73"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5004CD"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D5222F"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8D4CA1" w14:textId="77777777" w:rsidR="002D0C7B" w:rsidRPr="00AA5CB5" w:rsidRDefault="002D0C7B" w:rsidP="008121D9">
            <w:pPr>
              <w:pStyle w:val="Tablebodytext"/>
              <w:rPr>
                <w:rFonts w:eastAsiaTheme="majorEastAsia"/>
                <w:lang w:val="en-AU"/>
              </w:rPr>
            </w:pPr>
          </w:p>
        </w:tc>
      </w:tr>
      <w:tr w:rsidR="002D0C7B" w:rsidRPr="00AA5CB5" w14:paraId="4DD66470"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1F2656" w14:textId="77777777" w:rsidR="002D0C7B" w:rsidRPr="00AA5CB5" w:rsidRDefault="002D0C7B" w:rsidP="008121D9">
            <w:pPr>
              <w:pStyle w:val="Tablebodytext"/>
              <w:rPr>
                <w:rFonts w:eastAsiaTheme="majorEastAsia"/>
                <w:lang w:val="en-AU"/>
              </w:rPr>
            </w:pPr>
            <w:r w:rsidRPr="00AA5CB5">
              <w:rPr>
                <w:lang w:val="en-AU"/>
              </w:rPr>
              <w:t>Who chooses suppliers and contractors for the site e.g. cleaners, security guards?</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0E6F0E"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C766AB"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BA8E40"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F02F2D"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4EA9D6" w14:textId="77777777" w:rsidR="002D0C7B" w:rsidRPr="00AA5CB5" w:rsidRDefault="002D0C7B" w:rsidP="008121D9">
            <w:pPr>
              <w:pStyle w:val="Tablebodytext"/>
              <w:rPr>
                <w:rFonts w:eastAsiaTheme="majorEastAsia"/>
                <w:lang w:val="en-AU"/>
              </w:rPr>
            </w:pPr>
          </w:p>
        </w:tc>
      </w:tr>
      <w:tr w:rsidR="002D0C7B" w:rsidRPr="00AA5CB5" w14:paraId="3A1CC540"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D7F388" w14:textId="77777777" w:rsidR="002D0C7B" w:rsidRPr="00AA5CB5" w:rsidRDefault="002D0C7B" w:rsidP="008121D9">
            <w:pPr>
              <w:pStyle w:val="Tablebodytext"/>
              <w:rPr>
                <w:rFonts w:eastAsiaTheme="majorEastAsia"/>
                <w:lang w:val="en-AU"/>
              </w:rPr>
            </w:pPr>
            <w:r w:rsidRPr="00AA5CB5">
              <w:rPr>
                <w:lang w:val="en-AU"/>
              </w:rPr>
              <w:t>Who is responsible for maintaining or upgrading site infrastructure e.g. HVAC systems, lighting?</w:t>
            </w:r>
            <w:r w:rsidRPr="00AA5CB5">
              <w:rPr>
                <w:lang w:val="en-AU"/>
              </w:rPr>
              <w:tab/>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A66FE3"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1F3C3F"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56FC21"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33D27"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1DDFBA" w14:textId="77777777" w:rsidR="002D0C7B" w:rsidRPr="00AA5CB5" w:rsidRDefault="002D0C7B" w:rsidP="008121D9">
            <w:pPr>
              <w:pStyle w:val="Tablebodytext"/>
              <w:rPr>
                <w:rFonts w:eastAsiaTheme="majorEastAsia"/>
                <w:lang w:val="en-AU"/>
              </w:rPr>
            </w:pPr>
          </w:p>
        </w:tc>
      </w:tr>
      <w:tr w:rsidR="002D0C7B" w:rsidRPr="00AA5CB5" w14:paraId="21CA9551"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hideMark/>
          </w:tcPr>
          <w:p w14:paraId="7CC80A8D" w14:textId="77777777" w:rsidR="002D0C7B" w:rsidRPr="00AA5CB5" w:rsidRDefault="002D0C7B" w:rsidP="008121D9">
            <w:pPr>
              <w:pStyle w:val="Tablebodytext"/>
              <w:rPr>
                <w:rFonts w:eastAsiaTheme="majorEastAsia"/>
                <w:lang w:val="en-AU"/>
              </w:rPr>
            </w:pPr>
            <w:r w:rsidRPr="00AA5CB5">
              <w:rPr>
                <w:rFonts w:eastAsiaTheme="majorEastAsia"/>
                <w:lang w:val="en-AU"/>
              </w:rPr>
              <w:t>Energy:</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2149CF6A"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27A6E9A7"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495E84D5"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4A1ABF10"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7F20A0ED" w14:textId="77777777" w:rsidR="002D0C7B" w:rsidRPr="00AA5CB5" w:rsidRDefault="002D0C7B" w:rsidP="008121D9">
            <w:pPr>
              <w:pStyle w:val="Tablebodytext"/>
              <w:rPr>
                <w:rFonts w:eastAsiaTheme="majorEastAsia"/>
                <w:lang w:val="en-AU"/>
              </w:rPr>
            </w:pPr>
          </w:p>
        </w:tc>
      </w:tr>
      <w:tr w:rsidR="002D0C7B" w:rsidRPr="00AA5CB5" w14:paraId="07DDA0DF" w14:textId="77777777" w:rsidTr="00D438E1">
        <w:trPr>
          <w:trHeight w:val="640"/>
        </w:trPr>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CF0995" w14:textId="77777777" w:rsidR="002D0C7B" w:rsidRPr="00AA5CB5" w:rsidRDefault="002D0C7B" w:rsidP="008121D9">
            <w:pPr>
              <w:pStyle w:val="Tablebodytext"/>
              <w:rPr>
                <w:rFonts w:eastAsiaTheme="majorEastAsia"/>
                <w:lang w:val="en-AU"/>
              </w:rPr>
            </w:pPr>
            <w:r w:rsidRPr="00AA5CB5">
              <w:rPr>
                <w:lang w:val="en-AU"/>
              </w:rPr>
              <w:t>Who determines which electricity provider to use, or whether to source renewable energy for the site?</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AF8C11"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9D5A98"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A93AB4"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3E0228"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E56842" w14:textId="77777777" w:rsidR="002D0C7B" w:rsidRPr="00AA5CB5" w:rsidRDefault="002D0C7B" w:rsidP="008121D9">
            <w:pPr>
              <w:pStyle w:val="Tablebodytext"/>
              <w:rPr>
                <w:rFonts w:eastAsiaTheme="majorEastAsia"/>
                <w:lang w:val="en-AU"/>
              </w:rPr>
            </w:pPr>
          </w:p>
        </w:tc>
      </w:tr>
      <w:tr w:rsidR="002D0C7B" w:rsidRPr="00AA5CB5" w14:paraId="4CA7BC56"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B685C5" w14:textId="77777777" w:rsidR="002D0C7B" w:rsidRPr="00AA5CB5" w:rsidRDefault="002D0C7B" w:rsidP="008121D9">
            <w:pPr>
              <w:pStyle w:val="Tablebodytext"/>
              <w:rPr>
                <w:rFonts w:eastAsiaTheme="majorEastAsia"/>
                <w:lang w:val="en-AU"/>
              </w:rPr>
            </w:pPr>
            <w:r w:rsidRPr="00AA5CB5">
              <w:rPr>
                <w:lang w:val="en-AU"/>
              </w:rPr>
              <w:t>Who controls the timing and usage of shared energy systems like heating, ventilation and air con (HVAC)?</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36AF5B"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F21943"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C00C0F"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B8ACC"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286496" w14:textId="77777777" w:rsidR="002D0C7B" w:rsidRPr="00AA5CB5" w:rsidRDefault="002D0C7B" w:rsidP="008121D9">
            <w:pPr>
              <w:pStyle w:val="Tablebodytext"/>
              <w:rPr>
                <w:rFonts w:eastAsiaTheme="majorEastAsia"/>
                <w:lang w:val="en-AU"/>
              </w:rPr>
            </w:pPr>
          </w:p>
        </w:tc>
      </w:tr>
      <w:tr w:rsidR="002D0C7B" w:rsidRPr="00AA5CB5" w14:paraId="67A61228"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F1142B" w14:textId="4FEA5BAF" w:rsidR="002D0C7B" w:rsidRPr="00AA5CB5" w:rsidRDefault="002D0C7B" w:rsidP="008121D9">
            <w:pPr>
              <w:pStyle w:val="Tablebodytext"/>
              <w:rPr>
                <w:rFonts w:eastAsiaTheme="majorEastAsia"/>
                <w:lang w:val="en-AU"/>
              </w:rPr>
            </w:pPr>
            <w:r w:rsidRPr="00AA5CB5">
              <w:rPr>
                <w:lang w:val="en-AU"/>
              </w:rPr>
              <w:t>Who decides on the installation or maintenance of on-site renewable energy systems (e.g. solar panels)?  </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9FA92A"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29672E"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682F05"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E0AE75"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91779A" w14:textId="77777777" w:rsidR="002D0C7B" w:rsidRPr="00AA5CB5" w:rsidRDefault="002D0C7B" w:rsidP="008121D9">
            <w:pPr>
              <w:pStyle w:val="Tablebodytext"/>
              <w:rPr>
                <w:rFonts w:eastAsiaTheme="majorEastAsia"/>
                <w:lang w:val="en-AU"/>
              </w:rPr>
            </w:pPr>
          </w:p>
        </w:tc>
      </w:tr>
      <w:tr w:rsidR="002D0C7B" w:rsidRPr="00AA5CB5" w14:paraId="59A9884B"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hideMark/>
          </w:tcPr>
          <w:p w14:paraId="691376BE" w14:textId="77777777" w:rsidR="002D0C7B" w:rsidRPr="00AA5CB5" w:rsidRDefault="002D0C7B" w:rsidP="008121D9">
            <w:pPr>
              <w:pStyle w:val="Tablebodytext"/>
              <w:rPr>
                <w:rFonts w:eastAsiaTheme="majorEastAsia"/>
                <w:lang w:val="en-AU"/>
              </w:rPr>
            </w:pPr>
            <w:r w:rsidRPr="00AA5CB5">
              <w:rPr>
                <w:rFonts w:eastAsiaTheme="majorEastAsia"/>
                <w:lang w:val="en-AU"/>
              </w:rPr>
              <w:t>Waste:</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2ABF4B8A"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07C1B1EC"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2CD35479"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425C601A"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6CDF9D7C" w14:textId="77777777" w:rsidR="002D0C7B" w:rsidRPr="00AA5CB5" w:rsidRDefault="002D0C7B" w:rsidP="008121D9">
            <w:pPr>
              <w:pStyle w:val="Tablebodytext"/>
              <w:rPr>
                <w:rFonts w:eastAsiaTheme="majorEastAsia"/>
                <w:lang w:val="en-AU"/>
              </w:rPr>
            </w:pPr>
          </w:p>
        </w:tc>
      </w:tr>
      <w:tr w:rsidR="002D0C7B" w:rsidRPr="00AA5CB5" w14:paraId="79EB5E70"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DE94F7" w14:textId="4B0AEE21" w:rsidR="002D0C7B" w:rsidRPr="00AA5CB5" w:rsidRDefault="002D0C7B" w:rsidP="008121D9">
            <w:pPr>
              <w:pStyle w:val="Tablebodytext"/>
              <w:rPr>
                <w:rFonts w:eastAsiaTheme="majorEastAsia"/>
                <w:lang w:val="en-AU"/>
              </w:rPr>
            </w:pPr>
            <w:r w:rsidRPr="00AA5CB5">
              <w:rPr>
                <w:lang w:val="en-AU"/>
              </w:rPr>
              <w:t>Who decides how shared waste streams are segregated, treated, or disposed of?  Who selects the site</w:t>
            </w:r>
            <w:r w:rsidR="00E333F8" w:rsidRPr="00AA5CB5">
              <w:rPr>
                <w:lang w:val="en-AU"/>
              </w:rPr>
              <w:t>’</w:t>
            </w:r>
            <w:r w:rsidRPr="00AA5CB5">
              <w:rPr>
                <w:lang w:val="en-AU"/>
              </w:rPr>
              <w:t xml:space="preserve">s the waste providers? </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059AE7"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145B39"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FC623C"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519167"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441521" w14:textId="77777777" w:rsidR="002D0C7B" w:rsidRPr="00AA5CB5" w:rsidRDefault="002D0C7B" w:rsidP="008121D9">
            <w:pPr>
              <w:pStyle w:val="Tablebodytext"/>
              <w:rPr>
                <w:rFonts w:eastAsiaTheme="majorEastAsia"/>
                <w:lang w:val="en-AU"/>
              </w:rPr>
            </w:pPr>
          </w:p>
        </w:tc>
      </w:tr>
      <w:tr w:rsidR="002D0C7B" w:rsidRPr="00AA5CB5" w14:paraId="58AFC661"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919F82" w14:textId="77777777" w:rsidR="002D0C7B" w:rsidRDefault="002D0C7B" w:rsidP="008121D9">
            <w:pPr>
              <w:pStyle w:val="Tablebodytext"/>
              <w:rPr>
                <w:lang w:val="en-AU"/>
              </w:rPr>
            </w:pPr>
            <w:r w:rsidRPr="00AA5CB5">
              <w:rPr>
                <w:lang w:val="en-AU"/>
              </w:rPr>
              <w:t>Who establishes policies for general waste reduction or recycling programs for shared/communal waste?  </w:t>
            </w:r>
          </w:p>
          <w:p w14:paraId="5592EB84" w14:textId="77777777" w:rsidR="002221BB" w:rsidRPr="00AA5CB5" w:rsidRDefault="002221B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621879"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51948D"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BCC0B7"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39E607"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3A6134" w14:textId="77777777" w:rsidR="002D0C7B" w:rsidRPr="00AA5CB5" w:rsidRDefault="002D0C7B" w:rsidP="008121D9">
            <w:pPr>
              <w:pStyle w:val="Tablebodytext"/>
              <w:rPr>
                <w:rFonts w:eastAsiaTheme="majorEastAsia"/>
                <w:lang w:val="en-AU"/>
              </w:rPr>
            </w:pPr>
          </w:p>
        </w:tc>
      </w:tr>
      <w:tr w:rsidR="002D0C7B" w:rsidRPr="00AA5CB5" w14:paraId="322FB9AF"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hideMark/>
          </w:tcPr>
          <w:p w14:paraId="6A5A63CF" w14:textId="77777777" w:rsidR="002D0C7B" w:rsidRPr="00AA5CB5" w:rsidRDefault="002D0C7B" w:rsidP="008121D9">
            <w:pPr>
              <w:pStyle w:val="Tablebodytext"/>
              <w:rPr>
                <w:rFonts w:eastAsiaTheme="majorEastAsia"/>
                <w:lang w:val="en-AU"/>
              </w:rPr>
            </w:pPr>
            <w:r w:rsidRPr="00AA5CB5">
              <w:rPr>
                <w:rFonts w:eastAsiaTheme="majorEastAsia"/>
                <w:lang w:val="en-AU"/>
              </w:rPr>
              <w:lastRenderedPageBreak/>
              <w:t>Water:</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28B3DD9C"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1749623F"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754AC3AE"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5041DE46"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EEEED" w:themeFill="accent6" w:themeFillTint="66"/>
          </w:tcPr>
          <w:p w14:paraId="09F90B36" w14:textId="77777777" w:rsidR="002D0C7B" w:rsidRPr="00AA5CB5" w:rsidRDefault="002D0C7B" w:rsidP="008121D9">
            <w:pPr>
              <w:pStyle w:val="Tablebodytext"/>
              <w:rPr>
                <w:rFonts w:eastAsiaTheme="majorEastAsia"/>
                <w:lang w:val="en-AU"/>
              </w:rPr>
            </w:pPr>
          </w:p>
        </w:tc>
      </w:tr>
      <w:tr w:rsidR="002D0C7B" w:rsidRPr="00AA5CB5" w14:paraId="755E3A27"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F348B6" w14:textId="77777777" w:rsidR="002D0C7B" w:rsidRPr="00AA5CB5" w:rsidRDefault="002D0C7B" w:rsidP="008121D9">
            <w:pPr>
              <w:pStyle w:val="Tablebodytext"/>
              <w:rPr>
                <w:rFonts w:eastAsiaTheme="majorEastAsia"/>
                <w:lang w:val="en-AU"/>
              </w:rPr>
            </w:pPr>
            <w:r w:rsidRPr="00AA5CB5">
              <w:rPr>
                <w:lang w:val="en-AU"/>
              </w:rPr>
              <w:t>Who determines water usage policies, including conservation strategies?  </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395BA9"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7E51D1"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15764C"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68245D"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47ED10" w14:textId="77777777" w:rsidR="002D0C7B" w:rsidRPr="00AA5CB5" w:rsidRDefault="002D0C7B" w:rsidP="008121D9">
            <w:pPr>
              <w:pStyle w:val="Tablebodytext"/>
              <w:rPr>
                <w:rFonts w:eastAsiaTheme="majorEastAsia"/>
                <w:lang w:val="en-AU"/>
              </w:rPr>
            </w:pPr>
          </w:p>
        </w:tc>
      </w:tr>
      <w:tr w:rsidR="002D0C7B" w:rsidRPr="00AA5CB5" w14:paraId="0B49BD34" w14:textId="77777777" w:rsidTr="00D438E1">
        <w:tc>
          <w:tcPr>
            <w:tcW w:w="33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E9E4FA" w14:textId="403848FE" w:rsidR="002D0C7B" w:rsidRPr="00AA5CB5" w:rsidRDefault="002D0C7B" w:rsidP="008121D9">
            <w:pPr>
              <w:pStyle w:val="Tablebodytext"/>
              <w:rPr>
                <w:rFonts w:eastAsiaTheme="majorEastAsia"/>
                <w:lang w:val="en-AU"/>
              </w:rPr>
            </w:pPr>
            <w:r w:rsidRPr="00AA5CB5">
              <w:rPr>
                <w:lang w:val="en-AU"/>
              </w:rPr>
              <w:t>Who decides on the installation of water-saving technologies for the site (e.g. low-flow fixtures, rainwater harvesting)?  </w:t>
            </w: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021992" w14:textId="77777777" w:rsidR="002D0C7B" w:rsidRPr="00AA5CB5" w:rsidRDefault="002D0C7B" w:rsidP="008121D9">
            <w:pPr>
              <w:pStyle w:val="Tablebodytext"/>
              <w:rPr>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9BCC34"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F5E2BF"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089CF7" w14:textId="77777777" w:rsidR="002D0C7B" w:rsidRPr="00AA5CB5" w:rsidRDefault="002D0C7B" w:rsidP="008121D9">
            <w:pPr>
              <w:pStyle w:val="Tablebodytext"/>
              <w:rPr>
                <w:rFonts w:eastAsiaTheme="majorEastAsia"/>
                <w:lang w:val="en-AU"/>
              </w:rPr>
            </w:pPr>
          </w:p>
        </w:tc>
        <w:tc>
          <w:tcPr>
            <w:tcW w:w="1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7A98EE" w14:textId="77777777" w:rsidR="002D0C7B" w:rsidRPr="00AA5CB5" w:rsidRDefault="002D0C7B" w:rsidP="008121D9">
            <w:pPr>
              <w:pStyle w:val="Tablebodytext"/>
              <w:rPr>
                <w:rFonts w:eastAsiaTheme="majorEastAsia"/>
                <w:lang w:val="en-AU"/>
              </w:rPr>
            </w:pPr>
          </w:p>
        </w:tc>
      </w:tr>
    </w:tbl>
    <w:p w14:paraId="076A6C7B" w14:textId="77777777" w:rsidR="004861A0" w:rsidRPr="00AA5CB5" w:rsidRDefault="004861A0" w:rsidP="00FC5A72">
      <w:pPr>
        <w:pStyle w:val="BodyText1"/>
        <w:rPr>
          <w:b/>
          <w:bCs/>
        </w:rPr>
      </w:pPr>
    </w:p>
    <w:p w14:paraId="41AD9A81" w14:textId="3B8FE544" w:rsidR="00FC5A72" w:rsidRPr="00AA5CB5" w:rsidRDefault="00FC5A72" w:rsidP="00FC5A72">
      <w:pPr>
        <w:pStyle w:val="BodyText1"/>
        <w:rPr>
          <w:b/>
          <w:bCs/>
        </w:rPr>
      </w:pPr>
      <w:r w:rsidRPr="00AA5CB5">
        <w:rPr>
          <w:b/>
          <w:bCs/>
        </w:rPr>
        <w:t>Findings</w:t>
      </w:r>
    </w:p>
    <w:tbl>
      <w:tblPr>
        <w:tblW w:w="5000" w:type="pct"/>
        <w:tblLook w:val="04A0" w:firstRow="1" w:lastRow="0" w:firstColumn="1" w:lastColumn="0" w:noHBand="0" w:noVBand="1"/>
      </w:tblPr>
      <w:tblGrid>
        <w:gridCol w:w="1992"/>
        <w:gridCol w:w="3847"/>
        <w:gridCol w:w="3563"/>
      </w:tblGrid>
      <w:tr w:rsidR="00FC5A72" w:rsidRPr="00AA5CB5" w14:paraId="7FAE8587" w14:textId="77777777" w:rsidTr="00936DA2">
        <w:trPr>
          <w:trHeight w:val="480"/>
        </w:trPr>
        <w:tc>
          <w:tcPr>
            <w:tcW w:w="1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hideMark/>
          </w:tcPr>
          <w:p w14:paraId="3C0D0B6C" w14:textId="77777777" w:rsidR="00FC5A72" w:rsidRPr="00AA5CB5" w:rsidRDefault="00FC5A72" w:rsidP="00D438E1">
            <w:pPr>
              <w:pStyle w:val="Tableheading"/>
              <w:rPr>
                <w:b w:val="0"/>
                <w:bCs/>
              </w:rPr>
            </w:pPr>
            <w:r w:rsidRPr="00AA5CB5">
              <w:t xml:space="preserve">Asset name </w:t>
            </w:r>
          </w:p>
        </w:tc>
        <w:tc>
          <w:tcPr>
            <w:tcW w:w="20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hideMark/>
          </w:tcPr>
          <w:p w14:paraId="5B7C0FCA" w14:textId="77777777" w:rsidR="00FC5A72" w:rsidRPr="00AA5CB5" w:rsidRDefault="00FC5A72" w:rsidP="00D438E1">
            <w:pPr>
              <w:pStyle w:val="Tableheading"/>
              <w:rPr>
                <w:b w:val="0"/>
                <w:bCs/>
              </w:rPr>
            </w:pPr>
            <w:r w:rsidRPr="00AA5CB5">
              <w:t xml:space="preserve">Agency with operational control </w:t>
            </w:r>
          </w:p>
        </w:tc>
        <w:tc>
          <w:tcPr>
            <w:tcW w:w="18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5D6D4" w:themeFill="accent6"/>
            <w:hideMark/>
          </w:tcPr>
          <w:p w14:paraId="4176A541" w14:textId="77777777" w:rsidR="00FC5A72" w:rsidRPr="00AA5CB5" w:rsidRDefault="00FC5A72" w:rsidP="00D438E1">
            <w:pPr>
              <w:pStyle w:val="Tableheading"/>
              <w:rPr>
                <w:b w:val="0"/>
                <w:bCs/>
              </w:rPr>
            </w:pPr>
            <w:r w:rsidRPr="00AA5CB5">
              <w:t xml:space="preserve">Data collection plan </w:t>
            </w:r>
          </w:p>
        </w:tc>
      </w:tr>
      <w:tr w:rsidR="00FC5A72" w:rsidRPr="00AA5CB5" w14:paraId="2AFDFBE7" w14:textId="77777777" w:rsidTr="00FC5A72">
        <w:trPr>
          <w:trHeight w:val="671"/>
        </w:trPr>
        <w:tc>
          <w:tcPr>
            <w:tcW w:w="1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4580DB" w14:textId="77777777" w:rsidR="00FC5A72" w:rsidRPr="00AA5CB5" w:rsidRDefault="00FC5A72" w:rsidP="00D438E1">
            <w:pPr>
              <w:pStyle w:val="Tablebodytext"/>
            </w:pPr>
          </w:p>
        </w:tc>
        <w:tc>
          <w:tcPr>
            <w:tcW w:w="20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6D324B" w14:textId="77777777" w:rsidR="00FC5A72" w:rsidRPr="00AA5CB5" w:rsidRDefault="00FC5A72" w:rsidP="00D438E1">
            <w:pPr>
              <w:pStyle w:val="Tablebodytext"/>
            </w:pPr>
          </w:p>
        </w:tc>
        <w:tc>
          <w:tcPr>
            <w:tcW w:w="18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2F2DD5" w14:textId="77777777" w:rsidR="00FC5A72" w:rsidRPr="00AA5CB5" w:rsidRDefault="00FC5A72" w:rsidP="00D438E1">
            <w:pPr>
              <w:pStyle w:val="Tablebodytext"/>
            </w:pPr>
          </w:p>
        </w:tc>
      </w:tr>
      <w:tr w:rsidR="00FC5A72" w:rsidRPr="00AA5CB5" w14:paraId="3F35134A" w14:textId="77777777" w:rsidTr="00FC5A72">
        <w:trPr>
          <w:trHeight w:val="695"/>
        </w:trPr>
        <w:tc>
          <w:tcPr>
            <w:tcW w:w="1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B5973F" w14:textId="77777777" w:rsidR="00FC5A72" w:rsidRPr="00AA5CB5" w:rsidRDefault="00FC5A72" w:rsidP="00D438E1">
            <w:pPr>
              <w:pStyle w:val="Tablebodytext"/>
            </w:pPr>
          </w:p>
        </w:tc>
        <w:tc>
          <w:tcPr>
            <w:tcW w:w="20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782CEC" w14:textId="77777777" w:rsidR="00FC5A72" w:rsidRPr="00AA5CB5" w:rsidRDefault="00FC5A72" w:rsidP="00D438E1">
            <w:pPr>
              <w:pStyle w:val="Tablebodytext"/>
            </w:pPr>
          </w:p>
        </w:tc>
        <w:tc>
          <w:tcPr>
            <w:tcW w:w="18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6015E7" w14:textId="77777777" w:rsidR="00FC5A72" w:rsidRPr="00AA5CB5" w:rsidRDefault="00FC5A72" w:rsidP="00D438E1">
            <w:pPr>
              <w:pStyle w:val="Tablebodytext"/>
            </w:pPr>
          </w:p>
        </w:tc>
      </w:tr>
      <w:tr w:rsidR="00FC5A72" w:rsidRPr="00AA5CB5" w14:paraId="5D062938" w14:textId="77777777" w:rsidTr="00FC5A72">
        <w:trPr>
          <w:trHeight w:val="671"/>
        </w:trPr>
        <w:tc>
          <w:tcPr>
            <w:tcW w:w="10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31C596" w14:textId="77777777" w:rsidR="00FC5A72" w:rsidRPr="00AA5CB5" w:rsidRDefault="00FC5A72" w:rsidP="00D438E1">
            <w:pPr>
              <w:pStyle w:val="Tablebodytext"/>
            </w:pPr>
          </w:p>
        </w:tc>
        <w:tc>
          <w:tcPr>
            <w:tcW w:w="204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76052C" w14:textId="77777777" w:rsidR="00FC5A72" w:rsidRPr="00AA5CB5" w:rsidRDefault="00FC5A72" w:rsidP="00D438E1">
            <w:pPr>
              <w:pStyle w:val="Tablebodytext"/>
            </w:pPr>
          </w:p>
        </w:tc>
        <w:tc>
          <w:tcPr>
            <w:tcW w:w="189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B16897" w14:textId="77777777" w:rsidR="00FC5A72" w:rsidRPr="00AA5CB5" w:rsidRDefault="00FC5A72" w:rsidP="00D438E1">
            <w:pPr>
              <w:pStyle w:val="Tablebodytext"/>
            </w:pPr>
          </w:p>
        </w:tc>
      </w:tr>
    </w:tbl>
    <w:p w14:paraId="50C3CB59" w14:textId="77777777" w:rsidR="00F833EF" w:rsidRPr="00AA5CB5" w:rsidRDefault="00F833EF" w:rsidP="00F833EF">
      <w:pPr>
        <w:pStyle w:val="BodyText1"/>
      </w:pPr>
    </w:p>
    <w:p w14:paraId="6F5A3628" w14:textId="77777777" w:rsidR="00F412FE" w:rsidRPr="00AA5CB5" w:rsidRDefault="00F412FE" w:rsidP="00F833EF">
      <w:pPr>
        <w:pStyle w:val="BodyText1"/>
        <w:rPr>
          <w:i/>
        </w:rPr>
      </w:pPr>
    </w:p>
    <w:p w14:paraId="778D64B5" w14:textId="77777777" w:rsidR="00F412FE" w:rsidRPr="00AA5CB5" w:rsidRDefault="00F412FE" w:rsidP="00F833EF">
      <w:pPr>
        <w:pStyle w:val="BodyText1"/>
      </w:pPr>
    </w:p>
    <w:p w14:paraId="58D90EF7" w14:textId="007145AF" w:rsidR="006A5A25" w:rsidRPr="00AA5CB5" w:rsidRDefault="006A5A25">
      <w:pPr>
        <w:spacing w:before="0" w:after="160" w:line="259" w:lineRule="auto"/>
        <w:rPr>
          <w:rFonts w:asciiTheme="minorHAnsi" w:hAnsiTheme="minorHAnsi"/>
          <w:sz w:val="22"/>
          <w:szCs w:val="20"/>
        </w:rPr>
      </w:pPr>
      <w:r w:rsidRPr="00AA5CB5">
        <w:br w:type="page"/>
      </w:r>
    </w:p>
    <w:p w14:paraId="4ADEE124" w14:textId="00F5EDF9" w:rsidR="0030644C" w:rsidRPr="00AA5CB5" w:rsidRDefault="007A3CBF" w:rsidP="007A3CBF">
      <w:pPr>
        <w:pStyle w:val="Heading1"/>
      </w:pPr>
      <w:bookmarkStart w:id="138" w:name="_Ref198740714"/>
      <w:bookmarkStart w:id="139" w:name="_Ref198741018"/>
      <w:bookmarkStart w:id="140" w:name="_Ref201835180"/>
      <w:bookmarkStart w:id="141" w:name="_Ref201836568"/>
      <w:bookmarkStart w:id="142" w:name="_Ref201837311"/>
      <w:bookmarkStart w:id="143" w:name="_Toc201927363"/>
      <w:r w:rsidRPr="00AA5CB5">
        <w:lastRenderedPageBreak/>
        <w:t xml:space="preserve">Annex </w:t>
      </w:r>
      <w:r w:rsidR="0073078A" w:rsidRPr="00AA5CB5">
        <w:t>C</w:t>
      </w:r>
      <w:r w:rsidRPr="00AA5CB5">
        <w:t xml:space="preserve">: Emissions </w:t>
      </w:r>
      <w:bookmarkEnd w:id="138"/>
      <w:bookmarkEnd w:id="139"/>
      <w:r w:rsidR="00955D34">
        <w:t>c</w:t>
      </w:r>
      <w:r w:rsidRPr="00AA5CB5">
        <w:t>alculations</w:t>
      </w:r>
      <w:bookmarkEnd w:id="140"/>
      <w:bookmarkEnd w:id="141"/>
      <w:bookmarkEnd w:id="142"/>
      <w:bookmarkEnd w:id="143"/>
    </w:p>
    <w:p w14:paraId="2A654E21" w14:textId="11ACEAF4" w:rsidR="00BD7FA8" w:rsidRPr="00AA5CB5" w:rsidRDefault="00BD7FA8" w:rsidP="00BD7FA8">
      <w:pPr>
        <w:pStyle w:val="Heading2"/>
      </w:pPr>
      <w:bookmarkStart w:id="144" w:name="_Toc201927364"/>
      <w:r w:rsidRPr="00AA5CB5">
        <w:t>Electricity</w:t>
      </w:r>
      <w:bookmarkEnd w:id="144"/>
    </w:p>
    <w:p w14:paraId="24CF8876" w14:textId="5FA3BA16" w:rsidR="00FB0B91" w:rsidRPr="00AA5CB5" w:rsidRDefault="00E90152" w:rsidP="00FB0B91">
      <w:pPr>
        <w:pStyle w:val="Heading3"/>
      </w:pPr>
      <w:bookmarkStart w:id="145" w:name="_Ref198143142"/>
      <w:bookmarkStart w:id="146" w:name="_Toc197438643"/>
      <w:bookmarkStart w:id="147" w:name="_Toc197438661"/>
      <w:r>
        <w:t>GHG</w:t>
      </w:r>
      <w:r w:rsidR="00FB0B91" w:rsidRPr="00AA5CB5">
        <w:t xml:space="preserve"> emissions from electricity using the Location</w:t>
      </w:r>
      <w:r w:rsidR="002E3C2F" w:rsidRPr="00AA5CB5">
        <w:t>-</w:t>
      </w:r>
      <w:r w:rsidR="00FB0B91" w:rsidRPr="00AA5CB5">
        <w:t xml:space="preserve">based method </w:t>
      </w:r>
    </w:p>
    <w:p w14:paraId="1943472B" w14:textId="77777777" w:rsidR="00F72890" w:rsidRPr="00AA5CB5" w:rsidRDefault="005D4948" w:rsidP="00F72890">
      <w:pPr>
        <w:pStyle w:val="BodyText1"/>
        <w:shd w:val="clear" w:color="auto" w:fill="E8F0FE" w:themeFill="accent5" w:themeFillTint="33"/>
      </w:pPr>
      <m:oMathPara>
        <m:oMath>
          <m:r>
            <m:rPr>
              <m:sty m:val="p"/>
            </m:rPr>
            <w:rPr>
              <w:rFonts w:ascii="Cambria Math" w:hAnsi="Cambria Math"/>
            </w:rPr>
            <m:t xml:space="preserve">t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nor/>
            </m:rPr>
            <m:t>-</m:t>
          </m:r>
          <m:r>
            <m:rPr>
              <m:sty m:val="p"/>
            </m:rPr>
            <w:rPr>
              <w:rFonts w:ascii="Cambria Math" w:hAnsi="Cambria Math"/>
            </w:rPr>
            <m:t>e=</m:t>
          </m:r>
          <m:f>
            <m:fPr>
              <m:ctrlPr>
                <w:rPr>
                  <w:rFonts w:ascii="Cambria Math" w:hAnsi="Cambria Math"/>
                </w:rPr>
              </m:ctrlPr>
            </m:fPr>
            <m:num>
              <m:r>
                <m:rPr>
                  <m:sty m:val="p"/>
                </m:rPr>
                <w:rPr>
                  <w:rFonts w:ascii="Cambria Math" w:hAnsi="Cambria Math"/>
                </w:rPr>
                <m:t>Q×EF</m:t>
              </m:r>
            </m:num>
            <m:den>
              <m:r>
                <m:rPr>
                  <m:sty m:val="p"/>
                </m:rPr>
                <w:rPr>
                  <w:rFonts w:ascii="Cambria Math" w:hAnsi="Cambria Math"/>
                </w:rPr>
                <m:t>1000</m:t>
              </m:r>
            </m:den>
          </m:f>
          <m:r>
            <m:rPr>
              <m:sty m:val="p"/>
            </m:rPr>
            <w:rPr>
              <w:rFonts w:ascii="Cambria Math" w:hAnsi="Cambria Math"/>
            </w:rPr>
            <m:t xml:space="preserve"> </m:t>
          </m:r>
        </m:oMath>
      </m:oMathPara>
    </w:p>
    <w:p w14:paraId="450DFFD5" w14:textId="77777777" w:rsidR="00F72890" w:rsidRPr="00AA5CB5" w:rsidRDefault="00F72890" w:rsidP="005E1E93">
      <w:pPr>
        <w:pStyle w:val="Bodybullet1"/>
        <w:numPr>
          <w:ilvl w:val="0"/>
          <w:numId w:val="0"/>
        </w:numPr>
        <w:shd w:val="clear" w:color="auto" w:fill="E8F0FE" w:themeFill="accent5" w:themeFillTint="33"/>
        <w:ind w:left="360" w:hanging="360"/>
      </w:pPr>
      <w:r w:rsidRPr="00AA5CB5">
        <w:t>Where:</w:t>
      </w:r>
    </w:p>
    <w:p w14:paraId="451C6598" w14:textId="1450190B" w:rsidR="00F72890" w:rsidRPr="00AA5CB5" w:rsidRDefault="005D4948" w:rsidP="00F72890">
      <w:pPr>
        <w:pStyle w:val="Bodybullet1"/>
        <w:shd w:val="clear" w:color="auto" w:fill="E8F0FE" w:themeFill="accent5" w:themeFillTint="33"/>
      </w:pPr>
      <m:oMath>
        <m:r>
          <m:rPr>
            <m:sty m:val="b"/>
          </m:rPr>
          <w:rPr>
            <w:rFonts w:ascii="Cambria Math" w:hAnsi="Cambria Math"/>
          </w:rPr>
          <m:t xml:space="preserve">t </m:t>
        </m:r>
        <m:sSub>
          <m:sSubPr>
            <m:ctrlPr>
              <w:rPr>
                <w:rFonts w:ascii="Cambria Math" w:hAnsi="Cambria Math"/>
                <w:b/>
                <w:bCs/>
              </w:rPr>
            </m:ctrlPr>
          </m:sSubPr>
          <m:e>
            <m:r>
              <m:rPr>
                <m:sty m:val="b"/>
              </m:rPr>
              <w:rPr>
                <w:rFonts w:ascii="Cambria Math" w:hAnsi="Cambria Math"/>
              </w:rPr>
              <m:t>CO</m:t>
            </m:r>
          </m:e>
          <m:sub>
            <m:r>
              <m:rPr>
                <m:sty m:val="b"/>
              </m:rPr>
              <w:rPr>
                <w:rFonts w:ascii="Cambria Math" w:hAnsi="Cambria Math"/>
              </w:rPr>
              <m:t>2</m:t>
            </m:r>
          </m:sub>
        </m:sSub>
        <m:r>
          <m:rPr>
            <m:nor/>
          </m:rPr>
          <w:rPr>
            <w:b/>
            <w:bCs/>
          </w:rPr>
          <m:t>-</m:t>
        </m:r>
        <m:r>
          <m:rPr>
            <m:sty m:val="b"/>
          </m:rPr>
          <w:rPr>
            <w:rFonts w:ascii="Cambria Math" w:hAnsi="Cambria Math"/>
          </w:rPr>
          <m:t>e</m:t>
        </m:r>
      </m:oMath>
      <w:r w:rsidR="00F72890" w:rsidRPr="00AA5CB5">
        <w:t xml:space="preserve"> is the </w:t>
      </w:r>
      <w:r w:rsidR="00E90152">
        <w:t>GHG</w:t>
      </w:r>
      <w:r w:rsidR="00F72890" w:rsidRPr="00AA5CB5">
        <w:t xml:space="preserve"> emissions, in tonnes carbon dioxide equivalent</w:t>
      </w:r>
    </w:p>
    <w:p w14:paraId="6D72628A" w14:textId="3D2C9DA8" w:rsidR="00F72890" w:rsidRPr="00AA5CB5" w:rsidRDefault="005D4948" w:rsidP="00F72890">
      <w:pPr>
        <w:pStyle w:val="Bodybullet1"/>
        <w:shd w:val="clear" w:color="auto" w:fill="E8F0FE" w:themeFill="accent5" w:themeFillTint="33"/>
      </w:pPr>
      <m:oMath>
        <m:r>
          <m:rPr>
            <m:sty m:val="b"/>
          </m:rPr>
          <w:rPr>
            <w:rFonts w:ascii="Cambria Math" w:hAnsi="Cambria Math"/>
          </w:rPr>
          <m:t>Q</m:t>
        </m:r>
      </m:oMath>
      <w:r w:rsidR="00F72890" w:rsidRPr="00AA5CB5">
        <w:t xml:space="preserve"> is the </w:t>
      </w:r>
      <w:r w:rsidR="005E3163">
        <w:t xml:space="preserve">quantity of electricity </w:t>
      </w:r>
      <w:r w:rsidR="006D2F7B">
        <w:t>consumed</w:t>
      </w:r>
      <w:r w:rsidR="003E3C7A">
        <w:t>,</w:t>
      </w:r>
      <w:r w:rsidR="00F72890" w:rsidRPr="00AA5CB5">
        <w:t xml:space="preserve"> in k</w:t>
      </w:r>
      <w:r w:rsidR="00B36E2C" w:rsidRPr="00AA5CB5">
        <w:t>ilowatt hours (k</w:t>
      </w:r>
      <w:r w:rsidR="00F72890" w:rsidRPr="00AA5CB5">
        <w:t>Wh</w:t>
      </w:r>
      <w:r w:rsidR="00B36E2C" w:rsidRPr="00AA5CB5">
        <w:t>)</w:t>
      </w:r>
    </w:p>
    <w:p w14:paraId="757C3A3D" w14:textId="17E43932" w:rsidR="00F72890" w:rsidRPr="00AA5CB5" w:rsidRDefault="005D4948" w:rsidP="005E1E93">
      <w:pPr>
        <w:pStyle w:val="Bodybullet1"/>
        <w:shd w:val="clear" w:color="auto" w:fill="E8F0FE" w:themeFill="accent5" w:themeFillTint="33"/>
      </w:pPr>
      <m:oMath>
        <m:r>
          <m:rPr>
            <m:sty m:val="b"/>
          </m:rPr>
          <w:rPr>
            <w:rFonts w:ascii="Cambria Math" w:hAnsi="Cambria Math"/>
          </w:rPr>
          <m:t>EF</m:t>
        </m:r>
      </m:oMath>
      <w:r w:rsidR="00F72890" w:rsidRPr="00AA5CB5">
        <w:t xml:space="preserve"> is the </w:t>
      </w:r>
      <w:r w:rsidR="00681A5F" w:rsidRPr="00AA5CB5">
        <w:t>location</w:t>
      </w:r>
      <w:r w:rsidR="00F72890" w:rsidRPr="00AA5CB5">
        <w:t xml:space="preserve"> specific emissions factor, in kilogram carbon dioxide equivalent (kg CO</w:t>
      </w:r>
      <w:r w:rsidR="00F72890" w:rsidRPr="00AA5CB5">
        <w:rPr>
          <w:vertAlign w:val="subscript"/>
        </w:rPr>
        <w:t>2</w:t>
      </w:r>
      <w:r w:rsidR="00F72890" w:rsidRPr="00AA5CB5">
        <w:t>-e) per kWh</w:t>
      </w:r>
    </w:p>
    <w:p w14:paraId="39D33F0E" w14:textId="77777777" w:rsidR="00F72890" w:rsidRPr="00AA5CB5" w:rsidRDefault="00F72890" w:rsidP="00F72890">
      <w:pPr>
        <w:pStyle w:val="Bodybullet1"/>
        <w:numPr>
          <w:ilvl w:val="0"/>
          <w:numId w:val="0"/>
        </w:numPr>
        <w:shd w:val="clear" w:color="auto" w:fill="E8F0FE" w:themeFill="accent5" w:themeFillTint="33"/>
      </w:pPr>
      <w:r w:rsidRPr="00AA5CB5">
        <w:t>To convert from kilograms (kg) to tonnes (t), divide by 1000. Conversely, to convert from t to kg, multiply by 1000.</w:t>
      </w:r>
    </w:p>
    <w:p w14:paraId="305A7FC4" w14:textId="0A416149" w:rsidR="00B872B7" w:rsidRPr="00AA5CB5" w:rsidRDefault="00FB0B91" w:rsidP="00B872B7">
      <w:pPr>
        <w:pStyle w:val="Caption"/>
        <w:keepNext/>
      </w:pPr>
      <w:bookmarkStart w:id="148" w:name="_Toc201927379"/>
      <w:r w:rsidRPr="00AA5CB5">
        <w:t xml:space="preserve">Table </w:t>
      </w:r>
      <w:r w:rsidRPr="00AA5CB5">
        <w:fldChar w:fldCharType="begin"/>
      </w:r>
      <w:r w:rsidRPr="00AA5CB5">
        <w:instrText xml:space="preserve"> SEQ Table \* ARABIC </w:instrText>
      </w:r>
      <w:r w:rsidRPr="00AA5CB5">
        <w:fldChar w:fldCharType="separate"/>
      </w:r>
      <w:r w:rsidR="00422A37">
        <w:rPr>
          <w:noProof/>
        </w:rPr>
        <w:t>6</w:t>
      </w:r>
      <w:r w:rsidRPr="00AA5CB5">
        <w:fldChar w:fldCharType="end"/>
      </w:r>
      <w:bookmarkEnd w:id="145"/>
      <w:bookmarkEnd w:id="146"/>
      <w:bookmarkEnd w:id="147"/>
      <w:r w:rsidR="0088604A">
        <w:t>:</w:t>
      </w:r>
      <w:r w:rsidR="00B872B7" w:rsidRPr="00AA5CB5">
        <w:t xml:space="preserve"> Location-based method emission factors</w:t>
      </w:r>
      <w:bookmarkEnd w:id="148"/>
    </w:p>
    <w:tbl>
      <w:tblPr>
        <w:tblStyle w:val="ListTable4-Accent6"/>
        <w:tblW w:w="4912" w:type="pct"/>
        <w:tblInd w:w="0" w:type="dxa"/>
        <w:tblLook w:val="06A0" w:firstRow="1" w:lastRow="0" w:firstColumn="1" w:lastColumn="0" w:noHBand="1" w:noVBand="1"/>
      </w:tblPr>
      <w:tblGrid>
        <w:gridCol w:w="4733"/>
        <w:gridCol w:w="2226"/>
        <w:gridCol w:w="2278"/>
      </w:tblGrid>
      <w:tr w:rsidR="00674427" w:rsidRPr="00AA5CB5" w14:paraId="397D3E43" w14:textId="77777777" w:rsidTr="00CC5AD0">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562" w:type="pct"/>
            <w:hideMark/>
          </w:tcPr>
          <w:p w14:paraId="058944E6" w14:textId="77CEB438" w:rsidR="00FB0B91" w:rsidRPr="00AA5CB5" w:rsidRDefault="00FB0B91">
            <w:pPr>
              <w:pStyle w:val="Tableheading"/>
              <w:rPr>
                <w:rFonts w:eastAsiaTheme="minorHAnsi"/>
                <w:b/>
                <w:lang w:val="en-AU"/>
              </w:rPr>
            </w:pPr>
            <w:r w:rsidRPr="00AA5CB5">
              <w:rPr>
                <w:rFonts w:eastAsiaTheme="minorHAnsi"/>
                <w:b/>
                <w:lang w:val="en-AU"/>
              </w:rPr>
              <w:t xml:space="preserve">Location </w:t>
            </w:r>
          </w:p>
        </w:tc>
        <w:tc>
          <w:tcPr>
            <w:tcW w:w="1205" w:type="pct"/>
            <w:hideMark/>
          </w:tcPr>
          <w:p w14:paraId="7E24D549" w14:textId="7777777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rFonts w:eastAsiaTheme="minorHAnsi"/>
                <w:b/>
                <w:lang w:val="en-AU"/>
              </w:rPr>
            </w:pPr>
            <w:r w:rsidRPr="00AA5CB5">
              <w:rPr>
                <w:rFonts w:eastAsiaTheme="minorHAnsi"/>
                <w:b/>
                <w:lang w:val="en-AU"/>
              </w:rPr>
              <w:t>Net scope 2 emission factor </w:t>
            </w:r>
          </w:p>
          <w:p w14:paraId="66175863" w14:textId="7777777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rFonts w:eastAsiaTheme="minorHAnsi"/>
                <w:b/>
                <w:lang w:val="en-AU"/>
              </w:rPr>
            </w:pPr>
            <w:r w:rsidRPr="00AA5CB5">
              <w:rPr>
                <w:rFonts w:eastAsiaTheme="minorHAnsi"/>
                <w:b/>
                <w:lang w:val="en-AU"/>
              </w:rPr>
              <w:t>kg CO</w:t>
            </w:r>
            <w:r w:rsidRPr="00AA5CB5">
              <w:rPr>
                <w:rFonts w:eastAsiaTheme="minorHAnsi"/>
                <w:b/>
                <w:vertAlign w:val="subscript"/>
                <w:lang w:val="en-AU"/>
              </w:rPr>
              <w:t>2</w:t>
            </w:r>
            <w:r w:rsidRPr="00AA5CB5">
              <w:rPr>
                <w:rFonts w:eastAsiaTheme="minorHAnsi"/>
                <w:b/>
                <w:lang w:val="en-AU"/>
              </w:rPr>
              <w:t>-e/kWh</w:t>
            </w:r>
          </w:p>
        </w:tc>
        <w:tc>
          <w:tcPr>
            <w:tcW w:w="1233" w:type="pct"/>
            <w:hideMark/>
          </w:tcPr>
          <w:p w14:paraId="28A6CC5F" w14:textId="7777777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rFonts w:eastAsiaTheme="minorHAnsi"/>
                <w:b/>
                <w:lang w:val="en-AU"/>
              </w:rPr>
            </w:pPr>
            <w:r w:rsidRPr="00AA5CB5">
              <w:rPr>
                <w:rFonts w:eastAsiaTheme="minorHAnsi"/>
                <w:b/>
                <w:lang w:val="en-AU"/>
              </w:rPr>
              <w:t>Net scope 3 supply chain emission factor</w:t>
            </w:r>
          </w:p>
          <w:p w14:paraId="21FB1C66" w14:textId="7777777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rFonts w:eastAsiaTheme="minorHAnsi"/>
                <w:b/>
                <w:lang w:val="en-AU"/>
              </w:rPr>
            </w:pPr>
            <w:r w:rsidRPr="00AA5CB5">
              <w:rPr>
                <w:rFonts w:eastAsiaTheme="minorHAnsi"/>
                <w:b/>
                <w:lang w:val="en-AU"/>
              </w:rPr>
              <w:t>kg CO</w:t>
            </w:r>
            <w:r w:rsidRPr="00AA5CB5">
              <w:rPr>
                <w:rFonts w:eastAsiaTheme="minorHAnsi"/>
                <w:b/>
                <w:vertAlign w:val="subscript"/>
                <w:lang w:val="en-AU"/>
              </w:rPr>
              <w:t>2</w:t>
            </w:r>
            <w:r w:rsidRPr="00AA5CB5">
              <w:rPr>
                <w:rFonts w:eastAsiaTheme="minorHAnsi"/>
                <w:b/>
                <w:lang w:val="en-AU"/>
              </w:rPr>
              <w:t>-e/kWh</w:t>
            </w:r>
          </w:p>
        </w:tc>
      </w:tr>
      <w:tr w:rsidR="00FB0B91" w:rsidRPr="00AA5CB5" w14:paraId="020516BE" w14:textId="77777777" w:rsidTr="00C328EC">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14CA5594" w14:textId="5C73FC42" w:rsidR="00FB0B91" w:rsidRPr="00AA5CB5" w:rsidRDefault="00FB0B91">
            <w:pPr>
              <w:pStyle w:val="Tablebodytext"/>
              <w:rPr>
                <w:rFonts w:eastAsiaTheme="minorHAnsi"/>
                <w:b w:val="0"/>
                <w:lang w:val="en-AU"/>
              </w:rPr>
            </w:pPr>
            <w:r w:rsidRPr="00AA5CB5">
              <w:rPr>
                <w:rFonts w:eastAsiaTheme="minorHAnsi"/>
                <w:b w:val="0"/>
                <w:lang w:val="en-AU"/>
              </w:rPr>
              <w:t>Australian Capital Territory </w:t>
            </w:r>
            <w:r w:rsidR="00200AE8" w:rsidRPr="00AA5CB5">
              <w:rPr>
                <w:rFonts w:eastAsiaTheme="minorHAnsi"/>
                <w:b w:val="0"/>
                <w:lang w:val="en-AU"/>
              </w:rPr>
              <w:t>(ACT)</w:t>
            </w:r>
          </w:p>
        </w:tc>
        <w:tc>
          <w:tcPr>
            <w:tcW w:w="0" w:type="pct"/>
            <w:hideMark/>
          </w:tcPr>
          <w:p w14:paraId="3141BBF3"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0.66 </w:t>
            </w:r>
          </w:p>
        </w:tc>
        <w:tc>
          <w:tcPr>
            <w:tcW w:w="0" w:type="pct"/>
            <w:hideMark/>
          </w:tcPr>
          <w:p w14:paraId="41D4210F"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0.04 </w:t>
            </w:r>
          </w:p>
        </w:tc>
      </w:tr>
      <w:tr w:rsidR="00FB0B91" w:rsidRPr="00AA5CB5" w14:paraId="5BEACB9F" w14:textId="77777777" w:rsidTr="00C328EC">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184625C8" w14:textId="05813263" w:rsidR="00FB0B91" w:rsidRPr="00AA5CB5" w:rsidRDefault="00FB0B91">
            <w:pPr>
              <w:pStyle w:val="Tablebodytext"/>
              <w:rPr>
                <w:rFonts w:eastAsiaTheme="minorHAnsi"/>
                <w:b w:val="0"/>
                <w:lang w:val="en-AU"/>
              </w:rPr>
            </w:pPr>
            <w:r w:rsidRPr="00AA5CB5">
              <w:rPr>
                <w:rFonts w:eastAsiaTheme="minorHAnsi"/>
                <w:b w:val="0"/>
                <w:lang w:val="en-AU"/>
              </w:rPr>
              <w:t>New South Wales </w:t>
            </w:r>
            <w:r w:rsidR="00200AE8" w:rsidRPr="00AA5CB5">
              <w:rPr>
                <w:rFonts w:eastAsiaTheme="minorHAnsi"/>
                <w:b w:val="0"/>
                <w:lang w:val="en-AU"/>
              </w:rPr>
              <w:t>(NSW)</w:t>
            </w:r>
          </w:p>
        </w:tc>
        <w:tc>
          <w:tcPr>
            <w:tcW w:w="0" w:type="pct"/>
            <w:hideMark/>
          </w:tcPr>
          <w:p w14:paraId="56242A52"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0.66</w:t>
            </w:r>
          </w:p>
        </w:tc>
        <w:tc>
          <w:tcPr>
            <w:tcW w:w="0" w:type="pct"/>
            <w:hideMark/>
          </w:tcPr>
          <w:p w14:paraId="44787344"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0.04</w:t>
            </w:r>
          </w:p>
        </w:tc>
      </w:tr>
      <w:tr w:rsidR="00FB0B91" w:rsidRPr="00AA5CB5" w14:paraId="1895D808" w14:textId="77777777" w:rsidTr="00C328EC">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59927D62" w14:textId="22AFA8D6" w:rsidR="00FB0B91" w:rsidRPr="00AA5CB5" w:rsidRDefault="00200AE8">
            <w:pPr>
              <w:pStyle w:val="Tablebodytext"/>
              <w:rPr>
                <w:rFonts w:eastAsiaTheme="minorHAnsi"/>
                <w:b w:val="0"/>
                <w:lang w:val="en-AU"/>
              </w:rPr>
            </w:pPr>
            <w:r w:rsidRPr="00AA5CB5">
              <w:rPr>
                <w:rFonts w:eastAsiaTheme="minorHAnsi"/>
                <w:b w:val="0"/>
                <w:lang w:val="en-AU"/>
              </w:rPr>
              <w:t>Northern Territory (</w:t>
            </w:r>
            <w:r w:rsidR="00FB0B91" w:rsidRPr="00AA5CB5">
              <w:rPr>
                <w:rFonts w:eastAsiaTheme="minorHAnsi"/>
                <w:b w:val="0"/>
                <w:lang w:val="en-AU"/>
              </w:rPr>
              <w:t>NT</w:t>
            </w:r>
            <w:r w:rsidRPr="00AA5CB5">
              <w:rPr>
                <w:rFonts w:eastAsiaTheme="minorHAnsi"/>
                <w:b w:val="0"/>
                <w:lang w:val="en-AU"/>
              </w:rPr>
              <w:t>)</w:t>
            </w:r>
            <w:r w:rsidR="00FB0B91" w:rsidRPr="00AA5CB5">
              <w:rPr>
                <w:rFonts w:eastAsiaTheme="minorHAnsi"/>
                <w:b w:val="0"/>
                <w:lang w:val="en-AU"/>
              </w:rPr>
              <w:t xml:space="preserve"> - Darwin Katherine Interconnected System (DKIS) </w:t>
            </w:r>
          </w:p>
        </w:tc>
        <w:tc>
          <w:tcPr>
            <w:tcW w:w="0" w:type="pct"/>
            <w:hideMark/>
          </w:tcPr>
          <w:p w14:paraId="63E104A5"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0.56</w:t>
            </w:r>
          </w:p>
        </w:tc>
        <w:tc>
          <w:tcPr>
            <w:tcW w:w="0" w:type="pct"/>
            <w:hideMark/>
          </w:tcPr>
          <w:p w14:paraId="4A7C2B4C"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0.07</w:t>
            </w:r>
          </w:p>
        </w:tc>
      </w:tr>
      <w:tr w:rsidR="00FB0B91" w:rsidRPr="00AA5CB5" w14:paraId="072DEAD1" w14:textId="77777777" w:rsidTr="00C328EC">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478D6114" w14:textId="62F52FEC" w:rsidR="00FB0B91" w:rsidRPr="00AA5CB5" w:rsidRDefault="00FB0B91">
            <w:pPr>
              <w:pStyle w:val="Tablebodytext"/>
              <w:rPr>
                <w:rFonts w:eastAsiaTheme="minorHAnsi"/>
                <w:b w:val="0"/>
                <w:lang w:val="en-AU"/>
              </w:rPr>
            </w:pPr>
            <w:r w:rsidRPr="00AA5CB5">
              <w:rPr>
                <w:rFonts w:eastAsiaTheme="minorHAnsi"/>
                <w:b w:val="0"/>
                <w:lang w:val="en-AU"/>
              </w:rPr>
              <w:t>Queensland </w:t>
            </w:r>
            <w:r w:rsidR="00200AE8" w:rsidRPr="00AA5CB5">
              <w:rPr>
                <w:rFonts w:eastAsiaTheme="minorHAnsi"/>
                <w:b w:val="0"/>
                <w:lang w:val="en-AU"/>
              </w:rPr>
              <w:t>(QLD)</w:t>
            </w:r>
          </w:p>
        </w:tc>
        <w:tc>
          <w:tcPr>
            <w:tcW w:w="0" w:type="pct"/>
            <w:hideMark/>
          </w:tcPr>
          <w:p w14:paraId="15D2229F"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0.74</w:t>
            </w:r>
          </w:p>
        </w:tc>
        <w:tc>
          <w:tcPr>
            <w:tcW w:w="0" w:type="pct"/>
            <w:hideMark/>
          </w:tcPr>
          <w:p w14:paraId="3986E5E2"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0.10</w:t>
            </w:r>
          </w:p>
        </w:tc>
      </w:tr>
      <w:tr w:rsidR="00FB0B91" w:rsidRPr="00AA5CB5" w14:paraId="49DD7AAD" w14:textId="77777777" w:rsidTr="00C328EC">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079613FE" w14:textId="6C7F8D08" w:rsidR="00FB0B91" w:rsidRPr="00AA5CB5" w:rsidRDefault="00FB0B91">
            <w:pPr>
              <w:pStyle w:val="Tablebodytext"/>
              <w:rPr>
                <w:rFonts w:eastAsiaTheme="minorHAnsi"/>
                <w:b w:val="0"/>
                <w:lang w:val="en-AU"/>
              </w:rPr>
            </w:pPr>
            <w:r w:rsidRPr="00AA5CB5">
              <w:rPr>
                <w:rFonts w:eastAsiaTheme="minorHAnsi"/>
                <w:b w:val="0"/>
                <w:lang w:val="en-AU"/>
              </w:rPr>
              <w:t>South Australia </w:t>
            </w:r>
            <w:r w:rsidR="00200AE8" w:rsidRPr="00AA5CB5">
              <w:rPr>
                <w:rFonts w:eastAsiaTheme="minorHAnsi"/>
                <w:b w:val="0"/>
                <w:lang w:val="en-AU"/>
              </w:rPr>
              <w:t>(SA)</w:t>
            </w:r>
          </w:p>
        </w:tc>
        <w:tc>
          <w:tcPr>
            <w:tcW w:w="0" w:type="pct"/>
            <w:hideMark/>
          </w:tcPr>
          <w:p w14:paraId="2389B65D"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0.23</w:t>
            </w:r>
          </w:p>
        </w:tc>
        <w:tc>
          <w:tcPr>
            <w:tcW w:w="0" w:type="pct"/>
            <w:hideMark/>
          </w:tcPr>
          <w:p w14:paraId="7525E560"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0.05</w:t>
            </w:r>
          </w:p>
        </w:tc>
      </w:tr>
      <w:tr w:rsidR="00FB0B91" w:rsidRPr="00AA5CB5" w14:paraId="3A510CF0" w14:textId="77777777" w:rsidTr="00C328EC">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50B820C7" w14:textId="4840B4C1" w:rsidR="00FB0B91" w:rsidRPr="00AA5CB5" w:rsidRDefault="00FB0B91">
            <w:pPr>
              <w:pStyle w:val="Tablebodytext"/>
              <w:rPr>
                <w:rFonts w:eastAsiaTheme="minorHAnsi"/>
                <w:b w:val="0"/>
                <w:lang w:val="en-AU"/>
              </w:rPr>
            </w:pPr>
            <w:r w:rsidRPr="00AA5CB5">
              <w:rPr>
                <w:rFonts w:eastAsiaTheme="minorHAnsi"/>
                <w:b w:val="0"/>
                <w:lang w:val="en-AU"/>
              </w:rPr>
              <w:t>Tasmania </w:t>
            </w:r>
            <w:r w:rsidR="00200AE8" w:rsidRPr="00AA5CB5">
              <w:rPr>
                <w:rFonts w:eastAsiaTheme="minorHAnsi"/>
                <w:b w:val="0"/>
                <w:lang w:val="en-AU"/>
              </w:rPr>
              <w:t>(TAS)</w:t>
            </w:r>
          </w:p>
        </w:tc>
        <w:tc>
          <w:tcPr>
            <w:tcW w:w="0" w:type="pct"/>
            <w:hideMark/>
          </w:tcPr>
          <w:p w14:paraId="42CE5BA4"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0.15</w:t>
            </w:r>
          </w:p>
        </w:tc>
        <w:tc>
          <w:tcPr>
            <w:tcW w:w="0" w:type="pct"/>
            <w:hideMark/>
          </w:tcPr>
          <w:p w14:paraId="019E8B42"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0.03</w:t>
            </w:r>
          </w:p>
        </w:tc>
      </w:tr>
      <w:tr w:rsidR="00FB0B91" w:rsidRPr="00AA5CB5" w14:paraId="635AC0CF" w14:textId="77777777" w:rsidTr="00C328EC">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526A223D" w14:textId="3440B5DB" w:rsidR="00FB0B91" w:rsidRPr="00AA5CB5" w:rsidRDefault="00FB0B91">
            <w:pPr>
              <w:pStyle w:val="Tablebodytext"/>
              <w:rPr>
                <w:rFonts w:eastAsiaTheme="minorHAnsi"/>
                <w:b w:val="0"/>
                <w:lang w:val="en-AU"/>
              </w:rPr>
            </w:pPr>
            <w:r w:rsidRPr="00AA5CB5">
              <w:rPr>
                <w:rFonts w:eastAsiaTheme="minorHAnsi"/>
                <w:b w:val="0"/>
                <w:lang w:val="en-AU"/>
              </w:rPr>
              <w:t>Victoria </w:t>
            </w:r>
            <w:r w:rsidR="005F4126" w:rsidRPr="00AA5CB5">
              <w:rPr>
                <w:rFonts w:eastAsiaTheme="minorHAnsi"/>
                <w:b w:val="0"/>
                <w:lang w:val="en-AU"/>
              </w:rPr>
              <w:t>(VIC)</w:t>
            </w:r>
          </w:p>
        </w:tc>
        <w:tc>
          <w:tcPr>
            <w:tcW w:w="0" w:type="pct"/>
            <w:hideMark/>
          </w:tcPr>
          <w:p w14:paraId="4CB0554D"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0.77</w:t>
            </w:r>
          </w:p>
        </w:tc>
        <w:tc>
          <w:tcPr>
            <w:tcW w:w="0" w:type="pct"/>
            <w:hideMark/>
          </w:tcPr>
          <w:p w14:paraId="23C54E54"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0.09</w:t>
            </w:r>
          </w:p>
        </w:tc>
      </w:tr>
      <w:tr w:rsidR="00FB0B91" w:rsidRPr="00AA5CB5" w14:paraId="59A09AAF" w14:textId="77777777" w:rsidTr="00C328EC">
        <w:trPr>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2BA3AC4D" w14:textId="09F079C4" w:rsidR="00FB0B91" w:rsidRPr="00AA5CB5" w:rsidRDefault="005F4126">
            <w:pPr>
              <w:pStyle w:val="Tablebodytext"/>
              <w:rPr>
                <w:rFonts w:eastAsiaTheme="minorHAnsi"/>
                <w:b w:val="0"/>
                <w:lang w:val="en-AU"/>
              </w:rPr>
            </w:pPr>
            <w:r w:rsidRPr="00AA5CB5">
              <w:rPr>
                <w:rFonts w:eastAsiaTheme="minorHAnsi"/>
                <w:b w:val="0"/>
                <w:lang w:val="en-AU"/>
              </w:rPr>
              <w:t>Western Australia (</w:t>
            </w:r>
            <w:r w:rsidR="00FB0B91" w:rsidRPr="00AA5CB5">
              <w:rPr>
                <w:rFonts w:eastAsiaTheme="minorHAnsi"/>
                <w:b w:val="0"/>
                <w:lang w:val="en-AU"/>
              </w:rPr>
              <w:t>WA</w:t>
            </w:r>
            <w:r w:rsidRPr="00AA5CB5">
              <w:rPr>
                <w:rFonts w:eastAsiaTheme="minorHAnsi"/>
                <w:b w:val="0"/>
                <w:lang w:val="en-AU"/>
              </w:rPr>
              <w:t>)</w:t>
            </w:r>
            <w:r w:rsidR="00FB0B91" w:rsidRPr="00AA5CB5">
              <w:rPr>
                <w:rFonts w:eastAsiaTheme="minorHAnsi"/>
                <w:b w:val="0"/>
                <w:lang w:val="en-AU"/>
              </w:rPr>
              <w:t xml:space="preserve"> - South West Interconnected System (SWIS) </w:t>
            </w:r>
          </w:p>
        </w:tc>
        <w:tc>
          <w:tcPr>
            <w:tcW w:w="0" w:type="pct"/>
            <w:hideMark/>
          </w:tcPr>
          <w:p w14:paraId="4115DD6A"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0.51</w:t>
            </w:r>
          </w:p>
        </w:tc>
        <w:tc>
          <w:tcPr>
            <w:tcW w:w="0" w:type="pct"/>
            <w:hideMark/>
          </w:tcPr>
          <w:p w14:paraId="7EDC045F"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0.06</w:t>
            </w:r>
          </w:p>
        </w:tc>
      </w:tr>
      <w:tr w:rsidR="00FB0B91" w:rsidRPr="00AA5CB5" w14:paraId="74933A51" w14:textId="77777777" w:rsidTr="00C328EC">
        <w:trPr>
          <w:trHeight w:val="300"/>
        </w:trPr>
        <w:tc>
          <w:tcPr>
            <w:cnfStyle w:val="001000000000" w:firstRow="0" w:lastRow="0" w:firstColumn="1" w:lastColumn="0" w:oddVBand="0" w:evenVBand="0" w:oddHBand="0" w:evenHBand="0" w:firstRowFirstColumn="0" w:firstRowLastColumn="0" w:lastRowFirstColumn="0" w:lastRowLastColumn="0"/>
            <w:tcW w:w="0" w:type="pct"/>
          </w:tcPr>
          <w:p w14:paraId="015B1441" w14:textId="4926601C" w:rsidR="00FB0B91" w:rsidRPr="00AA5CB5" w:rsidRDefault="005F4126">
            <w:pPr>
              <w:pStyle w:val="Tablebodytext"/>
              <w:rPr>
                <w:lang w:val="en-AU"/>
              </w:rPr>
            </w:pPr>
            <w:r w:rsidRPr="00AA5CB5">
              <w:rPr>
                <w:rFonts w:eastAsiaTheme="minorHAnsi"/>
                <w:b w:val="0"/>
                <w:lang w:val="en-AU"/>
              </w:rPr>
              <w:t>Western Australia (WA)</w:t>
            </w:r>
            <w:r w:rsidR="00FB0B91" w:rsidRPr="00AA5CB5">
              <w:rPr>
                <w:rFonts w:eastAsiaTheme="minorHAnsi"/>
                <w:b w:val="0"/>
                <w:lang w:val="en-AU"/>
              </w:rPr>
              <w:t xml:space="preserve"> - North West Interconnected System (NWIS) </w:t>
            </w:r>
          </w:p>
        </w:tc>
        <w:tc>
          <w:tcPr>
            <w:tcW w:w="0" w:type="pct"/>
          </w:tcPr>
          <w:p w14:paraId="1E24AB93"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0.61</w:t>
            </w:r>
          </w:p>
        </w:tc>
        <w:tc>
          <w:tcPr>
            <w:tcW w:w="0" w:type="pct"/>
          </w:tcPr>
          <w:p w14:paraId="7FD6F573"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0.09</w:t>
            </w:r>
          </w:p>
        </w:tc>
      </w:tr>
      <w:tr w:rsidR="00FB0B91" w:rsidRPr="00AA5CB5" w14:paraId="7390C901" w14:textId="77777777" w:rsidTr="00C328EC">
        <w:trPr>
          <w:trHeight w:val="300"/>
        </w:trPr>
        <w:tc>
          <w:tcPr>
            <w:cnfStyle w:val="001000000000" w:firstRow="0" w:lastRow="0" w:firstColumn="1" w:lastColumn="0" w:oddVBand="0" w:evenVBand="0" w:oddHBand="0" w:evenHBand="0" w:firstRowFirstColumn="0" w:firstRowLastColumn="0" w:lastRowFirstColumn="0" w:lastRowLastColumn="0"/>
            <w:tcW w:w="0" w:type="pct"/>
          </w:tcPr>
          <w:p w14:paraId="4F312F7C" w14:textId="77777777" w:rsidR="00FB0B91" w:rsidRPr="00AA5CB5" w:rsidRDefault="00FB0B91">
            <w:pPr>
              <w:pStyle w:val="Tablebodytext"/>
              <w:rPr>
                <w:b w:val="0"/>
                <w:lang w:val="en-AU"/>
              </w:rPr>
            </w:pPr>
            <w:r w:rsidRPr="00AA5CB5">
              <w:rPr>
                <w:b w:val="0"/>
                <w:lang w:val="en-AU"/>
              </w:rPr>
              <w:t>Other - National location based</w:t>
            </w:r>
          </w:p>
        </w:tc>
        <w:tc>
          <w:tcPr>
            <w:tcW w:w="0" w:type="pct"/>
          </w:tcPr>
          <w:p w14:paraId="2CF77DD7"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0.63</w:t>
            </w:r>
          </w:p>
        </w:tc>
        <w:tc>
          <w:tcPr>
            <w:tcW w:w="0" w:type="pct"/>
          </w:tcPr>
          <w:p w14:paraId="2DA37A1F" w14:textId="77777777" w:rsidR="00FB0B91" w:rsidRPr="00AA5CB5" w:rsidRDefault="00FB0B9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0.07</w:t>
            </w:r>
          </w:p>
        </w:tc>
      </w:tr>
    </w:tbl>
    <w:p w14:paraId="3F391D82" w14:textId="4FA2460E" w:rsidR="007949DF" w:rsidRPr="00AA5CB5" w:rsidRDefault="00DD7F13">
      <w:pPr>
        <w:pStyle w:val="Notebullets1"/>
        <w:numPr>
          <w:ilvl w:val="0"/>
          <w:numId w:val="0"/>
        </w:numPr>
      </w:pPr>
      <w:r w:rsidRPr="00AA5CB5">
        <w:rPr>
          <w:rStyle w:val="Notebullets1Char"/>
        </w:rPr>
        <w:t>Source:</w:t>
      </w:r>
      <w:r w:rsidRPr="00AA5CB5">
        <w:t xml:space="preserve"> </w:t>
      </w:r>
      <w:r w:rsidR="0073078A" w:rsidRPr="00AA5CB5">
        <w:t>DCCEEW</w:t>
      </w:r>
      <w:r w:rsidR="0094322B" w:rsidRPr="00AA5CB5">
        <w:t xml:space="preserve"> (Department of </w:t>
      </w:r>
      <w:r w:rsidR="00DC623F" w:rsidRPr="00AA5CB5">
        <w:t xml:space="preserve">Climate Change, Energy, </w:t>
      </w:r>
      <w:r w:rsidR="007B48DE" w:rsidRPr="00AA5CB5">
        <w:t xml:space="preserve">the </w:t>
      </w:r>
      <w:r w:rsidR="00DC623F" w:rsidRPr="00AA5CB5">
        <w:t>Environment and Water</w:t>
      </w:r>
      <w:r w:rsidR="0062708D" w:rsidRPr="00AA5CB5">
        <w:t>)</w:t>
      </w:r>
      <w:r w:rsidR="0073078A" w:rsidRPr="00AA5CB5">
        <w:t xml:space="preserve"> (2024) </w:t>
      </w:r>
      <w:hyperlink r:id="rId58" w:history="1">
        <w:r w:rsidR="0073078A" w:rsidRPr="00AA5CB5">
          <w:rPr>
            <w:rStyle w:val="Hyperlink1"/>
            <w:rFonts w:asciiTheme="minorHAnsi" w:hAnsiTheme="minorHAnsi" w:cstheme="minorHAnsi"/>
            <w:i/>
            <w:iCs/>
            <w:sz w:val="20"/>
            <w:szCs w:val="20"/>
          </w:rPr>
          <w:t>Australian National Greenhouse Accounts Factors</w:t>
        </w:r>
      </w:hyperlink>
      <w:r w:rsidR="0073078A" w:rsidRPr="00AA5CB5">
        <w:t>, DCCEEW, 2024:8-9; table 1</w:t>
      </w:r>
      <w:r w:rsidR="00E45ED7" w:rsidRPr="00AA5CB5">
        <w:t>, accessed 14 February 2025</w:t>
      </w:r>
      <w:r w:rsidR="0073078A" w:rsidRPr="00AA5CB5">
        <w:t>.</w:t>
      </w:r>
    </w:p>
    <w:p w14:paraId="679F8AF3" w14:textId="4D56E475" w:rsidR="00FB0B91" w:rsidRPr="00AA5CB5" w:rsidRDefault="00E90152" w:rsidP="00FB0B91">
      <w:pPr>
        <w:pStyle w:val="Heading3"/>
      </w:pPr>
      <w:r>
        <w:t>GHG</w:t>
      </w:r>
      <w:r w:rsidR="00FB0B91" w:rsidRPr="00AA5CB5">
        <w:t xml:space="preserve"> emissions from electricity using the Market</w:t>
      </w:r>
      <w:r w:rsidR="007C5734">
        <w:t>-</w:t>
      </w:r>
      <w:r w:rsidR="00FB0B91" w:rsidRPr="00AA5CB5">
        <w:t xml:space="preserve">based method </w:t>
      </w:r>
    </w:p>
    <w:p w14:paraId="6EA27300" w14:textId="71767412" w:rsidR="00FB0B91" w:rsidRPr="00AA5CB5" w:rsidRDefault="00FB0B91" w:rsidP="00FB0B91">
      <w:pPr>
        <w:pStyle w:val="BodyText1"/>
      </w:pPr>
      <w:r w:rsidRPr="00AA5CB5">
        <w:t xml:space="preserve">Market-based scope 2 and scope 3 electricity-related </w:t>
      </w:r>
      <w:r w:rsidR="00E90152">
        <w:t>GHG</w:t>
      </w:r>
      <w:r w:rsidRPr="00AA5CB5">
        <w:t xml:space="preserve"> emissions are calculated by Finance, using the electricity-related activity data provided. To support disclosure, reporting agencies should include a brief explanation of any formal contractual arrangements in place with another </w:t>
      </w:r>
      <w:r w:rsidRPr="00AA5CB5">
        <w:lastRenderedPageBreak/>
        <w:t>agency to support deployment of low emissions electricity (for example, GreenPower), where applicable.</w:t>
      </w:r>
    </w:p>
    <w:p w14:paraId="6922C853" w14:textId="77777777" w:rsidR="00FB0B91" w:rsidRPr="00AA5CB5" w:rsidRDefault="00000000" w:rsidP="00FB0B91">
      <w:pPr>
        <w:pStyle w:val="BodyText1"/>
        <w:shd w:val="clear" w:color="auto" w:fill="E8F0FE" w:themeFill="accent5" w:themeFillTint="33"/>
      </w:pPr>
      <m:oMathPara>
        <m:oMathParaPr>
          <m:jc m:val="center"/>
        </m:oMathParaPr>
        <m:oMath>
          <m:sSub>
            <m:sSubPr>
              <m:ctrlPr>
                <w:rPr>
                  <w:rFonts w:ascii="Cambria Math" w:hAnsi="Cambria Math"/>
                </w:rPr>
              </m:ctrlPr>
            </m:sSubPr>
            <m:e>
              <m:r>
                <m:rPr>
                  <m:sty m:val="p"/>
                </m:rPr>
                <w:rPr>
                  <w:rFonts w:ascii="Cambria Math" w:hAnsi="Cambria Math"/>
                </w:rPr>
                <m:t>t CO</m:t>
              </m:r>
            </m:e>
            <m:sub>
              <m:r>
                <m:rPr>
                  <m:sty m:val="p"/>
                </m:rPr>
                <w:rPr>
                  <w:rFonts w:ascii="Cambria Math" w:hAnsi="Cambria Math"/>
                </w:rPr>
                <m:t>2</m:t>
              </m:r>
            </m:sub>
          </m:sSub>
          <m:r>
            <m:rPr>
              <m:nor/>
            </m:rPr>
            <m:t>-</m:t>
          </m:r>
          <m:r>
            <m:rPr>
              <m:sty m:val="p"/>
            </m:rPr>
            <w:rPr>
              <w:rFonts w:ascii="Cambria Math" w:hAnsi="Cambria Math"/>
            </w:rPr>
            <m:t>e =</m:t>
          </m:r>
          <m:d>
            <m:dPr>
              <m:ctrlPr>
                <w:rPr>
                  <w:rFonts w:ascii="Cambria Math" w:hAnsi="Cambria Math"/>
                </w:rPr>
              </m:ctrlPr>
            </m:dPr>
            <m:e>
              <m:d>
                <m:dPr>
                  <m:ctrlPr>
                    <w:rPr>
                      <w:rFonts w:ascii="Cambria Math" w:hAnsi="Cambria Math"/>
                    </w:rPr>
                  </m:ctrlPr>
                </m:dPr>
                <m:e>
                  <m:r>
                    <m:rPr>
                      <m:sty m:val="p"/>
                    </m:rPr>
                    <w:rPr>
                      <w:rFonts w:ascii="Cambria Math" w:hAnsi="Cambria Math"/>
                    </w:rPr>
                    <m:t>Q-</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exempt</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RPP+JRPP</m:t>
                      </m:r>
                    </m:e>
                  </m:d>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exempt</m:t>
                      </m:r>
                    </m:sub>
                  </m:sSub>
                  <m:r>
                    <m:rPr>
                      <m:sty m:val="p"/>
                    </m:rPr>
                    <w:rPr>
                      <w:rFonts w:ascii="Cambria Math" w:hAnsi="Cambria Math"/>
                    </w:rPr>
                    <m:t>×</m:t>
                  </m:r>
                  <m:d>
                    <m:dPr>
                      <m:ctrlPr>
                        <w:rPr>
                          <w:rFonts w:ascii="Cambria Math" w:hAnsi="Cambria Math"/>
                        </w:rPr>
                      </m:ctrlPr>
                    </m:dPr>
                    <m:e>
                      <m:r>
                        <m:rPr>
                          <m:sty m:val="p"/>
                        </m:rPr>
                        <w:rPr>
                          <w:rFonts w:ascii="Cambria Math" w:hAnsi="Cambria Math"/>
                        </w:rPr>
                        <m:t>1-JRPP</m:t>
                      </m:r>
                    </m:e>
                  </m:d>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REC</m:t>
                      </m:r>
                    </m:e>
                    <m:sub>
                      <m:r>
                        <m:rPr>
                          <m:sty m:val="p"/>
                        </m:rPr>
                        <w:rPr>
                          <w:rFonts w:ascii="Cambria Math" w:hAnsi="Cambria Math"/>
                        </w:rPr>
                        <m:t>surr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REC</m:t>
                      </m:r>
                    </m:e>
                    <m:sub>
                      <m:r>
                        <m:rPr>
                          <m:sty m:val="p"/>
                        </m:rPr>
                        <w:rPr>
                          <w:rFonts w:ascii="Cambria Math" w:hAnsi="Cambria Math"/>
                        </w:rPr>
                        <m:t>onsite</m:t>
                      </m:r>
                    </m:sub>
                  </m:sSub>
                </m:e>
              </m:d>
              <m:r>
                <m:rPr>
                  <m:sty m:val="p"/>
                </m:rPr>
                <w:rPr>
                  <w:rFonts w:ascii="Cambria Math" w:hAnsi="Cambria Math"/>
                </w:rPr>
                <m:t>×1,000</m:t>
              </m:r>
            </m:e>
          </m:d>
          <m:r>
            <m:rPr>
              <m:sty m:val="p"/>
            </m:rPr>
            <w:rPr>
              <w:rFonts w:ascii="Cambria Math" w:hAnsi="Cambria Math"/>
            </w:rPr>
            <m:t>×</m:t>
          </m:r>
          <m:f>
            <m:fPr>
              <m:ctrlPr>
                <w:rPr>
                  <w:rFonts w:ascii="Cambria Math" w:hAnsi="Cambria Math"/>
                </w:rPr>
              </m:ctrlPr>
            </m:fPr>
            <m:num>
              <m:r>
                <m:rPr>
                  <m:sty m:val="p"/>
                </m:rPr>
                <w:rPr>
                  <w:rFonts w:ascii="Cambria Math" w:hAnsi="Cambria Math"/>
                </w:rPr>
                <m:t>RMF1+RMF2</m:t>
              </m:r>
            </m:num>
            <m:den>
              <m:r>
                <m:rPr>
                  <m:sty m:val="p"/>
                </m:rPr>
                <w:rPr>
                  <w:rFonts w:ascii="Cambria Math" w:hAnsi="Cambria Math"/>
                </w:rPr>
                <m:t>1,000</m:t>
              </m:r>
            </m:den>
          </m:f>
        </m:oMath>
      </m:oMathPara>
    </w:p>
    <w:p w14:paraId="766C05C5" w14:textId="77777777" w:rsidR="00FB0B91" w:rsidRPr="00AA5CB5" w:rsidRDefault="00FB0B91" w:rsidP="00FB0B91">
      <w:pPr>
        <w:pStyle w:val="Bodybullet1"/>
        <w:numPr>
          <w:ilvl w:val="0"/>
          <w:numId w:val="0"/>
        </w:numPr>
        <w:shd w:val="clear" w:color="auto" w:fill="E8F0FE" w:themeFill="accent5" w:themeFillTint="33"/>
      </w:pPr>
      <w:r w:rsidRPr="00AA5CB5">
        <w:t>Where:</w:t>
      </w:r>
    </w:p>
    <w:p w14:paraId="29264CCE" w14:textId="59B48B5B" w:rsidR="00FB0B91" w:rsidRPr="00AA5CB5" w:rsidRDefault="00000000" w:rsidP="00FB0B91">
      <w:pPr>
        <w:pStyle w:val="Bodybullet1"/>
        <w:shd w:val="clear" w:color="auto" w:fill="E8F0FE" w:themeFill="accent5" w:themeFillTint="33"/>
      </w:pPr>
      <m:oMath>
        <m:sSub>
          <m:sSubPr>
            <m:ctrlPr>
              <w:rPr>
                <w:rFonts w:ascii="Cambria Math" w:hAnsi="Cambria Math"/>
              </w:rPr>
            </m:ctrlPr>
          </m:sSubPr>
          <m:e>
            <m:r>
              <m:rPr>
                <m:sty m:val="b"/>
              </m:rPr>
              <w:rPr>
                <w:rFonts w:ascii="Cambria Math" w:hAnsi="Cambria Math"/>
              </w:rPr>
              <m:t>t</m:t>
            </m:r>
            <m:r>
              <m:rPr>
                <m:sty m:val="p"/>
              </m:rPr>
              <w:rPr>
                <w:rFonts w:ascii="Cambria Math" w:hAnsi="Cambria Math"/>
              </w:rPr>
              <m:t xml:space="preserve"> </m:t>
            </m:r>
            <m:r>
              <m:rPr>
                <m:sty m:val="b"/>
              </m:rPr>
              <w:rPr>
                <w:rFonts w:ascii="Cambria Math" w:hAnsi="Cambria Math"/>
              </w:rPr>
              <m:t>CO</m:t>
            </m:r>
          </m:e>
          <m:sub>
            <m:r>
              <m:rPr>
                <m:sty m:val="b"/>
              </m:rPr>
              <w:rPr>
                <w:rFonts w:ascii="Cambria Math" w:hAnsi="Cambria Math"/>
              </w:rPr>
              <m:t>2</m:t>
            </m:r>
          </m:sub>
        </m:sSub>
        <m:r>
          <m:rPr>
            <m:nor/>
          </m:rPr>
          <m:t>-</m:t>
        </m:r>
        <m:r>
          <m:rPr>
            <m:sty m:val="b"/>
          </m:rPr>
          <w:rPr>
            <w:rFonts w:ascii="Cambria Math" w:hAnsi="Cambria Math"/>
          </w:rPr>
          <m:t>e</m:t>
        </m:r>
      </m:oMath>
      <w:r w:rsidR="00FB0B91" w:rsidRPr="00AA5CB5">
        <w:t xml:space="preserve"> are the </w:t>
      </w:r>
      <w:r w:rsidR="00E90152">
        <w:t>GHG</w:t>
      </w:r>
      <w:r w:rsidR="00FB0B91" w:rsidRPr="00AA5CB5">
        <w:t xml:space="preserve"> emissions, in tonnes carbon dioxide equivalent</w:t>
      </w:r>
    </w:p>
    <w:p w14:paraId="3D5D4697" w14:textId="151E0EDB" w:rsidR="00FB0B91" w:rsidRPr="00AA5CB5" w:rsidRDefault="00864367" w:rsidP="00FB0B91">
      <w:pPr>
        <w:pStyle w:val="Bodybullet1"/>
        <w:shd w:val="clear" w:color="auto" w:fill="E8F0FE" w:themeFill="accent5" w:themeFillTint="33"/>
      </w:pPr>
      <m:oMath>
        <m:r>
          <m:rPr>
            <m:sty m:val="b"/>
          </m:rPr>
          <w:rPr>
            <w:rFonts w:ascii="Cambria Math" w:hAnsi="Cambria Math"/>
          </w:rPr>
          <m:t>Q</m:t>
        </m:r>
      </m:oMath>
      <w:r w:rsidR="00FB0B91" w:rsidRPr="00AA5CB5">
        <w:t xml:space="preserve"> - quantity of electricity purchased or acquired, and consumed, in kilowatt hours (kWh)</w:t>
      </w:r>
    </w:p>
    <w:p w14:paraId="3E69DAD5" w14:textId="77777777" w:rsidR="00FB0B91" w:rsidRPr="00AA5CB5" w:rsidRDefault="00000000" w:rsidP="00FB0B91">
      <w:pPr>
        <w:pStyle w:val="Bodybullet1"/>
        <w:shd w:val="clear" w:color="auto" w:fill="E8F0FE" w:themeFill="accent5" w:themeFillTint="33"/>
      </w:pPr>
      <m:oMath>
        <m:sSub>
          <m:sSubPr>
            <m:ctrlPr>
              <w:rPr>
                <w:rFonts w:ascii="Cambria Math" w:hAnsi="Cambria Math"/>
              </w:rPr>
            </m:ctrlPr>
          </m:sSubPr>
          <m:e>
            <m:r>
              <m:rPr>
                <m:sty m:val="b"/>
              </m:rPr>
              <w:rPr>
                <w:rFonts w:ascii="Cambria Math" w:hAnsi="Cambria Math"/>
              </w:rPr>
              <m:t>Q</m:t>
            </m:r>
          </m:e>
          <m:sub>
            <m:r>
              <m:rPr>
                <m:sty m:val="b"/>
              </m:rPr>
              <w:rPr>
                <w:rFonts w:ascii="Cambria Math" w:hAnsi="Cambria Math"/>
              </w:rPr>
              <m:t>exempt</m:t>
            </m:r>
          </m:sub>
        </m:sSub>
      </m:oMath>
      <w:r w:rsidR="00FB0B91" w:rsidRPr="00AA5CB5">
        <w:t xml:space="preserve"> - quantity of electricity exempt from Renewable Energy Target (RET) liability, measured in kWh</w:t>
      </w:r>
    </w:p>
    <w:p w14:paraId="7DFCFE42" w14:textId="1AA9F616" w:rsidR="00FB0B91" w:rsidRPr="00AA5CB5" w:rsidRDefault="00864367" w:rsidP="00FB0B91">
      <w:pPr>
        <w:pStyle w:val="Bodybullet1"/>
        <w:shd w:val="clear" w:color="auto" w:fill="E8F0FE" w:themeFill="accent5" w:themeFillTint="33"/>
      </w:pPr>
      <m:oMath>
        <m:r>
          <m:rPr>
            <m:sty m:val="b"/>
          </m:rPr>
          <w:rPr>
            <w:rFonts w:ascii="Cambria Math" w:hAnsi="Cambria Math"/>
          </w:rPr>
          <m:t>RPP</m:t>
        </m:r>
      </m:oMath>
      <w:r w:rsidR="00FB0B91" w:rsidRPr="00AA5CB5">
        <w:t xml:space="preserve"> - Renewable Power Percentage for the applicable period, averaged across previous and current calendar years. For example, calendar years 202</w:t>
      </w:r>
      <w:r w:rsidR="00807B5C" w:rsidRPr="00AA5CB5">
        <w:t>4</w:t>
      </w:r>
      <w:r w:rsidR="00FB0B91" w:rsidRPr="00AA5CB5">
        <w:t xml:space="preserve"> and 202</w:t>
      </w:r>
      <w:r w:rsidR="00807B5C" w:rsidRPr="00AA5CB5">
        <w:t>5</w:t>
      </w:r>
      <w:r w:rsidR="00FB0B91" w:rsidRPr="00AA5CB5">
        <w:t xml:space="preserve"> are used for the calculation of the financial year 202</w:t>
      </w:r>
      <w:r w:rsidR="00807B5C" w:rsidRPr="00AA5CB5">
        <w:t>5</w:t>
      </w:r>
      <w:r w:rsidR="00FB0B91" w:rsidRPr="00AA5CB5">
        <w:t xml:space="preserve"> RPP</w:t>
      </w:r>
    </w:p>
    <w:p w14:paraId="6DB324DB" w14:textId="11FBABC4" w:rsidR="00FB0B91" w:rsidRPr="00AA5CB5" w:rsidRDefault="00864367" w:rsidP="00FB0B91">
      <w:pPr>
        <w:pStyle w:val="Bodybullet1"/>
        <w:shd w:val="clear" w:color="auto" w:fill="E8F0FE" w:themeFill="accent5" w:themeFillTint="33"/>
      </w:pPr>
      <m:oMath>
        <m:r>
          <m:rPr>
            <m:sty m:val="b"/>
          </m:rPr>
          <w:rPr>
            <w:rFonts w:ascii="Cambria Math" w:hAnsi="Cambria Math"/>
          </w:rPr>
          <m:t>JRPP</m:t>
        </m:r>
      </m:oMath>
      <w:r w:rsidR="00FB0B91" w:rsidRPr="00AA5CB5">
        <w:t xml:space="preserve"> - Jurisdictional RPP for the applicable period and activity state. Calculated as the number of eligible Renewable Energy Certificates surrendered by or on behalf of the jurisdictional authority divided by total electricity consumption in the jurisdiction. As of 202</w:t>
      </w:r>
      <w:r w:rsidR="00B51D68" w:rsidRPr="00AA5CB5">
        <w:t>5</w:t>
      </w:r>
      <w:r w:rsidR="00FB0B91" w:rsidRPr="00AA5CB5">
        <w:t>, the ACT is the only jurisdiction with a JRPP.</w:t>
      </w:r>
    </w:p>
    <w:p w14:paraId="0C99E192" w14:textId="77777777" w:rsidR="00FB0B91" w:rsidRPr="00AA5CB5" w:rsidRDefault="00000000" w:rsidP="00FB0B91">
      <w:pPr>
        <w:pStyle w:val="Bodybullet1"/>
        <w:shd w:val="clear" w:color="auto" w:fill="E8F0FE" w:themeFill="accent5" w:themeFillTint="33"/>
      </w:pPr>
      <m:oMath>
        <m:sSub>
          <m:sSubPr>
            <m:ctrlPr>
              <w:rPr>
                <w:rFonts w:ascii="Cambria Math" w:hAnsi="Cambria Math"/>
              </w:rPr>
            </m:ctrlPr>
          </m:sSubPr>
          <m:e>
            <m:r>
              <m:rPr>
                <m:sty m:val="b"/>
              </m:rPr>
              <w:rPr>
                <w:rFonts w:ascii="Cambria Math" w:hAnsi="Cambria Math"/>
              </w:rPr>
              <m:t>REC</m:t>
            </m:r>
          </m:e>
          <m:sub>
            <m:r>
              <m:rPr>
                <m:sty m:val="b"/>
              </m:rPr>
              <w:rPr>
                <w:rFonts w:ascii="Cambria Math" w:hAnsi="Cambria Math"/>
              </w:rPr>
              <m:t>surr</m:t>
            </m:r>
          </m:sub>
        </m:sSub>
      </m:oMath>
      <w:r w:rsidR="00FB0B91" w:rsidRPr="00AA5CB5">
        <w:t xml:space="preserve"> - eligible RECs voluntarily surrendered in the reporting year, equivalent to megawatt hours (MWh)</w:t>
      </w:r>
    </w:p>
    <w:p w14:paraId="066F42D5" w14:textId="77777777" w:rsidR="00FB0B91" w:rsidRPr="00AA5CB5" w:rsidRDefault="00000000" w:rsidP="00FB0B91">
      <w:pPr>
        <w:pStyle w:val="Bodybullet1"/>
        <w:shd w:val="clear" w:color="auto" w:fill="E8F0FE" w:themeFill="accent5" w:themeFillTint="33"/>
      </w:pPr>
      <m:oMath>
        <m:sSub>
          <m:sSubPr>
            <m:ctrlPr>
              <w:rPr>
                <w:rFonts w:ascii="Cambria Math" w:hAnsi="Cambria Math"/>
              </w:rPr>
            </m:ctrlPr>
          </m:sSubPr>
          <m:e>
            <m:r>
              <m:rPr>
                <m:sty m:val="b"/>
              </m:rPr>
              <w:rPr>
                <w:rFonts w:ascii="Cambria Math" w:hAnsi="Cambria Math"/>
              </w:rPr>
              <m:t>REC</m:t>
            </m:r>
          </m:e>
          <m:sub>
            <m:r>
              <m:rPr>
                <m:sty m:val="b"/>
              </m:rPr>
              <w:rPr>
                <w:rFonts w:ascii="Cambria Math" w:hAnsi="Cambria Math"/>
              </w:rPr>
              <m:t>onsite</m:t>
            </m:r>
          </m:sub>
        </m:sSub>
      </m:oMath>
      <w:r w:rsidR="00FB0B91" w:rsidRPr="00AA5CB5">
        <w:t xml:space="preserve"> - eligible RECs that have been or will be issued for electricity produced on-site during the year and consumed from the operation of the facility, equivalent to MWh </w:t>
      </w:r>
    </w:p>
    <w:p w14:paraId="75639FF8" w14:textId="4DF21EAE" w:rsidR="00FB0B91" w:rsidRPr="00AA5CB5" w:rsidRDefault="00864367" w:rsidP="00FB0B91">
      <w:pPr>
        <w:pStyle w:val="Bodybullet1"/>
        <w:shd w:val="clear" w:color="auto" w:fill="E8F0FE" w:themeFill="accent5" w:themeFillTint="33"/>
      </w:pPr>
      <m:oMath>
        <m:r>
          <m:rPr>
            <m:sty m:val="b"/>
          </m:rPr>
          <w:rPr>
            <w:rFonts w:ascii="Cambria Math" w:hAnsi="Cambria Math"/>
          </w:rPr>
          <m:t>RMF1</m:t>
        </m:r>
      </m:oMath>
      <w:r w:rsidR="00FB0B91" w:rsidRPr="00AA5CB5">
        <w:t xml:space="preserve"> - scope 2 residual mix factor (RMF), in kg CO</w:t>
      </w:r>
      <w:r w:rsidR="00FB0B91" w:rsidRPr="00AA5CB5">
        <w:rPr>
          <w:vertAlign w:val="subscript"/>
        </w:rPr>
        <w:t>2</w:t>
      </w:r>
      <w:r w:rsidR="00FB0B91" w:rsidRPr="00AA5CB5">
        <w:t xml:space="preserve">-e emissions per kWh </w:t>
      </w:r>
    </w:p>
    <w:p w14:paraId="09FCEEF3" w14:textId="5E428F3D" w:rsidR="00FB0B91" w:rsidRPr="00AA5CB5" w:rsidRDefault="00864367" w:rsidP="00FB0B91">
      <w:pPr>
        <w:pStyle w:val="Bodybullet1"/>
        <w:shd w:val="clear" w:color="auto" w:fill="E8F0FE" w:themeFill="accent5" w:themeFillTint="33"/>
      </w:pPr>
      <m:oMath>
        <m:r>
          <m:rPr>
            <m:sty m:val="b"/>
          </m:rPr>
          <w:rPr>
            <w:rFonts w:ascii="Cambria Math" w:hAnsi="Cambria Math"/>
          </w:rPr>
          <m:t>RMF2</m:t>
        </m:r>
      </m:oMath>
      <w:r w:rsidR="00FB0B91" w:rsidRPr="00AA5CB5">
        <w:t xml:space="preserve"> - scope 3 RMF, in kg CO</w:t>
      </w:r>
      <w:r w:rsidR="00FB0B91" w:rsidRPr="00AA5CB5">
        <w:rPr>
          <w:vertAlign w:val="subscript"/>
        </w:rPr>
        <w:t>2</w:t>
      </w:r>
      <w:r w:rsidR="00FB0B91" w:rsidRPr="00AA5CB5">
        <w:t xml:space="preserve">-e emissions per kWh </w:t>
      </w:r>
    </w:p>
    <w:p w14:paraId="47678B83" w14:textId="77777777" w:rsidR="00FB0B91" w:rsidRPr="00AA5CB5" w:rsidRDefault="00FB0B91" w:rsidP="00FB0B91">
      <w:pPr>
        <w:pStyle w:val="Bodybullet1"/>
        <w:shd w:val="clear" w:color="auto" w:fill="E8F0FE" w:themeFill="accent5" w:themeFillTint="33"/>
      </w:pPr>
      <w:r w:rsidRPr="00AA5CB5">
        <w:t xml:space="preserve">Note: As the sum of </w:t>
      </w:r>
      <m:oMath>
        <m:r>
          <m:rPr>
            <m:sty m:val="p"/>
          </m:rPr>
          <w:rPr>
            <w:rFonts w:ascii="Cambria Math" w:hAnsi="Cambria Math"/>
          </w:rPr>
          <m:t>RMF1</m:t>
        </m:r>
      </m:oMath>
      <w:r w:rsidRPr="00AA5CB5">
        <w:t xml:space="preserve"> and </w:t>
      </w:r>
      <m:oMath>
        <m:r>
          <m:rPr>
            <m:sty m:val="p"/>
          </m:rPr>
          <w:rPr>
            <w:rFonts w:ascii="Cambria Math" w:hAnsi="Cambria Math"/>
          </w:rPr>
          <m:t>RMF2</m:t>
        </m:r>
      </m:oMath>
      <w:r w:rsidRPr="00AA5CB5">
        <w:t xml:space="preserve"> is given in kg CO</w:t>
      </w:r>
      <w:r w:rsidRPr="00AA5CB5">
        <w:rPr>
          <w:vertAlign w:val="subscript"/>
        </w:rPr>
        <w:t>2</w:t>
      </w:r>
      <w:r w:rsidRPr="00AA5CB5">
        <w:t>-e emissions per kWh, it is necessary to divide by 1000 to convert to t CO</w:t>
      </w:r>
      <w:r w:rsidRPr="00AA5CB5">
        <w:rPr>
          <w:vertAlign w:val="subscript"/>
        </w:rPr>
        <w:t>2</w:t>
      </w:r>
      <w:r w:rsidRPr="00AA5CB5">
        <w:t xml:space="preserve">-e </w:t>
      </w:r>
    </w:p>
    <w:p w14:paraId="6A5FF302" w14:textId="77777777" w:rsidR="00FB0B91" w:rsidRPr="00AA5CB5" w:rsidRDefault="00FB0B91" w:rsidP="00FB0B91">
      <w:pPr>
        <w:pStyle w:val="BodyText1"/>
        <w:shd w:val="clear" w:color="auto" w:fill="E8F0FE" w:themeFill="accent5" w:themeFillTint="33"/>
      </w:pPr>
      <w:r w:rsidRPr="00AA5CB5">
        <w:t>An eligible Renewable Energy Certificate (REC) is:</w:t>
      </w:r>
    </w:p>
    <w:p w14:paraId="7DFA8C6F" w14:textId="77777777" w:rsidR="00FB0B91" w:rsidRPr="00AA5CB5" w:rsidRDefault="00FB0B91" w:rsidP="00FB0B91">
      <w:pPr>
        <w:pStyle w:val="Bodybullet1"/>
        <w:shd w:val="clear" w:color="auto" w:fill="E8F0FE" w:themeFill="accent5" w:themeFillTint="33"/>
      </w:pPr>
      <w:r w:rsidRPr="00AA5CB5">
        <w:t>a Large-scale Generation Certificate (LGC) that is voluntarily surrendered through the Renewable Energy Certificate Registry in the reporting year with a generation date of less than 36 months prior to the end of the reporting year; or</w:t>
      </w:r>
    </w:p>
    <w:p w14:paraId="0FEA7012" w14:textId="77777777" w:rsidR="00FB0B91" w:rsidRPr="00AA5CB5" w:rsidRDefault="00FB0B91" w:rsidP="00FB0B91">
      <w:pPr>
        <w:pStyle w:val="Bodybullet1"/>
        <w:shd w:val="clear" w:color="auto" w:fill="E8F0FE" w:themeFill="accent5" w:themeFillTint="33"/>
      </w:pPr>
      <w:r w:rsidRPr="00AA5CB5">
        <w:t>a purchase of GreenPower electricity from an accredited GreenPower Provider.</w:t>
      </w:r>
      <w:bookmarkStart w:id="149" w:name="_Toc197426961"/>
      <w:bookmarkStart w:id="150" w:name="_Toc197438626"/>
      <w:r w:rsidRPr="00AA5CB5">
        <w:rPr>
          <w:b/>
        </w:rPr>
        <w:t xml:space="preserve"> </w:t>
      </w:r>
    </w:p>
    <w:p w14:paraId="2FDA0BD3" w14:textId="38D5B5E9" w:rsidR="00FB0B91" w:rsidRPr="00AA5CB5" w:rsidRDefault="00FB0B91" w:rsidP="00FB0B91">
      <w:pPr>
        <w:pStyle w:val="Caption"/>
      </w:pPr>
      <w:bookmarkStart w:id="151" w:name="_Toc197438644"/>
      <w:bookmarkStart w:id="152" w:name="_Toc197438662"/>
      <w:bookmarkStart w:id="153" w:name="_Toc201927380"/>
      <w:bookmarkEnd w:id="149"/>
      <w:bookmarkEnd w:id="150"/>
      <w:r w:rsidRPr="00AA5CB5">
        <w:t xml:space="preserve">Table </w:t>
      </w:r>
      <w:r w:rsidRPr="00AA5CB5">
        <w:fldChar w:fldCharType="begin"/>
      </w:r>
      <w:r w:rsidRPr="00AA5CB5">
        <w:instrText xml:space="preserve"> SEQ Table \* ARABIC </w:instrText>
      </w:r>
      <w:r w:rsidRPr="00AA5CB5">
        <w:fldChar w:fldCharType="separate"/>
      </w:r>
      <w:r w:rsidR="00422A37">
        <w:rPr>
          <w:noProof/>
        </w:rPr>
        <w:t>7</w:t>
      </w:r>
      <w:r w:rsidRPr="00AA5CB5">
        <w:fldChar w:fldCharType="end"/>
      </w:r>
      <w:r w:rsidR="0088604A">
        <w:t>:</w:t>
      </w:r>
      <w:r w:rsidRPr="00AA5CB5">
        <w:t xml:space="preserve"> Residual </w:t>
      </w:r>
      <w:r w:rsidR="006A48BE">
        <w:t>M</w:t>
      </w:r>
      <w:r w:rsidRPr="00AA5CB5">
        <w:t xml:space="preserve">ix </w:t>
      </w:r>
      <w:r w:rsidR="006A48BE">
        <w:t>F</w:t>
      </w:r>
      <w:r w:rsidRPr="00AA5CB5">
        <w:t>actor</w:t>
      </w:r>
      <w:r w:rsidR="00957771">
        <w:t>s</w:t>
      </w:r>
      <w:r w:rsidRPr="00AA5CB5">
        <w:t xml:space="preserve"> (RMF)</w:t>
      </w:r>
      <w:bookmarkEnd w:id="151"/>
      <w:bookmarkEnd w:id="152"/>
      <w:bookmarkEnd w:id="153"/>
    </w:p>
    <w:tbl>
      <w:tblPr>
        <w:tblStyle w:val="ListTable4-Accent6"/>
        <w:tblW w:w="5000" w:type="pct"/>
        <w:tblInd w:w="0" w:type="dxa"/>
        <w:tblLook w:val="06A0" w:firstRow="1" w:lastRow="0" w:firstColumn="1" w:lastColumn="0" w:noHBand="1" w:noVBand="1"/>
      </w:tblPr>
      <w:tblGrid>
        <w:gridCol w:w="2689"/>
        <w:gridCol w:w="2977"/>
        <w:gridCol w:w="3736"/>
      </w:tblGrid>
      <w:tr w:rsidR="00674427" w:rsidRPr="00AA5CB5" w14:paraId="471059A1" w14:textId="77777777" w:rsidTr="005E1E93">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430" w:type="pct"/>
            <w:hideMark/>
          </w:tcPr>
          <w:p w14:paraId="5B047AB6" w14:textId="77777777" w:rsidR="00FB0B91" w:rsidRPr="00AA5CB5" w:rsidRDefault="00FB0B91">
            <w:pPr>
              <w:pStyle w:val="Tableheading"/>
              <w:rPr>
                <w:b/>
                <w:bCs w:val="0"/>
                <w:i/>
                <w:lang w:val="en-AU"/>
              </w:rPr>
            </w:pPr>
            <w:r w:rsidRPr="00AA5CB5">
              <w:rPr>
                <w:b/>
                <w:bCs w:val="0"/>
                <w:lang w:val="en-AU"/>
              </w:rPr>
              <w:t>Location</w:t>
            </w:r>
          </w:p>
        </w:tc>
        <w:tc>
          <w:tcPr>
            <w:tcW w:w="1583" w:type="pct"/>
            <w:hideMark/>
          </w:tcPr>
          <w:p w14:paraId="55E488E2" w14:textId="7777777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b/>
                <w:bCs w:val="0"/>
                <w:i/>
                <w:lang w:val="en-AU"/>
              </w:rPr>
            </w:pPr>
            <w:r w:rsidRPr="00AA5CB5">
              <w:rPr>
                <w:b/>
                <w:bCs w:val="0"/>
                <w:lang w:val="en-AU"/>
              </w:rPr>
              <w:t>Scope 2 residual mix factor</w:t>
            </w:r>
          </w:p>
          <w:p w14:paraId="3B642E1A" w14:textId="7777777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b/>
                <w:bCs w:val="0"/>
                <w:i/>
                <w:lang w:val="en-AU"/>
              </w:rPr>
            </w:pPr>
            <w:r w:rsidRPr="00AA5CB5">
              <w:rPr>
                <w:b/>
                <w:bCs w:val="0"/>
                <w:lang w:val="en-AU"/>
              </w:rPr>
              <w:t>kg CO</w:t>
            </w:r>
            <w:r w:rsidRPr="00AA5CB5">
              <w:rPr>
                <w:b/>
                <w:bCs w:val="0"/>
                <w:vertAlign w:val="subscript"/>
                <w:lang w:val="en-AU"/>
              </w:rPr>
              <w:t>2</w:t>
            </w:r>
            <w:r w:rsidRPr="00AA5CB5">
              <w:rPr>
                <w:b/>
                <w:bCs w:val="0"/>
                <w:lang w:val="en-AU"/>
              </w:rPr>
              <w:t>-e/kWh</w:t>
            </w:r>
          </w:p>
        </w:tc>
        <w:tc>
          <w:tcPr>
            <w:tcW w:w="1987" w:type="pct"/>
            <w:hideMark/>
          </w:tcPr>
          <w:p w14:paraId="0D4979C9" w14:textId="7777777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b/>
                <w:bCs w:val="0"/>
                <w:i/>
                <w:lang w:val="en-AU"/>
              </w:rPr>
            </w:pPr>
            <w:r w:rsidRPr="00AA5CB5">
              <w:rPr>
                <w:b/>
                <w:bCs w:val="0"/>
                <w:lang w:val="en-AU"/>
              </w:rPr>
              <w:t>Scope 3 residual mix factor</w:t>
            </w:r>
          </w:p>
          <w:p w14:paraId="56D1BB6E" w14:textId="7777777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b/>
                <w:bCs w:val="0"/>
                <w:i/>
                <w:lang w:val="en-AU"/>
              </w:rPr>
            </w:pPr>
            <w:r w:rsidRPr="00AA5CB5">
              <w:rPr>
                <w:b/>
                <w:bCs w:val="0"/>
                <w:lang w:val="en-AU"/>
              </w:rPr>
              <w:t>kg CO</w:t>
            </w:r>
            <w:r w:rsidRPr="00AA5CB5">
              <w:rPr>
                <w:b/>
                <w:bCs w:val="0"/>
                <w:vertAlign w:val="subscript"/>
                <w:lang w:val="en-AU"/>
              </w:rPr>
              <w:t>2</w:t>
            </w:r>
            <w:r w:rsidRPr="00AA5CB5">
              <w:rPr>
                <w:b/>
                <w:bCs w:val="0"/>
                <w:lang w:val="en-AU"/>
              </w:rPr>
              <w:t>-e/kWh</w:t>
            </w:r>
          </w:p>
        </w:tc>
      </w:tr>
      <w:tr w:rsidR="002E3C2F" w:rsidRPr="00AA5CB5" w14:paraId="3EFFE0BD" w14:textId="77777777" w:rsidTr="005E1E93">
        <w:trPr>
          <w:trHeight w:val="169"/>
        </w:trPr>
        <w:tc>
          <w:tcPr>
            <w:cnfStyle w:val="001000000000" w:firstRow="0" w:lastRow="0" w:firstColumn="1" w:lastColumn="0" w:oddVBand="0" w:evenVBand="0" w:oddHBand="0" w:evenHBand="0" w:firstRowFirstColumn="0" w:firstRowLastColumn="0" w:lastRowFirstColumn="0" w:lastRowLastColumn="0"/>
            <w:tcW w:w="1430" w:type="pct"/>
          </w:tcPr>
          <w:p w14:paraId="72711CB7" w14:textId="155EC79C" w:rsidR="002E3C2F" w:rsidRPr="00AA5CB5" w:rsidRDefault="002E3C2F" w:rsidP="002E3C2F">
            <w:pPr>
              <w:pStyle w:val="Tableheading"/>
              <w:rPr>
                <w:lang w:val="en-AU"/>
              </w:rPr>
            </w:pPr>
            <w:r w:rsidRPr="00AA5CB5">
              <w:rPr>
                <w:rFonts w:eastAsiaTheme="minorHAnsi"/>
                <w:lang w:val="en-AU"/>
              </w:rPr>
              <w:t>National</w:t>
            </w:r>
          </w:p>
        </w:tc>
        <w:tc>
          <w:tcPr>
            <w:tcW w:w="1583" w:type="pct"/>
          </w:tcPr>
          <w:p w14:paraId="78677ADC" w14:textId="701C60CB" w:rsidR="002E3C2F" w:rsidRPr="00AA5CB5" w:rsidRDefault="002E3C2F" w:rsidP="002E3C2F">
            <w:pPr>
              <w:pStyle w:val="Tableheading"/>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b w:val="0"/>
                <w:lang w:val="en-AU"/>
              </w:rPr>
              <w:t>0.81</w:t>
            </w:r>
          </w:p>
        </w:tc>
        <w:tc>
          <w:tcPr>
            <w:tcW w:w="1987" w:type="pct"/>
          </w:tcPr>
          <w:p w14:paraId="34E136CB" w14:textId="0BBA43A3" w:rsidR="002E3C2F" w:rsidRPr="00AA5CB5" w:rsidRDefault="002E3C2F" w:rsidP="002E3C2F">
            <w:pPr>
              <w:pStyle w:val="Tableheading"/>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b w:val="0"/>
                <w:lang w:val="en-AU"/>
              </w:rPr>
              <w:t>0.11</w:t>
            </w:r>
          </w:p>
        </w:tc>
      </w:tr>
    </w:tbl>
    <w:p w14:paraId="64A32337" w14:textId="1F90FB2B" w:rsidR="0062708D" w:rsidRPr="00AA5CB5" w:rsidRDefault="0062708D">
      <w:pPr>
        <w:pStyle w:val="Notebullets1"/>
        <w:numPr>
          <w:ilvl w:val="0"/>
          <w:numId w:val="0"/>
        </w:numPr>
      </w:pPr>
      <w:bookmarkStart w:id="154" w:name="_Toc197438645"/>
      <w:bookmarkStart w:id="155" w:name="_Toc197438663"/>
      <w:r w:rsidRPr="00AA5CB5">
        <w:rPr>
          <w:rStyle w:val="Notebullets1Char"/>
        </w:rPr>
        <w:t>Source:</w:t>
      </w:r>
      <w:r w:rsidRPr="00AA5CB5">
        <w:t xml:space="preserve"> DCCEEW (2024) </w:t>
      </w:r>
      <w:hyperlink r:id="rId59" w:history="1">
        <w:r w:rsidRPr="00AA5CB5">
          <w:rPr>
            <w:rStyle w:val="Hyperlink1"/>
            <w:rFonts w:asciiTheme="minorHAnsi" w:hAnsiTheme="minorHAnsi" w:cstheme="minorHAnsi"/>
            <w:i/>
            <w:iCs/>
            <w:sz w:val="20"/>
            <w:szCs w:val="20"/>
          </w:rPr>
          <w:t>Australian National Greenhouse Accounts Factors</w:t>
        </w:r>
      </w:hyperlink>
      <w:r w:rsidRPr="00AA5CB5">
        <w:t>, DCCEEW, 2024:9; table 2, accessed 14 February 2025.</w:t>
      </w:r>
    </w:p>
    <w:p w14:paraId="0954DAC9" w14:textId="774FDFA3" w:rsidR="00FB0B91" w:rsidRPr="00AA5CB5" w:rsidRDefault="00FB0B91" w:rsidP="00FB0B91">
      <w:pPr>
        <w:pStyle w:val="Caption"/>
      </w:pPr>
      <w:bookmarkStart w:id="156" w:name="_Toc201927381"/>
      <w:r w:rsidRPr="00AA5CB5">
        <w:lastRenderedPageBreak/>
        <w:t xml:space="preserve">Table </w:t>
      </w:r>
      <w:r w:rsidRPr="00AA5CB5">
        <w:fldChar w:fldCharType="begin"/>
      </w:r>
      <w:r w:rsidRPr="00AA5CB5">
        <w:instrText xml:space="preserve"> SEQ Table \* ARABIC </w:instrText>
      </w:r>
      <w:r w:rsidRPr="00AA5CB5">
        <w:fldChar w:fldCharType="separate"/>
      </w:r>
      <w:r w:rsidR="00422A37">
        <w:rPr>
          <w:noProof/>
        </w:rPr>
        <w:t>8</w:t>
      </w:r>
      <w:r w:rsidRPr="00AA5CB5">
        <w:fldChar w:fldCharType="end"/>
      </w:r>
      <w:r w:rsidR="0088604A">
        <w:t>:</w:t>
      </w:r>
      <w:r w:rsidRPr="00AA5CB5">
        <w:t xml:space="preserve"> Renewable </w:t>
      </w:r>
      <w:r w:rsidR="006A48BE">
        <w:t>P</w:t>
      </w:r>
      <w:r w:rsidRPr="00AA5CB5">
        <w:t xml:space="preserve">ower </w:t>
      </w:r>
      <w:r w:rsidR="006A48BE">
        <w:t>P</w:t>
      </w:r>
      <w:r w:rsidRPr="00AA5CB5">
        <w:t>ercentage (RPP)</w:t>
      </w:r>
      <w:bookmarkEnd w:id="154"/>
      <w:bookmarkEnd w:id="155"/>
      <w:bookmarkEnd w:id="156"/>
    </w:p>
    <w:tbl>
      <w:tblPr>
        <w:tblStyle w:val="ListTable4-Accent6"/>
        <w:tblW w:w="5000" w:type="pct"/>
        <w:tblInd w:w="-5" w:type="dxa"/>
        <w:tblLook w:val="06A0" w:firstRow="1" w:lastRow="0" w:firstColumn="1" w:lastColumn="0" w:noHBand="1" w:noVBand="1"/>
      </w:tblPr>
      <w:tblGrid>
        <w:gridCol w:w="4701"/>
        <w:gridCol w:w="4701"/>
      </w:tblGrid>
      <w:tr w:rsidR="00787EB7" w:rsidRPr="00AA5CB5" w14:paraId="2E28B104" w14:textId="77777777" w:rsidTr="00FD52CC">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pct"/>
            <w:hideMark/>
          </w:tcPr>
          <w:p w14:paraId="1759FB35" w14:textId="77777777" w:rsidR="00FB0B91" w:rsidRPr="00AA5CB5" w:rsidRDefault="00FB0B91">
            <w:pPr>
              <w:pStyle w:val="Tableheading"/>
              <w:rPr>
                <w:b/>
                <w:bCs w:val="0"/>
                <w:i/>
                <w:lang w:val="en-AU"/>
              </w:rPr>
            </w:pPr>
            <w:bookmarkStart w:id="157" w:name="_Toc143082385"/>
            <w:r w:rsidRPr="00AA5CB5">
              <w:rPr>
                <w:b/>
                <w:bCs w:val="0"/>
                <w:lang w:val="en-AU"/>
              </w:rPr>
              <w:t>Year</w:t>
            </w:r>
          </w:p>
        </w:tc>
        <w:tc>
          <w:tcPr>
            <w:tcW w:w="0" w:type="pct"/>
            <w:hideMark/>
          </w:tcPr>
          <w:p w14:paraId="0C798D26" w14:textId="43809F8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b/>
                <w:bCs w:val="0"/>
                <w:i/>
                <w:lang w:val="en-AU"/>
              </w:rPr>
            </w:pPr>
            <w:r w:rsidRPr="00AA5CB5">
              <w:rPr>
                <w:b/>
                <w:bCs w:val="0"/>
                <w:lang w:val="en-AU"/>
              </w:rPr>
              <w:t>Renewable power percentage %</w:t>
            </w:r>
          </w:p>
        </w:tc>
      </w:tr>
      <w:tr w:rsidR="003221C1" w:rsidRPr="00AA5CB5" w14:paraId="067EE5B4" w14:textId="77777777" w:rsidTr="00197607">
        <w:trPr>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6A1BA17F" w14:textId="77777777" w:rsidR="00FB0B91" w:rsidRPr="00AA5CB5" w:rsidRDefault="00FB0B91">
            <w:pPr>
              <w:pStyle w:val="Tablebodytext"/>
              <w:rPr>
                <w:b w:val="0"/>
                <w:bCs w:val="0"/>
                <w:i/>
                <w:lang w:val="en-AU"/>
              </w:rPr>
            </w:pPr>
            <w:r w:rsidRPr="00AA5CB5">
              <w:rPr>
                <w:b w:val="0"/>
                <w:bCs w:val="0"/>
                <w:lang w:val="en-AU"/>
              </w:rPr>
              <w:t>2024 Calendar year </w:t>
            </w:r>
          </w:p>
        </w:tc>
        <w:tc>
          <w:tcPr>
            <w:tcW w:w="2500" w:type="pct"/>
            <w:hideMark/>
          </w:tcPr>
          <w:p w14:paraId="410F6412" w14:textId="77777777" w:rsidR="00FB0B91" w:rsidRPr="00AA5CB5" w:rsidRDefault="00FB0B91" w:rsidP="008A4728">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18.48</w:t>
            </w:r>
          </w:p>
        </w:tc>
      </w:tr>
      <w:tr w:rsidR="003221C1" w:rsidRPr="00AA5CB5" w14:paraId="7C10A3E3" w14:textId="77777777" w:rsidTr="00197607">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4D3ED1BA" w14:textId="77777777" w:rsidR="00FB0B91" w:rsidRPr="00AA5CB5" w:rsidRDefault="00FB0B91">
            <w:pPr>
              <w:pStyle w:val="Tablebodytext"/>
              <w:rPr>
                <w:b w:val="0"/>
                <w:bCs w:val="0"/>
                <w:i/>
                <w:lang w:val="en-AU"/>
              </w:rPr>
            </w:pPr>
            <w:r w:rsidRPr="00AA5CB5">
              <w:rPr>
                <w:b w:val="0"/>
                <w:bCs w:val="0"/>
                <w:lang w:val="en-AU"/>
              </w:rPr>
              <w:t xml:space="preserve">2025 Calendar year </w:t>
            </w:r>
          </w:p>
        </w:tc>
        <w:tc>
          <w:tcPr>
            <w:tcW w:w="2500" w:type="pct"/>
          </w:tcPr>
          <w:p w14:paraId="7E00B445" w14:textId="77777777" w:rsidR="00FB0B91" w:rsidRPr="00AA5CB5" w:rsidRDefault="00FB0B91" w:rsidP="008A4728">
            <w:pPr>
              <w:pStyle w:val="Tablebodytext"/>
              <w:cnfStyle w:val="000000000000" w:firstRow="0" w:lastRow="0" w:firstColumn="0" w:lastColumn="0" w:oddVBand="0" w:evenVBand="0" w:oddHBand="0" w:evenHBand="0" w:firstRowFirstColumn="0" w:firstRowLastColumn="0" w:lastRowFirstColumn="0" w:lastRowLastColumn="0"/>
              <w:rPr>
                <w:i/>
                <w:iCs/>
                <w:lang w:val="en-AU"/>
              </w:rPr>
            </w:pPr>
            <w:r w:rsidRPr="00AA5CB5">
              <w:rPr>
                <w:rFonts w:eastAsiaTheme="minorHAnsi"/>
                <w:lang w:val="en-AU"/>
              </w:rPr>
              <w:t>17.91</w:t>
            </w:r>
          </w:p>
        </w:tc>
      </w:tr>
      <w:tr w:rsidR="003221C1" w:rsidRPr="00AA5CB5" w14:paraId="53F55672" w14:textId="77777777" w:rsidTr="00197607">
        <w:trPr>
          <w:trHeight w:val="109"/>
        </w:trPr>
        <w:tc>
          <w:tcPr>
            <w:cnfStyle w:val="001000000000" w:firstRow="0" w:lastRow="0" w:firstColumn="1" w:lastColumn="0" w:oddVBand="0" w:evenVBand="0" w:oddHBand="0" w:evenHBand="0" w:firstRowFirstColumn="0" w:firstRowLastColumn="0" w:lastRowFirstColumn="0" w:lastRowLastColumn="0"/>
            <w:tcW w:w="2500" w:type="pct"/>
            <w:hideMark/>
          </w:tcPr>
          <w:p w14:paraId="256C402A" w14:textId="6026537F" w:rsidR="00FB0B91" w:rsidRPr="00AA5CB5" w:rsidRDefault="00FB0B91">
            <w:pPr>
              <w:pStyle w:val="Tablebodytext"/>
              <w:rPr>
                <w:b w:val="0"/>
                <w:bCs w:val="0"/>
                <w:i/>
                <w:lang w:val="en-AU"/>
              </w:rPr>
            </w:pPr>
            <w:r w:rsidRPr="00AA5CB5">
              <w:rPr>
                <w:b w:val="0"/>
                <w:bCs w:val="0"/>
                <w:lang w:val="en-AU"/>
              </w:rPr>
              <w:t>202</w:t>
            </w:r>
            <w:r w:rsidR="003221C1" w:rsidRPr="00AA5CB5">
              <w:rPr>
                <w:b w:val="0"/>
                <w:bCs w:val="0"/>
                <w:lang w:val="en-AU"/>
              </w:rPr>
              <w:t>4</w:t>
            </w:r>
            <w:r w:rsidRPr="00AA5CB5">
              <w:rPr>
                <w:b w:val="0"/>
                <w:bCs w:val="0"/>
                <w:lang w:val="en-AU"/>
              </w:rPr>
              <w:t>-2</w:t>
            </w:r>
            <w:r w:rsidR="003221C1" w:rsidRPr="00AA5CB5">
              <w:rPr>
                <w:b w:val="0"/>
                <w:bCs w:val="0"/>
                <w:lang w:val="en-AU"/>
              </w:rPr>
              <w:t>5</w:t>
            </w:r>
            <w:r w:rsidRPr="00AA5CB5">
              <w:rPr>
                <w:b w:val="0"/>
                <w:bCs w:val="0"/>
                <w:lang w:val="en-AU"/>
              </w:rPr>
              <w:t xml:space="preserve"> Financial year average </w:t>
            </w:r>
          </w:p>
        </w:tc>
        <w:tc>
          <w:tcPr>
            <w:tcW w:w="2500" w:type="pct"/>
            <w:hideMark/>
          </w:tcPr>
          <w:p w14:paraId="44E6591C" w14:textId="77777777" w:rsidR="00FB0B91" w:rsidRPr="00AA5CB5" w:rsidRDefault="00FB0B91" w:rsidP="008A4728">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18.</w:t>
            </w:r>
            <w:r w:rsidRPr="00AA5CB5">
              <w:rPr>
                <w:lang w:val="en-AU"/>
              </w:rPr>
              <w:t>195</w:t>
            </w:r>
          </w:p>
        </w:tc>
      </w:tr>
    </w:tbl>
    <w:p w14:paraId="6FFB3E45" w14:textId="294E5BC6" w:rsidR="00B872B7" w:rsidRPr="00AA5CB5" w:rsidRDefault="0062708D">
      <w:pPr>
        <w:pStyle w:val="Notebullets1"/>
        <w:numPr>
          <w:ilvl w:val="0"/>
          <w:numId w:val="0"/>
        </w:numPr>
        <w:rPr>
          <w:rFonts w:cstheme="minorHAnsi"/>
        </w:rPr>
      </w:pPr>
      <w:bookmarkStart w:id="158" w:name="_Toc197438646"/>
      <w:bookmarkStart w:id="159" w:name="_Toc197438664"/>
      <w:r w:rsidRPr="00AA5CB5">
        <w:rPr>
          <w:rStyle w:val="Notebullets1Char"/>
        </w:rPr>
        <w:t>Source:</w:t>
      </w:r>
      <w:r w:rsidRPr="00AA5CB5">
        <w:t xml:space="preserve"> </w:t>
      </w:r>
      <w:r w:rsidR="00B872B7" w:rsidRPr="00AA5CB5">
        <w:rPr>
          <w:rFonts w:cstheme="minorHAnsi"/>
        </w:rPr>
        <w:t xml:space="preserve">CER (Clean Energy Regulator) (2025) </w:t>
      </w:r>
      <w:hyperlink r:id="rId60" w:history="1">
        <w:r w:rsidR="00B872B7" w:rsidRPr="00AA5CB5">
          <w:rPr>
            <w:rStyle w:val="Hyperlink1"/>
            <w:rFonts w:asciiTheme="minorHAnsi" w:hAnsiTheme="minorHAnsi" w:cstheme="minorHAnsi"/>
            <w:i/>
            <w:sz w:val="20"/>
            <w:szCs w:val="20"/>
          </w:rPr>
          <w:t>Renewable Power Percentage</w:t>
        </w:r>
      </w:hyperlink>
      <w:r w:rsidR="00B872B7" w:rsidRPr="00AA5CB5">
        <w:rPr>
          <w:rFonts w:cstheme="minorHAnsi"/>
        </w:rPr>
        <w:t>, CER website, accessed 22 May 2025.</w:t>
      </w:r>
    </w:p>
    <w:p w14:paraId="06023400" w14:textId="120F5F13" w:rsidR="00FB0B91" w:rsidRPr="00AA5CB5" w:rsidRDefault="00FB0B91" w:rsidP="00FB0B91">
      <w:pPr>
        <w:pStyle w:val="Caption"/>
      </w:pPr>
      <w:bookmarkStart w:id="160" w:name="_Toc201927382"/>
      <w:r w:rsidRPr="00AA5CB5">
        <w:t xml:space="preserve">Table </w:t>
      </w:r>
      <w:r w:rsidRPr="00AA5CB5">
        <w:fldChar w:fldCharType="begin"/>
      </w:r>
      <w:r w:rsidRPr="00AA5CB5">
        <w:instrText xml:space="preserve"> SEQ Table \* ARABIC </w:instrText>
      </w:r>
      <w:r w:rsidRPr="00AA5CB5">
        <w:fldChar w:fldCharType="separate"/>
      </w:r>
      <w:r w:rsidR="00422A37">
        <w:rPr>
          <w:noProof/>
        </w:rPr>
        <w:t>9</w:t>
      </w:r>
      <w:r w:rsidRPr="00AA5CB5">
        <w:fldChar w:fldCharType="end"/>
      </w:r>
      <w:r w:rsidR="0088604A">
        <w:t>:</w:t>
      </w:r>
      <w:r w:rsidRPr="00AA5CB5">
        <w:t xml:space="preserve"> Jurisdictional </w:t>
      </w:r>
      <w:r w:rsidR="006A48BE">
        <w:t>R</w:t>
      </w:r>
      <w:r w:rsidRPr="00AA5CB5">
        <w:t xml:space="preserve">enewable </w:t>
      </w:r>
      <w:r w:rsidR="006A48BE">
        <w:t>P</w:t>
      </w:r>
      <w:r w:rsidRPr="00AA5CB5">
        <w:t xml:space="preserve">ower </w:t>
      </w:r>
      <w:r w:rsidR="006A48BE">
        <w:t>P</w:t>
      </w:r>
      <w:r w:rsidRPr="00AA5CB5">
        <w:t>ercentage (JRPP)</w:t>
      </w:r>
      <w:bookmarkEnd w:id="158"/>
      <w:bookmarkEnd w:id="159"/>
      <w:bookmarkEnd w:id="160"/>
    </w:p>
    <w:tbl>
      <w:tblPr>
        <w:tblStyle w:val="ListTable4-Accent6"/>
        <w:tblW w:w="5000" w:type="pct"/>
        <w:tblInd w:w="-5" w:type="dxa"/>
        <w:tblLook w:val="06A0" w:firstRow="1" w:lastRow="0" w:firstColumn="1" w:lastColumn="0" w:noHBand="1" w:noVBand="1"/>
      </w:tblPr>
      <w:tblGrid>
        <w:gridCol w:w="1993"/>
        <w:gridCol w:w="2563"/>
        <w:gridCol w:w="4846"/>
      </w:tblGrid>
      <w:tr w:rsidR="00A9523A" w:rsidRPr="00AA5CB5" w14:paraId="1D7C1F20" w14:textId="77777777" w:rsidTr="005E1E93">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060" w:type="pct"/>
            <w:hideMark/>
          </w:tcPr>
          <w:p w14:paraId="1D919CA6" w14:textId="77777777" w:rsidR="00FB0B91" w:rsidRPr="00AA5CB5" w:rsidRDefault="00FB0B91">
            <w:pPr>
              <w:pStyle w:val="Tableheading"/>
              <w:rPr>
                <w:b/>
                <w:bCs w:val="0"/>
                <w:lang w:val="en-AU"/>
              </w:rPr>
            </w:pPr>
            <w:r w:rsidRPr="00AA5CB5">
              <w:rPr>
                <w:b/>
                <w:bCs w:val="0"/>
                <w:lang w:val="en-AU"/>
              </w:rPr>
              <w:t>Location</w:t>
            </w:r>
          </w:p>
        </w:tc>
        <w:tc>
          <w:tcPr>
            <w:tcW w:w="1363" w:type="pct"/>
            <w:hideMark/>
          </w:tcPr>
          <w:p w14:paraId="76334C11" w14:textId="7777777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b/>
                <w:bCs w:val="0"/>
                <w:lang w:val="en-AU"/>
              </w:rPr>
            </w:pPr>
            <w:r w:rsidRPr="00AA5CB5">
              <w:rPr>
                <w:b/>
                <w:bCs w:val="0"/>
                <w:lang w:val="en-AU"/>
              </w:rPr>
              <w:t>Year</w:t>
            </w:r>
          </w:p>
        </w:tc>
        <w:tc>
          <w:tcPr>
            <w:tcW w:w="2577" w:type="pct"/>
            <w:hideMark/>
          </w:tcPr>
          <w:p w14:paraId="28FA181F" w14:textId="77777777" w:rsidR="00FB0B91" w:rsidRPr="00AA5CB5" w:rsidRDefault="00FB0B91">
            <w:pPr>
              <w:pStyle w:val="Tableheading"/>
              <w:cnfStyle w:val="100000000000" w:firstRow="1" w:lastRow="0" w:firstColumn="0" w:lastColumn="0" w:oddVBand="0" w:evenVBand="0" w:oddHBand="0" w:evenHBand="0" w:firstRowFirstColumn="0" w:firstRowLastColumn="0" w:lastRowFirstColumn="0" w:lastRowLastColumn="0"/>
              <w:rPr>
                <w:b/>
                <w:bCs w:val="0"/>
                <w:lang w:val="en-AU"/>
              </w:rPr>
            </w:pPr>
            <w:r w:rsidRPr="00AA5CB5">
              <w:rPr>
                <w:b/>
                <w:bCs w:val="0"/>
                <w:lang w:val="en-AU"/>
              </w:rPr>
              <w:t>Jurisdictional renewable power percentage %</w:t>
            </w:r>
          </w:p>
        </w:tc>
      </w:tr>
      <w:tr w:rsidR="00393407" w:rsidRPr="00AA5CB5" w14:paraId="6DB579A2" w14:textId="77777777" w:rsidTr="005E1E93">
        <w:trPr>
          <w:trHeight w:val="142"/>
        </w:trPr>
        <w:tc>
          <w:tcPr>
            <w:cnfStyle w:val="001000000000" w:firstRow="0" w:lastRow="0" w:firstColumn="1" w:lastColumn="0" w:oddVBand="0" w:evenVBand="0" w:oddHBand="0" w:evenHBand="0" w:firstRowFirstColumn="0" w:firstRowLastColumn="0" w:lastRowFirstColumn="0" w:lastRowLastColumn="0"/>
            <w:tcW w:w="1060" w:type="pct"/>
          </w:tcPr>
          <w:p w14:paraId="6F18C3C5" w14:textId="564CAE72" w:rsidR="005E1E93" w:rsidRPr="00AA5CB5" w:rsidRDefault="005E1E93" w:rsidP="005E1E93">
            <w:pPr>
              <w:pStyle w:val="Tableheading"/>
              <w:rPr>
                <w:lang w:val="en-AU"/>
              </w:rPr>
            </w:pPr>
            <w:r w:rsidRPr="00AA5CB5">
              <w:rPr>
                <w:rFonts w:asciiTheme="minorHAnsi" w:eastAsiaTheme="minorHAnsi" w:hAnsiTheme="minorHAnsi"/>
                <w:lang w:val="en-AU"/>
              </w:rPr>
              <w:t>ACT</w:t>
            </w:r>
          </w:p>
        </w:tc>
        <w:tc>
          <w:tcPr>
            <w:tcW w:w="1363" w:type="pct"/>
          </w:tcPr>
          <w:p w14:paraId="241B3C54" w14:textId="56CD3B5B" w:rsidR="005E1E93" w:rsidRPr="00AA5CB5" w:rsidRDefault="005E1E93" w:rsidP="005E1E93">
            <w:pPr>
              <w:pStyle w:val="Tableheading"/>
              <w:cnfStyle w:val="000000000000" w:firstRow="0" w:lastRow="0" w:firstColumn="0" w:lastColumn="0" w:oddVBand="0" w:evenVBand="0" w:oddHBand="0" w:evenHBand="0" w:firstRowFirstColumn="0" w:firstRowLastColumn="0" w:lastRowFirstColumn="0" w:lastRowLastColumn="0"/>
              <w:rPr>
                <w:b w:val="0"/>
                <w:bCs/>
                <w:lang w:val="en-AU"/>
              </w:rPr>
            </w:pPr>
            <w:r w:rsidRPr="00AA5CB5">
              <w:rPr>
                <w:rFonts w:asciiTheme="minorHAnsi" w:eastAsiaTheme="minorHAnsi" w:hAnsiTheme="minorHAnsi"/>
                <w:b w:val="0"/>
                <w:bCs/>
                <w:lang w:val="en-AU"/>
              </w:rPr>
              <w:t>2024-2025</w:t>
            </w:r>
          </w:p>
        </w:tc>
        <w:tc>
          <w:tcPr>
            <w:tcW w:w="2577" w:type="pct"/>
          </w:tcPr>
          <w:p w14:paraId="43E61B63" w14:textId="1A6AFA23" w:rsidR="005E1E93" w:rsidRPr="00AA5CB5" w:rsidRDefault="005E1E93" w:rsidP="005E1E93">
            <w:pPr>
              <w:pStyle w:val="Tableheading"/>
              <w:cnfStyle w:val="000000000000" w:firstRow="0" w:lastRow="0" w:firstColumn="0" w:lastColumn="0" w:oddVBand="0" w:evenVBand="0" w:oddHBand="0" w:evenHBand="0" w:firstRowFirstColumn="0" w:firstRowLastColumn="0" w:lastRowFirstColumn="0" w:lastRowLastColumn="0"/>
              <w:rPr>
                <w:b w:val="0"/>
                <w:bCs/>
                <w:lang w:val="en-AU"/>
              </w:rPr>
            </w:pPr>
            <w:r w:rsidRPr="00AA5CB5">
              <w:rPr>
                <w:rFonts w:asciiTheme="minorHAnsi" w:eastAsiaTheme="minorHAnsi" w:hAnsiTheme="minorHAnsi"/>
                <w:b w:val="0"/>
                <w:bCs/>
                <w:lang w:val="en-AU"/>
              </w:rPr>
              <w:t>79.51</w:t>
            </w:r>
          </w:p>
        </w:tc>
      </w:tr>
    </w:tbl>
    <w:bookmarkEnd w:id="157"/>
    <w:p w14:paraId="5CD04CFE" w14:textId="425BAD72" w:rsidR="00256021" w:rsidRPr="00AA5CB5" w:rsidRDefault="00256021">
      <w:pPr>
        <w:pStyle w:val="Notebullets1"/>
        <w:numPr>
          <w:ilvl w:val="0"/>
          <w:numId w:val="0"/>
        </w:numPr>
      </w:pPr>
      <w:r w:rsidRPr="00AA5CB5">
        <w:rPr>
          <w:rStyle w:val="Notebullets1Char"/>
        </w:rPr>
        <w:t>Source:</w:t>
      </w:r>
      <w:r w:rsidRPr="00AA5CB5">
        <w:t xml:space="preserve"> DCCEEW (2024) </w:t>
      </w:r>
      <w:hyperlink r:id="rId61" w:history="1">
        <w:r w:rsidRPr="00AA5CB5">
          <w:rPr>
            <w:rStyle w:val="Hyperlink1"/>
            <w:rFonts w:asciiTheme="minorHAnsi" w:hAnsiTheme="minorHAnsi" w:cstheme="minorHAnsi"/>
            <w:i/>
            <w:iCs/>
            <w:sz w:val="20"/>
            <w:szCs w:val="20"/>
          </w:rPr>
          <w:t>Australian National Greenhouse Accounts Factors</w:t>
        </w:r>
      </w:hyperlink>
      <w:r w:rsidRPr="00AA5CB5">
        <w:t>, DCCEEW, 2024:</w:t>
      </w:r>
      <w:r w:rsidR="00F07E7D" w:rsidRPr="00AA5CB5">
        <w:t>11</w:t>
      </w:r>
      <w:r w:rsidRPr="00AA5CB5">
        <w:t>, accessed 14 February 2025.</w:t>
      </w:r>
    </w:p>
    <w:p w14:paraId="0B730A27" w14:textId="7242978C" w:rsidR="00BD7FA8" w:rsidRPr="00AA5CB5" w:rsidRDefault="00BD7FA8" w:rsidP="00BD7FA8">
      <w:pPr>
        <w:pStyle w:val="Heading2"/>
      </w:pPr>
      <w:bookmarkStart w:id="161" w:name="_Toc201927365"/>
      <w:r w:rsidRPr="00AA5CB5">
        <w:t xml:space="preserve">Natural </w:t>
      </w:r>
      <w:r w:rsidR="006A48BE">
        <w:t>g</w:t>
      </w:r>
      <w:r w:rsidRPr="00AA5CB5">
        <w:t>as</w:t>
      </w:r>
      <w:bookmarkEnd w:id="161"/>
      <w:r w:rsidRPr="00AA5CB5">
        <w:t xml:space="preserve"> </w:t>
      </w:r>
    </w:p>
    <w:p w14:paraId="0C0BDC39" w14:textId="77777777" w:rsidR="005E1E93" w:rsidRPr="00AA5CB5" w:rsidRDefault="005865E7" w:rsidP="005E1E93">
      <w:pPr>
        <w:pStyle w:val="BodyText1"/>
        <w:shd w:val="clear" w:color="auto" w:fill="E8F0FE" w:themeFill="accent5" w:themeFillTint="33"/>
      </w:pPr>
      <m:oMathPara>
        <m:oMath>
          <m:r>
            <m:rPr>
              <m:sty m:val="p"/>
            </m:rPr>
            <w:rPr>
              <w:rFonts w:ascii="Cambria Math" w:hAnsi="Cambria Math"/>
            </w:rPr>
            <m:t xml:space="preserve">t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nor/>
            </m:rPr>
            <m:t>-</m:t>
          </m:r>
          <m:r>
            <m:rPr>
              <m:sty m:val="p"/>
            </m:rPr>
            <w:rPr>
              <w:rFonts w:ascii="Cambria Math" w:hAnsi="Cambria Math"/>
            </w:rPr>
            <m:t>e=</m:t>
          </m:r>
          <m:f>
            <m:fPr>
              <m:ctrlPr>
                <w:rPr>
                  <w:rFonts w:ascii="Cambria Math" w:hAnsi="Cambria Math"/>
                </w:rPr>
              </m:ctrlPr>
            </m:fPr>
            <m:num>
              <m:r>
                <m:rPr>
                  <m:sty m:val="p"/>
                </m:rPr>
                <w:rPr>
                  <w:rFonts w:ascii="Cambria Math" w:hAnsi="Cambria Math"/>
                </w:rPr>
                <m:t>Q×EF</m:t>
              </m:r>
            </m:num>
            <m:den>
              <m:r>
                <m:rPr>
                  <m:sty m:val="p"/>
                </m:rPr>
                <w:rPr>
                  <w:rFonts w:ascii="Cambria Math" w:hAnsi="Cambria Math"/>
                </w:rPr>
                <m:t>1000</m:t>
              </m:r>
            </m:den>
          </m:f>
          <m:r>
            <m:rPr>
              <m:sty m:val="p"/>
            </m:rPr>
            <w:rPr>
              <w:rFonts w:ascii="Cambria Math" w:hAnsi="Cambria Math"/>
            </w:rPr>
            <m:t xml:space="preserve"> </m:t>
          </m:r>
        </m:oMath>
      </m:oMathPara>
    </w:p>
    <w:p w14:paraId="3E0C2FA7" w14:textId="77777777" w:rsidR="005E1E93" w:rsidRPr="00AA5CB5" w:rsidRDefault="005E1E93" w:rsidP="005E1E93">
      <w:pPr>
        <w:pStyle w:val="BodyText1"/>
        <w:shd w:val="clear" w:color="auto" w:fill="E8F0FE" w:themeFill="accent5" w:themeFillTint="33"/>
      </w:pPr>
      <w:r w:rsidRPr="00AA5CB5">
        <w:t>Where:</w:t>
      </w:r>
    </w:p>
    <w:p w14:paraId="748CF54D" w14:textId="526B0325" w:rsidR="005E1E93" w:rsidRPr="00AA5CB5" w:rsidRDefault="005865E7" w:rsidP="007A622F">
      <w:pPr>
        <w:pStyle w:val="Bodybullet1"/>
        <w:shd w:val="clear" w:color="auto" w:fill="E8F0FE" w:themeFill="accent5" w:themeFillTint="33"/>
      </w:pPr>
      <m:oMath>
        <m:r>
          <m:rPr>
            <m:sty m:val="b"/>
          </m:rPr>
          <w:rPr>
            <w:rFonts w:ascii="Cambria Math" w:hAnsi="Cambria Math"/>
          </w:rPr>
          <m:t xml:space="preserve">t </m:t>
        </m:r>
        <m:sSub>
          <m:sSubPr>
            <m:ctrlPr>
              <w:rPr>
                <w:rFonts w:ascii="Cambria Math" w:hAnsi="Cambria Math"/>
              </w:rPr>
            </m:ctrlPr>
          </m:sSubPr>
          <m:e>
            <m:r>
              <m:rPr>
                <m:sty m:val="b"/>
              </m:rPr>
              <w:rPr>
                <w:rFonts w:ascii="Cambria Math" w:hAnsi="Cambria Math"/>
              </w:rPr>
              <m:t>CO</m:t>
            </m:r>
          </m:e>
          <m:sub>
            <m:r>
              <m:rPr>
                <m:sty m:val="b"/>
              </m:rPr>
              <w:rPr>
                <w:rFonts w:ascii="Cambria Math" w:hAnsi="Cambria Math"/>
              </w:rPr>
              <m:t>2</m:t>
            </m:r>
          </m:sub>
        </m:sSub>
        <m:r>
          <m:rPr>
            <m:nor/>
          </m:rPr>
          <m:t>-</m:t>
        </m:r>
        <m:r>
          <m:rPr>
            <m:sty m:val="b"/>
          </m:rPr>
          <w:rPr>
            <w:rFonts w:ascii="Cambria Math" w:hAnsi="Cambria Math"/>
          </w:rPr>
          <m:t>e</m:t>
        </m:r>
      </m:oMath>
      <w:r w:rsidR="005E1E93" w:rsidRPr="00AA5CB5">
        <w:t xml:space="preserve"> is the </w:t>
      </w:r>
      <w:r w:rsidR="00E90152">
        <w:t>GHG</w:t>
      </w:r>
      <w:r w:rsidR="005E1E93" w:rsidRPr="00AA5CB5">
        <w:t xml:space="preserve"> emissions, in tonnes carbon dioxide equivalent</w:t>
      </w:r>
    </w:p>
    <w:p w14:paraId="5EAB90CB" w14:textId="0575D94D" w:rsidR="005E1E93" w:rsidRPr="00AA5CB5" w:rsidRDefault="005865E7" w:rsidP="007A622F">
      <w:pPr>
        <w:pStyle w:val="Bodybullet1"/>
        <w:shd w:val="clear" w:color="auto" w:fill="E8F0FE" w:themeFill="accent5" w:themeFillTint="33"/>
      </w:pPr>
      <m:oMath>
        <m:r>
          <m:rPr>
            <m:sty m:val="b"/>
          </m:rPr>
          <w:rPr>
            <w:rFonts w:ascii="Cambria Math" w:hAnsi="Cambria Math"/>
          </w:rPr>
          <m:t>Q</m:t>
        </m:r>
      </m:oMath>
      <w:r w:rsidR="005E1E93" w:rsidRPr="00AA5CB5">
        <w:t xml:space="preserve"> is </w:t>
      </w:r>
      <w:r w:rsidR="003E3C7A" w:rsidRPr="00AA5CB5">
        <w:t xml:space="preserve">the </w:t>
      </w:r>
      <w:r w:rsidR="003E3C7A">
        <w:t xml:space="preserve">quantity of </w:t>
      </w:r>
      <w:r w:rsidR="00A93C82">
        <w:t>natural gas</w:t>
      </w:r>
      <w:r w:rsidR="003E3C7A">
        <w:t xml:space="preserve"> consumed,</w:t>
      </w:r>
      <w:r w:rsidR="003E3C7A" w:rsidRPr="00AA5CB5">
        <w:t xml:space="preserve"> </w:t>
      </w:r>
      <w:r w:rsidR="005E1E93" w:rsidRPr="00AA5CB5">
        <w:t>in gigajoules (GJ)</w:t>
      </w:r>
    </w:p>
    <w:p w14:paraId="5A416E9E" w14:textId="7D08393E" w:rsidR="005E1E93" w:rsidRDefault="005865E7" w:rsidP="007A622F">
      <w:pPr>
        <w:pStyle w:val="Bodybullet1"/>
        <w:shd w:val="clear" w:color="auto" w:fill="E8F0FE" w:themeFill="accent5" w:themeFillTint="33"/>
      </w:pPr>
      <m:oMath>
        <m:r>
          <m:rPr>
            <m:sty m:val="b"/>
          </m:rPr>
          <w:rPr>
            <w:rFonts w:ascii="Cambria Math" w:hAnsi="Cambria Math"/>
          </w:rPr>
          <m:t>EF</m:t>
        </m:r>
      </m:oMath>
      <w:r w:rsidR="005E1E93" w:rsidRPr="00AA5CB5">
        <w:t xml:space="preserve"> is the </w:t>
      </w:r>
      <w:r w:rsidR="00721BA6" w:rsidRPr="00AA5CB5">
        <w:t>location</w:t>
      </w:r>
      <w:r w:rsidR="005E1E93" w:rsidRPr="00AA5CB5">
        <w:t xml:space="preserve"> specific emissions factor, in kilogram carbon dioxide equivalent (kg CO</w:t>
      </w:r>
      <w:r w:rsidR="005E1E93" w:rsidRPr="00AA5CB5">
        <w:rPr>
          <w:vertAlign w:val="subscript"/>
        </w:rPr>
        <w:t>2</w:t>
      </w:r>
      <w:r w:rsidR="005E1E93" w:rsidRPr="00AA5CB5">
        <w:t xml:space="preserve">-e) per GJ </w:t>
      </w:r>
    </w:p>
    <w:p w14:paraId="76011A5E" w14:textId="4B3516B1" w:rsidR="00A93C82" w:rsidRPr="00AA5CB5" w:rsidRDefault="00A93C82" w:rsidP="00A93C82">
      <w:pPr>
        <w:pStyle w:val="Bodybullet1"/>
        <w:numPr>
          <w:ilvl w:val="0"/>
          <w:numId w:val="0"/>
        </w:numPr>
        <w:shd w:val="clear" w:color="auto" w:fill="E8F0FE" w:themeFill="accent5" w:themeFillTint="33"/>
      </w:pPr>
      <w:r w:rsidRPr="00A93C82">
        <w:t>To convert from kilograms (kg) to tonnes (t), divide by 1000. Conversely, to convert from t to kg, multiply by 1000.</w:t>
      </w:r>
    </w:p>
    <w:p w14:paraId="0F24FD8B" w14:textId="2B8F7E58" w:rsidR="005E1E93" w:rsidRPr="00AA5CB5" w:rsidRDefault="005E1E93" w:rsidP="005E1E93">
      <w:pPr>
        <w:pStyle w:val="Caption"/>
      </w:pPr>
      <w:bookmarkStart w:id="162" w:name="_Toc201927383"/>
      <w:r w:rsidRPr="00AA5CB5">
        <w:t xml:space="preserve">Table </w:t>
      </w:r>
      <w:r w:rsidRPr="00AA5CB5">
        <w:fldChar w:fldCharType="begin"/>
      </w:r>
      <w:r w:rsidRPr="00AA5CB5">
        <w:instrText xml:space="preserve"> SEQ Table \* ARABIC </w:instrText>
      </w:r>
      <w:r w:rsidRPr="00AA5CB5">
        <w:fldChar w:fldCharType="separate"/>
      </w:r>
      <w:r w:rsidR="00422A37">
        <w:rPr>
          <w:noProof/>
        </w:rPr>
        <w:t>10</w:t>
      </w:r>
      <w:r w:rsidRPr="00AA5CB5">
        <w:fldChar w:fldCharType="end"/>
      </w:r>
      <w:r w:rsidR="0088604A">
        <w:t>:</w:t>
      </w:r>
      <w:r w:rsidRPr="00AA5CB5">
        <w:t xml:space="preserve"> Stationary combustion - </w:t>
      </w:r>
      <w:r w:rsidR="006A48BE">
        <w:t>e</w:t>
      </w:r>
      <w:r w:rsidRPr="00AA5CB5">
        <w:t xml:space="preserve">mission </w:t>
      </w:r>
      <w:r w:rsidR="006A48BE">
        <w:t>f</w:t>
      </w:r>
      <w:r w:rsidRPr="00AA5CB5">
        <w:t xml:space="preserve">actors of </w:t>
      </w:r>
      <w:r w:rsidR="006A48BE">
        <w:t>n</w:t>
      </w:r>
      <w:r w:rsidRPr="00AA5CB5">
        <w:t xml:space="preserve">atural </w:t>
      </w:r>
      <w:r w:rsidR="006A48BE">
        <w:t>g</w:t>
      </w:r>
      <w:r w:rsidRPr="00AA5CB5">
        <w:t>as</w:t>
      </w:r>
      <w:bookmarkEnd w:id="162"/>
    </w:p>
    <w:tbl>
      <w:tblPr>
        <w:tblStyle w:val="ListTable4-Accent6"/>
        <w:tblW w:w="5000" w:type="pct"/>
        <w:tblInd w:w="0" w:type="dxa"/>
        <w:tblLook w:val="06A0" w:firstRow="1" w:lastRow="0" w:firstColumn="1" w:lastColumn="0" w:noHBand="1" w:noVBand="1"/>
      </w:tblPr>
      <w:tblGrid>
        <w:gridCol w:w="2350"/>
        <w:gridCol w:w="2350"/>
        <w:gridCol w:w="2351"/>
        <w:gridCol w:w="2351"/>
      </w:tblGrid>
      <w:tr w:rsidR="00777C3C" w:rsidRPr="00AA5CB5" w14:paraId="2AE3C965" w14:textId="77777777" w:rsidTr="00ED2F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tcPr>
          <w:p w14:paraId="1FA21D16" w14:textId="04BA2EA2" w:rsidR="00ED2F6F" w:rsidRPr="00AA5CB5" w:rsidRDefault="00ED2F6F">
            <w:pPr>
              <w:pStyle w:val="Tableheading"/>
              <w:rPr>
                <w:b/>
                <w:bCs w:val="0"/>
                <w:lang w:val="en-AU"/>
              </w:rPr>
            </w:pPr>
            <w:r w:rsidRPr="00AA5CB5">
              <w:rPr>
                <w:b/>
                <w:bCs w:val="0"/>
                <w:lang w:val="en-AU"/>
              </w:rPr>
              <w:t>Location</w:t>
            </w:r>
          </w:p>
        </w:tc>
        <w:tc>
          <w:tcPr>
            <w:tcW w:w="1250" w:type="pct"/>
          </w:tcPr>
          <w:p w14:paraId="648EA587" w14:textId="64329C0E" w:rsidR="00ED2F6F" w:rsidRPr="00AA5CB5" w:rsidRDefault="004026B4">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Remoteness classification</w:t>
            </w:r>
            <w:r w:rsidR="00ED5BC0" w:rsidRPr="00AA5CB5">
              <w:rPr>
                <w:rFonts w:eastAsiaTheme="minorHAnsi"/>
                <w:b/>
                <w:bCs w:val="0"/>
                <w:vertAlign w:val="superscript"/>
                <w:lang w:val="en-AU"/>
              </w:rPr>
              <w:t>c</w:t>
            </w:r>
          </w:p>
        </w:tc>
        <w:tc>
          <w:tcPr>
            <w:tcW w:w="1250" w:type="pct"/>
          </w:tcPr>
          <w:p w14:paraId="4F7109C7" w14:textId="18FC0786" w:rsidR="00ED2F6F" w:rsidRPr="00AA5CB5" w:rsidRDefault="00ED2F6F">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1 emission factor</w:t>
            </w:r>
            <w:r w:rsidR="00ED5BC0" w:rsidRPr="00AA5CB5">
              <w:rPr>
                <w:rFonts w:eastAsiaTheme="minorHAnsi"/>
                <w:b/>
                <w:bCs w:val="0"/>
                <w:vertAlign w:val="superscript"/>
                <w:lang w:val="en-AU"/>
              </w:rPr>
              <w:t>d</w:t>
            </w:r>
          </w:p>
          <w:p w14:paraId="3E90FA0D" w14:textId="77777777" w:rsidR="00ED2F6F" w:rsidRPr="00AA5CB5" w:rsidRDefault="00ED2F6F">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c>
          <w:tcPr>
            <w:tcW w:w="1250" w:type="pct"/>
            <w:hideMark/>
          </w:tcPr>
          <w:p w14:paraId="5AD587A2" w14:textId="3F1C1026" w:rsidR="00ED2F6F" w:rsidRPr="00AA5CB5" w:rsidRDefault="00ED2F6F">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3 supply chain emission factor</w:t>
            </w:r>
            <w:r w:rsidR="00ED5BC0" w:rsidRPr="00AA5CB5">
              <w:rPr>
                <w:rFonts w:eastAsiaTheme="minorHAnsi"/>
                <w:b/>
                <w:bCs w:val="0"/>
                <w:vertAlign w:val="superscript"/>
                <w:lang w:val="en-AU"/>
              </w:rPr>
              <w:t>e</w:t>
            </w:r>
            <w:r w:rsidRPr="00AA5CB5">
              <w:rPr>
                <w:rFonts w:eastAsiaTheme="minorHAnsi"/>
                <w:b/>
                <w:bCs w:val="0"/>
                <w:vertAlign w:val="superscript"/>
                <w:lang w:val="en-AU"/>
              </w:rPr>
              <w:t xml:space="preserve"> </w:t>
            </w:r>
          </w:p>
          <w:p w14:paraId="4CC1338F" w14:textId="77777777" w:rsidR="00ED2F6F" w:rsidRPr="00AA5CB5" w:rsidRDefault="00ED2F6F">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r>
      <w:tr w:rsidR="00ED2F6F" w:rsidRPr="00AA5CB5" w14:paraId="1D89B4EB"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3DC0F577" w14:textId="0DF28FB4" w:rsidR="00ED2F6F" w:rsidRPr="00AA5CB5" w:rsidRDefault="00ED2F6F">
            <w:pPr>
              <w:pStyle w:val="Tablebodytext"/>
              <w:rPr>
                <w:b w:val="0"/>
                <w:bCs w:val="0"/>
                <w:lang w:val="en-AU"/>
              </w:rPr>
            </w:pPr>
            <w:r w:rsidRPr="00AA5CB5">
              <w:rPr>
                <w:b w:val="0"/>
                <w:bCs w:val="0"/>
                <w:lang w:val="en-AU"/>
              </w:rPr>
              <w:t>NSW/ACT</w:t>
            </w:r>
          </w:p>
        </w:tc>
        <w:tc>
          <w:tcPr>
            <w:tcW w:w="1250" w:type="pct"/>
            <w:hideMark/>
          </w:tcPr>
          <w:p w14:paraId="7FB1F65D" w14:textId="31A2BB51" w:rsidR="00ED2F6F" w:rsidRPr="00AA5CB5" w:rsidRDefault="00EB4AA4">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lang w:val="en-AU"/>
              </w:rPr>
              <w:t>M</w:t>
            </w:r>
            <w:r w:rsidR="00ED2F6F" w:rsidRPr="00AA5CB5">
              <w:rPr>
                <w:lang w:val="en-AU"/>
              </w:rPr>
              <w:t>etro </w:t>
            </w:r>
          </w:p>
        </w:tc>
        <w:tc>
          <w:tcPr>
            <w:tcW w:w="1250" w:type="pct"/>
            <w:hideMark/>
          </w:tcPr>
          <w:p w14:paraId="69454358" w14:textId="77777777" w:rsidR="00ED2F6F" w:rsidRPr="00AA5CB5" w:rsidRDefault="00ED2F6F"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250" w:type="pct"/>
            <w:hideMark/>
          </w:tcPr>
          <w:p w14:paraId="21358706" w14:textId="7596489A" w:rsidR="00ED2F6F" w:rsidRPr="00AA5CB5" w:rsidRDefault="00ED2F6F"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13.1</w:t>
            </w:r>
          </w:p>
        </w:tc>
      </w:tr>
      <w:tr w:rsidR="00ED2F6F" w:rsidRPr="00AA5CB5" w14:paraId="6649E2ED"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5B774EA0" w14:textId="2D7F9F6B" w:rsidR="00ED2F6F" w:rsidRPr="00AA5CB5" w:rsidRDefault="00ED2F6F">
            <w:pPr>
              <w:pStyle w:val="Tablebodytext"/>
              <w:rPr>
                <w:b w:val="0"/>
                <w:bCs w:val="0"/>
                <w:lang w:val="en-AU"/>
              </w:rPr>
            </w:pPr>
            <w:r w:rsidRPr="00AA5CB5">
              <w:rPr>
                <w:b w:val="0"/>
                <w:bCs w:val="0"/>
                <w:lang w:val="en-AU"/>
              </w:rPr>
              <w:t>NSW/ACT</w:t>
            </w:r>
          </w:p>
        </w:tc>
        <w:tc>
          <w:tcPr>
            <w:tcW w:w="1250" w:type="pct"/>
            <w:hideMark/>
          </w:tcPr>
          <w:p w14:paraId="46EE56A4" w14:textId="0EF237AC" w:rsidR="00ED2F6F" w:rsidRPr="00AA5CB5" w:rsidRDefault="00EB4AA4">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lang w:val="en-AU"/>
              </w:rPr>
              <w:t>N</w:t>
            </w:r>
            <w:r w:rsidR="00ED2F6F" w:rsidRPr="00AA5CB5">
              <w:rPr>
                <w:lang w:val="en-AU"/>
              </w:rPr>
              <w:t>on-metro</w:t>
            </w:r>
          </w:p>
        </w:tc>
        <w:tc>
          <w:tcPr>
            <w:tcW w:w="1250" w:type="pct"/>
            <w:hideMark/>
          </w:tcPr>
          <w:p w14:paraId="407E9F0E" w14:textId="77777777" w:rsidR="00ED2F6F" w:rsidRPr="00AA5CB5" w:rsidRDefault="00ED2F6F"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250" w:type="pct"/>
            <w:hideMark/>
          </w:tcPr>
          <w:p w14:paraId="54A8AEE1" w14:textId="216C4404" w:rsidR="00ED2F6F" w:rsidRPr="00AA5CB5" w:rsidRDefault="00ED2F6F"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14.0</w:t>
            </w:r>
          </w:p>
        </w:tc>
      </w:tr>
      <w:tr w:rsidR="00EB4AA4" w:rsidRPr="00AA5CB5" w14:paraId="61AFDC35"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6C05AEBB" w14:textId="06C0E9B9" w:rsidR="00EB4AA4" w:rsidRPr="00AA5CB5" w:rsidRDefault="00EB4AA4" w:rsidP="00EB4AA4">
            <w:pPr>
              <w:pStyle w:val="Tablebodytext"/>
              <w:rPr>
                <w:b w:val="0"/>
                <w:bCs w:val="0"/>
                <w:lang w:val="en-AU"/>
              </w:rPr>
            </w:pPr>
            <w:r w:rsidRPr="00AA5CB5">
              <w:rPr>
                <w:b w:val="0"/>
                <w:bCs w:val="0"/>
                <w:lang w:val="en-AU"/>
              </w:rPr>
              <w:t>QLD</w:t>
            </w:r>
          </w:p>
        </w:tc>
        <w:tc>
          <w:tcPr>
            <w:tcW w:w="1250" w:type="pct"/>
            <w:hideMark/>
          </w:tcPr>
          <w:p w14:paraId="3B937B3C" w14:textId="26943B50"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lang w:val="en-AU"/>
              </w:rPr>
              <w:t>Metro </w:t>
            </w:r>
          </w:p>
        </w:tc>
        <w:tc>
          <w:tcPr>
            <w:tcW w:w="1250" w:type="pct"/>
            <w:hideMark/>
          </w:tcPr>
          <w:p w14:paraId="23EB7E2C"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250" w:type="pct"/>
            <w:hideMark/>
          </w:tcPr>
          <w:p w14:paraId="1C541B81" w14:textId="517A21E6"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8.8</w:t>
            </w:r>
          </w:p>
        </w:tc>
      </w:tr>
      <w:tr w:rsidR="00EB4AA4" w:rsidRPr="00AA5CB5" w14:paraId="0DBDCCB7"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793E60FC" w14:textId="630783FF" w:rsidR="00EB4AA4" w:rsidRPr="00AA5CB5" w:rsidRDefault="00EB4AA4" w:rsidP="00EB4AA4">
            <w:pPr>
              <w:pStyle w:val="Tablebodytext"/>
              <w:rPr>
                <w:b w:val="0"/>
                <w:bCs w:val="0"/>
                <w:lang w:val="en-AU"/>
              </w:rPr>
            </w:pPr>
            <w:r w:rsidRPr="00AA5CB5">
              <w:rPr>
                <w:b w:val="0"/>
                <w:bCs w:val="0"/>
                <w:lang w:val="en-AU"/>
              </w:rPr>
              <w:t>QLD</w:t>
            </w:r>
          </w:p>
        </w:tc>
        <w:tc>
          <w:tcPr>
            <w:tcW w:w="1250" w:type="pct"/>
            <w:hideMark/>
          </w:tcPr>
          <w:p w14:paraId="329FCDDF" w14:textId="5E4A0A5C"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lang w:val="en-AU"/>
              </w:rPr>
              <w:t>Non-metro</w:t>
            </w:r>
          </w:p>
        </w:tc>
        <w:tc>
          <w:tcPr>
            <w:tcW w:w="1250" w:type="pct"/>
            <w:hideMark/>
          </w:tcPr>
          <w:p w14:paraId="37A9BE14"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250" w:type="pct"/>
            <w:hideMark/>
          </w:tcPr>
          <w:p w14:paraId="05EDC57C" w14:textId="5573433A"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7.9</w:t>
            </w:r>
          </w:p>
        </w:tc>
      </w:tr>
      <w:tr w:rsidR="00EB4AA4" w:rsidRPr="00AA5CB5" w14:paraId="5127F2FF"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5EA68DE3" w14:textId="1E323C42" w:rsidR="00EB4AA4" w:rsidRPr="00AA5CB5" w:rsidRDefault="00EB4AA4" w:rsidP="00EB4AA4">
            <w:pPr>
              <w:pStyle w:val="Tablebodytext"/>
              <w:rPr>
                <w:b w:val="0"/>
                <w:bCs w:val="0"/>
                <w:lang w:val="en-AU"/>
              </w:rPr>
            </w:pPr>
            <w:r w:rsidRPr="00AA5CB5">
              <w:rPr>
                <w:b w:val="0"/>
                <w:bCs w:val="0"/>
                <w:lang w:val="en-AU"/>
              </w:rPr>
              <w:t>SA</w:t>
            </w:r>
          </w:p>
        </w:tc>
        <w:tc>
          <w:tcPr>
            <w:tcW w:w="1250" w:type="pct"/>
            <w:hideMark/>
          </w:tcPr>
          <w:p w14:paraId="45633177" w14:textId="136ADF9F"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lang w:val="en-AU"/>
              </w:rPr>
              <w:t>Metro </w:t>
            </w:r>
          </w:p>
        </w:tc>
        <w:tc>
          <w:tcPr>
            <w:tcW w:w="1250" w:type="pct"/>
            <w:hideMark/>
          </w:tcPr>
          <w:p w14:paraId="096D89C9"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250" w:type="pct"/>
            <w:hideMark/>
          </w:tcPr>
          <w:p w14:paraId="4A4B988B" w14:textId="0480FD5D"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10.</w:t>
            </w:r>
            <w:r w:rsidR="00BB1579" w:rsidRPr="00AA5CB5">
              <w:rPr>
                <w:lang w:val="en-AU"/>
              </w:rPr>
              <w:t>7</w:t>
            </w:r>
          </w:p>
        </w:tc>
      </w:tr>
      <w:tr w:rsidR="00EB4AA4" w:rsidRPr="00AA5CB5" w14:paraId="55822245"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0D1A6BB0" w14:textId="5D5780DA" w:rsidR="00EB4AA4" w:rsidRPr="00AA5CB5" w:rsidRDefault="00EB4AA4" w:rsidP="00EB4AA4">
            <w:pPr>
              <w:pStyle w:val="Tablebodytext"/>
              <w:rPr>
                <w:b w:val="0"/>
                <w:bCs w:val="0"/>
                <w:lang w:val="en-AU"/>
              </w:rPr>
            </w:pPr>
            <w:r w:rsidRPr="00AA5CB5">
              <w:rPr>
                <w:b w:val="0"/>
                <w:bCs w:val="0"/>
                <w:lang w:val="en-AU"/>
              </w:rPr>
              <w:t>SA</w:t>
            </w:r>
          </w:p>
        </w:tc>
        <w:tc>
          <w:tcPr>
            <w:tcW w:w="1250" w:type="pct"/>
            <w:hideMark/>
          </w:tcPr>
          <w:p w14:paraId="04A20D10" w14:textId="6B91E514"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lang w:val="en-AU"/>
              </w:rPr>
              <w:t>Non-metro</w:t>
            </w:r>
          </w:p>
        </w:tc>
        <w:tc>
          <w:tcPr>
            <w:tcW w:w="1250" w:type="pct"/>
            <w:hideMark/>
          </w:tcPr>
          <w:p w14:paraId="57DBCBEB"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250" w:type="pct"/>
            <w:hideMark/>
          </w:tcPr>
          <w:p w14:paraId="262ADD8D" w14:textId="6384982C"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10.6</w:t>
            </w:r>
          </w:p>
        </w:tc>
      </w:tr>
      <w:tr w:rsidR="00EB4AA4" w:rsidRPr="00AA5CB5" w14:paraId="35BAA429"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394BC203" w14:textId="7C27F3D0" w:rsidR="00EB4AA4" w:rsidRPr="00AA5CB5" w:rsidRDefault="00EB4AA4" w:rsidP="00EB4AA4">
            <w:pPr>
              <w:pStyle w:val="Tablebodytext"/>
              <w:rPr>
                <w:b w:val="0"/>
                <w:bCs w:val="0"/>
                <w:lang w:val="en-AU"/>
              </w:rPr>
            </w:pPr>
            <w:r w:rsidRPr="00AA5CB5">
              <w:rPr>
                <w:b w:val="0"/>
                <w:bCs w:val="0"/>
                <w:lang w:val="en-AU"/>
              </w:rPr>
              <w:t>VIC</w:t>
            </w:r>
          </w:p>
        </w:tc>
        <w:tc>
          <w:tcPr>
            <w:tcW w:w="1250" w:type="pct"/>
            <w:hideMark/>
          </w:tcPr>
          <w:p w14:paraId="7C6985CF" w14:textId="53050457"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lang w:val="en-AU"/>
              </w:rPr>
              <w:t>Metro </w:t>
            </w:r>
          </w:p>
        </w:tc>
        <w:tc>
          <w:tcPr>
            <w:tcW w:w="1250" w:type="pct"/>
            <w:hideMark/>
          </w:tcPr>
          <w:p w14:paraId="773F40BF"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250" w:type="pct"/>
            <w:hideMark/>
          </w:tcPr>
          <w:p w14:paraId="50A3C49D" w14:textId="70CEC372"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4.0</w:t>
            </w:r>
          </w:p>
        </w:tc>
      </w:tr>
      <w:tr w:rsidR="00EB4AA4" w:rsidRPr="00AA5CB5" w14:paraId="63B998D9"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0127392F" w14:textId="781DE05D" w:rsidR="00EB4AA4" w:rsidRPr="00AA5CB5" w:rsidRDefault="00EB4AA4" w:rsidP="00EB4AA4">
            <w:pPr>
              <w:pStyle w:val="Tablebodytext"/>
              <w:rPr>
                <w:b w:val="0"/>
                <w:bCs w:val="0"/>
                <w:lang w:val="en-AU"/>
              </w:rPr>
            </w:pPr>
            <w:r w:rsidRPr="00AA5CB5">
              <w:rPr>
                <w:b w:val="0"/>
                <w:bCs w:val="0"/>
                <w:lang w:val="en-AU"/>
              </w:rPr>
              <w:t>VIC</w:t>
            </w:r>
          </w:p>
        </w:tc>
        <w:tc>
          <w:tcPr>
            <w:tcW w:w="1250" w:type="pct"/>
            <w:hideMark/>
          </w:tcPr>
          <w:p w14:paraId="54388CAA" w14:textId="2E0C74B2"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lang w:val="en-AU"/>
              </w:rPr>
              <w:t>Non-metro</w:t>
            </w:r>
          </w:p>
        </w:tc>
        <w:tc>
          <w:tcPr>
            <w:tcW w:w="1250" w:type="pct"/>
            <w:hideMark/>
          </w:tcPr>
          <w:p w14:paraId="18793272"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250" w:type="pct"/>
            <w:hideMark/>
          </w:tcPr>
          <w:p w14:paraId="7C910D56" w14:textId="472CE918"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4.0</w:t>
            </w:r>
          </w:p>
        </w:tc>
      </w:tr>
      <w:tr w:rsidR="00EB4AA4" w:rsidRPr="00AA5CB5" w14:paraId="7532D455"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5549DA10" w14:textId="7280E0B0" w:rsidR="00EB4AA4" w:rsidRPr="00AA5CB5" w:rsidRDefault="00EB4AA4" w:rsidP="00EB4AA4">
            <w:pPr>
              <w:pStyle w:val="Tablebodytext"/>
              <w:rPr>
                <w:b w:val="0"/>
                <w:bCs w:val="0"/>
                <w:lang w:val="en-AU"/>
              </w:rPr>
            </w:pPr>
            <w:r w:rsidRPr="00AA5CB5">
              <w:rPr>
                <w:b w:val="0"/>
                <w:bCs w:val="0"/>
                <w:lang w:val="en-AU"/>
              </w:rPr>
              <w:t>WA</w:t>
            </w:r>
          </w:p>
        </w:tc>
        <w:tc>
          <w:tcPr>
            <w:tcW w:w="1250" w:type="pct"/>
            <w:hideMark/>
          </w:tcPr>
          <w:p w14:paraId="6229995E" w14:textId="37AC0F00"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lang w:val="en-AU"/>
              </w:rPr>
              <w:t>Metro </w:t>
            </w:r>
          </w:p>
        </w:tc>
        <w:tc>
          <w:tcPr>
            <w:tcW w:w="1250" w:type="pct"/>
            <w:hideMark/>
          </w:tcPr>
          <w:p w14:paraId="70ED917F"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250" w:type="pct"/>
            <w:hideMark/>
          </w:tcPr>
          <w:p w14:paraId="64F3B9FC" w14:textId="20F72127"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4.1</w:t>
            </w:r>
          </w:p>
        </w:tc>
      </w:tr>
      <w:tr w:rsidR="00EB4AA4" w:rsidRPr="00AA5CB5" w14:paraId="33ADC644"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14792981" w14:textId="7AB4B37A" w:rsidR="00EB4AA4" w:rsidRPr="00AA5CB5" w:rsidRDefault="00EB4AA4" w:rsidP="00EB4AA4">
            <w:pPr>
              <w:pStyle w:val="Tablebodytext"/>
              <w:rPr>
                <w:b w:val="0"/>
                <w:bCs w:val="0"/>
                <w:lang w:val="en-AU"/>
              </w:rPr>
            </w:pPr>
            <w:r w:rsidRPr="00AA5CB5">
              <w:rPr>
                <w:b w:val="0"/>
                <w:bCs w:val="0"/>
                <w:lang w:val="en-AU"/>
              </w:rPr>
              <w:lastRenderedPageBreak/>
              <w:t>WA</w:t>
            </w:r>
          </w:p>
        </w:tc>
        <w:tc>
          <w:tcPr>
            <w:tcW w:w="1250" w:type="pct"/>
            <w:hideMark/>
          </w:tcPr>
          <w:p w14:paraId="3A08AE46" w14:textId="463B5A23"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lang w:val="en-AU"/>
              </w:rPr>
              <w:t>Non-metro</w:t>
            </w:r>
          </w:p>
        </w:tc>
        <w:tc>
          <w:tcPr>
            <w:tcW w:w="1250" w:type="pct"/>
            <w:hideMark/>
          </w:tcPr>
          <w:p w14:paraId="7A1294C2"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250" w:type="pct"/>
            <w:hideMark/>
          </w:tcPr>
          <w:p w14:paraId="35E1D4CE" w14:textId="43BF8A11"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4.0</w:t>
            </w:r>
          </w:p>
        </w:tc>
      </w:tr>
      <w:tr w:rsidR="00EB4AA4" w:rsidRPr="00AA5CB5" w14:paraId="2CA0A22B"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395461BB" w14:textId="10712BD3" w:rsidR="00EB4AA4" w:rsidRPr="00AA5CB5" w:rsidRDefault="00EB4AA4" w:rsidP="00EB4AA4">
            <w:pPr>
              <w:pStyle w:val="Tablebodytext"/>
              <w:rPr>
                <w:b w:val="0"/>
                <w:bCs w:val="0"/>
                <w:color w:val="auto"/>
                <w:lang w:val="en-AU"/>
              </w:rPr>
            </w:pPr>
            <w:r w:rsidRPr="00AA5CB5">
              <w:rPr>
                <w:b w:val="0"/>
                <w:bCs w:val="0"/>
                <w:color w:val="auto"/>
                <w:lang w:val="en-AU"/>
              </w:rPr>
              <w:t>TAS</w:t>
            </w:r>
            <w:r w:rsidR="00F7041A" w:rsidRPr="00AA5CB5">
              <w:rPr>
                <w:b w:val="0"/>
                <w:bCs w:val="0"/>
                <w:color w:val="auto"/>
                <w:vertAlign w:val="superscript"/>
                <w:lang w:val="en-AU"/>
              </w:rPr>
              <w:t>a</w:t>
            </w:r>
          </w:p>
        </w:tc>
        <w:tc>
          <w:tcPr>
            <w:tcW w:w="1250" w:type="pct"/>
            <w:hideMark/>
          </w:tcPr>
          <w:p w14:paraId="2C9BF9F8" w14:textId="3E27E60C"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b/>
                <w:color w:val="auto"/>
                <w:lang w:val="en-AU"/>
              </w:rPr>
            </w:pPr>
            <w:r w:rsidRPr="00AA5CB5">
              <w:rPr>
                <w:lang w:val="en-AU"/>
              </w:rPr>
              <w:t>Metro </w:t>
            </w:r>
          </w:p>
        </w:tc>
        <w:tc>
          <w:tcPr>
            <w:tcW w:w="1250" w:type="pct"/>
            <w:hideMark/>
          </w:tcPr>
          <w:p w14:paraId="76D15BB5"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51.53  </w:t>
            </w:r>
          </w:p>
        </w:tc>
        <w:tc>
          <w:tcPr>
            <w:tcW w:w="1250" w:type="pct"/>
            <w:hideMark/>
          </w:tcPr>
          <w:p w14:paraId="58B82CEF" w14:textId="26209128"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4.0</w:t>
            </w:r>
          </w:p>
        </w:tc>
      </w:tr>
      <w:tr w:rsidR="00EB4AA4" w:rsidRPr="00AA5CB5" w14:paraId="3F184B59"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7F3B85AD" w14:textId="2E67D956" w:rsidR="00EB4AA4" w:rsidRPr="00AA5CB5" w:rsidRDefault="00EB4AA4" w:rsidP="00EB4AA4">
            <w:pPr>
              <w:pStyle w:val="Tablebodytext"/>
              <w:rPr>
                <w:b w:val="0"/>
                <w:bCs w:val="0"/>
                <w:color w:val="auto"/>
                <w:lang w:val="en-AU"/>
              </w:rPr>
            </w:pPr>
            <w:r w:rsidRPr="00AA5CB5">
              <w:rPr>
                <w:b w:val="0"/>
                <w:bCs w:val="0"/>
                <w:color w:val="auto"/>
                <w:lang w:val="en-AU"/>
              </w:rPr>
              <w:t>TAS</w:t>
            </w:r>
            <w:r w:rsidR="00ED5BC0" w:rsidRPr="00AA5CB5">
              <w:rPr>
                <w:b w:val="0"/>
                <w:bCs w:val="0"/>
                <w:color w:val="auto"/>
                <w:vertAlign w:val="superscript"/>
                <w:lang w:val="en-AU"/>
              </w:rPr>
              <w:t>a</w:t>
            </w:r>
          </w:p>
        </w:tc>
        <w:tc>
          <w:tcPr>
            <w:tcW w:w="1250" w:type="pct"/>
          </w:tcPr>
          <w:p w14:paraId="297A2131" w14:textId="7A54415E"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color w:val="auto"/>
                <w:lang w:val="en-AU"/>
              </w:rPr>
            </w:pPr>
            <w:r w:rsidRPr="00AA5CB5">
              <w:rPr>
                <w:lang w:val="en-AU"/>
              </w:rPr>
              <w:t>Non-metro</w:t>
            </w:r>
          </w:p>
        </w:tc>
        <w:tc>
          <w:tcPr>
            <w:tcW w:w="1250" w:type="pct"/>
          </w:tcPr>
          <w:p w14:paraId="4D5818E9"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51.53  </w:t>
            </w:r>
          </w:p>
        </w:tc>
        <w:tc>
          <w:tcPr>
            <w:tcW w:w="1250" w:type="pct"/>
          </w:tcPr>
          <w:p w14:paraId="47C080C1" w14:textId="4A6D8359"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4.0</w:t>
            </w:r>
          </w:p>
        </w:tc>
      </w:tr>
      <w:tr w:rsidR="00EB4AA4" w:rsidRPr="00AA5CB5" w14:paraId="5D072978"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60C2E00E" w14:textId="761DEC75" w:rsidR="00EB4AA4" w:rsidRPr="00AA5CB5" w:rsidRDefault="00EB4AA4" w:rsidP="00EB4AA4">
            <w:pPr>
              <w:pStyle w:val="Tablebodytext"/>
              <w:rPr>
                <w:b w:val="0"/>
                <w:bCs w:val="0"/>
                <w:color w:val="auto"/>
                <w:lang w:val="en-AU"/>
              </w:rPr>
            </w:pPr>
            <w:r w:rsidRPr="00AA5CB5">
              <w:rPr>
                <w:b w:val="0"/>
                <w:bCs w:val="0"/>
                <w:color w:val="auto"/>
                <w:lang w:val="en-AU"/>
              </w:rPr>
              <w:t>NT</w:t>
            </w:r>
            <w:r w:rsidR="00ED5BC0" w:rsidRPr="00AA5CB5">
              <w:rPr>
                <w:b w:val="0"/>
                <w:bCs w:val="0"/>
                <w:color w:val="auto"/>
                <w:vertAlign w:val="superscript"/>
                <w:lang w:val="en-AU"/>
              </w:rPr>
              <w:t>b</w:t>
            </w:r>
          </w:p>
        </w:tc>
        <w:tc>
          <w:tcPr>
            <w:tcW w:w="1250" w:type="pct"/>
            <w:hideMark/>
          </w:tcPr>
          <w:p w14:paraId="220F6A01" w14:textId="34B03F9A"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b/>
                <w:color w:val="auto"/>
                <w:lang w:val="en-AU"/>
              </w:rPr>
            </w:pPr>
            <w:r w:rsidRPr="00AA5CB5">
              <w:rPr>
                <w:lang w:val="en-AU"/>
              </w:rPr>
              <w:t>Metro </w:t>
            </w:r>
          </w:p>
        </w:tc>
        <w:tc>
          <w:tcPr>
            <w:tcW w:w="1250" w:type="pct"/>
            <w:hideMark/>
          </w:tcPr>
          <w:p w14:paraId="44626594"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51.53  </w:t>
            </w:r>
          </w:p>
        </w:tc>
        <w:tc>
          <w:tcPr>
            <w:tcW w:w="1250" w:type="pct"/>
            <w:hideMark/>
          </w:tcPr>
          <w:p w14:paraId="0DDFC7F8" w14:textId="6654C2AC"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4.0</w:t>
            </w:r>
          </w:p>
        </w:tc>
      </w:tr>
      <w:tr w:rsidR="00EB4AA4" w:rsidRPr="00AA5CB5" w14:paraId="4F4C2444" w14:textId="77777777" w:rsidTr="00ED2F6F">
        <w:trPr>
          <w:trHeight w:val="300"/>
        </w:trPr>
        <w:tc>
          <w:tcPr>
            <w:cnfStyle w:val="001000000000" w:firstRow="0" w:lastRow="0" w:firstColumn="1" w:lastColumn="0" w:oddVBand="0" w:evenVBand="0" w:oddHBand="0" w:evenHBand="0" w:firstRowFirstColumn="0" w:firstRowLastColumn="0" w:lastRowFirstColumn="0" w:lastRowLastColumn="0"/>
            <w:tcW w:w="1250" w:type="pct"/>
          </w:tcPr>
          <w:p w14:paraId="0CBD252A" w14:textId="75053797" w:rsidR="00EB4AA4" w:rsidRPr="00AA5CB5" w:rsidRDefault="00EB4AA4" w:rsidP="00EB4AA4">
            <w:pPr>
              <w:pStyle w:val="Tablebodytext"/>
              <w:rPr>
                <w:b w:val="0"/>
                <w:bCs w:val="0"/>
                <w:color w:val="auto"/>
                <w:lang w:val="en-AU"/>
              </w:rPr>
            </w:pPr>
            <w:r w:rsidRPr="00AA5CB5">
              <w:rPr>
                <w:b w:val="0"/>
                <w:bCs w:val="0"/>
                <w:color w:val="auto"/>
                <w:lang w:val="en-AU"/>
              </w:rPr>
              <w:t>NT</w:t>
            </w:r>
            <w:r w:rsidR="00ED5BC0" w:rsidRPr="00AA5CB5">
              <w:rPr>
                <w:b w:val="0"/>
                <w:bCs w:val="0"/>
                <w:color w:val="auto"/>
                <w:vertAlign w:val="superscript"/>
                <w:lang w:val="en-AU"/>
              </w:rPr>
              <w:t>b</w:t>
            </w:r>
          </w:p>
        </w:tc>
        <w:tc>
          <w:tcPr>
            <w:tcW w:w="1250" w:type="pct"/>
          </w:tcPr>
          <w:p w14:paraId="76CEB928" w14:textId="4B615425" w:rsidR="00EB4AA4" w:rsidRPr="00AA5CB5" w:rsidRDefault="00EB4AA4" w:rsidP="00EB4AA4">
            <w:pPr>
              <w:pStyle w:val="Tablebodytext"/>
              <w:cnfStyle w:val="000000000000" w:firstRow="0" w:lastRow="0" w:firstColumn="0" w:lastColumn="0" w:oddVBand="0" w:evenVBand="0" w:oddHBand="0" w:evenHBand="0" w:firstRowFirstColumn="0" w:firstRowLastColumn="0" w:lastRowFirstColumn="0" w:lastRowLastColumn="0"/>
              <w:rPr>
                <w:color w:val="auto"/>
                <w:lang w:val="en-AU"/>
              </w:rPr>
            </w:pPr>
            <w:r w:rsidRPr="00AA5CB5">
              <w:rPr>
                <w:lang w:val="en-AU"/>
              </w:rPr>
              <w:t>Non-metro</w:t>
            </w:r>
          </w:p>
        </w:tc>
        <w:tc>
          <w:tcPr>
            <w:tcW w:w="1250" w:type="pct"/>
          </w:tcPr>
          <w:p w14:paraId="73A22831" w14:textId="77777777" w:rsidR="00EB4AA4" w:rsidRPr="00AA5CB5" w:rsidRDefault="00EB4AA4" w:rsidP="005378C0">
            <w:pPr>
              <w:pStyle w:val="Tablebodytext"/>
              <w:tabs>
                <w:tab w:val="decimal" w:pos="240"/>
              </w:tabs>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51.53  </w:t>
            </w:r>
          </w:p>
        </w:tc>
        <w:tc>
          <w:tcPr>
            <w:tcW w:w="1250" w:type="pct"/>
          </w:tcPr>
          <w:p w14:paraId="2EECD8F6" w14:textId="1421AC59" w:rsidR="00EB4AA4" w:rsidRPr="00AA5CB5" w:rsidRDefault="00EB4AA4" w:rsidP="00D44E61">
            <w:pPr>
              <w:pStyle w:val="Tablebodytext"/>
              <w:tabs>
                <w:tab w:val="decimal" w:pos="206"/>
              </w:tabs>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4.1</w:t>
            </w:r>
          </w:p>
        </w:tc>
      </w:tr>
    </w:tbl>
    <w:p w14:paraId="34E25A74" w14:textId="7B3DD9B4" w:rsidR="005E1E93" w:rsidRPr="00AA5CB5" w:rsidRDefault="00E93F58" w:rsidP="00FA3291">
      <w:pPr>
        <w:pStyle w:val="Notebullets1"/>
        <w:numPr>
          <w:ilvl w:val="0"/>
          <w:numId w:val="0"/>
        </w:numPr>
      </w:pPr>
      <w:r w:rsidRPr="00AA5CB5">
        <w:rPr>
          <w:vertAlign w:val="superscript"/>
        </w:rPr>
        <w:t>a</w:t>
      </w:r>
      <w:r w:rsidR="005E1E93" w:rsidRPr="00AA5CB5">
        <w:t xml:space="preserve"> Tasmania uses the scope 3 emissions factor for Victoria.</w:t>
      </w:r>
    </w:p>
    <w:p w14:paraId="6AB4D207" w14:textId="37B7792E" w:rsidR="005E1E93" w:rsidRPr="00AA5CB5" w:rsidRDefault="00E93F58" w:rsidP="00FA3291">
      <w:pPr>
        <w:pStyle w:val="Notebullets1"/>
        <w:numPr>
          <w:ilvl w:val="0"/>
          <w:numId w:val="0"/>
        </w:numPr>
      </w:pPr>
      <w:r w:rsidRPr="00AA5CB5">
        <w:rPr>
          <w:vertAlign w:val="superscript"/>
        </w:rPr>
        <w:t>b</w:t>
      </w:r>
      <w:r w:rsidR="005E1E93" w:rsidRPr="00AA5CB5">
        <w:t xml:space="preserve"> The Northern Territory uses the scope 3 emissions factor for Western Australia.</w:t>
      </w:r>
    </w:p>
    <w:p w14:paraId="6A217B83" w14:textId="77CE27D1" w:rsidR="00F70ABD" w:rsidRPr="00AA5CB5" w:rsidRDefault="00FA3291" w:rsidP="00FA3291">
      <w:pPr>
        <w:pStyle w:val="Notebullets1"/>
        <w:numPr>
          <w:ilvl w:val="0"/>
          <w:numId w:val="0"/>
        </w:numPr>
      </w:pPr>
      <w:r w:rsidRPr="00AA5CB5">
        <w:rPr>
          <w:vertAlign w:val="superscript"/>
        </w:rPr>
        <w:t>c</w:t>
      </w:r>
      <w:r w:rsidRPr="00AA5CB5">
        <w:t xml:space="preserve"> </w:t>
      </w:r>
      <w:r w:rsidRPr="00AA5CB5">
        <w:rPr>
          <w:rFonts w:cstheme="minorHAnsi"/>
        </w:rPr>
        <w:t>Metro is defined as located on or east of the dividing range in NSW, including Canberra and Queanbeyan, Melbourne, Brisbane, Adelaide or Perth. Otherwise, the non-metro factor should be used.</w:t>
      </w:r>
    </w:p>
    <w:p w14:paraId="39F205BC" w14:textId="1F3E67B4" w:rsidR="001937DA" w:rsidRPr="00AA5CB5" w:rsidRDefault="00F4243D" w:rsidP="00FA3291">
      <w:pPr>
        <w:pStyle w:val="Bodybullet1"/>
        <w:numPr>
          <w:ilvl w:val="0"/>
          <w:numId w:val="0"/>
        </w:numPr>
        <w:rPr>
          <w:sz w:val="20"/>
          <w:szCs w:val="20"/>
        </w:rPr>
      </w:pPr>
      <w:r w:rsidRPr="00AA5CB5">
        <w:rPr>
          <w:sz w:val="20"/>
          <w:szCs w:val="20"/>
          <w:vertAlign w:val="superscript"/>
        </w:rPr>
        <w:t>d</w:t>
      </w:r>
      <w:r w:rsidR="00FB2463" w:rsidRPr="00AA5CB5">
        <w:rPr>
          <w:sz w:val="20"/>
          <w:szCs w:val="20"/>
        </w:rPr>
        <w:t xml:space="preserve"> </w:t>
      </w:r>
      <w:r w:rsidR="00E93F58" w:rsidRPr="00AA5CB5">
        <w:rPr>
          <w:sz w:val="20"/>
          <w:szCs w:val="20"/>
        </w:rPr>
        <w:t>Scope 1</w:t>
      </w:r>
      <w:r w:rsidR="00E93F58" w:rsidRPr="00AA5CB5">
        <w:rPr>
          <w:rStyle w:val="Notebullets1Char"/>
        </w:rPr>
        <w:t xml:space="preserve"> Source:</w:t>
      </w:r>
      <w:r w:rsidR="00E93F58" w:rsidRPr="00AA5CB5">
        <w:rPr>
          <w:sz w:val="20"/>
          <w:szCs w:val="20"/>
        </w:rPr>
        <w:t xml:space="preserve"> </w:t>
      </w:r>
      <w:r w:rsidR="001937DA" w:rsidRPr="00AA5CB5">
        <w:rPr>
          <w:sz w:val="20"/>
          <w:szCs w:val="20"/>
        </w:rPr>
        <w:t xml:space="preserve">DCCEEW (2024) </w:t>
      </w:r>
      <w:hyperlink r:id="rId62" w:history="1">
        <w:r w:rsidR="001937DA" w:rsidRPr="00AA5CB5">
          <w:rPr>
            <w:rStyle w:val="Hyperlink1"/>
            <w:rFonts w:asciiTheme="minorHAnsi" w:hAnsiTheme="minorHAnsi" w:cstheme="minorHAnsi"/>
            <w:i/>
            <w:iCs/>
            <w:sz w:val="20"/>
            <w:szCs w:val="20"/>
          </w:rPr>
          <w:t>Australian National Greenhouse Accounts Factors</w:t>
        </w:r>
      </w:hyperlink>
      <w:r w:rsidR="001937DA" w:rsidRPr="00AA5CB5">
        <w:rPr>
          <w:sz w:val="20"/>
          <w:szCs w:val="20"/>
        </w:rPr>
        <w:t>, DCCEEW, 2024:17; table 5, accessed 14 February 2025.</w:t>
      </w:r>
    </w:p>
    <w:p w14:paraId="3BF44570" w14:textId="0C49F7A0" w:rsidR="00E93F58" w:rsidRPr="00AA5CB5" w:rsidRDefault="00F4243D" w:rsidP="00FA3291">
      <w:pPr>
        <w:pStyle w:val="Notebullets1"/>
        <w:numPr>
          <w:ilvl w:val="0"/>
          <w:numId w:val="0"/>
        </w:numPr>
      </w:pPr>
      <w:r w:rsidRPr="00AA5CB5">
        <w:rPr>
          <w:vertAlign w:val="superscript"/>
        </w:rPr>
        <w:t>e</w:t>
      </w:r>
      <w:r w:rsidR="00FB2463" w:rsidRPr="00AA5CB5">
        <w:t xml:space="preserve"> </w:t>
      </w:r>
      <w:r w:rsidR="00E93F58" w:rsidRPr="00AA5CB5">
        <w:t xml:space="preserve">Scope 3 </w:t>
      </w:r>
      <w:r w:rsidR="00E93F58" w:rsidRPr="00AA5CB5">
        <w:rPr>
          <w:rStyle w:val="Notebullets1Char"/>
        </w:rPr>
        <w:t>Source:</w:t>
      </w:r>
      <w:r w:rsidR="00E93F58" w:rsidRPr="00AA5CB5">
        <w:t xml:space="preserve"> </w:t>
      </w:r>
      <w:r w:rsidRPr="00AA5CB5">
        <w:t xml:space="preserve">DCCEEW (2024) </w:t>
      </w:r>
      <w:hyperlink r:id="rId63" w:history="1">
        <w:r w:rsidRPr="00AA5CB5">
          <w:rPr>
            <w:rStyle w:val="Hyperlink1"/>
            <w:rFonts w:asciiTheme="minorHAnsi" w:hAnsiTheme="minorHAnsi" w:cstheme="minorHAnsi"/>
            <w:i/>
            <w:iCs/>
            <w:sz w:val="20"/>
            <w:szCs w:val="20"/>
          </w:rPr>
          <w:t>Australian National Greenhouse Accounts Factors</w:t>
        </w:r>
      </w:hyperlink>
      <w:r w:rsidRPr="00AA5CB5">
        <w:t>, DCCEEW, 2024:1</w:t>
      </w:r>
      <w:r w:rsidR="00DB7B8B" w:rsidRPr="00AA5CB5">
        <w:t>8</w:t>
      </w:r>
      <w:r w:rsidRPr="00AA5CB5">
        <w:t xml:space="preserve">; table </w:t>
      </w:r>
      <w:r w:rsidR="00DB7B8B" w:rsidRPr="00AA5CB5">
        <w:t>6</w:t>
      </w:r>
      <w:r w:rsidRPr="00AA5CB5">
        <w:t xml:space="preserve">, accessed 14 February 2025. </w:t>
      </w:r>
    </w:p>
    <w:p w14:paraId="57593C8E" w14:textId="499D92AE" w:rsidR="00BD7FA8" w:rsidRPr="00AA5CB5" w:rsidRDefault="00BD7FA8" w:rsidP="00BD7FA8">
      <w:pPr>
        <w:pStyle w:val="Heading2"/>
      </w:pPr>
      <w:bookmarkStart w:id="163" w:name="_Toc201927366"/>
      <w:r w:rsidRPr="00AA5CB5">
        <w:t xml:space="preserve">Solid </w:t>
      </w:r>
      <w:r w:rsidR="009A6651" w:rsidRPr="00AA5CB5">
        <w:t>w</w:t>
      </w:r>
      <w:r w:rsidRPr="00AA5CB5">
        <w:t>aste</w:t>
      </w:r>
      <w:r w:rsidR="009A6651" w:rsidRPr="00AA5CB5">
        <w:t xml:space="preserve"> disposal to landfill</w:t>
      </w:r>
      <w:bookmarkEnd w:id="163"/>
    </w:p>
    <w:p w14:paraId="6FD2D59E" w14:textId="57B143B7" w:rsidR="00DD647F" w:rsidRPr="00AA5CB5" w:rsidRDefault="00DD647F" w:rsidP="007A622F">
      <w:pPr>
        <w:pStyle w:val="BodyText1"/>
        <w:shd w:val="clear" w:color="auto" w:fill="E8F0FE" w:themeFill="accent5" w:themeFillTint="33"/>
        <w:rPr>
          <w:rFonts w:asciiTheme="majorHAnsi" w:eastAsiaTheme="majorEastAsia" w:hAnsiTheme="majorHAnsi" w:cstheme="majorBidi"/>
        </w:rPr>
      </w:pPr>
      <w:r w:rsidRPr="00AA5CB5">
        <w:rPr>
          <w:rFonts w:asciiTheme="majorHAnsi" w:eastAsiaTheme="majorEastAsia" w:hAnsiTheme="majorHAnsi" w:cstheme="majorBidi"/>
        </w:rPr>
        <w:t>If weight of waste is known:</w:t>
      </w:r>
    </w:p>
    <w:p w14:paraId="4E74AA92" w14:textId="4E7389ED" w:rsidR="007A622F" w:rsidRPr="00AA5CB5" w:rsidRDefault="00087703" w:rsidP="007A622F">
      <w:pPr>
        <w:pStyle w:val="BodyText1"/>
        <w:shd w:val="clear" w:color="auto" w:fill="E8F0FE" w:themeFill="accent5" w:themeFillTint="33"/>
      </w:pPr>
      <m:oMathPara>
        <m:oMath>
          <m:r>
            <m:rPr>
              <m:sty m:val="p"/>
            </m:rPr>
            <w:rPr>
              <w:rFonts w:ascii="Cambria Math" w:hAnsi="Cambria Math"/>
            </w:rPr>
            <m:t xml:space="preserve">t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nor/>
            </m:rPr>
            <m:t>-</m:t>
          </m:r>
          <m:r>
            <m:rPr>
              <m:sty m:val="p"/>
            </m:rPr>
            <w:rPr>
              <w:rFonts w:ascii="Cambria Math" w:hAnsi="Cambria Math"/>
            </w:rPr>
            <m:t xml:space="preserve">e=Q ×EF </m:t>
          </m:r>
        </m:oMath>
      </m:oMathPara>
    </w:p>
    <w:p w14:paraId="2980DBED" w14:textId="39FA193B" w:rsidR="00DD647F" w:rsidRPr="00AA5CB5" w:rsidRDefault="00DD647F" w:rsidP="007A622F">
      <w:pPr>
        <w:pStyle w:val="BodyText1"/>
        <w:shd w:val="clear" w:color="auto" w:fill="E8F0FE" w:themeFill="accent5" w:themeFillTint="33"/>
        <w:rPr>
          <w:rFonts w:eastAsiaTheme="minorEastAsia"/>
        </w:rPr>
      </w:pPr>
      <w:r w:rsidRPr="00AA5CB5">
        <w:rPr>
          <w:rFonts w:eastAsiaTheme="minorEastAsia"/>
        </w:rPr>
        <w:t>If weight is not known:</w:t>
      </w:r>
    </w:p>
    <w:p w14:paraId="7B807E01" w14:textId="3AEB7DA7" w:rsidR="00DD647F" w:rsidRPr="00AA5CB5" w:rsidRDefault="00DD647F" w:rsidP="00DD647F">
      <w:pPr>
        <w:pStyle w:val="BodyText1"/>
        <w:shd w:val="clear" w:color="auto" w:fill="E8F0FE" w:themeFill="accent5" w:themeFillTint="33"/>
        <w:rPr>
          <w:rFonts w:eastAsiaTheme="minorEastAsia"/>
        </w:rPr>
      </w:pPr>
      <m:oMathPara>
        <m:oMath>
          <m:r>
            <m:rPr>
              <m:sty m:val="p"/>
            </m:rPr>
            <w:rPr>
              <w:rFonts w:ascii="Cambria Math" w:hAnsi="Cambria Math"/>
            </w:rPr>
            <m:t xml:space="preserve">t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nor/>
            </m:rPr>
            <m:t>-</m:t>
          </m:r>
          <m:r>
            <m:rPr>
              <m:sty m:val="p"/>
            </m:rPr>
            <w:rPr>
              <w:rFonts w:ascii="Cambria Math" w:hAnsi="Cambria Math"/>
            </w:rPr>
            <m:t>e=</m:t>
          </m:r>
          <m:sSup>
            <m:sSupPr>
              <m:ctrlPr>
                <w:rPr>
                  <w:rFonts w:ascii="Cambria Math" w:hAnsi="Cambria Math"/>
                </w:rPr>
              </m:ctrlPr>
            </m:sSupPr>
            <m:e>
              <m:r>
                <w:rPr>
                  <w:rFonts w:ascii="Cambria Math" w:hAnsi="Cambria Math"/>
                </w:rPr>
                <m:t>m</m:t>
              </m:r>
            </m:e>
            <m:sup>
              <m:r>
                <w:rPr>
                  <w:rFonts w:ascii="Cambria Math" w:hAnsi="Cambria Math"/>
                </w:rPr>
                <m:t>3</m:t>
              </m:r>
            </m:sup>
          </m:sSup>
          <m:r>
            <m:rPr>
              <m:sty m:val="p"/>
            </m:rPr>
            <w:rPr>
              <w:rFonts w:ascii="Cambria Math" w:hAnsi="Cambria Math"/>
            </w:rPr>
            <m:t xml:space="preserve">×CF ×EF </m:t>
          </m:r>
        </m:oMath>
      </m:oMathPara>
    </w:p>
    <w:p w14:paraId="6CC075FB" w14:textId="77777777" w:rsidR="007A622F" w:rsidRPr="00AA5CB5" w:rsidRDefault="007A622F" w:rsidP="007A622F">
      <w:pPr>
        <w:pStyle w:val="BodyText1"/>
        <w:shd w:val="clear" w:color="auto" w:fill="E8F0FE" w:themeFill="accent5" w:themeFillTint="33"/>
      </w:pPr>
      <w:r w:rsidRPr="00AA5CB5">
        <w:t>Where:</w:t>
      </w:r>
    </w:p>
    <w:p w14:paraId="2E7B214F" w14:textId="22C3C804" w:rsidR="007A622F" w:rsidRPr="00AA5CB5" w:rsidRDefault="005865E7" w:rsidP="007A622F">
      <w:pPr>
        <w:pStyle w:val="Bodybullet1"/>
        <w:shd w:val="clear" w:color="auto" w:fill="E8F0FE" w:themeFill="accent5" w:themeFillTint="33"/>
      </w:pPr>
      <m:oMath>
        <m:r>
          <m:rPr>
            <m:sty m:val="b"/>
          </m:rPr>
          <w:rPr>
            <w:rFonts w:ascii="Cambria Math" w:hAnsi="Cambria Math"/>
          </w:rPr>
          <m:t xml:space="preserve">t </m:t>
        </m:r>
        <m:sSub>
          <m:sSubPr>
            <m:ctrlPr>
              <w:rPr>
                <w:rFonts w:ascii="Cambria Math" w:hAnsi="Cambria Math"/>
              </w:rPr>
            </m:ctrlPr>
          </m:sSubPr>
          <m:e>
            <m:r>
              <m:rPr>
                <m:sty m:val="b"/>
              </m:rPr>
              <w:rPr>
                <w:rFonts w:ascii="Cambria Math" w:hAnsi="Cambria Math"/>
              </w:rPr>
              <m:t>CO</m:t>
            </m:r>
          </m:e>
          <m:sub>
            <m:r>
              <m:rPr>
                <m:sty m:val="b"/>
              </m:rPr>
              <w:rPr>
                <w:rFonts w:ascii="Cambria Math" w:hAnsi="Cambria Math"/>
              </w:rPr>
              <m:t>2</m:t>
            </m:r>
          </m:sub>
        </m:sSub>
        <m:r>
          <m:rPr>
            <m:nor/>
          </m:rPr>
          <m:t>-</m:t>
        </m:r>
        <m:r>
          <m:rPr>
            <m:sty m:val="b"/>
          </m:rPr>
          <w:rPr>
            <w:rFonts w:ascii="Cambria Math" w:hAnsi="Cambria Math"/>
          </w:rPr>
          <m:t>e</m:t>
        </m:r>
      </m:oMath>
      <w:r w:rsidR="007A622F" w:rsidRPr="00AA5CB5">
        <w:t xml:space="preserve"> is the </w:t>
      </w:r>
      <w:r w:rsidR="00E90152">
        <w:t>GHG</w:t>
      </w:r>
      <w:r w:rsidR="007A622F" w:rsidRPr="00AA5CB5">
        <w:t xml:space="preserve"> emissions, in tonnes carbon dioxide equivalent</w:t>
      </w:r>
    </w:p>
    <w:p w14:paraId="44B9A8BE" w14:textId="50D7E4EB" w:rsidR="007A622F" w:rsidRPr="00AA5CB5" w:rsidRDefault="005865E7" w:rsidP="007A622F">
      <w:pPr>
        <w:pStyle w:val="Bodybullet1"/>
        <w:shd w:val="clear" w:color="auto" w:fill="E8F0FE" w:themeFill="accent5" w:themeFillTint="33"/>
      </w:pPr>
      <m:oMath>
        <m:r>
          <m:rPr>
            <m:sty m:val="b"/>
          </m:rPr>
          <w:rPr>
            <w:rFonts w:ascii="Cambria Math" w:hAnsi="Cambria Math"/>
          </w:rPr>
          <m:t>Q</m:t>
        </m:r>
      </m:oMath>
      <w:r w:rsidR="007A622F" w:rsidRPr="00AA5CB5">
        <w:t xml:space="preserve"> is the </w:t>
      </w:r>
      <w:r w:rsidR="00835A2A" w:rsidRPr="00AA5CB5">
        <w:t>weight of waste</w:t>
      </w:r>
      <w:r w:rsidR="00A93C82">
        <w:t xml:space="preserve"> produced,</w:t>
      </w:r>
      <w:r w:rsidR="00835A2A" w:rsidRPr="00AA5CB5">
        <w:t xml:space="preserve"> </w:t>
      </w:r>
      <w:r w:rsidR="00BC79D5" w:rsidRPr="00AA5CB5">
        <w:t>in tonnes (</w:t>
      </w:r>
      <w:r w:rsidR="007A622F" w:rsidRPr="00AA5CB5">
        <w:t>t</w:t>
      </w:r>
      <w:r w:rsidR="00BC79D5" w:rsidRPr="00AA5CB5">
        <w:t xml:space="preserve">) </w:t>
      </w:r>
    </w:p>
    <w:p w14:paraId="218B6115" w14:textId="0FA8DCF4" w:rsidR="007A622F" w:rsidRPr="00AA5CB5" w:rsidRDefault="005865E7" w:rsidP="007A622F">
      <w:pPr>
        <w:pStyle w:val="Bodybullet1"/>
        <w:shd w:val="clear" w:color="auto" w:fill="E8F0FE" w:themeFill="accent5" w:themeFillTint="33"/>
      </w:pPr>
      <m:oMath>
        <m:r>
          <m:rPr>
            <m:sty m:val="b"/>
          </m:rPr>
          <w:rPr>
            <w:rFonts w:ascii="Cambria Math" w:hAnsi="Cambria Math"/>
          </w:rPr>
          <m:t>EF</m:t>
        </m:r>
      </m:oMath>
      <w:r w:rsidR="007A622F" w:rsidRPr="00AA5CB5">
        <w:t xml:space="preserve"> is the </w:t>
      </w:r>
      <w:r w:rsidR="002B1D6B" w:rsidRPr="00AA5CB5">
        <w:t>waste type or waste stream</w:t>
      </w:r>
      <w:r w:rsidR="007A622F" w:rsidRPr="00AA5CB5">
        <w:t xml:space="preserve"> emissions factor, </w:t>
      </w:r>
      <w:r w:rsidR="00BC79D5" w:rsidRPr="00AA5CB5">
        <w:t>t</w:t>
      </w:r>
      <w:r w:rsidR="00EE4E78">
        <w:t xml:space="preserve"> </w:t>
      </w:r>
      <w:r w:rsidR="007A622F" w:rsidRPr="00AA5CB5">
        <w:t>CO</w:t>
      </w:r>
      <w:r w:rsidR="007A622F" w:rsidRPr="00AA5CB5">
        <w:rPr>
          <w:vertAlign w:val="subscript"/>
        </w:rPr>
        <w:t>2</w:t>
      </w:r>
      <w:r w:rsidR="007A622F" w:rsidRPr="00AA5CB5">
        <w:t xml:space="preserve">-e per t </w:t>
      </w:r>
      <w:r w:rsidR="00012604" w:rsidRPr="00AA5CB5">
        <w:t xml:space="preserve">of waste </w:t>
      </w:r>
    </w:p>
    <w:p w14:paraId="5006E115" w14:textId="1E44CF78" w:rsidR="007275BE" w:rsidRPr="00AA5CB5" w:rsidRDefault="00000000" w:rsidP="007A622F">
      <w:pPr>
        <w:pStyle w:val="Bodybullet1"/>
        <w:shd w:val="clear" w:color="auto" w:fill="E8F0FE" w:themeFill="accent5" w:themeFillTint="33"/>
      </w:pPr>
      <m:oMath>
        <m:sSup>
          <m:sSupPr>
            <m:ctrlPr>
              <w:rPr>
                <w:rFonts w:ascii="Cambria Math" w:hAnsi="Cambria Math"/>
                <w:b/>
                <w:bCs/>
              </w:rPr>
            </m:ctrlPr>
          </m:sSupPr>
          <m:e>
            <m:r>
              <m:rPr>
                <m:sty m:val="bi"/>
              </m:rPr>
              <w:rPr>
                <w:rFonts w:ascii="Cambria Math" w:hAnsi="Cambria Math"/>
              </w:rPr>
              <m:t>m</m:t>
            </m:r>
          </m:e>
          <m:sup>
            <m:r>
              <m:rPr>
                <m:sty m:val="bi"/>
              </m:rPr>
              <w:rPr>
                <w:rFonts w:ascii="Cambria Math" w:hAnsi="Cambria Math"/>
              </w:rPr>
              <m:t>3</m:t>
            </m:r>
          </m:sup>
        </m:sSup>
      </m:oMath>
      <w:r w:rsidR="00E47D0A" w:rsidRPr="00AA5CB5">
        <w:rPr>
          <w:rFonts w:eastAsiaTheme="minorEastAsia"/>
        </w:rPr>
        <w:t xml:space="preserve"> is the volume of waste </w:t>
      </w:r>
      <w:r w:rsidR="001505B6">
        <w:rPr>
          <w:rFonts w:eastAsiaTheme="minorEastAsia"/>
        </w:rPr>
        <w:t xml:space="preserve">produced, </w:t>
      </w:r>
      <w:r w:rsidR="00E47D0A" w:rsidRPr="00AA5CB5">
        <w:rPr>
          <w:rFonts w:eastAsiaTheme="minorEastAsia"/>
        </w:rPr>
        <w:t>in cubic metres (m</w:t>
      </w:r>
      <w:r w:rsidR="00E47D0A" w:rsidRPr="00AA5CB5">
        <w:rPr>
          <w:rFonts w:eastAsiaTheme="minorEastAsia"/>
          <w:vertAlign w:val="superscript"/>
        </w:rPr>
        <w:t>3</w:t>
      </w:r>
      <w:r w:rsidR="00E47D0A" w:rsidRPr="00AA5CB5">
        <w:rPr>
          <w:rFonts w:eastAsiaTheme="minorEastAsia"/>
        </w:rPr>
        <w:t>)</w:t>
      </w:r>
    </w:p>
    <w:p w14:paraId="591E4FBE" w14:textId="74A6A8CC" w:rsidR="002B1D6B" w:rsidRPr="00AA5CB5" w:rsidRDefault="00976B88" w:rsidP="007A622F">
      <w:pPr>
        <w:pStyle w:val="Bodybullet1"/>
        <w:shd w:val="clear" w:color="auto" w:fill="E8F0FE" w:themeFill="accent5" w:themeFillTint="33"/>
      </w:pPr>
      <m:oMath>
        <m:r>
          <m:rPr>
            <m:sty m:val="b"/>
          </m:rPr>
          <w:rPr>
            <w:rFonts w:ascii="Cambria Math" w:hAnsi="Cambria Math"/>
          </w:rPr>
          <m:t>CF</m:t>
        </m:r>
      </m:oMath>
      <w:r w:rsidR="002B1D6B" w:rsidRPr="00AA5CB5">
        <w:rPr>
          <w:rFonts w:eastAsiaTheme="minorEastAsia"/>
        </w:rPr>
        <w:t xml:space="preserve"> is the conversion factor of volume to mass </w:t>
      </w:r>
      <w:r w:rsidR="00F57409" w:rsidRPr="00AA5CB5">
        <w:rPr>
          <w:rFonts w:eastAsiaTheme="minorEastAsia"/>
        </w:rPr>
        <w:t xml:space="preserve">as per </w:t>
      </w:r>
      <w:r w:rsidR="00F57409" w:rsidRPr="00AA5CB5">
        <w:rPr>
          <w:rFonts w:eastAsiaTheme="minorEastAsia"/>
        </w:rPr>
        <w:fldChar w:fldCharType="begin"/>
      </w:r>
      <w:r w:rsidR="00F57409" w:rsidRPr="00AA5CB5">
        <w:rPr>
          <w:rFonts w:eastAsiaTheme="minorEastAsia"/>
        </w:rPr>
        <w:instrText xml:space="preserve"> REF _Ref199418857 \h </w:instrText>
      </w:r>
      <w:r w:rsidR="00F57409" w:rsidRPr="00AA5CB5">
        <w:rPr>
          <w:rFonts w:eastAsiaTheme="minorEastAsia"/>
        </w:rPr>
      </w:r>
      <w:r w:rsidR="00F57409" w:rsidRPr="00AA5CB5">
        <w:rPr>
          <w:rFonts w:eastAsiaTheme="minorEastAsia"/>
        </w:rPr>
        <w:fldChar w:fldCharType="separate"/>
      </w:r>
      <w:r w:rsidR="00422A37" w:rsidRPr="00AA5CB5">
        <w:t xml:space="preserve">Table </w:t>
      </w:r>
      <w:r w:rsidR="00422A37">
        <w:rPr>
          <w:noProof/>
        </w:rPr>
        <w:t>11</w:t>
      </w:r>
      <w:r w:rsidR="00F57409" w:rsidRPr="00AA5CB5">
        <w:rPr>
          <w:rFonts w:eastAsiaTheme="minorEastAsia"/>
        </w:rPr>
        <w:fldChar w:fldCharType="end"/>
      </w:r>
      <w:r w:rsidR="00F57409" w:rsidRPr="00AA5CB5">
        <w:rPr>
          <w:rFonts w:eastAsiaTheme="minorEastAsia"/>
        </w:rPr>
        <w:t xml:space="preserve"> and </w:t>
      </w:r>
      <w:r w:rsidR="00F57409" w:rsidRPr="00AA5CB5">
        <w:rPr>
          <w:rFonts w:eastAsiaTheme="minorEastAsia"/>
        </w:rPr>
        <w:fldChar w:fldCharType="begin"/>
      </w:r>
      <w:r w:rsidR="00F57409" w:rsidRPr="00AA5CB5">
        <w:rPr>
          <w:rFonts w:eastAsiaTheme="minorEastAsia"/>
        </w:rPr>
        <w:instrText xml:space="preserve"> REF _Ref199418859 \h </w:instrText>
      </w:r>
      <w:r w:rsidR="00F57409" w:rsidRPr="00AA5CB5">
        <w:rPr>
          <w:rFonts w:eastAsiaTheme="minorEastAsia"/>
        </w:rPr>
      </w:r>
      <w:r w:rsidR="00F57409" w:rsidRPr="00AA5CB5">
        <w:rPr>
          <w:rFonts w:eastAsiaTheme="minorEastAsia"/>
        </w:rPr>
        <w:fldChar w:fldCharType="separate"/>
      </w:r>
      <w:r w:rsidR="00422A37" w:rsidRPr="00AA5CB5">
        <w:t xml:space="preserve">Table </w:t>
      </w:r>
      <w:r w:rsidR="00422A37">
        <w:rPr>
          <w:noProof/>
        </w:rPr>
        <w:t>12</w:t>
      </w:r>
      <w:r w:rsidR="00F57409" w:rsidRPr="00AA5CB5">
        <w:rPr>
          <w:rFonts w:eastAsiaTheme="minorEastAsia"/>
        </w:rPr>
        <w:fldChar w:fldCharType="end"/>
      </w:r>
    </w:p>
    <w:p w14:paraId="7410276D" w14:textId="2B9BED93" w:rsidR="007A622F" w:rsidRPr="00AA5CB5" w:rsidRDefault="007A622F" w:rsidP="007A622F">
      <w:pPr>
        <w:pStyle w:val="Caption"/>
        <w:keepNext/>
      </w:pPr>
      <w:bookmarkStart w:id="164" w:name="_Ref199418857"/>
      <w:bookmarkStart w:id="165" w:name="_Toc201927384"/>
      <w:r w:rsidRPr="00AA5CB5">
        <w:t xml:space="preserve">Table </w:t>
      </w:r>
      <w:r w:rsidRPr="00AA5CB5">
        <w:fldChar w:fldCharType="begin"/>
      </w:r>
      <w:r w:rsidRPr="00AA5CB5">
        <w:instrText xml:space="preserve"> SEQ Table \* ARABIC </w:instrText>
      </w:r>
      <w:r w:rsidRPr="00AA5CB5">
        <w:fldChar w:fldCharType="separate"/>
      </w:r>
      <w:r w:rsidR="00422A37">
        <w:rPr>
          <w:noProof/>
        </w:rPr>
        <w:t>11</w:t>
      </w:r>
      <w:r w:rsidRPr="00AA5CB5">
        <w:fldChar w:fldCharType="end"/>
      </w:r>
      <w:bookmarkEnd w:id="164"/>
      <w:r w:rsidR="0088604A">
        <w:t>:</w:t>
      </w:r>
      <w:r w:rsidRPr="00AA5CB5">
        <w:t xml:space="preserve"> Solid waste disposal – </w:t>
      </w:r>
      <w:r w:rsidR="006A48BE">
        <w:t>w</w:t>
      </w:r>
      <w:r w:rsidRPr="00AA5CB5">
        <w:t>aste type</w:t>
      </w:r>
      <w:bookmarkEnd w:id="165"/>
    </w:p>
    <w:tbl>
      <w:tblPr>
        <w:tblStyle w:val="ListTable4-Accent6"/>
        <w:tblW w:w="5000" w:type="pct"/>
        <w:tblInd w:w="0" w:type="dxa"/>
        <w:tblLook w:val="06A0" w:firstRow="1" w:lastRow="0" w:firstColumn="1" w:lastColumn="0" w:noHBand="1" w:noVBand="1"/>
      </w:tblPr>
      <w:tblGrid>
        <w:gridCol w:w="4249"/>
        <w:gridCol w:w="2577"/>
        <w:gridCol w:w="2576"/>
      </w:tblGrid>
      <w:tr w:rsidR="00674427" w:rsidRPr="00AA5CB5" w14:paraId="1BA44F91" w14:textId="25675BF9" w:rsidTr="009938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59" w:type="pct"/>
            <w:hideMark/>
          </w:tcPr>
          <w:p w14:paraId="52716C44" w14:textId="77777777" w:rsidR="003218F1" w:rsidRPr="00AA5CB5" w:rsidRDefault="003218F1" w:rsidP="001A1A27">
            <w:pPr>
              <w:pStyle w:val="Tableheading"/>
              <w:rPr>
                <w:b/>
                <w:lang w:val="en-AU"/>
              </w:rPr>
            </w:pPr>
            <w:r w:rsidRPr="00AA5CB5">
              <w:rPr>
                <w:b/>
                <w:lang w:val="en-AU"/>
              </w:rPr>
              <w:t>Waste Type </w:t>
            </w:r>
          </w:p>
        </w:tc>
        <w:tc>
          <w:tcPr>
            <w:tcW w:w="1370" w:type="pct"/>
            <w:hideMark/>
          </w:tcPr>
          <w:p w14:paraId="550CA7CA" w14:textId="77777777" w:rsidR="003218F1" w:rsidRPr="00AA5CB5" w:rsidRDefault="003218F1" w:rsidP="001A1A27">
            <w:pPr>
              <w:pStyle w:val="Tableheading"/>
              <w:cnfStyle w:val="100000000000" w:firstRow="1" w:lastRow="0" w:firstColumn="0" w:lastColumn="0" w:oddVBand="0" w:evenVBand="0" w:oddHBand="0" w:evenHBand="0" w:firstRowFirstColumn="0" w:firstRowLastColumn="0" w:lastRowFirstColumn="0" w:lastRowLastColumn="0"/>
              <w:rPr>
                <w:b/>
                <w:lang w:val="en-AU"/>
              </w:rPr>
            </w:pPr>
            <w:r w:rsidRPr="00AA5CB5">
              <w:rPr>
                <w:b/>
                <w:lang w:val="en-AU"/>
              </w:rPr>
              <w:t>Net scope 3 emission factor  </w:t>
            </w:r>
          </w:p>
          <w:p w14:paraId="618DE558" w14:textId="62845202" w:rsidR="003218F1" w:rsidRPr="00AA5CB5" w:rsidRDefault="003218F1" w:rsidP="001A1A27">
            <w:pPr>
              <w:pStyle w:val="Tableheading"/>
              <w:cnfStyle w:val="100000000000" w:firstRow="1" w:lastRow="0" w:firstColumn="0" w:lastColumn="0" w:oddVBand="0" w:evenVBand="0" w:oddHBand="0" w:evenHBand="0" w:firstRowFirstColumn="0" w:firstRowLastColumn="0" w:lastRowFirstColumn="0" w:lastRowLastColumn="0"/>
              <w:rPr>
                <w:b/>
                <w:lang w:val="en-AU"/>
              </w:rPr>
            </w:pPr>
            <w:r w:rsidRPr="00AA5CB5">
              <w:rPr>
                <w:b/>
                <w:lang w:val="en-AU"/>
              </w:rPr>
              <w:t>t CO</w:t>
            </w:r>
            <w:r w:rsidRPr="00EE4E78">
              <w:rPr>
                <w:b/>
                <w:vertAlign w:val="subscript"/>
                <w:lang w:val="en-AU"/>
              </w:rPr>
              <w:t>2</w:t>
            </w:r>
            <w:r w:rsidRPr="00AA5CB5">
              <w:rPr>
                <w:b/>
                <w:lang w:val="en-AU"/>
              </w:rPr>
              <w:t>-e/</w:t>
            </w:r>
            <w:r w:rsidR="004205DF">
              <w:rPr>
                <w:b/>
                <w:lang w:val="en-AU"/>
              </w:rPr>
              <w:t>t</w:t>
            </w:r>
            <w:r w:rsidRPr="00AA5CB5">
              <w:rPr>
                <w:b/>
                <w:lang w:val="en-AU"/>
              </w:rPr>
              <w:t> </w:t>
            </w:r>
          </w:p>
        </w:tc>
        <w:tc>
          <w:tcPr>
            <w:tcW w:w="1370" w:type="pct"/>
          </w:tcPr>
          <w:p w14:paraId="78BC81F1" w14:textId="77777777" w:rsidR="003218F1" w:rsidRPr="00AA5CB5" w:rsidRDefault="003218F1" w:rsidP="001A1A27">
            <w:pPr>
              <w:pStyle w:val="Tableheading"/>
              <w:cnfStyle w:val="100000000000" w:firstRow="1" w:lastRow="0" w:firstColumn="0" w:lastColumn="0" w:oddVBand="0" w:evenVBand="0" w:oddHBand="0" w:evenHBand="0" w:firstRowFirstColumn="0" w:firstRowLastColumn="0" w:lastRowFirstColumn="0" w:lastRowLastColumn="0"/>
              <w:rPr>
                <w:b/>
                <w:bCs w:val="0"/>
                <w:lang w:val="en-AU"/>
              </w:rPr>
            </w:pPr>
            <w:r w:rsidRPr="00AA5CB5">
              <w:rPr>
                <w:b/>
                <w:bCs w:val="0"/>
                <w:lang w:val="en-AU"/>
              </w:rPr>
              <w:t xml:space="preserve">Volume to mass conversion factor </w:t>
            </w:r>
          </w:p>
          <w:p w14:paraId="09402884" w14:textId="1D71266C" w:rsidR="003218F1" w:rsidRPr="00AA5CB5" w:rsidRDefault="003218F1" w:rsidP="003218F1">
            <w:pPr>
              <w:cnfStyle w:val="100000000000" w:firstRow="1" w:lastRow="0" w:firstColumn="0" w:lastColumn="0" w:oddVBand="0" w:evenVBand="0" w:oddHBand="0" w:evenHBand="0" w:firstRowFirstColumn="0" w:firstRowLastColumn="0" w:lastRowFirstColumn="0" w:lastRowLastColumn="0"/>
              <w:rPr>
                <w:lang w:val="en-AU"/>
              </w:rPr>
            </w:pPr>
            <w:r w:rsidRPr="00AA5CB5">
              <w:rPr>
                <w:bCs w:val="0"/>
                <w:color w:val="auto"/>
                <w:lang w:val="en-AU"/>
              </w:rPr>
              <w:t>t/m</w:t>
            </w:r>
            <w:r w:rsidRPr="00EE4E78">
              <w:rPr>
                <w:bCs w:val="0"/>
                <w:color w:val="auto"/>
                <w:vertAlign w:val="superscript"/>
                <w:lang w:val="en-AU"/>
              </w:rPr>
              <w:t>3</w:t>
            </w:r>
          </w:p>
        </w:tc>
      </w:tr>
      <w:tr w:rsidR="003218F1" w:rsidRPr="00AA5CB5" w14:paraId="6DEECFB9" w14:textId="180F8CBE" w:rsidTr="00993814">
        <w:trPr>
          <w:trHeight w:val="300"/>
        </w:trPr>
        <w:tc>
          <w:tcPr>
            <w:cnfStyle w:val="001000000000" w:firstRow="0" w:lastRow="0" w:firstColumn="1" w:lastColumn="0" w:oddVBand="0" w:evenVBand="0" w:oddHBand="0" w:evenHBand="0" w:firstRowFirstColumn="0" w:firstRowLastColumn="0" w:lastRowFirstColumn="0" w:lastRowLastColumn="0"/>
            <w:tcW w:w="2259" w:type="pct"/>
            <w:hideMark/>
          </w:tcPr>
          <w:p w14:paraId="098D250D" w14:textId="77777777" w:rsidR="003218F1" w:rsidRPr="00AA5CB5" w:rsidRDefault="003218F1" w:rsidP="001A1A27">
            <w:pPr>
              <w:pStyle w:val="Tablebodytext"/>
              <w:rPr>
                <w:b w:val="0"/>
                <w:bCs w:val="0"/>
                <w:lang w:val="en-AU"/>
              </w:rPr>
            </w:pPr>
            <w:r w:rsidRPr="00AA5CB5">
              <w:rPr>
                <w:b w:val="0"/>
                <w:bCs w:val="0"/>
                <w:lang w:val="en-AU"/>
              </w:rPr>
              <w:t>Food </w:t>
            </w:r>
          </w:p>
        </w:tc>
        <w:tc>
          <w:tcPr>
            <w:tcW w:w="1370" w:type="pct"/>
            <w:hideMark/>
          </w:tcPr>
          <w:p w14:paraId="1A7AA3E9" w14:textId="77777777" w:rsidR="003218F1" w:rsidRPr="00AA5CB5" w:rsidRDefault="003218F1"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2.1 </w:t>
            </w:r>
          </w:p>
        </w:tc>
        <w:tc>
          <w:tcPr>
            <w:tcW w:w="1370" w:type="pct"/>
          </w:tcPr>
          <w:p w14:paraId="279716F6" w14:textId="0725CC90" w:rsidR="003218F1" w:rsidRPr="00AA5CB5" w:rsidRDefault="000D5CDD"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0.50</w:t>
            </w:r>
          </w:p>
        </w:tc>
      </w:tr>
      <w:tr w:rsidR="003218F1" w:rsidRPr="00AA5CB5" w14:paraId="5A283FBC" w14:textId="18CCDD3D" w:rsidTr="00993814">
        <w:trPr>
          <w:trHeight w:val="300"/>
        </w:trPr>
        <w:tc>
          <w:tcPr>
            <w:cnfStyle w:val="001000000000" w:firstRow="0" w:lastRow="0" w:firstColumn="1" w:lastColumn="0" w:oddVBand="0" w:evenVBand="0" w:oddHBand="0" w:evenHBand="0" w:firstRowFirstColumn="0" w:firstRowLastColumn="0" w:lastRowFirstColumn="0" w:lastRowLastColumn="0"/>
            <w:tcW w:w="2259" w:type="pct"/>
            <w:hideMark/>
          </w:tcPr>
          <w:p w14:paraId="7DA3E13E" w14:textId="77777777" w:rsidR="003218F1" w:rsidRPr="00AA5CB5" w:rsidRDefault="003218F1" w:rsidP="001A1A27">
            <w:pPr>
              <w:pStyle w:val="Tablebodytext"/>
              <w:rPr>
                <w:b w:val="0"/>
                <w:bCs w:val="0"/>
                <w:lang w:val="en-AU"/>
              </w:rPr>
            </w:pPr>
            <w:r w:rsidRPr="00AA5CB5">
              <w:rPr>
                <w:b w:val="0"/>
                <w:bCs w:val="0"/>
                <w:lang w:val="en-AU"/>
              </w:rPr>
              <w:t>Paper and cardboard </w:t>
            </w:r>
          </w:p>
        </w:tc>
        <w:tc>
          <w:tcPr>
            <w:tcW w:w="1370" w:type="pct"/>
            <w:hideMark/>
          </w:tcPr>
          <w:p w14:paraId="12C2E718" w14:textId="77777777" w:rsidR="003218F1" w:rsidRPr="00AA5CB5" w:rsidRDefault="003218F1"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3.3 </w:t>
            </w:r>
          </w:p>
        </w:tc>
        <w:tc>
          <w:tcPr>
            <w:tcW w:w="1370" w:type="pct"/>
          </w:tcPr>
          <w:p w14:paraId="06501D6B" w14:textId="1A13920D" w:rsidR="003218F1" w:rsidRPr="00AA5CB5" w:rsidRDefault="000D5CDD"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0.09</w:t>
            </w:r>
          </w:p>
        </w:tc>
      </w:tr>
      <w:tr w:rsidR="003218F1" w:rsidRPr="00AA5CB5" w14:paraId="50A591A1" w14:textId="0BC4BE11" w:rsidTr="00993814">
        <w:trPr>
          <w:trHeight w:val="300"/>
        </w:trPr>
        <w:tc>
          <w:tcPr>
            <w:cnfStyle w:val="001000000000" w:firstRow="0" w:lastRow="0" w:firstColumn="1" w:lastColumn="0" w:oddVBand="0" w:evenVBand="0" w:oddHBand="0" w:evenHBand="0" w:firstRowFirstColumn="0" w:firstRowLastColumn="0" w:lastRowFirstColumn="0" w:lastRowLastColumn="0"/>
            <w:tcW w:w="2259" w:type="pct"/>
            <w:hideMark/>
          </w:tcPr>
          <w:p w14:paraId="5521FC17" w14:textId="77777777" w:rsidR="003218F1" w:rsidRPr="00AA5CB5" w:rsidRDefault="003218F1" w:rsidP="001A1A27">
            <w:pPr>
              <w:pStyle w:val="Tablebodytext"/>
              <w:rPr>
                <w:b w:val="0"/>
                <w:bCs w:val="0"/>
                <w:lang w:val="en-AU"/>
              </w:rPr>
            </w:pPr>
            <w:r w:rsidRPr="00AA5CB5">
              <w:rPr>
                <w:b w:val="0"/>
                <w:bCs w:val="0"/>
                <w:lang w:val="en-AU"/>
              </w:rPr>
              <w:t>Garden and green </w:t>
            </w:r>
          </w:p>
        </w:tc>
        <w:tc>
          <w:tcPr>
            <w:tcW w:w="1370" w:type="pct"/>
            <w:hideMark/>
          </w:tcPr>
          <w:p w14:paraId="0C3E6496" w14:textId="77777777" w:rsidR="003218F1" w:rsidRPr="00AA5CB5" w:rsidRDefault="003218F1"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1.6 </w:t>
            </w:r>
          </w:p>
        </w:tc>
        <w:tc>
          <w:tcPr>
            <w:tcW w:w="1370" w:type="pct"/>
          </w:tcPr>
          <w:p w14:paraId="15BC5BFC" w14:textId="2F5A4585" w:rsidR="003218F1" w:rsidRPr="00AA5CB5" w:rsidRDefault="000D5CDD"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0.24</w:t>
            </w:r>
          </w:p>
        </w:tc>
      </w:tr>
      <w:tr w:rsidR="003218F1" w:rsidRPr="00AA5CB5" w14:paraId="58A0DAD3" w14:textId="6CBF6C5C" w:rsidTr="00993814">
        <w:trPr>
          <w:trHeight w:val="300"/>
        </w:trPr>
        <w:tc>
          <w:tcPr>
            <w:cnfStyle w:val="001000000000" w:firstRow="0" w:lastRow="0" w:firstColumn="1" w:lastColumn="0" w:oddVBand="0" w:evenVBand="0" w:oddHBand="0" w:evenHBand="0" w:firstRowFirstColumn="0" w:firstRowLastColumn="0" w:lastRowFirstColumn="0" w:lastRowLastColumn="0"/>
            <w:tcW w:w="2259" w:type="pct"/>
            <w:hideMark/>
          </w:tcPr>
          <w:p w14:paraId="7AD09DBC" w14:textId="77777777" w:rsidR="003218F1" w:rsidRPr="00AA5CB5" w:rsidRDefault="003218F1" w:rsidP="001A1A27">
            <w:pPr>
              <w:pStyle w:val="Tablebodytext"/>
              <w:rPr>
                <w:b w:val="0"/>
                <w:bCs w:val="0"/>
                <w:lang w:val="en-AU"/>
              </w:rPr>
            </w:pPr>
            <w:r w:rsidRPr="00AA5CB5">
              <w:rPr>
                <w:b w:val="0"/>
                <w:bCs w:val="0"/>
                <w:lang w:val="en-AU"/>
              </w:rPr>
              <w:t>Wood </w:t>
            </w:r>
          </w:p>
        </w:tc>
        <w:tc>
          <w:tcPr>
            <w:tcW w:w="1370" w:type="pct"/>
            <w:hideMark/>
          </w:tcPr>
          <w:p w14:paraId="7313C606" w14:textId="77777777" w:rsidR="003218F1" w:rsidRPr="00AA5CB5" w:rsidRDefault="003218F1"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0.7 </w:t>
            </w:r>
          </w:p>
        </w:tc>
        <w:tc>
          <w:tcPr>
            <w:tcW w:w="1370" w:type="pct"/>
          </w:tcPr>
          <w:p w14:paraId="06ACF0F3" w14:textId="0DF8A381" w:rsidR="003218F1" w:rsidRPr="00AA5CB5" w:rsidRDefault="000D5CDD"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0.15</w:t>
            </w:r>
          </w:p>
        </w:tc>
      </w:tr>
      <w:tr w:rsidR="003218F1" w:rsidRPr="00AA5CB5" w14:paraId="1BCFDD0E" w14:textId="26D349A7" w:rsidTr="00993814">
        <w:trPr>
          <w:trHeight w:val="300"/>
        </w:trPr>
        <w:tc>
          <w:tcPr>
            <w:cnfStyle w:val="001000000000" w:firstRow="0" w:lastRow="0" w:firstColumn="1" w:lastColumn="0" w:oddVBand="0" w:evenVBand="0" w:oddHBand="0" w:evenHBand="0" w:firstRowFirstColumn="0" w:firstRowLastColumn="0" w:lastRowFirstColumn="0" w:lastRowLastColumn="0"/>
            <w:tcW w:w="2259" w:type="pct"/>
            <w:hideMark/>
          </w:tcPr>
          <w:p w14:paraId="2DF7BA3A" w14:textId="77777777" w:rsidR="003218F1" w:rsidRPr="00AA5CB5" w:rsidRDefault="003218F1" w:rsidP="001A1A27">
            <w:pPr>
              <w:pStyle w:val="Tablebodytext"/>
              <w:rPr>
                <w:b w:val="0"/>
                <w:bCs w:val="0"/>
                <w:lang w:val="en-AU"/>
              </w:rPr>
            </w:pPr>
            <w:r w:rsidRPr="00AA5CB5">
              <w:rPr>
                <w:b w:val="0"/>
                <w:bCs w:val="0"/>
                <w:lang w:val="en-AU"/>
              </w:rPr>
              <w:t>Textiles </w:t>
            </w:r>
          </w:p>
        </w:tc>
        <w:tc>
          <w:tcPr>
            <w:tcW w:w="1370" w:type="pct"/>
            <w:hideMark/>
          </w:tcPr>
          <w:p w14:paraId="5BA9CAA4" w14:textId="77777777" w:rsidR="003218F1" w:rsidRPr="00AA5CB5" w:rsidRDefault="003218F1"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2.0 </w:t>
            </w:r>
          </w:p>
        </w:tc>
        <w:tc>
          <w:tcPr>
            <w:tcW w:w="1370" w:type="pct"/>
          </w:tcPr>
          <w:p w14:paraId="12BD64B0" w14:textId="1B9BBEEB" w:rsidR="003218F1" w:rsidRPr="00AA5CB5" w:rsidRDefault="000D5CDD"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0.14</w:t>
            </w:r>
          </w:p>
        </w:tc>
      </w:tr>
      <w:tr w:rsidR="003218F1" w:rsidRPr="00AA5CB5" w14:paraId="577F2009" w14:textId="490C54E9" w:rsidTr="00993814">
        <w:trPr>
          <w:trHeight w:val="300"/>
        </w:trPr>
        <w:tc>
          <w:tcPr>
            <w:cnfStyle w:val="001000000000" w:firstRow="0" w:lastRow="0" w:firstColumn="1" w:lastColumn="0" w:oddVBand="0" w:evenVBand="0" w:oddHBand="0" w:evenHBand="0" w:firstRowFirstColumn="0" w:firstRowLastColumn="0" w:lastRowFirstColumn="0" w:lastRowLastColumn="0"/>
            <w:tcW w:w="2259" w:type="pct"/>
            <w:hideMark/>
          </w:tcPr>
          <w:p w14:paraId="10603602" w14:textId="77777777" w:rsidR="003218F1" w:rsidRPr="00AA5CB5" w:rsidRDefault="003218F1" w:rsidP="001A1A27">
            <w:pPr>
              <w:pStyle w:val="Tablebodytext"/>
              <w:rPr>
                <w:b w:val="0"/>
                <w:bCs w:val="0"/>
                <w:lang w:val="en-AU"/>
              </w:rPr>
            </w:pPr>
            <w:r w:rsidRPr="00AA5CB5">
              <w:rPr>
                <w:b w:val="0"/>
                <w:bCs w:val="0"/>
                <w:lang w:val="en-AU"/>
              </w:rPr>
              <w:t>Sludge </w:t>
            </w:r>
          </w:p>
        </w:tc>
        <w:tc>
          <w:tcPr>
            <w:tcW w:w="1370" w:type="pct"/>
            <w:hideMark/>
          </w:tcPr>
          <w:p w14:paraId="52A9CF36" w14:textId="77777777" w:rsidR="003218F1" w:rsidRPr="00AA5CB5" w:rsidRDefault="003218F1"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0.4 </w:t>
            </w:r>
          </w:p>
        </w:tc>
        <w:tc>
          <w:tcPr>
            <w:tcW w:w="1370" w:type="pct"/>
          </w:tcPr>
          <w:p w14:paraId="79223AC5" w14:textId="14C937EF" w:rsidR="003218F1" w:rsidRPr="00AA5CB5" w:rsidRDefault="000D5CDD"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0.72</w:t>
            </w:r>
          </w:p>
        </w:tc>
      </w:tr>
      <w:tr w:rsidR="003218F1" w:rsidRPr="00AA5CB5" w14:paraId="09CE15B7" w14:textId="2F2310CA" w:rsidTr="00993814">
        <w:trPr>
          <w:trHeight w:val="300"/>
        </w:trPr>
        <w:tc>
          <w:tcPr>
            <w:cnfStyle w:val="001000000000" w:firstRow="0" w:lastRow="0" w:firstColumn="1" w:lastColumn="0" w:oddVBand="0" w:evenVBand="0" w:oddHBand="0" w:evenHBand="0" w:firstRowFirstColumn="0" w:firstRowLastColumn="0" w:lastRowFirstColumn="0" w:lastRowLastColumn="0"/>
            <w:tcW w:w="2259" w:type="pct"/>
            <w:hideMark/>
          </w:tcPr>
          <w:p w14:paraId="42FCD5CE" w14:textId="77777777" w:rsidR="003218F1" w:rsidRPr="00AA5CB5" w:rsidRDefault="003218F1" w:rsidP="001A1A27">
            <w:pPr>
              <w:pStyle w:val="Tablebodytext"/>
              <w:rPr>
                <w:b w:val="0"/>
                <w:bCs w:val="0"/>
                <w:lang w:val="en-AU"/>
              </w:rPr>
            </w:pPr>
            <w:r w:rsidRPr="00AA5CB5">
              <w:rPr>
                <w:b w:val="0"/>
                <w:bCs w:val="0"/>
                <w:lang w:val="en-AU"/>
              </w:rPr>
              <w:t>Nappies </w:t>
            </w:r>
          </w:p>
        </w:tc>
        <w:tc>
          <w:tcPr>
            <w:tcW w:w="1370" w:type="pct"/>
            <w:hideMark/>
          </w:tcPr>
          <w:p w14:paraId="70DA8285" w14:textId="77777777" w:rsidR="003218F1" w:rsidRPr="00AA5CB5" w:rsidRDefault="003218F1"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2.0 </w:t>
            </w:r>
          </w:p>
        </w:tc>
        <w:tc>
          <w:tcPr>
            <w:tcW w:w="1370" w:type="pct"/>
          </w:tcPr>
          <w:p w14:paraId="6F47D572" w14:textId="33960709" w:rsidR="003218F1" w:rsidRPr="00AA5CB5" w:rsidRDefault="000D5CDD"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0.39</w:t>
            </w:r>
          </w:p>
        </w:tc>
      </w:tr>
      <w:tr w:rsidR="003218F1" w:rsidRPr="00AA5CB5" w14:paraId="2A1E6A90" w14:textId="1EEE69B5" w:rsidTr="00993814">
        <w:trPr>
          <w:trHeight w:val="300"/>
        </w:trPr>
        <w:tc>
          <w:tcPr>
            <w:cnfStyle w:val="001000000000" w:firstRow="0" w:lastRow="0" w:firstColumn="1" w:lastColumn="0" w:oddVBand="0" w:evenVBand="0" w:oddHBand="0" w:evenHBand="0" w:firstRowFirstColumn="0" w:firstRowLastColumn="0" w:lastRowFirstColumn="0" w:lastRowLastColumn="0"/>
            <w:tcW w:w="2259" w:type="pct"/>
            <w:hideMark/>
          </w:tcPr>
          <w:p w14:paraId="4223C873" w14:textId="77777777" w:rsidR="003218F1" w:rsidRPr="00AA5CB5" w:rsidRDefault="003218F1" w:rsidP="001A1A27">
            <w:pPr>
              <w:pStyle w:val="Tablebodytext"/>
              <w:rPr>
                <w:b w:val="0"/>
                <w:bCs w:val="0"/>
                <w:lang w:val="en-AU"/>
              </w:rPr>
            </w:pPr>
            <w:r w:rsidRPr="00AA5CB5">
              <w:rPr>
                <w:b w:val="0"/>
                <w:bCs w:val="0"/>
                <w:lang w:val="en-AU"/>
              </w:rPr>
              <w:lastRenderedPageBreak/>
              <w:t>Rubber and leather </w:t>
            </w:r>
          </w:p>
        </w:tc>
        <w:tc>
          <w:tcPr>
            <w:tcW w:w="1370" w:type="pct"/>
            <w:hideMark/>
          </w:tcPr>
          <w:p w14:paraId="5F5DBCBC" w14:textId="77777777" w:rsidR="003218F1" w:rsidRPr="00AA5CB5" w:rsidRDefault="003218F1"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3.3 </w:t>
            </w:r>
          </w:p>
        </w:tc>
        <w:tc>
          <w:tcPr>
            <w:tcW w:w="1370" w:type="pct"/>
          </w:tcPr>
          <w:p w14:paraId="3B59F815" w14:textId="4CF412F5" w:rsidR="003218F1" w:rsidRPr="00AA5CB5" w:rsidRDefault="000D5CDD"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0.14</w:t>
            </w:r>
          </w:p>
        </w:tc>
      </w:tr>
      <w:tr w:rsidR="003218F1" w:rsidRPr="00AA5CB5" w14:paraId="770950CB" w14:textId="4A603AB8" w:rsidTr="00993814">
        <w:trPr>
          <w:trHeight w:val="300"/>
        </w:trPr>
        <w:tc>
          <w:tcPr>
            <w:cnfStyle w:val="001000000000" w:firstRow="0" w:lastRow="0" w:firstColumn="1" w:lastColumn="0" w:oddVBand="0" w:evenVBand="0" w:oddHBand="0" w:evenHBand="0" w:firstRowFirstColumn="0" w:firstRowLastColumn="0" w:lastRowFirstColumn="0" w:lastRowLastColumn="0"/>
            <w:tcW w:w="2259" w:type="pct"/>
            <w:hideMark/>
          </w:tcPr>
          <w:p w14:paraId="6BEAF039" w14:textId="77777777" w:rsidR="003218F1" w:rsidRPr="00AA5CB5" w:rsidRDefault="003218F1" w:rsidP="001A1A27">
            <w:pPr>
              <w:pStyle w:val="Tablebodytext"/>
              <w:rPr>
                <w:b w:val="0"/>
                <w:bCs w:val="0"/>
                <w:lang w:val="en-AU"/>
              </w:rPr>
            </w:pPr>
            <w:r w:rsidRPr="00AA5CB5">
              <w:rPr>
                <w:b w:val="0"/>
                <w:bCs w:val="0"/>
                <w:lang w:val="en-AU"/>
              </w:rPr>
              <w:t>Inert waste (including concrete/metal/ plastics/glass) </w:t>
            </w:r>
          </w:p>
        </w:tc>
        <w:tc>
          <w:tcPr>
            <w:tcW w:w="1370" w:type="pct"/>
            <w:hideMark/>
          </w:tcPr>
          <w:p w14:paraId="44D6946F" w14:textId="77777777" w:rsidR="003218F1" w:rsidRPr="00AA5CB5" w:rsidRDefault="003218F1"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w:t>
            </w:r>
          </w:p>
        </w:tc>
        <w:tc>
          <w:tcPr>
            <w:tcW w:w="1370" w:type="pct"/>
          </w:tcPr>
          <w:p w14:paraId="68B988F2" w14:textId="20611D66" w:rsidR="003218F1" w:rsidRPr="00AA5CB5" w:rsidRDefault="000D5CDD" w:rsidP="001A1A2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0.42</w:t>
            </w:r>
          </w:p>
        </w:tc>
      </w:tr>
    </w:tbl>
    <w:p w14:paraId="67BE0E90" w14:textId="27DFD826" w:rsidR="00756C93" w:rsidRPr="00AA5CB5" w:rsidRDefault="00756C93">
      <w:pPr>
        <w:pStyle w:val="Notebullets1"/>
        <w:numPr>
          <w:ilvl w:val="0"/>
          <w:numId w:val="0"/>
        </w:numPr>
      </w:pPr>
      <w:r w:rsidRPr="00AA5CB5">
        <w:t xml:space="preserve">Note: </w:t>
      </w:r>
      <w:r w:rsidR="00E41BA9" w:rsidRPr="00AA5CB5">
        <w:t>Only applicable for waste</w:t>
      </w:r>
      <w:r w:rsidR="003A03B8" w:rsidRPr="00AA5CB5">
        <w:t xml:space="preserve"> sent to landfill and </w:t>
      </w:r>
      <w:r w:rsidR="00573FA0" w:rsidRPr="00AA5CB5">
        <w:t xml:space="preserve">does not </w:t>
      </w:r>
      <w:r w:rsidR="00976B88" w:rsidRPr="00AA5CB5">
        <w:t>consider</w:t>
      </w:r>
      <w:r w:rsidR="00573FA0" w:rsidRPr="00AA5CB5">
        <w:t xml:space="preserve"> any landfill gas capture.</w:t>
      </w:r>
    </w:p>
    <w:p w14:paraId="3B6D8038" w14:textId="34AA7D06" w:rsidR="007A622F" w:rsidRPr="00AA5CB5" w:rsidRDefault="00C73040">
      <w:pPr>
        <w:pStyle w:val="Notebullets1"/>
        <w:numPr>
          <w:ilvl w:val="0"/>
          <w:numId w:val="0"/>
        </w:numPr>
      </w:pPr>
      <w:r w:rsidRPr="00AA5CB5">
        <w:t xml:space="preserve">Source: DCCEEW (2024) </w:t>
      </w:r>
      <w:hyperlink r:id="rId64" w:history="1">
        <w:r w:rsidRPr="00AA5CB5">
          <w:rPr>
            <w:rStyle w:val="Hyperlink1"/>
            <w:rFonts w:asciiTheme="minorHAnsi" w:hAnsiTheme="minorHAnsi" w:cstheme="minorHAnsi"/>
            <w:i/>
            <w:iCs/>
            <w:sz w:val="20"/>
            <w:szCs w:val="20"/>
          </w:rPr>
          <w:t>Australian National Greenhouse Accounts Factors</w:t>
        </w:r>
      </w:hyperlink>
      <w:r w:rsidRPr="00AA5CB5">
        <w:t>, DCCEEW, 2024:</w:t>
      </w:r>
      <w:r w:rsidR="00C1018D" w:rsidRPr="00AA5CB5">
        <w:t>34-35</w:t>
      </w:r>
      <w:r w:rsidRPr="00AA5CB5">
        <w:t xml:space="preserve">; table </w:t>
      </w:r>
      <w:r w:rsidR="00585BC7" w:rsidRPr="00AA5CB5">
        <w:t>15</w:t>
      </w:r>
      <w:r w:rsidRPr="00AA5CB5">
        <w:t xml:space="preserve">, accessed 14 February 2025. </w:t>
      </w:r>
    </w:p>
    <w:p w14:paraId="72DCC393" w14:textId="16F0322D" w:rsidR="007A622F" w:rsidRPr="00AA5CB5" w:rsidRDefault="007A622F" w:rsidP="007A622F">
      <w:pPr>
        <w:pStyle w:val="Caption"/>
      </w:pPr>
      <w:bookmarkStart w:id="166" w:name="_Ref199418859"/>
      <w:bookmarkStart w:id="167" w:name="_Toc201927385"/>
      <w:r w:rsidRPr="00AA5CB5">
        <w:t xml:space="preserve">Table </w:t>
      </w:r>
      <w:r w:rsidRPr="00AA5CB5">
        <w:fldChar w:fldCharType="begin"/>
      </w:r>
      <w:r w:rsidRPr="00AA5CB5">
        <w:instrText xml:space="preserve"> SEQ Table \* ARABIC </w:instrText>
      </w:r>
      <w:r w:rsidRPr="00AA5CB5">
        <w:fldChar w:fldCharType="separate"/>
      </w:r>
      <w:r w:rsidR="00422A37">
        <w:rPr>
          <w:noProof/>
        </w:rPr>
        <w:t>12</w:t>
      </w:r>
      <w:r w:rsidRPr="00AA5CB5">
        <w:fldChar w:fldCharType="end"/>
      </w:r>
      <w:bookmarkEnd w:id="166"/>
      <w:r w:rsidR="0088604A">
        <w:t>:</w:t>
      </w:r>
      <w:r w:rsidRPr="00AA5CB5">
        <w:t xml:space="preserve"> Solid waste disposal – </w:t>
      </w:r>
      <w:r w:rsidR="006A48BE">
        <w:t>w</w:t>
      </w:r>
      <w:r w:rsidRPr="00AA5CB5">
        <w:t>aste stream</w:t>
      </w:r>
      <w:bookmarkEnd w:id="167"/>
    </w:p>
    <w:tbl>
      <w:tblPr>
        <w:tblStyle w:val="ListTable4-Accent6"/>
        <w:tblW w:w="5000" w:type="pct"/>
        <w:tblInd w:w="0" w:type="dxa"/>
        <w:tblLook w:val="06A0" w:firstRow="1" w:lastRow="0" w:firstColumn="1" w:lastColumn="0" w:noHBand="1" w:noVBand="1"/>
      </w:tblPr>
      <w:tblGrid>
        <w:gridCol w:w="4250"/>
        <w:gridCol w:w="2576"/>
        <w:gridCol w:w="2576"/>
      </w:tblGrid>
      <w:tr w:rsidR="00674427" w:rsidRPr="00AA5CB5" w14:paraId="0E4379F1" w14:textId="354AD6AE" w:rsidTr="00573F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0" w:type="pct"/>
            <w:hideMark/>
          </w:tcPr>
          <w:p w14:paraId="1A47D970" w14:textId="77777777" w:rsidR="00AE7DF1" w:rsidRPr="00AA5CB5" w:rsidRDefault="00AE7DF1">
            <w:pPr>
              <w:pStyle w:val="BodyText1"/>
              <w:rPr>
                <w:b w:val="0"/>
                <w:color w:val="auto"/>
                <w:lang w:val="en-AU"/>
              </w:rPr>
            </w:pPr>
            <w:r w:rsidRPr="00AA5CB5">
              <w:rPr>
                <w:color w:val="auto"/>
                <w:lang w:val="en-AU"/>
              </w:rPr>
              <w:t>Waste stream </w:t>
            </w:r>
          </w:p>
        </w:tc>
        <w:tc>
          <w:tcPr>
            <w:tcW w:w="1370" w:type="pct"/>
            <w:hideMark/>
          </w:tcPr>
          <w:p w14:paraId="2B6D6491" w14:textId="77777777" w:rsidR="00AE7DF1" w:rsidRPr="00AA5CB5" w:rsidRDefault="00AE7DF1">
            <w:pPr>
              <w:pStyle w:val="BodyText1"/>
              <w:cnfStyle w:val="100000000000" w:firstRow="1" w:lastRow="0" w:firstColumn="0" w:lastColumn="0" w:oddVBand="0" w:evenVBand="0" w:oddHBand="0" w:evenHBand="0" w:firstRowFirstColumn="0" w:firstRowLastColumn="0" w:lastRowFirstColumn="0" w:lastRowLastColumn="0"/>
              <w:rPr>
                <w:b w:val="0"/>
                <w:color w:val="auto"/>
                <w:lang w:val="en-AU"/>
              </w:rPr>
            </w:pPr>
            <w:r w:rsidRPr="00AA5CB5">
              <w:rPr>
                <w:color w:val="auto"/>
                <w:lang w:val="en-AU"/>
              </w:rPr>
              <w:t>Scope 3 emission factor  </w:t>
            </w:r>
          </w:p>
          <w:p w14:paraId="1EB7DA6E" w14:textId="77777777" w:rsidR="00AE7DF1" w:rsidRPr="00AA5CB5" w:rsidRDefault="00AE7DF1">
            <w:pPr>
              <w:pStyle w:val="BodyText1"/>
              <w:cnfStyle w:val="100000000000" w:firstRow="1" w:lastRow="0" w:firstColumn="0" w:lastColumn="0" w:oddVBand="0" w:evenVBand="0" w:oddHBand="0" w:evenHBand="0" w:firstRowFirstColumn="0" w:firstRowLastColumn="0" w:lastRowFirstColumn="0" w:lastRowLastColumn="0"/>
              <w:rPr>
                <w:b w:val="0"/>
                <w:color w:val="auto"/>
                <w:lang w:val="en-AU"/>
              </w:rPr>
            </w:pPr>
            <w:r w:rsidRPr="00AA5CB5">
              <w:rPr>
                <w:color w:val="auto"/>
                <w:lang w:val="en-AU"/>
              </w:rPr>
              <w:t>t CO</w:t>
            </w:r>
            <w:r w:rsidRPr="00AA5CB5">
              <w:rPr>
                <w:color w:val="auto"/>
                <w:vertAlign w:val="subscript"/>
                <w:lang w:val="en-AU"/>
              </w:rPr>
              <w:t>2</w:t>
            </w:r>
            <w:r w:rsidRPr="00AA5CB5">
              <w:rPr>
                <w:color w:val="auto"/>
                <w:lang w:val="en-AU"/>
              </w:rPr>
              <w:t>-e/t </w:t>
            </w:r>
          </w:p>
        </w:tc>
        <w:tc>
          <w:tcPr>
            <w:tcW w:w="1370" w:type="pct"/>
          </w:tcPr>
          <w:p w14:paraId="0B10E1F8" w14:textId="77777777" w:rsidR="00AE7DF1" w:rsidRPr="00AA5CB5" w:rsidRDefault="00AE7DF1" w:rsidP="00AE7DF1">
            <w:pPr>
              <w:pStyle w:val="Tableheading"/>
              <w:cnfStyle w:val="100000000000" w:firstRow="1" w:lastRow="0" w:firstColumn="0" w:lastColumn="0" w:oddVBand="0" w:evenVBand="0" w:oddHBand="0" w:evenHBand="0" w:firstRowFirstColumn="0" w:firstRowLastColumn="0" w:lastRowFirstColumn="0" w:lastRowLastColumn="0"/>
              <w:rPr>
                <w:b/>
                <w:bCs w:val="0"/>
                <w:lang w:val="en-AU"/>
              </w:rPr>
            </w:pPr>
            <w:r w:rsidRPr="00AA5CB5">
              <w:rPr>
                <w:b/>
                <w:bCs w:val="0"/>
                <w:lang w:val="en-AU"/>
              </w:rPr>
              <w:t xml:space="preserve">Volume to mass conversion factor </w:t>
            </w:r>
          </w:p>
          <w:p w14:paraId="131AAAD4" w14:textId="21B9A822" w:rsidR="00AE7DF1" w:rsidRPr="00AA5CB5" w:rsidRDefault="00AE7DF1" w:rsidP="00AE7DF1">
            <w:pPr>
              <w:pStyle w:val="BodyText1"/>
              <w:cnfStyle w:val="100000000000" w:firstRow="1" w:lastRow="0" w:firstColumn="0" w:lastColumn="0" w:oddVBand="0" w:evenVBand="0" w:oddHBand="0" w:evenHBand="0" w:firstRowFirstColumn="0" w:firstRowLastColumn="0" w:lastRowFirstColumn="0" w:lastRowLastColumn="0"/>
              <w:rPr>
                <w:lang w:val="en-AU"/>
              </w:rPr>
            </w:pPr>
            <w:r w:rsidRPr="00AA5CB5">
              <w:rPr>
                <w:bCs w:val="0"/>
                <w:color w:val="auto"/>
                <w:lang w:val="en-AU"/>
              </w:rPr>
              <w:t>t/m</w:t>
            </w:r>
            <w:r w:rsidRPr="004205DF">
              <w:rPr>
                <w:bCs w:val="0"/>
                <w:color w:val="auto"/>
                <w:vertAlign w:val="superscript"/>
                <w:lang w:val="en-AU"/>
              </w:rPr>
              <w:t>3</w:t>
            </w:r>
          </w:p>
        </w:tc>
      </w:tr>
      <w:tr w:rsidR="00AE7DF1" w:rsidRPr="00AA5CB5" w14:paraId="320AE019" w14:textId="1926CA40" w:rsidTr="00573FA0">
        <w:trPr>
          <w:trHeight w:val="300"/>
        </w:trPr>
        <w:tc>
          <w:tcPr>
            <w:cnfStyle w:val="001000000000" w:firstRow="0" w:lastRow="0" w:firstColumn="1" w:lastColumn="0" w:oddVBand="0" w:evenVBand="0" w:oddHBand="0" w:evenHBand="0" w:firstRowFirstColumn="0" w:firstRowLastColumn="0" w:lastRowFirstColumn="0" w:lastRowLastColumn="0"/>
            <w:tcW w:w="2260" w:type="pct"/>
            <w:hideMark/>
          </w:tcPr>
          <w:p w14:paraId="4DA9CD12" w14:textId="77777777" w:rsidR="00AE7DF1" w:rsidRPr="00AA5CB5" w:rsidRDefault="00AE7DF1">
            <w:pPr>
              <w:pStyle w:val="BodyText1"/>
              <w:rPr>
                <w:b w:val="0"/>
                <w:bCs w:val="0"/>
                <w:lang w:val="en-AU"/>
              </w:rPr>
            </w:pPr>
            <w:r w:rsidRPr="00AA5CB5">
              <w:rPr>
                <w:b w:val="0"/>
                <w:bCs w:val="0"/>
                <w:lang w:val="en-AU"/>
              </w:rPr>
              <w:t>Municipal solid waste </w:t>
            </w:r>
          </w:p>
        </w:tc>
        <w:tc>
          <w:tcPr>
            <w:tcW w:w="1370" w:type="pct"/>
            <w:hideMark/>
          </w:tcPr>
          <w:p w14:paraId="3EFE04CC" w14:textId="77777777" w:rsidR="00AE7DF1" w:rsidRPr="00AA5CB5" w:rsidRDefault="00AE7DF1">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1.6 </w:t>
            </w:r>
          </w:p>
        </w:tc>
        <w:tc>
          <w:tcPr>
            <w:tcW w:w="1370" w:type="pct"/>
          </w:tcPr>
          <w:p w14:paraId="0029B4B6" w14:textId="2EB7DC7E" w:rsidR="00AE7DF1" w:rsidRPr="00AA5CB5" w:rsidRDefault="00573FA0">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0.36</w:t>
            </w:r>
          </w:p>
        </w:tc>
      </w:tr>
      <w:tr w:rsidR="00AE7DF1" w:rsidRPr="00AA5CB5" w14:paraId="28DA42C9" w14:textId="1A7C572E" w:rsidTr="00573FA0">
        <w:trPr>
          <w:trHeight w:val="300"/>
        </w:trPr>
        <w:tc>
          <w:tcPr>
            <w:cnfStyle w:val="001000000000" w:firstRow="0" w:lastRow="0" w:firstColumn="1" w:lastColumn="0" w:oddVBand="0" w:evenVBand="0" w:oddHBand="0" w:evenHBand="0" w:firstRowFirstColumn="0" w:firstRowLastColumn="0" w:lastRowFirstColumn="0" w:lastRowLastColumn="0"/>
            <w:tcW w:w="2260" w:type="pct"/>
            <w:hideMark/>
          </w:tcPr>
          <w:p w14:paraId="6643FEB0" w14:textId="77777777" w:rsidR="00AE7DF1" w:rsidRPr="00AA5CB5" w:rsidRDefault="00AE7DF1">
            <w:pPr>
              <w:pStyle w:val="BodyText1"/>
              <w:rPr>
                <w:b w:val="0"/>
                <w:bCs w:val="0"/>
                <w:lang w:val="en-AU"/>
              </w:rPr>
            </w:pPr>
            <w:r w:rsidRPr="00AA5CB5">
              <w:rPr>
                <w:b w:val="0"/>
                <w:bCs w:val="0"/>
                <w:lang w:val="en-AU"/>
              </w:rPr>
              <w:t>Commercial and industrial waste </w:t>
            </w:r>
          </w:p>
        </w:tc>
        <w:tc>
          <w:tcPr>
            <w:tcW w:w="1370" w:type="pct"/>
            <w:hideMark/>
          </w:tcPr>
          <w:p w14:paraId="287197D3" w14:textId="77777777" w:rsidR="00AE7DF1" w:rsidRPr="00AA5CB5" w:rsidRDefault="00AE7DF1">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1.3 </w:t>
            </w:r>
          </w:p>
        </w:tc>
        <w:tc>
          <w:tcPr>
            <w:tcW w:w="1370" w:type="pct"/>
          </w:tcPr>
          <w:p w14:paraId="2F293895" w14:textId="190F17CA" w:rsidR="00AE7DF1" w:rsidRPr="00AA5CB5" w:rsidRDefault="00573FA0">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0.33</w:t>
            </w:r>
          </w:p>
        </w:tc>
      </w:tr>
      <w:tr w:rsidR="00AE7DF1" w:rsidRPr="00AA5CB5" w14:paraId="315B8085" w14:textId="4FFF4A23" w:rsidTr="00573FA0">
        <w:trPr>
          <w:trHeight w:val="300"/>
        </w:trPr>
        <w:tc>
          <w:tcPr>
            <w:cnfStyle w:val="001000000000" w:firstRow="0" w:lastRow="0" w:firstColumn="1" w:lastColumn="0" w:oddVBand="0" w:evenVBand="0" w:oddHBand="0" w:evenHBand="0" w:firstRowFirstColumn="0" w:firstRowLastColumn="0" w:lastRowFirstColumn="0" w:lastRowLastColumn="0"/>
            <w:tcW w:w="2260" w:type="pct"/>
            <w:hideMark/>
          </w:tcPr>
          <w:p w14:paraId="5840D749" w14:textId="77777777" w:rsidR="00AE7DF1" w:rsidRPr="00AA5CB5" w:rsidRDefault="00AE7DF1">
            <w:pPr>
              <w:pStyle w:val="BodyText1"/>
              <w:rPr>
                <w:b w:val="0"/>
                <w:bCs w:val="0"/>
                <w:lang w:val="en-AU"/>
              </w:rPr>
            </w:pPr>
            <w:r w:rsidRPr="00AA5CB5">
              <w:rPr>
                <w:b w:val="0"/>
                <w:bCs w:val="0"/>
                <w:lang w:val="en-AU"/>
              </w:rPr>
              <w:t>Construction and demolition waste </w:t>
            </w:r>
          </w:p>
        </w:tc>
        <w:tc>
          <w:tcPr>
            <w:tcW w:w="1370" w:type="pct"/>
            <w:hideMark/>
          </w:tcPr>
          <w:p w14:paraId="0ACE8F48" w14:textId="77777777" w:rsidR="00AE7DF1" w:rsidRPr="00AA5CB5" w:rsidRDefault="00AE7DF1">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0.2 </w:t>
            </w:r>
          </w:p>
        </w:tc>
        <w:tc>
          <w:tcPr>
            <w:tcW w:w="1370" w:type="pct"/>
          </w:tcPr>
          <w:p w14:paraId="0FCBFB75" w14:textId="30213534" w:rsidR="00AE7DF1" w:rsidRPr="00AA5CB5" w:rsidRDefault="00573FA0">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0.39</w:t>
            </w:r>
          </w:p>
        </w:tc>
      </w:tr>
    </w:tbl>
    <w:p w14:paraId="7FADD30C" w14:textId="77777777" w:rsidR="00976B88" w:rsidRPr="00AA5CB5" w:rsidRDefault="00976B88">
      <w:pPr>
        <w:pStyle w:val="Notebullets1"/>
        <w:numPr>
          <w:ilvl w:val="0"/>
          <w:numId w:val="0"/>
        </w:numPr>
      </w:pPr>
      <w:r w:rsidRPr="00AA5CB5">
        <w:t>Note: Only applicable for waste sent to landfill and does not consider any landfill gas capture.</w:t>
      </w:r>
    </w:p>
    <w:p w14:paraId="795CB668" w14:textId="2E2800F3" w:rsidR="007A622F" w:rsidRPr="00AA5CB5" w:rsidRDefault="00573FA0">
      <w:pPr>
        <w:pStyle w:val="Notebullets1"/>
        <w:numPr>
          <w:ilvl w:val="0"/>
          <w:numId w:val="0"/>
        </w:numPr>
      </w:pPr>
      <w:r w:rsidRPr="00AA5CB5">
        <w:t xml:space="preserve">Source: DCCEEW (2024) </w:t>
      </w:r>
      <w:hyperlink r:id="rId65" w:history="1">
        <w:r w:rsidRPr="00AA5CB5">
          <w:rPr>
            <w:rStyle w:val="Hyperlink1"/>
            <w:rFonts w:asciiTheme="minorHAnsi" w:hAnsiTheme="minorHAnsi" w:cstheme="minorHAnsi"/>
            <w:i/>
            <w:iCs/>
            <w:sz w:val="20"/>
            <w:szCs w:val="20"/>
          </w:rPr>
          <w:t>Australian National Greenhouse Accounts Factors</w:t>
        </w:r>
      </w:hyperlink>
      <w:r w:rsidRPr="00AA5CB5">
        <w:t xml:space="preserve">, DCCEEW, 2024:35; table 16, accessed 14 February 2025. </w:t>
      </w:r>
    </w:p>
    <w:p w14:paraId="60E92967" w14:textId="42C53F6B" w:rsidR="00B769D1" w:rsidRPr="00AA5CB5" w:rsidRDefault="00BD7FA8" w:rsidP="00B769D1">
      <w:pPr>
        <w:pStyle w:val="Heading2"/>
      </w:pPr>
      <w:bookmarkStart w:id="168" w:name="_Toc201927367"/>
      <w:r w:rsidRPr="00AA5CB5">
        <w:t>Refrigerants</w:t>
      </w:r>
      <w:bookmarkEnd w:id="168"/>
    </w:p>
    <w:p w14:paraId="6BE6500C" w14:textId="1051C7D5" w:rsidR="00B769D1" w:rsidRPr="00AA5CB5" w:rsidRDefault="00B769D1" w:rsidP="00B769D1">
      <w:pPr>
        <w:pStyle w:val="BodyText1"/>
      </w:pPr>
      <w:r w:rsidRPr="00AA5CB5">
        <w:t xml:space="preserve">Under the </w:t>
      </w:r>
      <w:r w:rsidR="00DF55FB">
        <w:t>Framework</w:t>
      </w:r>
      <w:r w:rsidRPr="00AA5CB5">
        <w:t xml:space="preserve">, emissions from fugitive refrigerant gases are calculated as annual emissions from estimated leakage rates. Leakage is estimated using rates published by the Australian National Greenhouse Accounts Factors, the National Inventory Report or provided by reporting agency or equipment owner. This is the same as Method 1 under </w:t>
      </w:r>
      <w:hyperlink r:id="rId66" w:history="1">
        <w:r w:rsidRPr="00AA5CB5">
          <w:rPr>
            <w:rStyle w:val="Hyperlink"/>
          </w:rPr>
          <w:t xml:space="preserve">section 4.102 of the NGER Measurement Determination. </w:t>
        </w:r>
      </w:hyperlink>
      <w:r w:rsidRPr="00AA5CB5">
        <w:t xml:space="preserve"> </w:t>
      </w:r>
    </w:p>
    <w:p w14:paraId="7D99D152" w14:textId="77777777" w:rsidR="00B769D1" w:rsidRPr="00AA5CB5" w:rsidRDefault="002B399D" w:rsidP="00B769D1">
      <w:pPr>
        <w:pStyle w:val="BodyText1"/>
        <w:shd w:val="clear" w:color="auto" w:fill="E8F0FE" w:themeFill="accent5" w:themeFillTint="33"/>
      </w:pPr>
      <m:oMathPara>
        <m:oMathParaPr>
          <m:jc m:val="center"/>
        </m:oMathParaPr>
        <m:oMath>
          <m:r>
            <m:rPr>
              <m:sty m:val="p"/>
            </m:rPr>
            <w:rPr>
              <w:rFonts w:ascii="Cambria Math" w:hAnsi="Cambria Math"/>
            </w:rPr>
            <m:t xml:space="preserve">t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nor/>
            </m:rPr>
            <m:t>-</m:t>
          </m:r>
          <m:r>
            <m:rPr>
              <m:sty m:val="p"/>
            </m:rPr>
            <w:rPr>
              <w:rFonts w:ascii="Cambria Math" w:hAnsi="Cambria Math"/>
            </w:rPr>
            <m:t>e=</m:t>
          </m:r>
          <m:f>
            <m:fPr>
              <m:ctrlPr>
                <w:rPr>
                  <w:rFonts w:ascii="Cambria Math" w:hAnsi="Cambria Math"/>
                </w:rPr>
              </m:ctrlPr>
            </m:fPr>
            <m:num>
              <m:r>
                <m:rPr>
                  <m:sty m:val="p"/>
                </m:rPr>
                <w:rPr>
                  <w:rFonts w:ascii="Cambria Math" w:hAnsi="Cambria Math"/>
                </w:rPr>
                <m:t>GWP ×charge ×leakage rate</m:t>
              </m:r>
            </m:num>
            <m:den>
              <m:r>
                <m:rPr>
                  <m:sty m:val="p"/>
                </m:rPr>
                <w:rPr>
                  <w:rFonts w:ascii="Cambria Math" w:hAnsi="Cambria Math"/>
                </w:rPr>
                <m:t>1000</m:t>
              </m:r>
            </m:den>
          </m:f>
        </m:oMath>
      </m:oMathPara>
    </w:p>
    <w:p w14:paraId="11002576" w14:textId="77777777" w:rsidR="00B769D1" w:rsidRPr="00AA5CB5" w:rsidRDefault="00B769D1" w:rsidP="00B769D1">
      <w:pPr>
        <w:pStyle w:val="BodyText1"/>
        <w:shd w:val="clear" w:color="auto" w:fill="E8F0FE" w:themeFill="accent5" w:themeFillTint="33"/>
      </w:pPr>
      <w:r w:rsidRPr="00AA5CB5">
        <w:t>Where:</w:t>
      </w:r>
    </w:p>
    <w:p w14:paraId="4DA9DE48" w14:textId="79E8FAE2" w:rsidR="00B769D1" w:rsidRPr="00AA5CB5" w:rsidRDefault="00000000" w:rsidP="00B769D1">
      <w:pPr>
        <w:pStyle w:val="Bodybullet1"/>
        <w:shd w:val="clear" w:color="auto" w:fill="E8F0FE" w:themeFill="accent5" w:themeFillTint="33"/>
        <w:rPr>
          <w:b/>
        </w:rPr>
      </w:pPr>
      <m:oMath>
        <m:sSub>
          <m:sSubPr>
            <m:ctrlPr>
              <w:rPr>
                <w:rFonts w:ascii="Cambria Math" w:hAnsi="Cambria Math"/>
                <w:b/>
                <w:bCs/>
              </w:rPr>
            </m:ctrlPr>
          </m:sSubPr>
          <m:e>
            <m:r>
              <m:rPr>
                <m:sty m:val="b"/>
              </m:rPr>
              <w:rPr>
                <w:rFonts w:ascii="Cambria Math" w:hAnsi="Cambria Math"/>
              </w:rPr>
              <m:t>t CO</m:t>
            </m:r>
          </m:e>
          <m:sub>
            <m:r>
              <m:rPr>
                <m:sty m:val="b"/>
              </m:rPr>
              <w:rPr>
                <w:rFonts w:ascii="Cambria Math" w:hAnsi="Cambria Math"/>
              </w:rPr>
              <m:t>2</m:t>
            </m:r>
          </m:sub>
        </m:sSub>
        <m:r>
          <m:rPr>
            <m:nor/>
          </m:rPr>
          <w:rPr>
            <w:b/>
            <w:bCs/>
          </w:rPr>
          <m:t>-</m:t>
        </m:r>
        <m:r>
          <m:rPr>
            <m:sty m:val="b"/>
          </m:rPr>
          <w:rPr>
            <w:rFonts w:ascii="Cambria Math" w:hAnsi="Cambria Math"/>
          </w:rPr>
          <m:t>e</m:t>
        </m:r>
      </m:oMath>
      <w:r w:rsidR="00B769D1" w:rsidRPr="00AA5CB5">
        <w:t xml:space="preserve"> are the </w:t>
      </w:r>
      <w:r w:rsidR="00E90152">
        <w:t>GHG</w:t>
      </w:r>
      <w:r w:rsidR="00B769D1" w:rsidRPr="00AA5CB5">
        <w:t xml:space="preserve"> emissions, in tonnes carbon dioxide equivalent</w:t>
      </w:r>
    </w:p>
    <w:p w14:paraId="08C155C3" w14:textId="5655DB41" w:rsidR="00B769D1" w:rsidRPr="00AA5CB5" w:rsidRDefault="002B399D" w:rsidP="00B769D1">
      <w:pPr>
        <w:pStyle w:val="Bodybullet1"/>
        <w:shd w:val="clear" w:color="auto" w:fill="E8F0FE" w:themeFill="accent5" w:themeFillTint="33"/>
      </w:pPr>
      <m:oMath>
        <m:r>
          <m:rPr>
            <m:sty m:val="b"/>
          </m:rPr>
          <w:rPr>
            <w:rFonts w:ascii="Cambria Math" w:hAnsi="Cambria Math"/>
          </w:rPr>
          <m:t>GWP</m:t>
        </m:r>
      </m:oMath>
      <w:r w:rsidR="00B769D1" w:rsidRPr="00AA5CB5">
        <w:rPr>
          <w:b/>
          <w:bCs/>
        </w:rPr>
        <w:t xml:space="preserve"> </w:t>
      </w:r>
      <w:r w:rsidR="00B769D1" w:rsidRPr="00AA5CB5">
        <w:t>is the global warming potential of refrigerant gas</w:t>
      </w:r>
      <w:r w:rsidR="002170A6">
        <w:t xml:space="preserve">, as per </w:t>
      </w:r>
      <w:r w:rsidR="002170A6">
        <w:fldChar w:fldCharType="begin"/>
      </w:r>
      <w:r w:rsidR="002170A6">
        <w:instrText xml:space="preserve"> REF _Ref199870749 \h </w:instrText>
      </w:r>
      <w:r w:rsidR="002170A6">
        <w:fldChar w:fldCharType="separate"/>
      </w:r>
      <w:r w:rsidR="00422A37" w:rsidRPr="00AA5CB5">
        <w:t xml:space="preserve">Table </w:t>
      </w:r>
      <w:r w:rsidR="00422A37">
        <w:rPr>
          <w:noProof/>
        </w:rPr>
        <w:t>13</w:t>
      </w:r>
      <w:r w:rsidR="002170A6">
        <w:fldChar w:fldCharType="end"/>
      </w:r>
    </w:p>
    <w:p w14:paraId="7C03D900" w14:textId="1A71777F" w:rsidR="00B769D1" w:rsidRPr="00AA5CB5" w:rsidRDefault="002B399D" w:rsidP="00B769D1">
      <w:pPr>
        <w:pStyle w:val="Bodybullet1"/>
        <w:shd w:val="clear" w:color="auto" w:fill="E8F0FE" w:themeFill="accent5" w:themeFillTint="33"/>
        <w:rPr>
          <w:b/>
        </w:rPr>
      </w:pPr>
      <m:oMath>
        <m:r>
          <m:rPr>
            <m:sty m:val="b"/>
          </m:rPr>
          <w:rPr>
            <w:rFonts w:ascii="Cambria Math" w:hAnsi="Cambria Math"/>
          </w:rPr>
          <m:t>Charge</m:t>
        </m:r>
      </m:oMath>
      <w:r w:rsidR="00B769D1" w:rsidRPr="00AA5CB5">
        <w:rPr>
          <w:b/>
          <w:bCs/>
        </w:rPr>
        <w:t xml:space="preserve"> </w:t>
      </w:r>
      <w:r w:rsidR="00B769D1" w:rsidRPr="00AA5CB5">
        <w:t>is the amount of refrigerant gas contained within the appliance</w:t>
      </w:r>
      <w:r w:rsidR="00063973">
        <w:t>, in kilograms (kg)</w:t>
      </w:r>
    </w:p>
    <w:p w14:paraId="3AA8D9EC" w14:textId="4CA6FC30" w:rsidR="00B769D1" w:rsidRDefault="002B399D" w:rsidP="00B769D1">
      <w:pPr>
        <w:pStyle w:val="Bodybullet1"/>
        <w:shd w:val="clear" w:color="auto" w:fill="E8F0FE" w:themeFill="accent5" w:themeFillTint="33"/>
      </w:pPr>
      <m:oMath>
        <m:r>
          <m:rPr>
            <m:sty m:val="b"/>
          </m:rPr>
          <w:rPr>
            <w:rFonts w:ascii="Cambria Math" w:hAnsi="Cambria Math"/>
          </w:rPr>
          <m:t>Leakage rate</m:t>
        </m:r>
      </m:oMath>
      <w:r w:rsidR="00B769D1" w:rsidRPr="00AA5CB5">
        <w:t xml:space="preserve"> is the percentage of the refrigerant gas leaked from the appliance each year</w:t>
      </w:r>
      <w:r w:rsidR="002170A6">
        <w:t xml:space="preserve">, as per </w:t>
      </w:r>
      <w:r w:rsidR="002170A6">
        <w:fldChar w:fldCharType="begin"/>
      </w:r>
      <w:r w:rsidR="002170A6">
        <w:instrText xml:space="preserve"> REF _Ref199870724 \h </w:instrText>
      </w:r>
      <w:r w:rsidR="002170A6">
        <w:fldChar w:fldCharType="separate"/>
      </w:r>
      <w:r w:rsidR="00422A37" w:rsidRPr="00AA5CB5">
        <w:t xml:space="preserve">Table </w:t>
      </w:r>
      <w:r w:rsidR="00422A37">
        <w:rPr>
          <w:noProof/>
        </w:rPr>
        <w:t>14</w:t>
      </w:r>
      <w:r w:rsidR="002170A6">
        <w:fldChar w:fldCharType="end"/>
      </w:r>
    </w:p>
    <w:p w14:paraId="6177A9B4" w14:textId="743ADCB5" w:rsidR="001826B8" w:rsidRPr="00AA5CB5" w:rsidRDefault="001826B8" w:rsidP="001826B8">
      <w:pPr>
        <w:pStyle w:val="Bodybullet1"/>
        <w:numPr>
          <w:ilvl w:val="0"/>
          <w:numId w:val="0"/>
        </w:numPr>
        <w:shd w:val="clear" w:color="auto" w:fill="E8F0FE" w:themeFill="accent5" w:themeFillTint="33"/>
      </w:pPr>
      <w:r w:rsidRPr="001826B8">
        <w:t>To convert from kilograms (kg) to tonnes (t), divide by 1000. Conversely, to convert from t to kg, multiply by 1000.</w:t>
      </w:r>
    </w:p>
    <w:p w14:paraId="7ABD1590" w14:textId="24C7FE33" w:rsidR="00B769D1" w:rsidRPr="00AA5CB5" w:rsidRDefault="00B769D1" w:rsidP="00B769D1">
      <w:pPr>
        <w:pStyle w:val="BodyText1"/>
      </w:pPr>
      <w:r w:rsidRPr="00AA5CB5">
        <w:t xml:space="preserve">Only refrigerants that meet </w:t>
      </w:r>
      <w:r w:rsidR="004E34F4" w:rsidRPr="00AA5CB5">
        <w:t xml:space="preserve">a quantity and type </w:t>
      </w:r>
      <w:r w:rsidRPr="00AA5CB5">
        <w:t>threshold are required to be reported: </w:t>
      </w:r>
    </w:p>
    <w:p w14:paraId="42F1258E" w14:textId="77777777" w:rsidR="00B769D1" w:rsidRPr="00AA5CB5" w:rsidRDefault="00B769D1" w:rsidP="00B769D1">
      <w:pPr>
        <w:pStyle w:val="BodyText1"/>
        <w:numPr>
          <w:ilvl w:val="0"/>
          <w:numId w:val="16"/>
        </w:numPr>
      </w:pPr>
      <w:r w:rsidRPr="00AA5CB5">
        <w:t>The total volume of refrigerant gas contained within equipment (the charge) is more than 100 kilograms (kg) of refrigerant for each unit; and </w:t>
      </w:r>
    </w:p>
    <w:p w14:paraId="383A9652" w14:textId="2EDC2EB9" w:rsidR="00B769D1" w:rsidRPr="00AA5CB5" w:rsidRDefault="00B769D1" w:rsidP="00B769D1">
      <w:pPr>
        <w:pStyle w:val="BodyText1"/>
        <w:numPr>
          <w:ilvl w:val="0"/>
          <w:numId w:val="17"/>
        </w:numPr>
      </w:pPr>
      <w:r w:rsidRPr="00AA5CB5">
        <w:lastRenderedPageBreak/>
        <w:t xml:space="preserve">The refrigerant is a </w:t>
      </w:r>
      <w:r w:rsidR="00E90152">
        <w:t>GHG</w:t>
      </w:r>
      <w:r w:rsidRPr="00AA5CB5">
        <w:t xml:space="preserve"> with a Global Warming Potential (GWP) of more than 1000. </w:t>
      </w:r>
    </w:p>
    <w:p w14:paraId="3AA5AA8C" w14:textId="01EAF355" w:rsidR="00B769D1" w:rsidRPr="00AA5CB5" w:rsidRDefault="00B769D1" w:rsidP="00B769D1">
      <w:pPr>
        <w:pStyle w:val="Caption"/>
        <w:keepNext/>
      </w:pPr>
      <w:bookmarkStart w:id="169" w:name="_Ref199870749"/>
      <w:bookmarkStart w:id="170" w:name="_Toc201927386"/>
      <w:r w:rsidRPr="00AA5CB5">
        <w:t xml:space="preserve">Table </w:t>
      </w:r>
      <w:r w:rsidRPr="00AA5CB5">
        <w:fldChar w:fldCharType="begin"/>
      </w:r>
      <w:r w:rsidRPr="00AA5CB5">
        <w:instrText xml:space="preserve"> SEQ Table \* ARABIC </w:instrText>
      </w:r>
      <w:r w:rsidRPr="00AA5CB5">
        <w:fldChar w:fldCharType="separate"/>
      </w:r>
      <w:r w:rsidR="00422A37">
        <w:rPr>
          <w:noProof/>
        </w:rPr>
        <w:t>13</w:t>
      </w:r>
      <w:r w:rsidRPr="00AA5CB5">
        <w:fldChar w:fldCharType="end"/>
      </w:r>
      <w:bookmarkEnd w:id="169"/>
      <w:r w:rsidR="0088604A">
        <w:t>:</w:t>
      </w:r>
      <w:r w:rsidRPr="00AA5CB5">
        <w:t xml:space="preserve"> Refrigerant Global </w:t>
      </w:r>
      <w:r w:rsidR="006A48BE">
        <w:t>W</w:t>
      </w:r>
      <w:r w:rsidRPr="00AA5CB5">
        <w:t xml:space="preserve">arming </w:t>
      </w:r>
      <w:r w:rsidR="006A48BE">
        <w:t>P</w:t>
      </w:r>
      <w:r w:rsidRPr="00AA5CB5">
        <w:t>otentials</w:t>
      </w:r>
      <w:bookmarkEnd w:id="170"/>
    </w:p>
    <w:tbl>
      <w:tblPr>
        <w:tblStyle w:val="ListTable4-Accent6"/>
        <w:tblW w:w="9405" w:type="dxa"/>
        <w:tblInd w:w="0" w:type="dxa"/>
        <w:tblLook w:val="06A0" w:firstRow="1" w:lastRow="0" w:firstColumn="1" w:lastColumn="0" w:noHBand="1" w:noVBand="1"/>
      </w:tblPr>
      <w:tblGrid>
        <w:gridCol w:w="3004"/>
        <w:gridCol w:w="4504"/>
        <w:gridCol w:w="1897"/>
      </w:tblGrid>
      <w:tr w:rsidR="000175CD" w:rsidRPr="00AA5CB5" w14:paraId="56F9328D" w14:textId="77777777" w:rsidTr="007078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008C7FC6" w14:textId="77777777" w:rsidR="00B769D1" w:rsidRPr="00AA5CB5" w:rsidRDefault="00B769D1" w:rsidP="00707847">
            <w:pPr>
              <w:pStyle w:val="Tablebodytext"/>
            </w:pPr>
            <w:r w:rsidRPr="00AA5CB5">
              <w:t>Refrigerant </w:t>
            </w:r>
          </w:p>
        </w:tc>
        <w:tc>
          <w:tcPr>
            <w:tcW w:w="4504" w:type="dxa"/>
            <w:hideMark/>
          </w:tcPr>
          <w:p w14:paraId="290E8A46" w14:textId="77777777" w:rsidR="00B769D1" w:rsidRPr="00AA5CB5" w:rsidRDefault="00B769D1" w:rsidP="00707847">
            <w:pPr>
              <w:pStyle w:val="Tablebodytext"/>
              <w:cnfStyle w:val="100000000000" w:firstRow="1" w:lastRow="0" w:firstColumn="0" w:lastColumn="0" w:oddVBand="0" w:evenVBand="0" w:oddHBand="0" w:evenHBand="0" w:firstRowFirstColumn="0" w:firstRowLastColumn="0" w:lastRowFirstColumn="0" w:lastRowLastColumn="0"/>
            </w:pPr>
            <w:r w:rsidRPr="00AA5CB5">
              <w:t>Chemical Formula </w:t>
            </w:r>
          </w:p>
        </w:tc>
        <w:tc>
          <w:tcPr>
            <w:tcW w:w="1897" w:type="dxa"/>
            <w:hideMark/>
          </w:tcPr>
          <w:p w14:paraId="2DDB73E0" w14:textId="77777777" w:rsidR="00B769D1" w:rsidRPr="00AA5CB5" w:rsidRDefault="00B769D1" w:rsidP="00707847">
            <w:pPr>
              <w:pStyle w:val="Tablebodytext"/>
              <w:cnfStyle w:val="100000000000" w:firstRow="1" w:lastRow="0" w:firstColumn="0" w:lastColumn="0" w:oddVBand="0" w:evenVBand="0" w:oddHBand="0" w:evenHBand="0" w:firstRowFirstColumn="0" w:firstRowLastColumn="0" w:lastRowFirstColumn="0" w:lastRowLastColumn="0"/>
            </w:pPr>
            <w:r w:rsidRPr="00AA5CB5">
              <w:t>Global Warming Potential (AR5) </w:t>
            </w:r>
          </w:p>
        </w:tc>
      </w:tr>
      <w:tr w:rsidR="005C7FDD" w:rsidRPr="00AA5CB5" w14:paraId="44516CB5"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31152912" w14:textId="3B353E8B" w:rsidR="00B769D1" w:rsidRPr="00AA5CB5" w:rsidRDefault="00B769D1" w:rsidP="00707847">
            <w:pPr>
              <w:pStyle w:val="Tablebodytext"/>
            </w:pPr>
            <w:r w:rsidRPr="00AA5CB5">
              <w:t>Sulphur hexafluoride</w:t>
            </w:r>
            <w:r w:rsidR="0078242E" w:rsidRPr="00AA5CB5">
              <w:rPr>
                <w:vertAlign w:val="superscript"/>
              </w:rPr>
              <w:t>a</w:t>
            </w:r>
            <w:r w:rsidRPr="00AA5CB5">
              <w:t> </w:t>
            </w:r>
          </w:p>
        </w:tc>
        <w:tc>
          <w:tcPr>
            <w:tcW w:w="4504" w:type="dxa"/>
            <w:hideMark/>
          </w:tcPr>
          <w:p w14:paraId="13D5719B"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SF</w:t>
            </w:r>
            <w:r w:rsidRPr="00AA5CB5">
              <w:rPr>
                <w:vertAlign w:val="subscript"/>
              </w:rPr>
              <w:t>6</w:t>
            </w:r>
            <w:r w:rsidRPr="00AA5CB5">
              <w:t> </w:t>
            </w:r>
          </w:p>
        </w:tc>
        <w:tc>
          <w:tcPr>
            <w:tcW w:w="1897" w:type="dxa"/>
            <w:hideMark/>
          </w:tcPr>
          <w:p w14:paraId="7E740785" w14:textId="40CBF2FB"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23,500</w:t>
            </w:r>
          </w:p>
        </w:tc>
      </w:tr>
      <w:tr w:rsidR="00D142F4" w:rsidRPr="00AA5CB5" w14:paraId="3AB66BFF"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9405" w:type="dxa"/>
            <w:gridSpan w:val="3"/>
            <w:hideMark/>
          </w:tcPr>
          <w:p w14:paraId="02C42B1B" w14:textId="77777777" w:rsidR="00B769D1" w:rsidRPr="00AA5CB5" w:rsidRDefault="00B769D1" w:rsidP="00707847">
            <w:pPr>
              <w:pStyle w:val="Tablebodytext"/>
            </w:pPr>
            <w:r w:rsidRPr="00AA5CB5">
              <w:t>Hydrofluorocarbons (HFCs) </w:t>
            </w:r>
          </w:p>
        </w:tc>
      </w:tr>
      <w:tr w:rsidR="005C7FDD" w:rsidRPr="00AA5CB5" w14:paraId="30319842"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0359F088" w14:textId="014DD4FB" w:rsidR="00B769D1" w:rsidRPr="00707847" w:rsidRDefault="00B769D1" w:rsidP="00707847">
            <w:pPr>
              <w:pStyle w:val="Tablebodytext"/>
            </w:pPr>
            <w:r w:rsidRPr="00AA5CB5">
              <w:t>R-23 (HFC-23)</w:t>
            </w:r>
            <w:r w:rsidR="0078242E" w:rsidRPr="00707847">
              <w:rPr>
                <w:sz w:val="22"/>
              </w:rPr>
              <w:t>a</w:t>
            </w:r>
            <w:r w:rsidRPr="00AA5CB5">
              <w:t> </w:t>
            </w:r>
          </w:p>
        </w:tc>
        <w:tc>
          <w:tcPr>
            <w:tcW w:w="4504" w:type="dxa"/>
            <w:hideMark/>
          </w:tcPr>
          <w:p w14:paraId="2C6D4230"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CHF</w:t>
            </w:r>
            <w:r w:rsidRPr="00707847">
              <w:t>3</w:t>
            </w:r>
            <w:r w:rsidRPr="00AA5CB5">
              <w:t> </w:t>
            </w:r>
          </w:p>
        </w:tc>
        <w:tc>
          <w:tcPr>
            <w:tcW w:w="1897" w:type="dxa"/>
            <w:hideMark/>
          </w:tcPr>
          <w:p w14:paraId="7690E86D" w14:textId="40A61D13"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12,400</w:t>
            </w:r>
          </w:p>
        </w:tc>
      </w:tr>
      <w:tr w:rsidR="00B46EAA" w:rsidRPr="00AA5CB5" w14:paraId="0352D440"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tcPr>
          <w:p w14:paraId="6B632041" w14:textId="15D6B56C" w:rsidR="00B46EAA" w:rsidRPr="00AA5CB5" w:rsidRDefault="00B46EAA" w:rsidP="00707847">
            <w:pPr>
              <w:pStyle w:val="Tablebodytext"/>
            </w:pPr>
            <w:r w:rsidRPr="00AA5CB5">
              <w:t>R-32 (HFC-32)</w:t>
            </w:r>
            <w:r w:rsidRPr="00AA5CB5">
              <w:rPr>
                <w:vertAlign w:val="superscript"/>
              </w:rPr>
              <w:t>b</w:t>
            </w:r>
          </w:p>
        </w:tc>
        <w:tc>
          <w:tcPr>
            <w:tcW w:w="4504" w:type="dxa"/>
          </w:tcPr>
          <w:p w14:paraId="54D94577" w14:textId="3FB63A3E" w:rsidR="00B46EAA" w:rsidRPr="00AA5CB5" w:rsidRDefault="00B46EAA"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CH</w:t>
            </w:r>
            <w:r w:rsidRPr="00AA5CB5">
              <w:rPr>
                <w:rFonts w:ascii="Cambria Math" w:hAnsi="Cambria Math" w:cs="Cambria Math"/>
              </w:rPr>
              <w:t>₂</w:t>
            </w:r>
            <w:r w:rsidRPr="00AA5CB5">
              <w:t>F</w:t>
            </w:r>
            <w:r w:rsidRPr="00AA5CB5">
              <w:rPr>
                <w:rFonts w:ascii="Cambria Math" w:hAnsi="Cambria Math" w:cs="Cambria Math"/>
              </w:rPr>
              <w:t>₂</w:t>
            </w:r>
          </w:p>
        </w:tc>
        <w:tc>
          <w:tcPr>
            <w:tcW w:w="1897" w:type="dxa"/>
          </w:tcPr>
          <w:p w14:paraId="2E4AB6C8" w14:textId="2C4F753A" w:rsidR="00B46EAA" w:rsidRPr="00AA5CB5" w:rsidRDefault="00B46EAA" w:rsidP="00707847">
            <w:pPr>
              <w:pStyle w:val="Tablebodytext"/>
              <w:cnfStyle w:val="000000000000" w:firstRow="0" w:lastRow="0" w:firstColumn="0" w:lastColumn="0" w:oddVBand="0" w:evenVBand="0" w:oddHBand="0" w:evenHBand="0" w:firstRowFirstColumn="0" w:firstRowLastColumn="0" w:lastRowFirstColumn="0" w:lastRowLastColumn="0"/>
            </w:pPr>
            <w:r>
              <w:t>677</w:t>
            </w:r>
          </w:p>
        </w:tc>
      </w:tr>
      <w:tr w:rsidR="001D1208" w:rsidRPr="00AA5CB5" w14:paraId="44E3BD6A"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tcPr>
          <w:p w14:paraId="1069A4C4" w14:textId="23AF57B3" w:rsidR="001D1208" w:rsidRPr="00AA5CB5" w:rsidRDefault="001D1208" w:rsidP="00707847">
            <w:pPr>
              <w:pStyle w:val="Tablebodytext"/>
            </w:pPr>
            <w:r w:rsidRPr="00AA5CB5">
              <w:t>R-125 (HFC-125)</w:t>
            </w:r>
            <w:r w:rsidRPr="00AA5CB5">
              <w:rPr>
                <w:rStyle w:val="Notebullets1Char"/>
                <w:b w:val="0"/>
                <w:bCs w:val="0"/>
                <w:vertAlign w:val="superscript"/>
                <w:lang w:val="en-AU"/>
              </w:rPr>
              <w:t>a</w:t>
            </w:r>
            <w:r w:rsidRPr="00AA5CB5">
              <w:t> </w:t>
            </w:r>
          </w:p>
        </w:tc>
        <w:tc>
          <w:tcPr>
            <w:tcW w:w="4504" w:type="dxa"/>
          </w:tcPr>
          <w:p w14:paraId="3FE2A81A" w14:textId="35BD7958" w:rsidR="001D1208" w:rsidRPr="00AA5CB5" w:rsidRDefault="001D1208"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2</w:t>
            </w:r>
            <w:r w:rsidRPr="00AA5CB5">
              <w:t>HF</w:t>
            </w:r>
            <w:r w:rsidRPr="00AA5CB5">
              <w:rPr>
                <w:vertAlign w:val="subscript"/>
              </w:rPr>
              <w:t>5</w:t>
            </w:r>
            <w:r w:rsidRPr="00AA5CB5">
              <w:t> </w:t>
            </w:r>
          </w:p>
        </w:tc>
        <w:tc>
          <w:tcPr>
            <w:tcW w:w="1897" w:type="dxa"/>
          </w:tcPr>
          <w:p w14:paraId="7557D06C" w14:textId="40E4F5D1" w:rsidR="001D1208" w:rsidRPr="00AA5CB5" w:rsidRDefault="001D1208" w:rsidP="00707847">
            <w:pPr>
              <w:pStyle w:val="Tablebodytext"/>
              <w:cnfStyle w:val="000000000000" w:firstRow="0" w:lastRow="0" w:firstColumn="0" w:lastColumn="0" w:oddVBand="0" w:evenVBand="0" w:oddHBand="0" w:evenHBand="0" w:firstRowFirstColumn="0" w:firstRowLastColumn="0" w:lastRowFirstColumn="0" w:lastRowLastColumn="0"/>
            </w:pPr>
            <w:r w:rsidRPr="00AA5CB5">
              <w:t>3,170  </w:t>
            </w:r>
          </w:p>
        </w:tc>
      </w:tr>
      <w:tr w:rsidR="005C7FDD" w:rsidRPr="00AA5CB5" w14:paraId="09DE3A3D"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52951815" w14:textId="3909508E" w:rsidR="00B769D1" w:rsidRPr="00AA5CB5" w:rsidRDefault="00B769D1" w:rsidP="00707847">
            <w:pPr>
              <w:pStyle w:val="Tablebodytext"/>
            </w:pPr>
            <w:r w:rsidRPr="00AA5CB5">
              <w:t>R-134 (HFC-134)</w:t>
            </w:r>
            <w:r w:rsidR="00481D44" w:rsidRPr="00AA5CB5">
              <w:rPr>
                <w:rStyle w:val="Notebullets1Char"/>
                <w:b w:val="0"/>
                <w:bCs w:val="0"/>
                <w:vertAlign w:val="superscript"/>
                <w:lang w:val="en-AU"/>
              </w:rPr>
              <w:t>a</w:t>
            </w:r>
            <w:r w:rsidRPr="00AA5CB5">
              <w:t> </w:t>
            </w:r>
          </w:p>
        </w:tc>
        <w:tc>
          <w:tcPr>
            <w:tcW w:w="4504" w:type="dxa"/>
            <w:hideMark/>
          </w:tcPr>
          <w:p w14:paraId="3CC9B8BE"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2</w:t>
            </w:r>
            <w:r w:rsidRPr="00AA5CB5">
              <w:t>H</w:t>
            </w:r>
            <w:r w:rsidRPr="00AA5CB5">
              <w:rPr>
                <w:vertAlign w:val="subscript"/>
              </w:rPr>
              <w:t>2</w:t>
            </w:r>
            <w:r w:rsidRPr="00AA5CB5">
              <w:t>F</w:t>
            </w:r>
            <w:r w:rsidRPr="00AA5CB5">
              <w:rPr>
                <w:vertAlign w:val="subscript"/>
              </w:rPr>
              <w:t>4</w:t>
            </w:r>
            <w:r w:rsidRPr="00AA5CB5">
              <w:t> (CHF</w:t>
            </w:r>
            <w:r w:rsidRPr="00AA5CB5">
              <w:rPr>
                <w:vertAlign w:val="subscript"/>
              </w:rPr>
              <w:t>2</w:t>
            </w:r>
            <w:r w:rsidRPr="00AA5CB5">
              <w:t>CHF</w:t>
            </w:r>
            <w:r w:rsidRPr="00AA5CB5">
              <w:rPr>
                <w:vertAlign w:val="subscript"/>
              </w:rPr>
              <w:t>2</w:t>
            </w:r>
            <w:r w:rsidRPr="00AA5CB5">
              <w:t>) </w:t>
            </w:r>
          </w:p>
        </w:tc>
        <w:tc>
          <w:tcPr>
            <w:tcW w:w="1897" w:type="dxa"/>
            <w:hideMark/>
          </w:tcPr>
          <w:p w14:paraId="21C12612"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1,120  </w:t>
            </w:r>
          </w:p>
        </w:tc>
      </w:tr>
      <w:tr w:rsidR="005C7FDD" w:rsidRPr="00AA5CB5" w14:paraId="1E503598"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2D6CE464" w14:textId="6FA31612" w:rsidR="00B769D1" w:rsidRPr="00AA5CB5" w:rsidRDefault="00B769D1" w:rsidP="00707847">
            <w:pPr>
              <w:pStyle w:val="Tablebodytext"/>
            </w:pPr>
            <w:r w:rsidRPr="00AA5CB5">
              <w:t>R-134a (HFC-134a)</w:t>
            </w:r>
            <w:r w:rsidR="0078242E" w:rsidRPr="00AA5CB5">
              <w:rPr>
                <w:vertAlign w:val="superscript"/>
              </w:rPr>
              <w:t>b</w:t>
            </w:r>
            <w:r w:rsidRPr="00AA5CB5">
              <w:t> </w:t>
            </w:r>
          </w:p>
        </w:tc>
        <w:tc>
          <w:tcPr>
            <w:tcW w:w="4504" w:type="dxa"/>
            <w:hideMark/>
          </w:tcPr>
          <w:p w14:paraId="4582ACF1"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2</w:t>
            </w:r>
            <w:r w:rsidRPr="00AA5CB5">
              <w:t>H</w:t>
            </w:r>
            <w:r w:rsidRPr="00AA5CB5">
              <w:rPr>
                <w:vertAlign w:val="subscript"/>
              </w:rPr>
              <w:t>2</w:t>
            </w:r>
            <w:r w:rsidRPr="00AA5CB5">
              <w:t>F</w:t>
            </w:r>
            <w:r w:rsidRPr="00AA5CB5">
              <w:rPr>
                <w:vertAlign w:val="subscript"/>
              </w:rPr>
              <w:t>4</w:t>
            </w:r>
            <w:r w:rsidRPr="00AA5CB5">
              <w:t> (CH</w:t>
            </w:r>
            <w:r w:rsidRPr="00AA5CB5">
              <w:rPr>
                <w:vertAlign w:val="subscript"/>
              </w:rPr>
              <w:t>2</w:t>
            </w:r>
            <w:r w:rsidRPr="00AA5CB5">
              <w:t>FCF</w:t>
            </w:r>
            <w:r w:rsidRPr="00AA5CB5">
              <w:rPr>
                <w:vertAlign w:val="subscript"/>
              </w:rPr>
              <w:t>3</w:t>
            </w:r>
            <w:r w:rsidRPr="00AA5CB5">
              <w:t>) </w:t>
            </w:r>
          </w:p>
        </w:tc>
        <w:tc>
          <w:tcPr>
            <w:tcW w:w="1897" w:type="dxa"/>
            <w:hideMark/>
          </w:tcPr>
          <w:p w14:paraId="41316082"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1,300  </w:t>
            </w:r>
          </w:p>
        </w:tc>
      </w:tr>
      <w:tr w:rsidR="005C7FDD" w:rsidRPr="00AA5CB5" w14:paraId="162F5C2A"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0624BDF2" w14:textId="00CBBD43" w:rsidR="00B769D1" w:rsidRPr="00AA5CB5" w:rsidRDefault="00B769D1" w:rsidP="00707847">
            <w:pPr>
              <w:pStyle w:val="Tablebodytext"/>
            </w:pPr>
            <w:r w:rsidRPr="00AA5CB5">
              <w:t>R-143a (HFC-143a)</w:t>
            </w:r>
            <w:r w:rsidR="00481D44" w:rsidRPr="00AA5CB5">
              <w:rPr>
                <w:rStyle w:val="Notebullets1Char"/>
                <w:b w:val="0"/>
                <w:bCs w:val="0"/>
                <w:vertAlign w:val="superscript"/>
                <w:lang w:val="en-AU"/>
              </w:rPr>
              <w:t>a</w:t>
            </w:r>
            <w:r w:rsidRPr="00AA5CB5">
              <w:t> </w:t>
            </w:r>
          </w:p>
        </w:tc>
        <w:tc>
          <w:tcPr>
            <w:tcW w:w="4504" w:type="dxa"/>
            <w:hideMark/>
          </w:tcPr>
          <w:p w14:paraId="4A97A975"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2</w:t>
            </w:r>
            <w:r w:rsidRPr="00AA5CB5">
              <w:t>H</w:t>
            </w:r>
            <w:r w:rsidRPr="00AA5CB5">
              <w:rPr>
                <w:vertAlign w:val="subscript"/>
              </w:rPr>
              <w:t>3</w:t>
            </w:r>
            <w:r w:rsidRPr="00AA5CB5">
              <w:t>F</w:t>
            </w:r>
            <w:r w:rsidRPr="00AA5CB5">
              <w:rPr>
                <w:vertAlign w:val="subscript"/>
              </w:rPr>
              <w:t>3</w:t>
            </w:r>
            <w:r w:rsidRPr="00AA5CB5">
              <w:t> (CF</w:t>
            </w:r>
            <w:r w:rsidRPr="00AA5CB5">
              <w:rPr>
                <w:vertAlign w:val="subscript"/>
              </w:rPr>
              <w:t>3</w:t>
            </w:r>
            <w:r w:rsidRPr="00AA5CB5">
              <w:t>CH</w:t>
            </w:r>
            <w:r w:rsidRPr="00AA5CB5">
              <w:rPr>
                <w:vertAlign w:val="subscript"/>
              </w:rPr>
              <w:t>3</w:t>
            </w:r>
            <w:r w:rsidRPr="00AA5CB5">
              <w:t>) </w:t>
            </w:r>
          </w:p>
        </w:tc>
        <w:tc>
          <w:tcPr>
            <w:tcW w:w="1897" w:type="dxa"/>
            <w:hideMark/>
          </w:tcPr>
          <w:p w14:paraId="374CBE5A"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4,800  </w:t>
            </w:r>
          </w:p>
        </w:tc>
      </w:tr>
      <w:tr w:rsidR="005C7FDD" w:rsidRPr="00AA5CB5" w14:paraId="57B5C4B3"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31EF6617" w14:textId="4CA9667C" w:rsidR="00B769D1" w:rsidRPr="00AA5CB5" w:rsidRDefault="00B769D1" w:rsidP="00707847">
            <w:pPr>
              <w:pStyle w:val="Tablebodytext"/>
            </w:pPr>
            <w:r w:rsidRPr="00AA5CB5">
              <w:t>R-227ea (HFC-227ea)</w:t>
            </w:r>
            <w:r w:rsidR="00481D44" w:rsidRPr="00AA5CB5">
              <w:rPr>
                <w:rStyle w:val="Notebullets1Char"/>
                <w:b w:val="0"/>
                <w:bCs w:val="0"/>
                <w:vertAlign w:val="superscript"/>
                <w:lang w:val="en-AU"/>
              </w:rPr>
              <w:t>a</w:t>
            </w:r>
            <w:r w:rsidRPr="00AA5CB5">
              <w:t> </w:t>
            </w:r>
          </w:p>
        </w:tc>
        <w:tc>
          <w:tcPr>
            <w:tcW w:w="4504" w:type="dxa"/>
            <w:hideMark/>
          </w:tcPr>
          <w:p w14:paraId="482C47FD"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3</w:t>
            </w:r>
            <w:r w:rsidRPr="00AA5CB5">
              <w:t>HF</w:t>
            </w:r>
            <w:r w:rsidRPr="00AA5CB5">
              <w:rPr>
                <w:vertAlign w:val="subscript"/>
              </w:rPr>
              <w:t>7</w:t>
            </w:r>
            <w:r w:rsidRPr="00AA5CB5">
              <w:t> </w:t>
            </w:r>
          </w:p>
        </w:tc>
        <w:tc>
          <w:tcPr>
            <w:tcW w:w="1897" w:type="dxa"/>
            <w:hideMark/>
          </w:tcPr>
          <w:p w14:paraId="65D28143"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3,350  </w:t>
            </w:r>
          </w:p>
        </w:tc>
      </w:tr>
      <w:tr w:rsidR="005C7FDD" w:rsidRPr="00AA5CB5" w14:paraId="20B81199"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7347ED4D" w14:textId="63E868CE" w:rsidR="00B769D1" w:rsidRPr="00AA5CB5" w:rsidRDefault="00B769D1" w:rsidP="00707847">
            <w:pPr>
              <w:pStyle w:val="Tablebodytext"/>
            </w:pPr>
            <w:r w:rsidRPr="00AA5CB5">
              <w:t>R-236fa (HFC-236fa)</w:t>
            </w:r>
            <w:r w:rsidR="00481D44" w:rsidRPr="00AA5CB5">
              <w:rPr>
                <w:rStyle w:val="Notebullets1Char"/>
                <w:b w:val="0"/>
                <w:bCs w:val="0"/>
                <w:vertAlign w:val="superscript"/>
                <w:lang w:val="en-AU"/>
              </w:rPr>
              <w:t>a</w:t>
            </w:r>
            <w:r w:rsidRPr="00AA5CB5">
              <w:t> </w:t>
            </w:r>
          </w:p>
        </w:tc>
        <w:tc>
          <w:tcPr>
            <w:tcW w:w="4504" w:type="dxa"/>
            <w:hideMark/>
          </w:tcPr>
          <w:p w14:paraId="2967A0DB"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3</w:t>
            </w:r>
            <w:r w:rsidRPr="00AA5CB5">
              <w:t>H</w:t>
            </w:r>
            <w:r w:rsidRPr="00AA5CB5">
              <w:rPr>
                <w:vertAlign w:val="subscript"/>
              </w:rPr>
              <w:t>2</w:t>
            </w:r>
            <w:r w:rsidRPr="00AA5CB5">
              <w:t>F</w:t>
            </w:r>
            <w:r w:rsidRPr="00AA5CB5">
              <w:rPr>
                <w:vertAlign w:val="subscript"/>
              </w:rPr>
              <w:t>6</w:t>
            </w:r>
            <w:r w:rsidRPr="00AA5CB5">
              <w:t> </w:t>
            </w:r>
          </w:p>
        </w:tc>
        <w:tc>
          <w:tcPr>
            <w:tcW w:w="1897" w:type="dxa"/>
            <w:hideMark/>
          </w:tcPr>
          <w:p w14:paraId="0792AB08"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8,060  </w:t>
            </w:r>
          </w:p>
        </w:tc>
      </w:tr>
      <w:tr w:rsidR="005C7FDD" w:rsidRPr="00AA5CB5" w14:paraId="266442DB"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5087DD31" w14:textId="1F751C13" w:rsidR="00B769D1" w:rsidRPr="00AA5CB5" w:rsidRDefault="00B769D1" w:rsidP="00707847">
            <w:pPr>
              <w:pStyle w:val="Tablebodytext"/>
            </w:pPr>
            <w:r w:rsidRPr="00AA5CB5">
              <w:t>R-4310mee (HFC-43-10mee)</w:t>
            </w:r>
            <w:r w:rsidR="00081737" w:rsidRPr="00AA5CB5">
              <w:rPr>
                <w:rStyle w:val="Notebullets1Char"/>
                <w:b w:val="0"/>
                <w:bCs w:val="0"/>
                <w:vertAlign w:val="superscript"/>
                <w:lang w:val="en-AU"/>
              </w:rPr>
              <w:t>a</w:t>
            </w:r>
            <w:r w:rsidRPr="00AA5CB5">
              <w:t> </w:t>
            </w:r>
          </w:p>
        </w:tc>
        <w:tc>
          <w:tcPr>
            <w:tcW w:w="4504" w:type="dxa"/>
            <w:hideMark/>
          </w:tcPr>
          <w:p w14:paraId="073D8D00"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5</w:t>
            </w:r>
            <w:r w:rsidRPr="00AA5CB5">
              <w:t>H</w:t>
            </w:r>
            <w:r w:rsidRPr="00AA5CB5">
              <w:rPr>
                <w:vertAlign w:val="subscript"/>
              </w:rPr>
              <w:t>2</w:t>
            </w:r>
            <w:r w:rsidRPr="00AA5CB5">
              <w:t>F</w:t>
            </w:r>
            <w:r w:rsidRPr="00AA5CB5">
              <w:rPr>
                <w:vertAlign w:val="subscript"/>
              </w:rPr>
              <w:t>10</w:t>
            </w:r>
            <w:r w:rsidRPr="00AA5CB5">
              <w:t> </w:t>
            </w:r>
          </w:p>
        </w:tc>
        <w:tc>
          <w:tcPr>
            <w:tcW w:w="1897" w:type="dxa"/>
            <w:hideMark/>
          </w:tcPr>
          <w:p w14:paraId="5F56F790"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1,650  </w:t>
            </w:r>
          </w:p>
        </w:tc>
      </w:tr>
      <w:tr w:rsidR="00D142F4" w:rsidRPr="00AA5CB5" w14:paraId="244B87FF"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9405" w:type="dxa"/>
            <w:gridSpan w:val="3"/>
            <w:hideMark/>
          </w:tcPr>
          <w:p w14:paraId="6F65827A" w14:textId="77777777" w:rsidR="00B769D1" w:rsidRPr="00AA5CB5" w:rsidRDefault="00B769D1" w:rsidP="00707847">
            <w:pPr>
              <w:pStyle w:val="Tablebodytext"/>
            </w:pPr>
            <w:r w:rsidRPr="00AA5CB5">
              <w:t>Hydrochlorofluorocarbons (HCFCs)  </w:t>
            </w:r>
          </w:p>
        </w:tc>
      </w:tr>
      <w:tr w:rsidR="00B769D1" w:rsidRPr="00AA5CB5" w14:paraId="56CB60AF"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tcPr>
          <w:p w14:paraId="4F145569" w14:textId="1629B987" w:rsidR="00B769D1" w:rsidRPr="00AA5CB5" w:rsidRDefault="00B769D1" w:rsidP="00707847">
            <w:pPr>
              <w:pStyle w:val="Tablebodytext"/>
            </w:pPr>
            <w:r w:rsidRPr="00AA5CB5">
              <w:t>R-22 (HCFC-22)</w:t>
            </w:r>
            <w:r w:rsidR="0078242E" w:rsidRPr="00AA5CB5">
              <w:rPr>
                <w:vertAlign w:val="superscript"/>
              </w:rPr>
              <w:t>b</w:t>
            </w:r>
          </w:p>
        </w:tc>
        <w:tc>
          <w:tcPr>
            <w:tcW w:w="4504" w:type="dxa"/>
          </w:tcPr>
          <w:p w14:paraId="5A1D702A"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 xml:space="preserve"> CHClF </w:t>
            </w:r>
            <w:r w:rsidRPr="00AA5CB5">
              <w:rPr>
                <w:rFonts w:ascii="Cambria Math" w:hAnsi="Cambria Math" w:cs="Cambria Math"/>
              </w:rPr>
              <w:t>₂</w:t>
            </w:r>
            <w:r w:rsidRPr="00AA5CB5">
              <w:t> </w:t>
            </w:r>
          </w:p>
        </w:tc>
        <w:tc>
          <w:tcPr>
            <w:tcW w:w="1897" w:type="dxa"/>
          </w:tcPr>
          <w:p w14:paraId="3664DEFD"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 1,760 </w:t>
            </w:r>
          </w:p>
        </w:tc>
      </w:tr>
      <w:tr w:rsidR="00B769D1" w:rsidRPr="00AA5CB5" w14:paraId="49EC18CD"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5348EC12" w14:textId="54F373DD" w:rsidR="00B769D1" w:rsidRPr="00AA5CB5" w:rsidRDefault="00B769D1" w:rsidP="00707847">
            <w:pPr>
              <w:pStyle w:val="Tablebodytext"/>
            </w:pPr>
            <w:r w:rsidRPr="00AA5CB5">
              <w:t>R-142b (HCFC-142b)</w:t>
            </w:r>
            <w:r w:rsidR="00026884" w:rsidRPr="00AA5CB5">
              <w:rPr>
                <w:rStyle w:val="Notebullets1Char"/>
                <w:b w:val="0"/>
                <w:bCs w:val="0"/>
                <w:vertAlign w:val="superscript"/>
                <w:lang w:val="en-AU"/>
              </w:rPr>
              <w:t>a</w:t>
            </w:r>
            <w:r w:rsidRPr="00AA5CB5">
              <w:t> </w:t>
            </w:r>
          </w:p>
        </w:tc>
        <w:tc>
          <w:tcPr>
            <w:tcW w:w="4504" w:type="dxa"/>
            <w:hideMark/>
          </w:tcPr>
          <w:p w14:paraId="2F9547DB"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 CH</w:t>
            </w:r>
            <w:r w:rsidRPr="00AA5CB5">
              <w:rPr>
                <w:vertAlign w:val="subscript"/>
              </w:rPr>
              <w:t>3</w:t>
            </w:r>
            <w:r w:rsidRPr="00AA5CB5">
              <w:t>CClF</w:t>
            </w:r>
            <w:r w:rsidRPr="00AA5CB5">
              <w:rPr>
                <w:vertAlign w:val="subscript"/>
              </w:rPr>
              <w:t>2</w:t>
            </w:r>
            <w:r w:rsidRPr="00AA5CB5">
              <w:t> </w:t>
            </w:r>
          </w:p>
        </w:tc>
        <w:tc>
          <w:tcPr>
            <w:tcW w:w="1897" w:type="dxa"/>
            <w:hideMark/>
          </w:tcPr>
          <w:p w14:paraId="0CF263D2" w14:textId="71196C64"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 1,980  </w:t>
            </w:r>
          </w:p>
        </w:tc>
      </w:tr>
      <w:tr w:rsidR="00D142F4" w:rsidRPr="00AA5CB5" w14:paraId="2F8D894F"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9405" w:type="dxa"/>
            <w:gridSpan w:val="3"/>
            <w:hideMark/>
          </w:tcPr>
          <w:p w14:paraId="01803C14" w14:textId="77777777" w:rsidR="00B769D1" w:rsidRPr="00AA5CB5" w:rsidRDefault="00B769D1" w:rsidP="00707847">
            <w:pPr>
              <w:pStyle w:val="Tablebodytext"/>
            </w:pPr>
            <w:r w:rsidRPr="00AA5CB5">
              <w:t>Blends </w:t>
            </w:r>
          </w:p>
        </w:tc>
      </w:tr>
      <w:tr w:rsidR="00B769D1" w:rsidRPr="00AA5CB5" w14:paraId="2D64E720"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63D95E76" w14:textId="177737D3" w:rsidR="00B769D1" w:rsidRPr="00AA5CB5" w:rsidRDefault="00B769D1" w:rsidP="00707847">
            <w:pPr>
              <w:pStyle w:val="Tablebodytext"/>
            </w:pPr>
            <w:r w:rsidRPr="00AA5CB5">
              <w:t>R-404a</w:t>
            </w:r>
            <w:r w:rsidR="0078242E" w:rsidRPr="00AA5CB5">
              <w:rPr>
                <w:vertAlign w:val="superscript"/>
              </w:rPr>
              <w:t>b</w:t>
            </w:r>
            <w:r w:rsidRPr="00AA5CB5">
              <w:t>  </w:t>
            </w:r>
          </w:p>
        </w:tc>
        <w:tc>
          <w:tcPr>
            <w:tcW w:w="4504" w:type="dxa"/>
            <w:hideMark/>
          </w:tcPr>
          <w:p w14:paraId="2509B424"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44% HFC-125, 52% HFC-143a, 4% HFC-134a </w:t>
            </w:r>
          </w:p>
        </w:tc>
        <w:tc>
          <w:tcPr>
            <w:tcW w:w="1897" w:type="dxa"/>
            <w:hideMark/>
          </w:tcPr>
          <w:p w14:paraId="00508E04"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 3,943  </w:t>
            </w:r>
          </w:p>
        </w:tc>
      </w:tr>
      <w:tr w:rsidR="00B769D1" w:rsidRPr="00AA5CB5" w14:paraId="13BDDCAD"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13038EE5" w14:textId="081F5611" w:rsidR="00B769D1" w:rsidRPr="00AA5CB5" w:rsidRDefault="00B769D1" w:rsidP="00707847">
            <w:pPr>
              <w:pStyle w:val="Tablebodytext"/>
            </w:pPr>
            <w:r w:rsidRPr="00AA5CB5">
              <w:t>R-410a</w:t>
            </w:r>
            <w:r w:rsidR="0078242E" w:rsidRPr="00AA5CB5">
              <w:rPr>
                <w:vertAlign w:val="superscript"/>
              </w:rPr>
              <w:t>b</w:t>
            </w:r>
            <w:r w:rsidRPr="00AA5CB5">
              <w:rPr>
                <w:vertAlign w:val="superscript"/>
              </w:rPr>
              <w:t> </w:t>
            </w:r>
            <w:r w:rsidRPr="00AA5CB5">
              <w:t> </w:t>
            </w:r>
          </w:p>
        </w:tc>
        <w:tc>
          <w:tcPr>
            <w:tcW w:w="4504" w:type="dxa"/>
            <w:hideMark/>
          </w:tcPr>
          <w:p w14:paraId="0A8DA802"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50% HFC-32, 50% HFC-125 </w:t>
            </w:r>
          </w:p>
        </w:tc>
        <w:tc>
          <w:tcPr>
            <w:tcW w:w="1897" w:type="dxa"/>
            <w:hideMark/>
          </w:tcPr>
          <w:p w14:paraId="77730CC5"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 1,924  </w:t>
            </w:r>
          </w:p>
        </w:tc>
      </w:tr>
      <w:tr w:rsidR="00B769D1" w:rsidRPr="00AA5CB5" w14:paraId="77E8BE61"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tcPr>
          <w:p w14:paraId="75C79D1B" w14:textId="111C2525" w:rsidR="00B769D1" w:rsidRPr="00AA5CB5" w:rsidRDefault="00B769D1" w:rsidP="00707847">
            <w:pPr>
              <w:pStyle w:val="Tablebodytext"/>
            </w:pPr>
            <w:r w:rsidRPr="00AA5CB5">
              <w:t>R-513a</w:t>
            </w:r>
            <w:r w:rsidR="0072429C" w:rsidRPr="00AA5CB5">
              <w:rPr>
                <w:vertAlign w:val="superscript"/>
              </w:rPr>
              <w:t>c</w:t>
            </w:r>
          </w:p>
        </w:tc>
        <w:tc>
          <w:tcPr>
            <w:tcW w:w="4504" w:type="dxa"/>
          </w:tcPr>
          <w:p w14:paraId="05E300DC"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44% R-134a, 56% R-1234yf</w:t>
            </w:r>
          </w:p>
        </w:tc>
        <w:tc>
          <w:tcPr>
            <w:tcW w:w="1897" w:type="dxa"/>
          </w:tcPr>
          <w:p w14:paraId="70A4A8B3"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573</w:t>
            </w:r>
          </w:p>
        </w:tc>
      </w:tr>
      <w:tr w:rsidR="00D142F4" w:rsidRPr="00AA5CB5" w14:paraId="45A8BD1C"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9405" w:type="dxa"/>
            <w:gridSpan w:val="3"/>
            <w:hideMark/>
          </w:tcPr>
          <w:p w14:paraId="36DC8A0C" w14:textId="77777777" w:rsidR="00B769D1" w:rsidRPr="00AA5CB5" w:rsidRDefault="00B769D1" w:rsidP="00707847">
            <w:pPr>
              <w:pStyle w:val="Tablebodytext"/>
            </w:pPr>
            <w:r w:rsidRPr="00AA5CB5">
              <w:t>Perfluorocarbons (PFCs) </w:t>
            </w:r>
          </w:p>
        </w:tc>
      </w:tr>
      <w:tr w:rsidR="00B769D1" w:rsidRPr="00AA5CB5" w14:paraId="7A92A297"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756BB156" w14:textId="315924EA" w:rsidR="00B769D1" w:rsidRPr="00AA5CB5" w:rsidRDefault="00B769D1" w:rsidP="00707847">
            <w:pPr>
              <w:pStyle w:val="Tablebodytext"/>
            </w:pPr>
            <w:r w:rsidRPr="00AA5CB5">
              <w:t>PFC-14</w:t>
            </w:r>
            <w:r w:rsidR="009167FA" w:rsidRPr="00AA5CB5">
              <w:rPr>
                <w:vertAlign w:val="superscript"/>
              </w:rPr>
              <w:t>a</w:t>
            </w:r>
            <w:r w:rsidRPr="00AA5CB5">
              <w:t> </w:t>
            </w:r>
          </w:p>
        </w:tc>
        <w:tc>
          <w:tcPr>
            <w:tcW w:w="4504" w:type="dxa"/>
            <w:hideMark/>
          </w:tcPr>
          <w:p w14:paraId="3F7F2C19"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CF</w:t>
            </w:r>
            <w:r w:rsidRPr="00AA5CB5">
              <w:rPr>
                <w:vertAlign w:val="subscript"/>
              </w:rPr>
              <w:t>4</w:t>
            </w:r>
            <w:r w:rsidRPr="00AA5CB5">
              <w:t> </w:t>
            </w:r>
          </w:p>
        </w:tc>
        <w:tc>
          <w:tcPr>
            <w:tcW w:w="1897" w:type="dxa"/>
            <w:hideMark/>
          </w:tcPr>
          <w:p w14:paraId="0CCB9EAA"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 6,630  </w:t>
            </w:r>
          </w:p>
        </w:tc>
      </w:tr>
      <w:tr w:rsidR="00B769D1" w:rsidRPr="00AA5CB5" w14:paraId="0DCE8738"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66747BF4" w14:textId="219F1728" w:rsidR="00B769D1" w:rsidRPr="00AA5CB5" w:rsidRDefault="00B769D1" w:rsidP="00707847">
            <w:pPr>
              <w:pStyle w:val="Tablebodytext"/>
            </w:pPr>
            <w:r w:rsidRPr="00AA5CB5">
              <w:t>PFC-116</w:t>
            </w:r>
            <w:r w:rsidR="009167FA" w:rsidRPr="00AA5CB5">
              <w:rPr>
                <w:vertAlign w:val="superscript"/>
              </w:rPr>
              <w:t>a</w:t>
            </w:r>
            <w:r w:rsidRPr="00AA5CB5">
              <w:t> </w:t>
            </w:r>
          </w:p>
        </w:tc>
        <w:tc>
          <w:tcPr>
            <w:tcW w:w="4504" w:type="dxa"/>
            <w:hideMark/>
          </w:tcPr>
          <w:p w14:paraId="1DC43EA6"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2</w:t>
            </w:r>
            <w:r w:rsidRPr="00AA5CB5">
              <w:t>F</w:t>
            </w:r>
            <w:r w:rsidRPr="00AA5CB5">
              <w:rPr>
                <w:vertAlign w:val="subscript"/>
              </w:rPr>
              <w:t>6</w:t>
            </w:r>
            <w:r w:rsidRPr="00AA5CB5">
              <w:t> </w:t>
            </w:r>
          </w:p>
        </w:tc>
        <w:tc>
          <w:tcPr>
            <w:tcW w:w="1897" w:type="dxa"/>
            <w:hideMark/>
          </w:tcPr>
          <w:p w14:paraId="0CA41537"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11,100  </w:t>
            </w:r>
          </w:p>
        </w:tc>
      </w:tr>
      <w:tr w:rsidR="00B769D1" w:rsidRPr="00AA5CB5" w14:paraId="21C8C1DF"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47263793" w14:textId="79648DC1" w:rsidR="00B769D1" w:rsidRPr="00AA5CB5" w:rsidRDefault="00B769D1" w:rsidP="00707847">
            <w:pPr>
              <w:pStyle w:val="Tablebodytext"/>
            </w:pPr>
            <w:r w:rsidRPr="00AA5CB5">
              <w:t>PFC-218</w:t>
            </w:r>
            <w:r w:rsidR="009167FA" w:rsidRPr="00AA5CB5">
              <w:rPr>
                <w:vertAlign w:val="superscript"/>
              </w:rPr>
              <w:t>a</w:t>
            </w:r>
            <w:r w:rsidRPr="00AA5CB5">
              <w:t> </w:t>
            </w:r>
          </w:p>
        </w:tc>
        <w:tc>
          <w:tcPr>
            <w:tcW w:w="4504" w:type="dxa"/>
            <w:hideMark/>
          </w:tcPr>
          <w:p w14:paraId="202EE024"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3</w:t>
            </w:r>
            <w:r w:rsidRPr="00AA5CB5">
              <w:t>F</w:t>
            </w:r>
            <w:r w:rsidRPr="00AA5CB5">
              <w:rPr>
                <w:vertAlign w:val="subscript"/>
              </w:rPr>
              <w:t>8</w:t>
            </w:r>
            <w:r w:rsidRPr="00AA5CB5">
              <w:t> </w:t>
            </w:r>
          </w:p>
        </w:tc>
        <w:tc>
          <w:tcPr>
            <w:tcW w:w="1897" w:type="dxa"/>
            <w:hideMark/>
          </w:tcPr>
          <w:p w14:paraId="41598178"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8,900  </w:t>
            </w:r>
          </w:p>
        </w:tc>
      </w:tr>
      <w:tr w:rsidR="00B769D1" w:rsidRPr="00AA5CB5" w14:paraId="37C5F255"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2DC2435B" w14:textId="55B0C438" w:rsidR="00B769D1" w:rsidRPr="00AA5CB5" w:rsidRDefault="00B769D1" w:rsidP="00707847">
            <w:pPr>
              <w:pStyle w:val="Tablebodytext"/>
            </w:pPr>
            <w:r w:rsidRPr="00AA5CB5">
              <w:t>PFC-31-10</w:t>
            </w:r>
            <w:r w:rsidR="009167FA" w:rsidRPr="00AA5CB5">
              <w:rPr>
                <w:vertAlign w:val="superscript"/>
              </w:rPr>
              <w:t>a</w:t>
            </w:r>
            <w:r w:rsidRPr="00AA5CB5">
              <w:t> </w:t>
            </w:r>
          </w:p>
        </w:tc>
        <w:tc>
          <w:tcPr>
            <w:tcW w:w="4504" w:type="dxa"/>
            <w:hideMark/>
          </w:tcPr>
          <w:p w14:paraId="109ECE82"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4</w:t>
            </w:r>
            <w:r w:rsidRPr="00AA5CB5">
              <w:t>F</w:t>
            </w:r>
            <w:r w:rsidRPr="00AA5CB5">
              <w:rPr>
                <w:vertAlign w:val="subscript"/>
              </w:rPr>
              <w:t>10</w:t>
            </w:r>
            <w:r w:rsidRPr="00AA5CB5">
              <w:t> </w:t>
            </w:r>
          </w:p>
        </w:tc>
        <w:tc>
          <w:tcPr>
            <w:tcW w:w="1897" w:type="dxa"/>
            <w:hideMark/>
          </w:tcPr>
          <w:p w14:paraId="3764F98A"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9,200  </w:t>
            </w:r>
          </w:p>
        </w:tc>
      </w:tr>
      <w:tr w:rsidR="00B769D1" w:rsidRPr="00AA5CB5" w14:paraId="18288E97"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3FEE807E" w14:textId="6F481EB0" w:rsidR="00B769D1" w:rsidRPr="00AA5CB5" w:rsidRDefault="00B769D1" w:rsidP="00707847">
            <w:pPr>
              <w:pStyle w:val="Tablebodytext"/>
            </w:pPr>
            <w:r w:rsidRPr="00AA5CB5">
              <w:t>PFC-318</w:t>
            </w:r>
            <w:r w:rsidR="009167FA" w:rsidRPr="00AA5CB5">
              <w:rPr>
                <w:vertAlign w:val="superscript"/>
              </w:rPr>
              <w:t>a</w:t>
            </w:r>
            <w:r w:rsidRPr="00AA5CB5">
              <w:t> </w:t>
            </w:r>
          </w:p>
        </w:tc>
        <w:tc>
          <w:tcPr>
            <w:tcW w:w="4504" w:type="dxa"/>
            <w:hideMark/>
          </w:tcPr>
          <w:p w14:paraId="3BC444E7"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c-C</w:t>
            </w:r>
            <w:r w:rsidRPr="00AA5CB5">
              <w:rPr>
                <w:vertAlign w:val="subscript"/>
              </w:rPr>
              <w:t>4</w:t>
            </w:r>
            <w:r w:rsidRPr="00AA5CB5">
              <w:t>F</w:t>
            </w:r>
            <w:r w:rsidRPr="00AA5CB5">
              <w:rPr>
                <w:vertAlign w:val="subscript"/>
              </w:rPr>
              <w:t>8</w:t>
            </w:r>
            <w:r w:rsidRPr="00AA5CB5">
              <w:t> </w:t>
            </w:r>
          </w:p>
        </w:tc>
        <w:tc>
          <w:tcPr>
            <w:tcW w:w="1897" w:type="dxa"/>
            <w:hideMark/>
          </w:tcPr>
          <w:p w14:paraId="739437AB"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9,540  </w:t>
            </w:r>
          </w:p>
        </w:tc>
      </w:tr>
      <w:tr w:rsidR="00B769D1" w:rsidRPr="00AA5CB5" w14:paraId="2856CDEF"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66F2E6E2" w14:textId="36A297A6" w:rsidR="00B769D1" w:rsidRPr="00AA5CB5" w:rsidRDefault="00B769D1" w:rsidP="00707847">
            <w:pPr>
              <w:pStyle w:val="Tablebodytext"/>
            </w:pPr>
            <w:r w:rsidRPr="00AA5CB5">
              <w:t>PFC-41-12</w:t>
            </w:r>
            <w:r w:rsidR="00985E97" w:rsidRPr="00AA5CB5">
              <w:rPr>
                <w:vertAlign w:val="superscript"/>
              </w:rPr>
              <w:t>a</w:t>
            </w:r>
            <w:r w:rsidRPr="00AA5CB5">
              <w:t> </w:t>
            </w:r>
          </w:p>
        </w:tc>
        <w:tc>
          <w:tcPr>
            <w:tcW w:w="4504" w:type="dxa"/>
            <w:hideMark/>
          </w:tcPr>
          <w:p w14:paraId="0F905681"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5</w:t>
            </w:r>
            <w:r w:rsidRPr="00AA5CB5">
              <w:t>F</w:t>
            </w:r>
            <w:r w:rsidRPr="00AA5CB5">
              <w:rPr>
                <w:vertAlign w:val="subscript"/>
              </w:rPr>
              <w:t>12</w:t>
            </w:r>
            <w:r w:rsidRPr="00AA5CB5">
              <w:t> </w:t>
            </w:r>
          </w:p>
        </w:tc>
        <w:tc>
          <w:tcPr>
            <w:tcW w:w="1897" w:type="dxa"/>
            <w:hideMark/>
          </w:tcPr>
          <w:p w14:paraId="2F5343A5"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8,550  </w:t>
            </w:r>
          </w:p>
        </w:tc>
      </w:tr>
      <w:tr w:rsidR="00B769D1" w:rsidRPr="00AA5CB5" w14:paraId="0CDC8EEB"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25271E1F" w14:textId="39D70276" w:rsidR="00B769D1" w:rsidRPr="00AA5CB5" w:rsidRDefault="00B769D1" w:rsidP="00707847">
            <w:pPr>
              <w:pStyle w:val="Tablebodytext"/>
            </w:pPr>
            <w:r w:rsidRPr="00AA5CB5">
              <w:t>PFC-51-14</w:t>
            </w:r>
            <w:r w:rsidR="00985E97" w:rsidRPr="00AA5CB5">
              <w:rPr>
                <w:vertAlign w:val="superscript"/>
              </w:rPr>
              <w:t>a</w:t>
            </w:r>
            <w:r w:rsidRPr="00AA5CB5">
              <w:t> </w:t>
            </w:r>
          </w:p>
        </w:tc>
        <w:tc>
          <w:tcPr>
            <w:tcW w:w="4504" w:type="dxa"/>
            <w:hideMark/>
          </w:tcPr>
          <w:p w14:paraId="68BB4BFF"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6</w:t>
            </w:r>
            <w:r w:rsidRPr="00AA5CB5">
              <w:t>F</w:t>
            </w:r>
            <w:r w:rsidRPr="00AA5CB5">
              <w:rPr>
                <w:vertAlign w:val="subscript"/>
              </w:rPr>
              <w:t>14</w:t>
            </w:r>
            <w:r w:rsidRPr="00AA5CB5">
              <w:t> </w:t>
            </w:r>
          </w:p>
        </w:tc>
        <w:tc>
          <w:tcPr>
            <w:tcW w:w="1897" w:type="dxa"/>
            <w:hideMark/>
          </w:tcPr>
          <w:p w14:paraId="745F7370"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7,910  </w:t>
            </w:r>
          </w:p>
        </w:tc>
      </w:tr>
      <w:tr w:rsidR="00B769D1" w:rsidRPr="00AA5CB5" w14:paraId="5D383485" w14:textId="77777777" w:rsidTr="00707847">
        <w:trPr>
          <w:trHeight w:val="300"/>
        </w:trPr>
        <w:tc>
          <w:tcPr>
            <w:cnfStyle w:val="001000000000" w:firstRow="0" w:lastRow="0" w:firstColumn="1" w:lastColumn="0" w:oddVBand="0" w:evenVBand="0" w:oddHBand="0" w:evenHBand="0" w:firstRowFirstColumn="0" w:firstRowLastColumn="0" w:lastRowFirstColumn="0" w:lastRowLastColumn="0"/>
            <w:tcW w:w="3004" w:type="dxa"/>
            <w:hideMark/>
          </w:tcPr>
          <w:p w14:paraId="04639156" w14:textId="3170FDAE" w:rsidR="00B769D1" w:rsidRPr="00AA5CB5" w:rsidRDefault="00B769D1" w:rsidP="00707847">
            <w:pPr>
              <w:pStyle w:val="Tablebodytext"/>
            </w:pPr>
            <w:r w:rsidRPr="00AA5CB5">
              <w:t>PFC-91-18</w:t>
            </w:r>
            <w:r w:rsidR="00985E97" w:rsidRPr="00AA5CB5">
              <w:rPr>
                <w:vertAlign w:val="superscript"/>
              </w:rPr>
              <w:t>a</w:t>
            </w:r>
            <w:r w:rsidRPr="00AA5CB5">
              <w:t> </w:t>
            </w:r>
          </w:p>
        </w:tc>
        <w:tc>
          <w:tcPr>
            <w:tcW w:w="4504" w:type="dxa"/>
            <w:hideMark/>
          </w:tcPr>
          <w:p w14:paraId="7ACB3A0D"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C</w:t>
            </w:r>
            <w:r w:rsidRPr="00AA5CB5">
              <w:rPr>
                <w:vertAlign w:val="subscript"/>
              </w:rPr>
              <w:t>10</w:t>
            </w:r>
            <w:r w:rsidRPr="00AA5CB5">
              <w:t>F</w:t>
            </w:r>
            <w:r w:rsidRPr="00AA5CB5">
              <w:rPr>
                <w:vertAlign w:val="subscript"/>
              </w:rPr>
              <w:t>18</w:t>
            </w:r>
            <w:r w:rsidRPr="00AA5CB5">
              <w:t> </w:t>
            </w:r>
          </w:p>
        </w:tc>
        <w:tc>
          <w:tcPr>
            <w:tcW w:w="1897" w:type="dxa"/>
            <w:hideMark/>
          </w:tcPr>
          <w:p w14:paraId="617EEC32" w14:textId="77777777" w:rsidR="00B769D1" w:rsidRPr="00AA5CB5" w:rsidRDefault="00B769D1" w:rsidP="00707847">
            <w:pPr>
              <w:pStyle w:val="Tablebodytext"/>
              <w:cnfStyle w:val="000000000000" w:firstRow="0" w:lastRow="0" w:firstColumn="0" w:lastColumn="0" w:oddVBand="0" w:evenVBand="0" w:oddHBand="0" w:evenHBand="0" w:firstRowFirstColumn="0" w:firstRowLastColumn="0" w:lastRowFirstColumn="0" w:lastRowLastColumn="0"/>
            </w:pPr>
            <w:r w:rsidRPr="00AA5CB5">
              <w:t>7,190  </w:t>
            </w:r>
          </w:p>
        </w:tc>
      </w:tr>
    </w:tbl>
    <w:p w14:paraId="4A884954" w14:textId="4B347327" w:rsidR="009824E8" w:rsidRPr="00AA5CB5" w:rsidRDefault="009824E8">
      <w:pPr>
        <w:pStyle w:val="Notebullets1"/>
        <w:numPr>
          <w:ilvl w:val="0"/>
          <w:numId w:val="0"/>
        </w:numPr>
        <w:rPr>
          <w:rStyle w:val="Notebullets1Char"/>
          <w:rFonts w:ascii="Arial" w:hAnsi="Arial"/>
        </w:rPr>
      </w:pPr>
      <w:r w:rsidRPr="00AA5CB5">
        <w:rPr>
          <w:rStyle w:val="Notebullets1Char"/>
        </w:rPr>
        <w:t xml:space="preserve">Note: AR5 </w:t>
      </w:r>
      <w:r w:rsidR="00E93681" w:rsidRPr="00AA5CB5">
        <w:rPr>
          <w:rStyle w:val="Notebullets1Char"/>
        </w:rPr>
        <w:t xml:space="preserve">is the </w:t>
      </w:r>
      <w:r w:rsidR="00560369" w:rsidRPr="00AA5CB5">
        <w:rPr>
          <w:rStyle w:val="Notebullets1Char"/>
        </w:rPr>
        <w:t xml:space="preserve">Fifth Assessment Report </w:t>
      </w:r>
      <w:r w:rsidR="0033610B" w:rsidRPr="00AA5CB5">
        <w:rPr>
          <w:rStyle w:val="Notebullets1Char"/>
        </w:rPr>
        <w:t>by the Intergovernmental Panel on Climate Change (IPCC).</w:t>
      </w:r>
    </w:p>
    <w:p w14:paraId="27E2A610" w14:textId="52955209" w:rsidR="002901C3" w:rsidRPr="00AA5CB5" w:rsidRDefault="0078242E">
      <w:pPr>
        <w:pStyle w:val="Notebullets1"/>
        <w:numPr>
          <w:ilvl w:val="0"/>
          <w:numId w:val="0"/>
        </w:numPr>
      </w:pPr>
      <w:r w:rsidRPr="00AA5CB5">
        <w:rPr>
          <w:rStyle w:val="Notebullets1Char"/>
          <w:vertAlign w:val="superscript"/>
        </w:rPr>
        <w:t>a</w:t>
      </w:r>
      <w:r w:rsidR="002901C3" w:rsidRPr="00AA5CB5">
        <w:rPr>
          <w:rStyle w:val="Notebullets1Char"/>
        </w:rPr>
        <w:t xml:space="preserve"> Source:</w:t>
      </w:r>
      <w:r w:rsidR="002901C3" w:rsidRPr="00AA5CB5">
        <w:t xml:space="preserve"> DCCEEW (2024) </w:t>
      </w:r>
      <w:hyperlink r:id="rId67" w:history="1">
        <w:r w:rsidR="002901C3" w:rsidRPr="00AA5CB5">
          <w:rPr>
            <w:rStyle w:val="Hyperlink1"/>
            <w:rFonts w:asciiTheme="minorHAnsi" w:hAnsiTheme="minorHAnsi" w:cstheme="minorHAnsi"/>
            <w:i/>
            <w:iCs/>
            <w:sz w:val="20"/>
            <w:szCs w:val="20"/>
          </w:rPr>
          <w:t>Australian National Greenhouse Accounts Factors</w:t>
        </w:r>
      </w:hyperlink>
      <w:r w:rsidR="002901C3" w:rsidRPr="00AA5CB5">
        <w:t>, DCCEEW, 2024:</w:t>
      </w:r>
      <w:r w:rsidR="004E0C4B" w:rsidRPr="00AA5CB5">
        <w:t>47</w:t>
      </w:r>
      <w:r w:rsidR="002901C3" w:rsidRPr="00AA5CB5">
        <w:t xml:space="preserve">; table </w:t>
      </w:r>
      <w:r w:rsidR="00D73395" w:rsidRPr="00AA5CB5">
        <w:t>23</w:t>
      </w:r>
      <w:r w:rsidR="002901C3" w:rsidRPr="00AA5CB5">
        <w:t>, accessed 14 February 2025.</w:t>
      </w:r>
    </w:p>
    <w:p w14:paraId="06EC2332" w14:textId="4D5C4F4D" w:rsidR="0078242E" w:rsidRPr="00AA5CB5" w:rsidRDefault="0078242E">
      <w:pPr>
        <w:pStyle w:val="Notebullets1"/>
        <w:numPr>
          <w:ilvl w:val="0"/>
          <w:numId w:val="0"/>
        </w:numPr>
      </w:pPr>
      <w:r w:rsidRPr="00AA5CB5">
        <w:rPr>
          <w:rStyle w:val="Notebullets1Char"/>
          <w:vertAlign w:val="superscript"/>
        </w:rPr>
        <w:t>b</w:t>
      </w:r>
      <w:r w:rsidRPr="00AA5CB5">
        <w:rPr>
          <w:rStyle w:val="Notebullets1Char"/>
        </w:rPr>
        <w:t xml:space="preserve"> Source:</w:t>
      </w:r>
      <w:r w:rsidRPr="00AA5CB5">
        <w:t xml:space="preserve"> DCCEEW (2024) </w:t>
      </w:r>
      <w:hyperlink r:id="rId68" w:history="1">
        <w:r w:rsidRPr="00AA5CB5">
          <w:rPr>
            <w:rStyle w:val="Hyperlink1"/>
            <w:rFonts w:asciiTheme="minorHAnsi" w:hAnsiTheme="minorHAnsi" w:cstheme="minorHAnsi"/>
            <w:i/>
            <w:iCs/>
            <w:sz w:val="20"/>
            <w:szCs w:val="20"/>
          </w:rPr>
          <w:t>Australian National Greenhouse Accounts Factors</w:t>
        </w:r>
      </w:hyperlink>
      <w:r w:rsidRPr="00AA5CB5">
        <w:t>, DCCEEW, 2024:30; table 11, accessed 14 February 2025.</w:t>
      </w:r>
    </w:p>
    <w:p w14:paraId="21445453" w14:textId="5B18C8AF" w:rsidR="0072429C" w:rsidRPr="00AA5CB5" w:rsidRDefault="0072429C" w:rsidP="0072429C">
      <w:pPr>
        <w:spacing w:before="0" w:after="0"/>
        <w:rPr>
          <w:rFonts w:ascii="Aptos Narrow" w:eastAsia="Times New Roman" w:hAnsi="Aptos Narrow" w:cs="Times New Roman"/>
          <w:color w:val="000000"/>
          <w:szCs w:val="20"/>
          <w:lang w:eastAsia="en-AU"/>
        </w:rPr>
      </w:pPr>
      <w:r w:rsidRPr="00AA5CB5">
        <w:rPr>
          <w:vertAlign w:val="superscript"/>
        </w:rPr>
        <w:t>c</w:t>
      </w:r>
      <w:r w:rsidRPr="00AA5CB5">
        <w:t xml:space="preserve"> Source: </w:t>
      </w:r>
      <w:r w:rsidR="006511C5" w:rsidRPr="00AA5CB5">
        <w:t xml:space="preserve">The </w:t>
      </w:r>
      <w:r w:rsidRPr="00AA5CB5">
        <w:rPr>
          <w:rFonts w:asciiTheme="minorHAnsi" w:hAnsiTheme="minorHAnsi"/>
          <w:szCs w:val="20"/>
        </w:rPr>
        <w:t xml:space="preserve">R-513a </w:t>
      </w:r>
      <w:r w:rsidR="006511C5" w:rsidRPr="00AA5CB5">
        <w:rPr>
          <w:rFonts w:asciiTheme="minorHAnsi" w:hAnsiTheme="minorHAnsi"/>
          <w:szCs w:val="20"/>
        </w:rPr>
        <w:t>global warming potential</w:t>
      </w:r>
      <w:r w:rsidRPr="00AA5CB5">
        <w:rPr>
          <w:rFonts w:asciiTheme="minorHAnsi" w:hAnsiTheme="minorHAnsi"/>
          <w:szCs w:val="20"/>
        </w:rPr>
        <w:t xml:space="preserve"> was sourced from the manufacturer, Honeywell, which uses the brand name Solstice® 513A (R-513A)</w:t>
      </w:r>
      <w:r w:rsidR="00925A74" w:rsidRPr="00AA5CB5">
        <w:rPr>
          <w:rFonts w:asciiTheme="minorHAnsi" w:hAnsiTheme="minorHAnsi"/>
          <w:szCs w:val="20"/>
        </w:rPr>
        <w:t>.</w:t>
      </w:r>
    </w:p>
    <w:p w14:paraId="10613A2D" w14:textId="58D6EF90" w:rsidR="002C5DAF" w:rsidRPr="00AA5CB5" w:rsidRDefault="002C5DAF" w:rsidP="002C5DAF">
      <w:pPr>
        <w:pStyle w:val="Caption"/>
        <w:keepNext/>
      </w:pPr>
      <w:bookmarkStart w:id="171" w:name="_Ref199870724"/>
      <w:bookmarkStart w:id="172" w:name="_Toc201927387"/>
      <w:r w:rsidRPr="00AA5CB5">
        <w:lastRenderedPageBreak/>
        <w:t xml:space="preserve">Table </w:t>
      </w:r>
      <w:r w:rsidRPr="00AA5CB5">
        <w:fldChar w:fldCharType="begin"/>
      </w:r>
      <w:r w:rsidRPr="00AA5CB5">
        <w:instrText xml:space="preserve"> SEQ Table \* ARABIC </w:instrText>
      </w:r>
      <w:r w:rsidRPr="00AA5CB5">
        <w:fldChar w:fldCharType="separate"/>
      </w:r>
      <w:r w:rsidR="00422A37">
        <w:rPr>
          <w:noProof/>
        </w:rPr>
        <w:t>14</w:t>
      </w:r>
      <w:r w:rsidRPr="00AA5CB5">
        <w:fldChar w:fldCharType="end"/>
      </w:r>
      <w:bookmarkEnd w:id="171"/>
      <w:r w:rsidR="0088604A">
        <w:t>:</w:t>
      </w:r>
      <w:r w:rsidRPr="00AA5CB5">
        <w:t xml:space="preserve"> Refrigerants – </w:t>
      </w:r>
      <w:r w:rsidR="006A48BE">
        <w:t>e</w:t>
      </w:r>
      <w:r w:rsidRPr="00AA5CB5">
        <w:t>quipment leakage rates</w:t>
      </w:r>
      <w:bookmarkEnd w:id="172"/>
    </w:p>
    <w:tbl>
      <w:tblPr>
        <w:tblStyle w:val="ListTable4-Accent6"/>
        <w:tblW w:w="9405" w:type="dxa"/>
        <w:tblInd w:w="-5" w:type="dxa"/>
        <w:tblLook w:val="06A0" w:firstRow="1" w:lastRow="0" w:firstColumn="1" w:lastColumn="0" w:noHBand="1" w:noVBand="1"/>
      </w:tblPr>
      <w:tblGrid>
        <w:gridCol w:w="5670"/>
        <w:gridCol w:w="3735"/>
      </w:tblGrid>
      <w:tr w:rsidR="00787EB7" w:rsidRPr="00AA5CB5" w14:paraId="30408F61" w14:textId="77777777" w:rsidTr="001B13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70" w:type="dxa"/>
            <w:hideMark/>
          </w:tcPr>
          <w:p w14:paraId="207628A9" w14:textId="77777777" w:rsidR="00B769D1" w:rsidRPr="00AA5CB5" w:rsidRDefault="00B769D1" w:rsidP="00967DF9">
            <w:pPr>
              <w:pStyle w:val="Tableheading"/>
              <w:rPr>
                <w:b/>
                <w:lang w:val="en-AU"/>
              </w:rPr>
            </w:pPr>
            <w:r w:rsidRPr="00AA5CB5">
              <w:rPr>
                <w:b/>
                <w:lang w:val="en-AU"/>
              </w:rPr>
              <w:t>Equipment type </w:t>
            </w:r>
          </w:p>
        </w:tc>
        <w:tc>
          <w:tcPr>
            <w:tcW w:w="3735" w:type="dxa"/>
            <w:hideMark/>
          </w:tcPr>
          <w:p w14:paraId="7002A353" w14:textId="77777777" w:rsidR="00B769D1" w:rsidRPr="00AA5CB5" w:rsidRDefault="00B769D1" w:rsidP="00967DF9">
            <w:pPr>
              <w:pStyle w:val="Tableheading"/>
              <w:cnfStyle w:val="100000000000" w:firstRow="1" w:lastRow="0" w:firstColumn="0" w:lastColumn="0" w:oddVBand="0" w:evenVBand="0" w:oddHBand="0" w:evenHBand="0" w:firstRowFirstColumn="0" w:firstRowLastColumn="0" w:lastRowFirstColumn="0" w:lastRowLastColumn="0"/>
              <w:rPr>
                <w:b/>
                <w:lang w:val="en-AU"/>
              </w:rPr>
            </w:pPr>
            <w:r w:rsidRPr="00AA5CB5">
              <w:rPr>
                <w:b/>
                <w:lang w:val="en-AU"/>
              </w:rPr>
              <w:t>Leakage rates % </w:t>
            </w:r>
          </w:p>
        </w:tc>
      </w:tr>
      <w:tr w:rsidR="00A23943" w:rsidRPr="00AA5CB5" w14:paraId="2A914E85" w14:textId="77777777" w:rsidTr="001B1334">
        <w:trPr>
          <w:trHeight w:val="300"/>
        </w:trPr>
        <w:tc>
          <w:tcPr>
            <w:cnfStyle w:val="001000000000" w:firstRow="0" w:lastRow="0" w:firstColumn="1" w:lastColumn="0" w:oddVBand="0" w:evenVBand="0" w:oddHBand="0" w:evenHBand="0" w:firstRowFirstColumn="0" w:firstRowLastColumn="0" w:lastRowFirstColumn="0" w:lastRowLastColumn="0"/>
            <w:tcW w:w="5670" w:type="dxa"/>
          </w:tcPr>
          <w:p w14:paraId="091A4C46" w14:textId="469631BD" w:rsidR="00A23943" w:rsidRPr="00AA5CB5" w:rsidRDefault="00E04397" w:rsidP="00967DF9">
            <w:pPr>
              <w:pStyle w:val="Tableheading"/>
              <w:rPr>
                <w:lang w:val="en-AU"/>
              </w:rPr>
            </w:pPr>
            <w:r w:rsidRPr="00AA5CB5">
              <w:rPr>
                <w:lang w:val="en-AU"/>
              </w:rPr>
              <w:t>Commercial air conditioning</w:t>
            </w:r>
            <w:r w:rsidR="0073736F" w:rsidRPr="00AA5CB5">
              <w:rPr>
                <w:vertAlign w:val="superscript"/>
                <w:lang w:val="en-AU"/>
              </w:rPr>
              <w:t>a</w:t>
            </w:r>
          </w:p>
        </w:tc>
        <w:tc>
          <w:tcPr>
            <w:tcW w:w="3735" w:type="dxa"/>
          </w:tcPr>
          <w:p w14:paraId="50ECE16F" w14:textId="74E9DBD2" w:rsidR="00A23943" w:rsidRPr="00AA5CB5" w:rsidRDefault="0073736F" w:rsidP="00967DF9">
            <w:pPr>
              <w:pStyle w:val="Tableheading"/>
              <w:cnfStyle w:val="000000000000" w:firstRow="0" w:lastRow="0" w:firstColumn="0" w:lastColumn="0" w:oddVBand="0" w:evenVBand="0" w:oddHBand="0" w:evenHBand="0" w:firstRowFirstColumn="0" w:firstRowLastColumn="0" w:lastRowFirstColumn="0" w:lastRowLastColumn="0"/>
              <w:rPr>
                <w:b w:val="0"/>
                <w:bCs/>
                <w:lang w:val="en-AU"/>
              </w:rPr>
            </w:pPr>
            <w:r w:rsidRPr="00AA5CB5">
              <w:rPr>
                <w:b w:val="0"/>
                <w:bCs/>
                <w:lang w:val="en-AU"/>
              </w:rPr>
              <w:t>6</w:t>
            </w:r>
            <w:r w:rsidR="002D4A41" w:rsidRPr="00AA5CB5">
              <w:rPr>
                <w:b w:val="0"/>
                <w:bCs/>
                <w:lang w:val="en-AU"/>
              </w:rPr>
              <w:t>.0</w:t>
            </w:r>
          </w:p>
        </w:tc>
      </w:tr>
      <w:tr w:rsidR="00E04397" w:rsidRPr="00AA5CB5" w14:paraId="5E7DC058" w14:textId="77777777">
        <w:trPr>
          <w:trHeight w:val="300"/>
        </w:trPr>
        <w:tc>
          <w:tcPr>
            <w:cnfStyle w:val="001000000000" w:firstRow="0" w:lastRow="0" w:firstColumn="1" w:lastColumn="0" w:oddVBand="0" w:evenVBand="0" w:oddHBand="0" w:evenHBand="0" w:firstRowFirstColumn="0" w:firstRowLastColumn="0" w:lastRowFirstColumn="0" w:lastRowLastColumn="0"/>
            <w:tcW w:w="5670" w:type="dxa"/>
            <w:hideMark/>
          </w:tcPr>
          <w:p w14:paraId="0BA9556E" w14:textId="19E48B6D" w:rsidR="00E04397" w:rsidRPr="00AA5CB5" w:rsidRDefault="00E04397">
            <w:pPr>
              <w:pStyle w:val="BodyText1"/>
              <w:rPr>
                <w:b w:val="0"/>
                <w:bCs w:val="0"/>
                <w:lang w:val="en-AU"/>
              </w:rPr>
            </w:pPr>
            <w:r w:rsidRPr="00AA5CB5">
              <w:rPr>
                <w:b w:val="0"/>
                <w:bCs w:val="0"/>
                <w:lang w:val="en-AU"/>
              </w:rPr>
              <w:t>Chiller</w:t>
            </w:r>
            <w:r w:rsidR="008518EF" w:rsidRPr="00AA5CB5">
              <w:rPr>
                <w:b w:val="0"/>
                <w:bCs w:val="0"/>
                <w:vertAlign w:val="superscript"/>
                <w:lang w:val="en-AU"/>
              </w:rPr>
              <w:t>a</w:t>
            </w:r>
            <w:r w:rsidRPr="00AA5CB5">
              <w:rPr>
                <w:b w:val="0"/>
                <w:bCs w:val="0"/>
                <w:lang w:val="en-AU"/>
              </w:rPr>
              <w:t> </w:t>
            </w:r>
          </w:p>
        </w:tc>
        <w:tc>
          <w:tcPr>
            <w:tcW w:w="3735" w:type="dxa"/>
            <w:hideMark/>
          </w:tcPr>
          <w:p w14:paraId="7A3F03B2" w14:textId="77777777" w:rsidR="00E04397" w:rsidRPr="00AA5CB5" w:rsidRDefault="00E04397">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6.0 </w:t>
            </w:r>
          </w:p>
        </w:tc>
      </w:tr>
      <w:tr w:rsidR="00E04397" w:rsidRPr="00AA5CB5" w14:paraId="4D7B1228" w14:textId="77777777">
        <w:trPr>
          <w:trHeight w:val="300"/>
        </w:trPr>
        <w:tc>
          <w:tcPr>
            <w:cnfStyle w:val="001000000000" w:firstRow="0" w:lastRow="0" w:firstColumn="1" w:lastColumn="0" w:oddVBand="0" w:evenVBand="0" w:oddHBand="0" w:evenHBand="0" w:firstRowFirstColumn="0" w:firstRowLastColumn="0" w:lastRowFirstColumn="0" w:lastRowLastColumn="0"/>
            <w:tcW w:w="5670" w:type="dxa"/>
            <w:hideMark/>
          </w:tcPr>
          <w:p w14:paraId="1FA9E368" w14:textId="494E57E3" w:rsidR="00E04397" w:rsidRPr="00AA5CB5" w:rsidRDefault="00E04397">
            <w:pPr>
              <w:pStyle w:val="BodyText1"/>
              <w:rPr>
                <w:b w:val="0"/>
                <w:bCs w:val="0"/>
                <w:lang w:val="en-AU"/>
              </w:rPr>
            </w:pPr>
            <w:r w:rsidRPr="00AA5CB5">
              <w:rPr>
                <w:b w:val="0"/>
                <w:bCs w:val="0"/>
                <w:lang w:val="en-AU"/>
              </w:rPr>
              <w:t>Large commercial refrigeration</w:t>
            </w:r>
            <w:r w:rsidR="00FB615A" w:rsidRPr="00AA5CB5">
              <w:rPr>
                <w:b w:val="0"/>
                <w:bCs w:val="0"/>
                <w:vertAlign w:val="superscript"/>
                <w:lang w:val="en-AU"/>
              </w:rPr>
              <w:t>a</w:t>
            </w:r>
            <w:r w:rsidRPr="00AA5CB5">
              <w:rPr>
                <w:b w:val="0"/>
                <w:bCs w:val="0"/>
                <w:lang w:val="en-AU"/>
              </w:rPr>
              <w:t> </w:t>
            </w:r>
          </w:p>
        </w:tc>
        <w:tc>
          <w:tcPr>
            <w:tcW w:w="3735" w:type="dxa"/>
            <w:hideMark/>
          </w:tcPr>
          <w:p w14:paraId="5385C247" w14:textId="77777777" w:rsidR="00E04397" w:rsidRPr="00AA5CB5" w:rsidRDefault="00E04397">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13.0 </w:t>
            </w:r>
          </w:p>
        </w:tc>
      </w:tr>
      <w:tr w:rsidR="002B452E" w:rsidRPr="00AA5CB5" w14:paraId="58667C26" w14:textId="77777777">
        <w:trPr>
          <w:trHeight w:val="300"/>
        </w:trPr>
        <w:tc>
          <w:tcPr>
            <w:cnfStyle w:val="001000000000" w:firstRow="0" w:lastRow="0" w:firstColumn="1" w:lastColumn="0" w:oddVBand="0" w:evenVBand="0" w:oddHBand="0" w:evenHBand="0" w:firstRowFirstColumn="0" w:firstRowLastColumn="0" w:lastRowFirstColumn="0" w:lastRowLastColumn="0"/>
            <w:tcW w:w="5670" w:type="dxa"/>
            <w:hideMark/>
          </w:tcPr>
          <w:p w14:paraId="23B7F41B" w14:textId="5BE0F3A7" w:rsidR="002B452E" w:rsidRPr="00AA5CB5" w:rsidRDefault="002B452E">
            <w:pPr>
              <w:pStyle w:val="BodyText1"/>
              <w:rPr>
                <w:b w:val="0"/>
                <w:bCs w:val="0"/>
                <w:lang w:val="en-AU"/>
              </w:rPr>
            </w:pPr>
            <w:r w:rsidRPr="00AA5CB5">
              <w:rPr>
                <w:b w:val="0"/>
                <w:bCs w:val="0"/>
                <w:lang w:val="en-AU"/>
              </w:rPr>
              <w:t>Industrial refrigeration</w:t>
            </w:r>
            <w:r w:rsidR="00F202B6" w:rsidRPr="00AA5CB5">
              <w:rPr>
                <w:b w:val="0"/>
                <w:bCs w:val="0"/>
                <w:vertAlign w:val="superscript"/>
                <w:lang w:val="en-AU"/>
              </w:rPr>
              <w:t>a</w:t>
            </w:r>
            <w:r w:rsidRPr="00AA5CB5">
              <w:rPr>
                <w:b w:val="0"/>
                <w:bCs w:val="0"/>
                <w:lang w:val="en-AU"/>
              </w:rPr>
              <w:t> </w:t>
            </w:r>
          </w:p>
        </w:tc>
        <w:tc>
          <w:tcPr>
            <w:tcW w:w="3735" w:type="dxa"/>
            <w:hideMark/>
          </w:tcPr>
          <w:p w14:paraId="631C86A6" w14:textId="77777777" w:rsidR="002B452E" w:rsidRPr="00AA5CB5" w:rsidRDefault="002B452E">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17.5 </w:t>
            </w:r>
          </w:p>
        </w:tc>
      </w:tr>
      <w:tr w:rsidR="005C7FDD" w:rsidRPr="00AA5CB5" w14:paraId="4D12C162" w14:textId="77777777" w:rsidTr="001B1334">
        <w:trPr>
          <w:trHeight w:val="300"/>
        </w:trPr>
        <w:tc>
          <w:tcPr>
            <w:cnfStyle w:val="001000000000" w:firstRow="0" w:lastRow="0" w:firstColumn="1" w:lastColumn="0" w:oddVBand="0" w:evenVBand="0" w:oddHBand="0" w:evenHBand="0" w:firstRowFirstColumn="0" w:firstRowLastColumn="0" w:lastRowFirstColumn="0" w:lastRowLastColumn="0"/>
            <w:tcW w:w="5670" w:type="dxa"/>
            <w:hideMark/>
          </w:tcPr>
          <w:p w14:paraId="37C94931" w14:textId="000B9075" w:rsidR="00B769D1" w:rsidRPr="00AA5CB5" w:rsidRDefault="00B769D1">
            <w:pPr>
              <w:pStyle w:val="BodyText1"/>
              <w:rPr>
                <w:b w:val="0"/>
                <w:bCs w:val="0"/>
                <w:lang w:val="en-AU"/>
              </w:rPr>
            </w:pPr>
            <w:r w:rsidRPr="00AA5CB5">
              <w:rPr>
                <w:b w:val="0"/>
                <w:bCs w:val="0"/>
                <w:lang w:val="en-AU"/>
              </w:rPr>
              <w:t>Transport refrigeration</w:t>
            </w:r>
            <w:r w:rsidR="00945D55" w:rsidRPr="00AA5CB5">
              <w:rPr>
                <w:b w:val="0"/>
                <w:bCs w:val="0"/>
                <w:vertAlign w:val="superscript"/>
                <w:lang w:val="en-AU"/>
              </w:rPr>
              <w:t>a,</w:t>
            </w:r>
            <w:r w:rsidR="00764349" w:rsidRPr="00AA5CB5">
              <w:rPr>
                <w:b w:val="0"/>
                <w:bCs w:val="0"/>
                <w:vertAlign w:val="superscript"/>
                <w:lang w:val="en-AU"/>
              </w:rPr>
              <w:t>b</w:t>
            </w:r>
            <w:r w:rsidRPr="00AA5CB5">
              <w:rPr>
                <w:b w:val="0"/>
                <w:bCs w:val="0"/>
                <w:lang w:val="en-AU"/>
              </w:rPr>
              <w:t> </w:t>
            </w:r>
          </w:p>
        </w:tc>
        <w:tc>
          <w:tcPr>
            <w:tcW w:w="3735" w:type="dxa"/>
            <w:hideMark/>
          </w:tcPr>
          <w:p w14:paraId="4009A52F" w14:textId="77777777" w:rsidR="00B769D1" w:rsidRPr="00AA5CB5" w:rsidRDefault="00B769D1">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15.7 </w:t>
            </w:r>
          </w:p>
        </w:tc>
      </w:tr>
      <w:tr w:rsidR="005C7FDD" w:rsidRPr="00AA5CB5" w14:paraId="1CD7508A" w14:textId="77777777" w:rsidTr="001B1334">
        <w:trPr>
          <w:trHeight w:val="300"/>
        </w:trPr>
        <w:tc>
          <w:tcPr>
            <w:cnfStyle w:val="001000000000" w:firstRow="0" w:lastRow="0" w:firstColumn="1" w:lastColumn="0" w:oddVBand="0" w:evenVBand="0" w:oddHBand="0" w:evenHBand="0" w:firstRowFirstColumn="0" w:firstRowLastColumn="0" w:lastRowFirstColumn="0" w:lastRowLastColumn="0"/>
            <w:tcW w:w="5670" w:type="dxa"/>
          </w:tcPr>
          <w:p w14:paraId="2E64E222" w14:textId="0EC6B45D" w:rsidR="00B769D1" w:rsidRPr="00AA5CB5" w:rsidRDefault="00B769D1">
            <w:pPr>
              <w:pStyle w:val="BodyText1"/>
              <w:rPr>
                <w:b w:val="0"/>
                <w:bCs w:val="0"/>
                <w:lang w:val="en-AU"/>
              </w:rPr>
            </w:pPr>
            <w:r w:rsidRPr="00AA5CB5">
              <w:rPr>
                <w:b w:val="0"/>
                <w:bCs w:val="0"/>
                <w:lang w:val="en-AU"/>
              </w:rPr>
              <w:t>Heavy vehicle air conditioning</w:t>
            </w:r>
            <w:r w:rsidR="00945D55" w:rsidRPr="00AA5CB5">
              <w:rPr>
                <w:b w:val="0"/>
                <w:bCs w:val="0"/>
                <w:vertAlign w:val="superscript"/>
                <w:lang w:val="en-AU"/>
              </w:rPr>
              <w:t>a,</w:t>
            </w:r>
            <w:r w:rsidR="00EF040A" w:rsidRPr="00AA5CB5">
              <w:rPr>
                <w:b w:val="0"/>
                <w:bCs w:val="0"/>
                <w:vertAlign w:val="superscript"/>
                <w:lang w:val="en-AU"/>
              </w:rPr>
              <w:t>b</w:t>
            </w:r>
          </w:p>
        </w:tc>
        <w:tc>
          <w:tcPr>
            <w:tcW w:w="3735" w:type="dxa"/>
          </w:tcPr>
          <w:p w14:paraId="6F43F33D" w14:textId="77777777" w:rsidR="00B769D1" w:rsidRPr="00AA5CB5" w:rsidRDefault="00B769D1">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10.8</w:t>
            </w:r>
          </w:p>
        </w:tc>
      </w:tr>
      <w:tr w:rsidR="005C7FDD" w:rsidRPr="00AA5CB5" w14:paraId="5D783DB7" w14:textId="77777777" w:rsidTr="001B1334">
        <w:trPr>
          <w:trHeight w:val="300"/>
        </w:trPr>
        <w:tc>
          <w:tcPr>
            <w:cnfStyle w:val="001000000000" w:firstRow="0" w:lastRow="0" w:firstColumn="1" w:lastColumn="0" w:oddVBand="0" w:evenVBand="0" w:oddHBand="0" w:evenHBand="0" w:firstRowFirstColumn="0" w:firstRowLastColumn="0" w:lastRowFirstColumn="0" w:lastRowLastColumn="0"/>
            <w:tcW w:w="5670" w:type="dxa"/>
            <w:hideMark/>
          </w:tcPr>
          <w:p w14:paraId="0B398ED6" w14:textId="17CA0795" w:rsidR="00B769D1" w:rsidRPr="00AA5CB5" w:rsidRDefault="00B769D1">
            <w:pPr>
              <w:pStyle w:val="BodyText1"/>
              <w:rPr>
                <w:b w:val="0"/>
                <w:bCs w:val="0"/>
                <w:lang w:val="en-AU"/>
              </w:rPr>
            </w:pPr>
            <w:r w:rsidRPr="00AA5CB5">
              <w:rPr>
                <w:b w:val="0"/>
                <w:bCs w:val="0"/>
                <w:lang w:val="en-AU"/>
              </w:rPr>
              <w:t>Insulated switchgear and circuit breakers</w:t>
            </w:r>
            <w:r w:rsidR="0026084F" w:rsidRPr="00AA5CB5">
              <w:rPr>
                <w:b w:val="0"/>
                <w:bCs w:val="0"/>
                <w:vertAlign w:val="superscript"/>
                <w:lang w:val="en-AU"/>
              </w:rPr>
              <w:t>c</w:t>
            </w:r>
            <w:r w:rsidRPr="00AA5CB5">
              <w:rPr>
                <w:b w:val="0"/>
                <w:bCs w:val="0"/>
                <w:lang w:val="en-AU"/>
              </w:rPr>
              <w:t> </w:t>
            </w:r>
          </w:p>
        </w:tc>
        <w:tc>
          <w:tcPr>
            <w:tcW w:w="3735" w:type="dxa"/>
            <w:hideMark/>
          </w:tcPr>
          <w:p w14:paraId="3A294CE8" w14:textId="77777777" w:rsidR="00B769D1" w:rsidRPr="00AA5CB5" w:rsidRDefault="00B769D1">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0.89 </w:t>
            </w:r>
          </w:p>
        </w:tc>
      </w:tr>
      <w:tr w:rsidR="005C7FDD" w:rsidRPr="00AA5CB5" w14:paraId="10CA9FF1" w14:textId="77777777" w:rsidTr="001B1334">
        <w:trPr>
          <w:trHeight w:val="300"/>
        </w:trPr>
        <w:tc>
          <w:tcPr>
            <w:cnfStyle w:val="001000000000" w:firstRow="0" w:lastRow="0" w:firstColumn="1" w:lastColumn="0" w:oddVBand="0" w:evenVBand="0" w:oddHBand="0" w:evenHBand="0" w:firstRowFirstColumn="0" w:firstRowLastColumn="0" w:lastRowFirstColumn="0" w:lastRowLastColumn="0"/>
            <w:tcW w:w="5670" w:type="dxa"/>
            <w:hideMark/>
          </w:tcPr>
          <w:p w14:paraId="68E482B9" w14:textId="753CCE93" w:rsidR="00B769D1" w:rsidRPr="00AA5CB5" w:rsidRDefault="00B769D1">
            <w:pPr>
              <w:pStyle w:val="BodyText1"/>
              <w:rPr>
                <w:b w:val="0"/>
                <w:bCs w:val="0"/>
                <w:lang w:val="en-AU"/>
              </w:rPr>
            </w:pPr>
            <w:r w:rsidRPr="00AA5CB5">
              <w:rPr>
                <w:b w:val="0"/>
                <w:bCs w:val="0"/>
                <w:lang w:val="en-AU"/>
              </w:rPr>
              <w:t>Specialist scientific equipment</w:t>
            </w:r>
            <w:r w:rsidR="0026084F" w:rsidRPr="00AA5CB5">
              <w:rPr>
                <w:b w:val="0"/>
                <w:bCs w:val="0"/>
                <w:vertAlign w:val="superscript"/>
                <w:lang w:val="en-AU"/>
              </w:rPr>
              <w:t>c</w:t>
            </w:r>
            <w:r w:rsidRPr="00AA5CB5">
              <w:rPr>
                <w:b w:val="0"/>
                <w:bCs w:val="0"/>
                <w:lang w:val="en-AU"/>
              </w:rPr>
              <w:t> </w:t>
            </w:r>
          </w:p>
        </w:tc>
        <w:tc>
          <w:tcPr>
            <w:tcW w:w="3735" w:type="dxa"/>
            <w:hideMark/>
          </w:tcPr>
          <w:p w14:paraId="2177ECF8" w14:textId="77777777" w:rsidR="00B769D1" w:rsidRPr="00AA5CB5" w:rsidRDefault="00B769D1">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Various </w:t>
            </w:r>
          </w:p>
        </w:tc>
      </w:tr>
    </w:tbl>
    <w:p w14:paraId="53F62604" w14:textId="1AAAB019" w:rsidR="001F2843" w:rsidRPr="00AA5CB5" w:rsidRDefault="001F2843">
      <w:pPr>
        <w:pStyle w:val="Notebullets1"/>
        <w:numPr>
          <w:ilvl w:val="0"/>
          <w:numId w:val="0"/>
        </w:numPr>
        <w:rPr>
          <w:rStyle w:val="Notebullets1Char"/>
          <w:rFonts w:ascii="Arial" w:hAnsi="Arial"/>
        </w:rPr>
      </w:pPr>
      <w:r w:rsidRPr="00AA5CB5">
        <w:rPr>
          <w:rStyle w:val="Notebullets1Char"/>
        </w:rPr>
        <w:t>Note: Leakage rates</w:t>
      </w:r>
      <w:r w:rsidR="008A7660" w:rsidRPr="00AA5CB5">
        <w:rPr>
          <w:rStyle w:val="Notebullets1Char"/>
        </w:rPr>
        <w:t xml:space="preserve"> represent average annual leakages from operation and not leakages during installation or disposal of equipment.  </w:t>
      </w:r>
    </w:p>
    <w:p w14:paraId="10EEE83C" w14:textId="39E3EE8B" w:rsidR="009647F7" w:rsidRPr="00AA5CB5" w:rsidRDefault="009647F7">
      <w:pPr>
        <w:pStyle w:val="Notebullets1"/>
        <w:numPr>
          <w:ilvl w:val="0"/>
          <w:numId w:val="0"/>
        </w:numPr>
        <w:rPr>
          <w:rStyle w:val="Notebullets1Char"/>
        </w:rPr>
      </w:pPr>
      <w:r w:rsidRPr="00AA5CB5">
        <w:rPr>
          <w:rStyle w:val="Notebullets1Char"/>
          <w:vertAlign w:val="superscript"/>
        </w:rPr>
        <w:t>a</w:t>
      </w:r>
      <w:r w:rsidR="00EE4948" w:rsidRPr="00AA5CB5">
        <w:rPr>
          <w:rStyle w:val="Notebullets1Char"/>
        </w:rPr>
        <w:t xml:space="preserve"> Source: </w:t>
      </w:r>
      <w:r w:rsidR="00BA47C4" w:rsidRPr="00AA5CB5">
        <w:rPr>
          <w:rStyle w:val="Notebullets1Char"/>
        </w:rPr>
        <w:t xml:space="preserve">DCCEEW (2022) </w:t>
      </w:r>
      <w:hyperlink r:id="rId69" w:history="1">
        <w:r w:rsidR="00EE4948" w:rsidRPr="00AA5CB5">
          <w:rPr>
            <w:rStyle w:val="Hyperlink1"/>
            <w:i/>
            <w:iCs/>
            <w:sz w:val="20"/>
            <w:szCs w:val="24"/>
          </w:rPr>
          <w:t>National Inventory Report</w:t>
        </w:r>
        <w:r w:rsidR="00EA42CB" w:rsidRPr="00AA5CB5">
          <w:rPr>
            <w:rStyle w:val="Hyperlink1"/>
            <w:i/>
            <w:iCs/>
            <w:sz w:val="20"/>
            <w:szCs w:val="24"/>
          </w:rPr>
          <w:t xml:space="preserve"> 2022</w:t>
        </w:r>
      </w:hyperlink>
      <w:r w:rsidR="00EE4948" w:rsidRPr="00AA5CB5">
        <w:rPr>
          <w:rStyle w:val="Notebullets1Char"/>
        </w:rPr>
        <w:t xml:space="preserve">, </w:t>
      </w:r>
      <w:r w:rsidR="00EA42CB" w:rsidRPr="00AA5CB5">
        <w:rPr>
          <w:rStyle w:val="Notebullets1Char"/>
        </w:rPr>
        <w:t>DCCEEW</w:t>
      </w:r>
      <w:r w:rsidR="00EE4948" w:rsidRPr="00AA5CB5">
        <w:rPr>
          <w:rStyle w:val="Notebullets1Char"/>
        </w:rPr>
        <w:t xml:space="preserve">, </w:t>
      </w:r>
      <w:r w:rsidR="00EE32A8" w:rsidRPr="00AA5CB5">
        <w:rPr>
          <w:rStyle w:val="Notebullets1Char"/>
        </w:rPr>
        <w:t>2</w:t>
      </w:r>
      <w:r w:rsidR="00BA47C4" w:rsidRPr="00AA5CB5">
        <w:rPr>
          <w:rStyle w:val="Notebullets1Char"/>
        </w:rPr>
        <w:t>:</w:t>
      </w:r>
      <w:r w:rsidR="004A1AB1" w:rsidRPr="00AA5CB5">
        <w:rPr>
          <w:rStyle w:val="Notebullets1Char"/>
        </w:rPr>
        <w:t>111</w:t>
      </w:r>
      <w:r w:rsidR="00EE4948" w:rsidRPr="00AA5CB5">
        <w:rPr>
          <w:rStyle w:val="Notebullets1Char"/>
        </w:rPr>
        <w:t>; table</w:t>
      </w:r>
      <w:r w:rsidR="004A1AB1" w:rsidRPr="00AA5CB5">
        <w:rPr>
          <w:rStyle w:val="Notebullets1Char"/>
        </w:rPr>
        <w:t xml:space="preserve"> A5.4.1.9, accessed 4 July 2024.</w:t>
      </w:r>
      <w:r w:rsidR="00EE4948" w:rsidRPr="00AA5CB5">
        <w:rPr>
          <w:rStyle w:val="Notebullets1Char"/>
        </w:rPr>
        <w:t xml:space="preserve"> </w:t>
      </w:r>
    </w:p>
    <w:p w14:paraId="06459990" w14:textId="25964557" w:rsidR="00EF040A" w:rsidRPr="00AA5CB5" w:rsidRDefault="00EF040A">
      <w:pPr>
        <w:pStyle w:val="Notebullets1"/>
        <w:numPr>
          <w:ilvl w:val="0"/>
          <w:numId w:val="0"/>
        </w:numPr>
      </w:pPr>
      <w:r w:rsidRPr="00AA5CB5">
        <w:rPr>
          <w:rStyle w:val="Notebullets1Char"/>
          <w:vertAlign w:val="superscript"/>
        </w:rPr>
        <w:t>b</w:t>
      </w:r>
      <w:r w:rsidRPr="00AA5CB5">
        <w:rPr>
          <w:rStyle w:val="Notebullets1Char"/>
        </w:rPr>
        <w:t xml:space="preserve"> Source:</w:t>
      </w:r>
      <w:r w:rsidRPr="00AA5CB5">
        <w:t xml:space="preserve"> DCCEEW (2024) </w:t>
      </w:r>
      <w:hyperlink r:id="rId70" w:history="1">
        <w:r w:rsidRPr="00AA5CB5">
          <w:rPr>
            <w:rStyle w:val="Hyperlink1"/>
            <w:rFonts w:asciiTheme="minorHAnsi" w:hAnsiTheme="minorHAnsi" w:cstheme="minorHAnsi"/>
            <w:i/>
            <w:iCs/>
            <w:sz w:val="20"/>
            <w:szCs w:val="20"/>
          </w:rPr>
          <w:t>Australian National Greenhouse Accounts Factors</w:t>
        </w:r>
      </w:hyperlink>
      <w:r w:rsidRPr="00AA5CB5">
        <w:t>, DCCEEW, 2024:30; table 12, accessed 14 February 2025.</w:t>
      </w:r>
    </w:p>
    <w:p w14:paraId="5696BC6F" w14:textId="6106E53A" w:rsidR="00902825" w:rsidRPr="00AA5CB5" w:rsidRDefault="00902825">
      <w:pPr>
        <w:pStyle w:val="Notebullets1"/>
        <w:numPr>
          <w:ilvl w:val="0"/>
          <w:numId w:val="0"/>
        </w:numPr>
      </w:pPr>
      <w:r w:rsidRPr="00AA5CB5">
        <w:rPr>
          <w:vertAlign w:val="superscript"/>
        </w:rPr>
        <w:t>c</w:t>
      </w:r>
      <w:r w:rsidRPr="00AA5CB5">
        <w:t xml:space="preserve"> Source: Provided by reporting agency or equipment owner</w:t>
      </w:r>
    </w:p>
    <w:p w14:paraId="246188D8" w14:textId="77777777" w:rsidR="00246563" w:rsidRPr="00AA5CB5" w:rsidRDefault="00246563" w:rsidP="00EF040A">
      <w:pPr>
        <w:pStyle w:val="Notebullets1"/>
        <w:numPr>
          <w:ilvl w:val="0"/>
          <w:numId w:val="0"/>
        </w:numPr>
        <w:ind w:left="360" w:hanging="360"/>
      </w:pPr>
    </w:p>
    <w:p w14:paraId="416384AB" w14:textId="1F763425" w:rsidR="00BD7FA8" w:rsidRPr="00AA5CB5" w:rsidRDefault="00BD7FA8" w:rsidP="00BD7FA8">
      <w:pPr>
        <w:pStyle w:val="Heading2"/>
      </w:pPr>
      <w:bookmarkStart w:id="173" w:name="_Toc201927368"/>
      <w:r w:rsidRPr="00AA5CB5">
        <w:t xml:space="preserve">Fleet and </w:t>
      </w:r>
      <w:r w:rsidR="006A48BE">
        <w:t>o</w:t>
      </w:r>
      <w:r w:rsidRPr="00AA5CB5">
        <w:t xml:space="preserve">ther </w:t>
      </w:r>
      <w:r w:rsidR="006A48BE">
        <w:t>v</w:t>
      </w:r>
      <w:r w:rsidRPr="00AA5CB5">
        <w:t>ehicles</w:t>
      </w:r>
      <w:bookmarkEnd w:id="173"/>
      <w:r w:rsidRPr="00AA5CB5">
        <w:t xml:space="preserve"> </w:t>
      </w:r>
    </w:p>
    <w:p w14:paraId="559C656E" w14:textId="77777777" w:rsidR="00BB6CED" w:rsidRPr="00AA5CB5" w:rsidRDefault="00B0129F" w:rsidP="00BB6CED">
      <w:pPr>
        <w:pStyle w:val="BodyText1"/>
        <w:shd w:val="clear" w:color="auto" w:fill="E8F0FE" w:themeFill="accent5" w:themeFillTint="33"/>
      </w:pPr>
      <m:oMathPara>
        <m:oMath>
          <m:r>
            <m:rPr>
              <m:sty m:val="p"/>
            </m:rPr>
            <w:rPr>
              <w:rFonts w:ascii="Cambria Math" w:hAnsi="Cambria Math"/>
            </w:rPr>
            <m:t xml:space="preserve">t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nor/>
            </m:rPr>
            <m:t>-</m:t>
          </m:r>
          <m:r>
            <m:rPr>
              <m:sty m:val="p"/>
            </m:rPr>
            <w:rPr>
              <w:rFonts w:ascii="Cambria Math" w:hAnsi="Cambria Math"/>
            </w:rPr>
            <m:t>e=</m:t>
          </m:r>
          <m:f>
            <m:fPr>
              <m:ctrlPr>
                <w:rPr>
                  <w:rFonts w:ascii="Cambria Math" w:hAnsi="Cambria Math"/>
                </w:rPr>
              </m:ctrlPr>
            </m:fPr>
            <m:num>
              <m:r>
                <m:rPr>
                  <m:sty m:val="p"/>
                </m:rPr>
                <w:rPr>
                  <w:rFonts w:ascii="Cambria Math" w:hAnsi="Cambria Math"/>
                </w:rPr>
                <m:t>Q× EC×EF</m:t>
              </m:r>
            </m:num>
            <m:den>
              <m:r>
                <m:rPr>
                  <m:sty m:val="p"/>
                </m:rPr>
                <w:rPr>
                  <w:rFonts w:ascii="Cambria Math" w:hAnsi="Cambria Math"/>
                </w:rPr>
                <m:t>1000</m:t>
              </m:r>
            </m:den>
          </m:f>
          <m:r>
            <m:rPr>
              <m:sty m:val="p"/>
            </m:rPr>
            <w:rPr>
              <w:rFonts w:ascii="Cambria Math" w:hAnsi="Cambria Math"/>
            </w:rPr>
            <m:t xml:space="preserve"> </m:t>
          </m:r>
        </m:oMath>
      </m:oMathPara>
    </w:p>
    <w:p w14:paraId="6BEC0DC4" w14:textId="77777777" w:rsidR="00BB6CED" w:rsidRPr="00AA5CB5" w:rsidRDefault="00BB6CED" w:rsidP="00BB6CED">
      <w:pPr>
        <w:pStyle w:val="BodyText1"/>
        <w:shd w:val="clear" w:color="auto" w:fill="E8F0FE" w:themeFill="accent5" w:themeFillTint="33"/>
      </w:pPr>
      <w:r w:rsidRPr="00AA5CB5">
        <w:t>Where:</w:t>
      </w:r>
    </w:p>
    <w:p w14:paraId="59D90C1E" w14:textId="25E20C29" w:rsidR="00BB6CED" w:rsidRPr="00AA5CB5" w:rsidRDefault="00B0129F" w:rsidP="00BB6CED">
      <w:pPr>
        <w:pStyle w:val="Bodybullet1"/>
        <w:shd w:val="clear" w:color="auto" w:fill="E8F0FE" w:themeFill="accent5" w:themeFillTint="33"/>
      </w:pPr>
      <m:oMath>
        <m:r>
          <m:rPr>
            <m:sty m:val="b"/>
          </m:rPr>
          <w:rPr>
            <w:rFonts w:ascii="Cambria Math" w:hAnsi="Cambria Math"/>
          </w:rPr>
          <m:t xml:space="preserve">t </m:t>
        </m:r>
        <m:sSub>
          <m:sSubPr>
            <m:ctrlPr>
              <w:rPr>
                <w:rFonts w:ascii="Cambria Math" w:hAnsi="Cambria Math"/>
                <w:b/>
                <w:bCs/>
              </w:rPr>
            </m:ctrlPr>
          </m:sSubPr>
          <m:e>
            <m:r>
              <m:rPr>
                <m:sty m:val="b"/>
              </m:rPr>
              <w:rPr>
                <w:rFonts w:ascii="Cambria Math" w:hAnsi="Cambria Math"/>
              </w:rPr>
              <m:t>CO</m:t>
            </m:r>
          </m:e>
          <m:sub>
            <m:r>
              <m:rPr>
                <m:sty m:val="b"/>
              </m:rPr>
              <w:rPr>
                <w:rFonts w:ascii="Cambria Math" w:hAnsi="Cambria Math"/>
              </w:rPr>
              <m:t>2</m:t>
            </m:r>
          </m:sub>
        </m:sSub>
        <m:r>
          <m:rPr>
            <m:nor/>
          </m:rPr>
          <w:rPr>
            <w:b/>
            <w:bCs/>
          </w:rPr>
          <m:t>-</m:t>
        </m:r>
        <m:r>
          <m:rPr>
            <m:sty m:val="b"/>
          </m:rPr>
          <w:rPr>
            <w:rFonts w:ascii="Cambria Math" w:hAnsi="Cambria Math"/>
          </w:rPr>
          <m:t>e</m:t>
        </m:r>
      </m:oMath>
      <w:r w:rsidR="00BB6CED" w:rsidRPr="00AA5CB5">
        <w:t xml:space="preserve"> are the </w:t>
      </w:r>
      <w:r w:rsidR="00E90152">
        <w:t>GHG</w:t>
      </w:r>
      <w:r w:rsidR="00BB6CED" w:rsidRPr="00AA5CB5">
        <w:t xml:space="preserve"> emissions, in tonnes carbon dioxide equivalent </w:t>
      </w:r>
    </w:p>
    <w:p w14:paraId="2F0FE510" w14:textId="53460C84" w:rsidR="005E5639" w:rsidRPr="00AA5CB5" w:rsidRDefault="00B0129F" w:rsidP="005E5639">
      <w:pPr>
        <w:pStyle w:val="Bodybullet1"/>
        <w:shd w:val="clear" w:color="auto" w:fill="E8F0FE" w:themeFill="accent5" w:themeFillTint="33"/>
      </w:pPr>
      <m:oMath>
        <m:r>
          <m:rPr>
            <m:sty m:val="b"/>
          </m:rPr>
          <w:rPr>
            <w:rFonts w:ascii="Cambria Math" w:hAnsi="Cambria Math"/>
          </w:rPr>
          <m:t>Q</m:t>
        </m:r>
      </m:oMath>
      <w:r w:rsidR="00BB6CED" w:rsidRPr="00AA5CB5">
        <w:t xml:space="preserve"> is the activity data, in units other than gigajoules</w:t>
      </w:r>
      <w:r w:rsidR="00C33AB8">
        <w:t xml:space="preserve"> (GJ), </w:t>
      </w:r>
      <w:r w:rsidR="00F5317A" w:rsidRPr="00AA5CB5">
        <w:t>for example</w:t>
      </w:r>
      <w:r w:rsidR="00BB6CED" w:rsidRPr="00AA5CB5">
        <w:t xml:space="preserve">, </w:t>
      </w:r>
      <w:r w:rsidR="00C33AB8">
        <w:t>kilolitres (</w:t>
      </w:r>
      <w:r w:rsidR="00BB6CED" w:rsidRPr="00AA5CB5">
        <w:t>kL)</w:t>
      </w:r>
    </w:p>
    <w:p w14:paraId="2BFC17BB" w14:textId="2CABD449" w:rsidR="005E5639" w:rsidRPr="00AA5CB5" w:rsidRDefault="00A46EC4" w:rsidP="005E5639">
      <w:pPr>
        <w:pStyle w:val="Bodybullet1"/>
        <w:shd w:val="clear" w:color="auto" w:fill="E8F0FE" w:themeFill="accent5" w:themeFillTint="33"/>
        <w:rPr>
          <w:bCs/>
        </w:rPr>
      </w:pPr>
      <m:oMath>
        <m:r>
          <m:rPr>
            <m:sty m:val="b"/>
          </m:rPr>
          <w:rPr>
            <w:rFonts w:ascii="Cambria Math" w:hAnsi="Cambria Math"/>
          </w:rPr>
          <m:t>EC</m:t>
        </m:r>
      </m:oMath>
      <w:r w:rsidRPr="00AA5CB5">
        <w:rPr>
          <w:rFonts w:eastAsiaTheme="minorEastAsia"/>
          <w:b/>
        </w:rPr>
        <w:t xml:space="preserve"> </w:t>
      </w:r>
      <w:r w:rsidRPr="00AA5CB5">
        <w:rPr>
          <w:rFonts w:eastAsiaTheme="minorEastAsia"/>
          <w:bCs/>
        </w:rPr>
        <w:t>is the energy content factor of the fuel</w:t>
      </w:r>
      <w:r w:rsidR="00C33AB8">
        <w:rPr>
          <w:rFonts w:eastAsiaTheme="minorEastAsia"/>
          <w:bCs/>
        </w:rPr>
        <w:t xml:space="preserve">, </w:t>
      </w:r>
      <w:r w:rsidRPr="00AA5CB5">
        <w:rPr>
          <w:rFonts w:eastAsiaTheme="minorEastAsia"/>
          <w:bCs/>
        </w:rPr>
        <w:t>for example</w:t>
      </w:r>
      <w:r w:rsidR="00C33AB8">
        <w:rPr>
          <w:rFonts w:eastAsiaTheme="minorEastAsia"/>
          <w:bCs/>
        </w:rPr>
        <w:t xml:space="preserve"> </w:t>
      </w:r>
      <w:r w:rsidRPr="00AA5CB5">
        <w:rPr>
          <w:rFonts w:eastAsiaTheme="minorEastAsia"/>
          <w:bCs/>
        </w:rPr>
        <w:t>GJ/kL</w:t>
      </w:r>
      <w:r w:rsidR="00391950">
        <w:t xml:space="preserve">, as per </w:t>
      </w:r>
      <w:r w:rsidR="00391950">
        <w:fldChar w:fldCharType="begin"/>
      </w:r>
      <w:r w:rsidR="00391950">
        <w:instrText xml:space="preserve"> REF _Ref199870951 \h </w:instrText>
      </w:r>
      <w:r w:rsidR="00391950">
        <w:fldChar w:fldCharType="separate"/>
      </w:r>
      <w:r w:rsidR="00422A37" w:rsidRPr="00AA5CB5">
        <w:t xml:space="preserve">Table </w:t>
      </w:r>
      <w:r w:rsidR="00422A37">
        <w:rPr>
          <w:noProof/>
        </w:rPr>
        <w:t>15</w:t>
      </w:r>
      <w:r w:rsidR="00391950">
        <w:fldChar w:fldCharType="end"/>
      </w:r>
      <w:r w:rsidR="00391950">
        <w:t xml:space="preserve"> to </w:t>
      </w:r>
      <w:r w:rsidR="00391950">
        <w:fldChar w:fldCharType="begin"/>
      </w:r>
      <w:r w:rsidR="00391950">
        <w:instrText xml:space="preserve"> REF _Ref199870946 \h </w:instrText>
      </w:r>
      <w:r w:rsidR="00391950">
        <w:fldChar w:fldCharType="separate"/>
      </w:r>
      <w:r w:rsidR="00422A37" w:rsidRPr="00AA5CB5">
        <w:t xml:space="preserve">Table </w:t>
      </w:r>
      <w:r w:rsidR="00422A37">
        <w:rPr>
          <w:noProof/>
        </w:rPr>
        <w:t>19</w:t>
      </w:r>
      <w:r w:rsidR="00391950">
        <w:fldChar w:fldCharType="end"/>
      </w:r>
    </w:p>
    <w:p w14:paraId="0196FE6C" w14:textId="2142A966" w:rsidR="00BB6CED" w:rsidRDefault="00B0129F" w:rsidP="00F234DB">
      <w:pPr>
        <w:pStyle w:val="Bodybullet1"/>
        <w:shd w:val="clear" w:color="auto" w:fill="E8F0FE" w:themeFill="accent5" w:themeFillTint="33"/>
      </w:pPr>
      <m:oMath>
        <m:r>
          <m:rPr>
            <m:sty m:val="b"/>
          </m:rPr>
          <w:rPr>
            <w:rFonts w:ascii="Cambria Math" w:hAnsi="Cambria Math"/>
          </w:rPr>
          <m:t>EF</m:t>
        </m:r>
      </m:oMath>
      <w:r w:rsidR="00BB6CED" w:rsidRPr="00AA5CB5">
        <w:t xml:space="preserve"> is the source specific emissions factor, in kg CO</w:t>
      </w:r>
      <w:r w:rsidR="00BB6CED" w:rsidRPr="00AA5CB5">
        <w:rPr>
          <w:vertAlign w:val="subscript"/>
        </w:rPr>
        <w:t>2</w:t>
      </w:r>
      <w:r w:rsidR="00BB6CED" w:rsidRPr="00AA5CB5">
        <w:t>-e per GJ</w:t>
      </w:r>
      <w:r w:rsidR="00DA419D">
        <w:t xml:space="preserve">, as per </w:t>
      </w:r>
      <w:r w:rsidR="00DA419D">
        <w:fldChar w:fldCharType="begin"/>
      </w:r>
      <w:r w:rsidR="00DA419D">
        <w:instrText xml:space="preserve"> REF _Ref199870951 \h </w:instrText>
      </w:r>
      <w:r w:rsidR="00DA419D">
        <w:fldChar w:fldCharType="separate"/>
      </w:r>
      <w:r w:rsidR="00422A37" w:rsidRPr="00AA5CB5">
        <w:t xml:space="preserve">Table </w:t>
      </w:r>
      <w:r w:rsidR="00422A37">
        <w:rPr>
          <w:noProof/>
        </w:rPr>
        <w:t>15</w:t>
      </w:r>
      <w:r w:rsidR="00DA419D">
        <w:fldChar w:fldCharType="end"/>
      </w:r>
      <w:r w:rsidR="00DA419D">
        <w:t xml:space="preserve"> to </w:t>
      </w:r>
      <w:r w:rsidR="00DA419D">
        <w:fldChar w:fldCharType="begin"/>
      </w:r>
      <w:r w:rsidR="00DA419D">
        <w:instrText xml:space="preserve"> REF _Ref199870946 \h </w:instrText>
      </w:r>
      <w:r w:rsidR="00DA419D">
        <w:fldChar w:fldCharType="separate"/>
      </w:r>
      <w:r w:rsidR="00422A37" w:rsidRPr="00AA5CB5">
        <w:t xml:space="preserve">Table </w:t>
      </w:r>
      <w:r w:rsidR="00422A37">
        <w:rPr>
          <w:noProof/>
        </w:rPr>
        <w:t>19</w:t>
      </w:r>
      <w:r w:rsidR="00DA419D">
        <w:fldChar w:fldCharType="end"/>
      </w:r>
    </w:p>
    <w:p w14:paraId="0C3A29A3" w14:textId="7AC4EB68" w:rsidR="001826B8" w:rsidRPr="00AA5CB5" w:rsidRDefault="001826B8" w:rsidP="001826B8">
      <w:pPr>
        <w:pStyle w:val="Bodybullet1"/>
        <w:numPr>
          <w:ilvl w:val="0"/>
          <w:numId w:val="0"/>
        </w:numPr>
        <w:shd w:val="clear" w:color="auto" w:fill="E8F0FE" w:themeFill="accent5" w:themeFillTint="33"/>
      </w:pPr>
      <w:r w:rsidRPr="001826B8">
        <w:t>To convert from kilograms (kg) to tonnes (t), divide by 1000. Conversely, to convert from t to kg, multiply by 1000.</w:t>
      </w:r>
    </w:p>
    <w:p w14:paraId="536E5920" w14:textId="31778BE0" w:rsidR="009B6F39" w:rsidRPr="00AA5CB5" w:rsidRDefault="009B6F39" w:rsidP="009B6F39">
      <w:pPr>
        <w:pStyle w:val="Caption"/>
      </w:pPr>
      <w:bookmarkStart w:id="174" w:name="_Ref199870951"/>
      <w:bookmarkStart w:id="175" w:name="_Toc201927388"/>
      <w:r w:rsidRPr="00AA5CB5">
        <w:t xml:space="preserve">Table </w:t>
      </w:r>
      <w:r w:rsidRPr="00AA5CB5">
        <w:fldChar w:fldCharType="begin"/>
      </w:r>
      <w:r w:rsidRPr="00AA5CB5">
        <w:instrText xml:space="preserve"> SEQ Table \* ARABIC </w:instrText>
      </w:r>
      <w:r w:rsidRPr="00AA5CB5">
        <w:fldChar w:fldCharType="separate"/>
      </w:r>
      <w:r w:rsidR="00422A37">
        <w:rPr>
          <w:noProof/>
        </w:rPr>
        <w:t>15</w:t>
      </w:r>
      <w:r w:rsidRPr="00AA5CB5">
        <w:fldChar w:fldCharType="end"/>
      </w:r>
      <w:bookmarkEnd w:id="174"/>
      <w:r w:rsidR="0088604A">
        <w:t>:</w:t>
      </w:r>
      <w:r w:rsidRPr="00AA5CB5">
        <w:t xml:space="preserve"> Mobile combustion – </w:t>
      </w:r>
      <w:r w:rsidR="006A48BE">
        <w:t>e</w:t>
      </w:r>
      <w:r w:rsidRPr="00AA5CB5">
        <w:t xml:space="preserve">mission factors for </w:t>
      </w:r>
      <w:r w:rsidR="00D534CB" w:rsidRPr="00AA5CB5">
        <w:t>vehicles</w:t>
      </w:r>
      <w:r w:rsidRPr="00AA5CB5">
        <w:t xml:space="preserve"> where vehicle type is not known</w:t>
      </w:r>
      <w:bookmarkEnd w:id="175"/>
      <w:r w:rsidRPr="00AA5CB5">
        <w:t xml:space="preserve"> </w:t>
      </w:r>
    </w:p>
    <w:tbl>
      <w:tblPr>
        <w:tblStyle w:val="ListTable4-Accent6"/>
        <w:tblW w:w="5000" w:type="pct"/>
        <w:tblInd w:w="0" w:type="dxa"/>
        <w:tblLayout w:type="fixed"/>
        <w:tblLook w:val="06A0" w:firstRow="1" w:lastRow="0" w:firstColumn="1" w:lastColumn="0" w:noHBand="1" w:noVBand="1"/>
      </w:tblPr>
      <w:tblGrid>
        <w:gridCol w:w="1567"/>
        <w:gridCol w:w="1567"/>
        <w:gridCol w:w="1567"/>
        <w:gridCol w:w="1567"/>
        <w:gridCol w:w="1567"/>
        <w:gridCol w:w="1567"/>
      </w:tblGrid>
      <w:tr w:rsidR="00C733B0" w:rsidRPr="00AA5CB5" w14:paraId="0AAC558F" w14:textId="77777777" w:rsidTr="0029586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33" w:type="pct"/>
          </w:tcPr>
          <w:p w14:paraId="3982576E" w14:textId="43D0FFF7" w:rsidR="00295868" w:rsidRPr="00AA5CB5" w:rsidRDefault="00295868" w:rsidP="0077587A">
            <w:pPr>
              <w:pStyle w:val="Tableheading"/>
              <w:rPr>
                <w:b/>
                <w:bCs w:val="0"/>
                <w:lang w:val="en-AU"/>
              </w:rPr>
            </w:pPr>
            <w:r w:rsidRPr="00AA5CB5">
              <w:rPr>
                <w:b/>
                <w:bCs w:val="0"/>
                <w:lang w:val="en-AU"/>
              </w:rPr>
              <w:t>General vehicle type</w:t>
            </w:r>
          </w:p>
        </w:tc>
        <w:tc>
          <w:tcPr>
            <w:tcW w:w="833" w:type="pct"/>
            <w:hideMark/>
          </w:tcPr>
          <w:p w14:paraId="4B5E0ADF" w14:textId="0411CA16" w:rsidR="00295868" w:rsidRPr="00AA5CB5" w:rsidRDefault="00295868" w:rsidP="0077587A">
            <w:pPr>
              <w:pStyle w:val="Tableheading"/>
              <w:cnfStyle w:val="100000000000" w:firstRow="1" w:lastRow="0" w:firstColumn="0" w:lastColumn="0" w:oddVBand="0" w:evenVBand="0" w:oddHBand="0" w:evenHBand="0" w:firstRowFirstColumn="0" w:firstRowLastColumn="0" w:lastRowFirstColumn="0" w:lastRowLastColumn="0"/>
              <w:rPr>
                <w:rFonts w:eastAsiaTheme="minorHAnsi"/>
                <w:b/>
                <w:lang w:val="en-AU"/>
              </w:rPr>
            </w:pPr>
            <w:r w:rsidRPr="00AA5CB5">
              <w:rPr>
                <w:rFonts w:eastAsiaTheme="minorHAnsi"/>
                <w:b/>
                <w:lang w:val="en-AU"/>
              </w:rPr>
              <w:t xml:space="preserve">Fuel types </w:t>
            </w:r>
          </w:p>
        </w:tc>
        <w:tc>
          <w:tcPr>
            <w:tcW w:w="833" w:type="pct"/>
          </w:tcPr>
          <w:p w14:paraId="4708ACB2" w14:textId="53CD9DC6" w:rsidR="00295868" w:rsidRPr="00AA5CB5" w:rsidRDefault="00295868" w:rsidP="0077587A">
            <w:pPr>
              <w:pStyle w:val="Tableheading"/>
              <w:cnfStyle w:val="100000000000" w:firstRow="1" w:lastRow="0" w:firstColumn="0" w:lastColumn="0" w:oddVBand="0" w:evenVBand="0" w:oddHBand="0" w:evenHBand="0" w:firstRowFirstColumn="0" w:firstRowLastColumn="0" w:lastRowFirstColumn="0" w:lastRowLastColumn="0"/>
              <w:rPr>
                <w:b/>
                <w:highlight w:val="yellow"/>
                <w:lang w:val="en-AU"/>
              </w:rPr>
            </w:pPr>
            <w:r w:rsidRPr="00AA5CB5">
              <w:rPr>
                <w:b/>
                <w:lang w:val="en-AU"/>
              </w:rPr>
              <w:t>Activity data unit</w:t>
            </w:r>
          </w:p>
        </w:tc>
        <w:tc>
          <w:tcPr>
            <w:tcW w:w="833" w:type="pct"/>
          </w:tcPr>
          <w:p w14:paraId="0577A6F6" w14:textId="77777777" w:rsidR="00295868" w:rsidRPr="00AA5CB5" w:rsidRDefault="00295868" w:rsidP="0077587A">
            <w:pPr>
              <w:pStyle w:val="Tableheading"/>
              <w:cnfStyle w:val="100000000000" w:firstRow="1" w:lastRow="0" w:firstColumn="0" w:lastColumn="0" w:oddVBand="0" w:evenVBand="0" w:oddHBand="0" w:evenHBand="0" w:firstRowFirstColumn="0" w:firstRowLastColumn="0" w:lastRowFirstColumn="0" w:lastRowLastColumn="0"/>
              <w:rPr>
                <w:bCs w:val="0"/>
                <w:lang w:val="en-AU"/>
              </w:rPr>
            </w:pPr>
            <w:r w:rsidRPr="00AA5CB5">
              <w:rPr>
                <w:b/>
                <w:lang w:val="en-AU"/>
              </w:rPr>
              <w:t>Energy content factor (EC)</w:t>
            </w:r>
          </w:p>
          <w:p w14:paraId="6EB2F806" w14:textId="5A4CDF24" w:rsidR="00295868" w:rsidRPr="00AA5CB5" w:rsidRDefault="00295868" w:rsidP="0077587A">
            <w:pPr>
              <w:pStyle w:val="Tableheading"/>
              <w:cnfStyle w:val="100000000000" w:firstRow="1" w:lastRow="0" w:firstColumn="0" w:lastColumn="0" w:oddVBand="0" w:evenVBand="0" w:oddHBand="0" w:evenHBand="0" w:firstRowFirstColumn="0" w:firstRowLastColumn="0" w:lastRowFirstColumn="0" w:lastRowLastColumn="0"/>
              <w:rPr>
                <w:b/>
                <w:highlight w:val="yellow"/>
                <w:lang w:val="en-AU"/>
              </w:rPr>
            </w:pPr>
            <w:r w:rsidRPr="00AA5CB5">
              <w:rPr>
                <w:b/>
                <w:lang w:val="en-AU"/>
              </w:rPr>
              <w:lastRenderedPageBreak/>
              <w:t xml:space="preserve">GJ per unit </w:t>
            </w:r>
          </w:p>
        </w:tc>
        <w:tc>
          <w:tcPr>
            <w:tcW w:w="833" w:type="pct"/>
            <w:hideMark/>
          </w:tcPr>
          <w:p w14:paraId="71D3FC94" w14:textId="77777777" w:rsidR="00295868" w:rsidRPr="00AA5CB5" w:rsidRDefault="00295868" w:rsidP="0077587A">
            <w:pPr>
              <w:pStyle w:val="Tableheading"/>
              <w:cnfStyle w:val="100000000000" w:firstRow="1" w:lastRow="0" w:firstColumn="0" w:lastColumn="0" w:oddVBand="0" w:evenVBand="0" w:oddHBand="0" w:evenHBand="0" w:firstRowFirstColumn="0" w:firstRowLastColumn="0" w:lastRowFirstColumn="0" w:lastRowLastColumn="0"/>
              <w:rPr>
                <w:rFonts w:eastAsiaTheme="minorHAnsi"/>
                <w:b/>
                <w:lang w:val="en-AU"/>
              </w:rPr>
            </w:pPr>
            <w:r w:rsidRPr="00AA5CB5">
              <w:rPr>
                <w:rFonts w:eastAsiaTheme="minorHAnsi"/>
                <w:b/>
                <w:lang w:val="en-AU"/>
              </w:rPr>
              <w:lastRenderedPageBreak/>
              <w:t>Net scope 1 emission factor </w:t>
            </w:r>
          </w:p>
          <w:p w14:paraId="6C8DA55C" w14:textId="77777777" w:rsidR="00295868" w:rsidRPr="00AA5CB5" w:rsidRDefault="00295868" w:rsidP="0077587A">
            <w:pPr>
              <w:pStyle w:val="Tableheading"/>
              <w:cnfStyle w:val="100000000000" w:firstRow="1" w:lastRow="0" w:firstColumn="0" w:lastColumn="0" w:oddVBand="0" w:evenVBand="0" w:oddHBand="0" w:evenHBand="0" w:firstRowFirstColumn="0" w:firstRowLastColumn="0" w:lastRowFirstColumn="0" w:lastRowLastColumn="0"/>
              <w:rPr>
                <w:rFonts w:eastAsiaTheme="minorHAnsi"/>
                <w:b/>
                <w:lang w:val="en-AU"/>
              </w:rPr>
            </w:pPr>
            <w:r w:rsidRPr="00AA5CB5">
              <w:rPr>
                <w:rFonts w:eastAsiaTheme="minorHAnsi"/>
                <w:b/>
                <w:lang w:val="en-AU"/>
              </w:rPr>
              <w:lastRenderedPageBreak/>
              <w:t>kg CO</w:t>
            </w:r>
            <w:r w:rsidRPr="00AA5CB5">
              <w:rPr>
                <w:b/>
                <w:lang w:val="en-AU"/>
              </w:rPr>
              <w:t>2</w:t>
            </w:r>
            <w:r w:rsidRPr="00AA5CB5">
              <w:rPr>
                <w:rFonts w:eastAsiaTheme="minorHAnsi"/>
                <w:b/>
                <w:lang w:val="en-AU"/>
              </w:rPr>
              <w:t>-e/GJ</w:t>
            </w:r>
          </w:p>
        </w:tc>
        <w:tc>
          <w:tcPr>
            <w:tcW w:w="833" w:type="pct"/>
            <w:hideMark/>
          </w:tcPr>
          <w:p w14:paraId="110DB455" w14:textId="77777777" w:rsidR="00295868" w:rsidRPr="00AA5CB5" w:rsidRDefault="00295868" w:rsidP="0077587A">
            <w:pPr>
              <w:pStyle w:val="Tableheading"/>
              <w:cnfStyle w:val="100000000000" w:firstRow="1" w:lastRow="0" w:firstColumn="0" w:lastColumn="0" w:oddVBand="0" w:evenVBand="0" w:oddHBand="0" w:evenHBand="0" w:firstRowFirstColumn="0" w:firstRowLastColumn="0" w:lastRowFirstColumn="0" w:lastRowLastColumn="0"/>
              <w:rPr>
                <w:rFonts w:eastAsiaTheme="minorHAnsi"/>
                <w:b/>
                <w:lang w:val="en-AU"/>
              </w:rPr>
            </w:pPr>
            <w:r w:rsidRPr="00AA5CB5">
              <w:rPr>
                <w:rFonts w:eastAsiaTheme="minorHAnsi"/>
                <w:b/>
                <w:lang w:val="en-AU"/>
              </w:rPr>
              <w:lastRenderedPageBreak/>
              <w:t xml:space="preserve">Net scope 3 supply chain </w:t>
            </w:r>
            <w:r w:rsidRPr="00AA5CB5">
              <w:rPr>
                <w:rFonts w:eastAsiaTheme="minorHAnsi"/>
                <w:b/>
                <w:lang w:val="en-AU"/>
              </w:rPr>
              <w:lastRenderedPageBreak/>
              <w:t>emission factor </w:t>
            </w:r>
          </w:p>
          <w:p w14:paraId="55CBE8BC" w14:textId="77777777" w:rsidR="00295868" w:rsidRPr="00AA5CB5" w:rsidRDefault="00295868" w:rsidP="0077587A">
            <w:pPr>
              <w:pStyle w:val="Tableheading"/>
              <w:cnfStyle w:val="100000000000" w:firstRow="1" w:lastRow="0" w:firstColumn="0" w:lastColumn="0" w:oddVBand="0" w:evenVBand="0" w:oddHBand="0" w:evenHBand="0" w:firstRowFirstColumn="0" w:firstRowLastColumn="0" w:lastRowFirstColumn="0" w:lastRowLastColumn="0"/>
              <w:rPr>
                <w:rFonts w:eastAsiaTheme="minorHAnsi"/>
                <w:b/>
                <w:lang w:val="en-AU"/>
              </w:rPr>
            </w:pPr>
            <w:r w:rsidRPr="00AA5CB5">
              <w:rPr>
                <w:rFonts w:eastAsiaTheme="minorHAnsi"/>
                <w:b/>
                <w:lang w:val="en-AU"/>
              </w:rPr>
              <w:t>kg CO</w:t>
            </w:r>
            <w:r w:rsidRPr="00AA5CB5">
              <w:rPr>
                <w:b/>
                <w:lang w:val="en-AU"/>
              </w:rPr>
              <w:t>2</w:t>
            </w:r>
            <w:r w:rsidRPr="00AA5CB5">
              <w:rPr>
                <w:rFonts w:eastAsiaTheme="minorHAnsi"/>
                <w:b/>
                <w:lang w:val="en-AU"/>
              </w:rPr>
              <w:t>-e/GJ</w:t>
            </w:r>
          </w:p>
        </w:tc>
      </w:tr>
      <w:tr w:rsidR="00295868" w:rsidRPr="00AA5CB5" w14:paraId="588377CD" w14:textId="77777777" w:rsidTr="00295868">
        <w:trPr>
          <w:trHeight w:val="212"/>
        </w:trPr>
        <w:tc>
          <w:tcPr>
            <w:cnfStyle w:val="001000000000" w:firstRow="0" w:lastRow="0" w:firstColumn="1" w:lastColumn="0" w:oddVBand="0" w:evenVBand="0" w:oddHBand="0" w:evenHBand="0" w:firstRowFirstColumn="0" w:firstRowLastColumn="0" w:lastRowFirstColumn="0" w:lastRowLastColumn="0"/>
            <w:tcW w:w="833" w:type="pct"/>
          </w:tcPr>
          <w:p w14:paraId="3BCC6E39" w14:textId="2B432E3E" w:rsidR="00295868" w:rsidRPr="00AA5CB5" w:rsidRDefault="00295868" w:rsidP="0077587A">
            <w:pPr>
              <w:pStyle w:val="Tablebodytext"/>
              <w:rPr>
                <w:b w:val="0"/>
                <w:bCs w:val="0"/>
                <w:lang w:val="en-AU"/>
              </w:rPr>
            </w:pPr>
            <w:r w:rsidRPr="00AA5CB5">
              <w:rPr>
                <w:rFonts w:eastAsiaTheme="minorHAnsi"/>
                <w:b w:val="0"/>
                <w:bCs w:val="0"/>
                <w:lang w:val="en-AU"/>
              </w:rPr>
              <w:lastRenderedPageBreak/>
              <w:t>Heavy</w:t>
            </w:r>
            <w:r w:rsidR="0042397C" w:rsidRPr="00AA5CB5">
              <w:rPr>
                <w:rFonts w:eastAsiaTheme="minorHAnsi"/>
                <w:b w:val="0"/>
                <w:bCs w:val="0"/>
                <w:lang w:val="en-AU"/>
              </w:rPr>
              <w:t xml:space="preserve"> duty</w:t>
            </w:r>
            <w:r w:rsidRPr="00AA5CB5">
              <w:rPr>
                <w:rFonts w:eastAsiaTheme="minorHAnsi"/>
                <w:b w:val="0"/>
                <w:bCs w:val="0"/>
                <w:lang w:val="en-AU"/>
              </w:rPr>
              <w:t xml:space="preserve"> trucks and buses</w:t>
            </w:r>
          </w:p>
        </w:tc>
        <w:tc>
          <w:tcPr>
            <w:tcW w:w="833" w:type="pct"/>
            <w:hideMark/>
          </w:tcPr>
          <w:p w14:paraId="105AF996" w14:textId="70CEA446" w:rsidR="00295868" w:rsidRPr="00AA5CB5" w:rsidRDefault="00295868" w:rsidP="0077587A">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 xml:space="preserve">Diesel </w:t>
            </w:r>
          </w:p>
        </w:tc>
        <w:tc>
          <w:tcPr>
            <w:tcW w:w="833" w:type="pct"/>
          </w:tcPr>
          <w:p w14:paraId="177DAFB3" w14:textId="2DA14E77" w:rsidR="00295868" w:rsidRPr="00AA5CB5" w:rsidRDefault="00295868" w:rsidP="0077587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15CFFCF0" w14:textId="3C3024A2" w:rsidR="00295868" w:rsidRPr="00AA5CB5" w:rsidRDefault="00F666C0" w:rsidP="0077587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38.6</w:t>
            </w:r>
          </w:p>
        </w:tc>
        <w:tc>
          <w:tcPr>
            <w:tcW w:w="833" w:type="pct"/>
            <w:hideMark/>
          </w:tcPr>
          <w:p w14:paraId="0D25B089" w14:textId="77777777" w:rsidR="00295868" w:rsidRPr="00AA5CB5" w:rsidRDefault="00295868" w:rsidP="00DD295D">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70.50 </w:t>
            </w:r>
          </w:p>
        </w:tc>
        <w:tc>
          <w:tcPr>
            <w:tcW w:w="833" w:type="pct"/>
            <w:hideMark/>
          </w:tcPr>
          <w:p w14:paraId="79F21E5B" w14:textId="42D2C8E4" w:rsidR="00295868" w:rsidRPr="00AA5CB5" w:rsidRDefault="00295868" w:rsidP="0077587A">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17.3 </w:t>
            </w:r>
          </w:p>
        </w:tc>
      </w:tr>
      <w:tr w:rsidR="00295868" w:rsidRPr="00AA5CB5" w14:paraId="6005EED3" w14:textId="77777777" w:rsidTr="00295868">
        <w:trPr>
          <w:trHeight w:val="212"/>
        </w:trPr>
        <w:tc>
          <w:tcPr>
            <w:cnfStyle w:val="001000000000" w:firstRow="0" w:lastRow="0" w:firstColumn="1" w:lastColumn="0" w:oddVBand="0" w:evenVBand="0" w:oddHBand="0" w:evenHBand="0" w:firstRowFirstColumn="0" w:firstRowLastColumn="0" w:lastRowFirstColumn="0" w:lastRowLastColumn="0"/>
            <w:tcW w:w="833" w:type="pct"/>
          </w:tcPr>
          <w:p w14:paraId="455F07FC" w14:textId="0C6B3435" w:rsidR="00295868" w:rsidRPr="00AA5CB5" w:rsidRDefault="00DC0C68" w:rsidP="0077587A">
            <w:pPr>
              <w:pStyle w:val="Tablebodytext"/>
              <w:rPr>
                <w:b w:val="0"/>
                <w:bCs w:val="0"/>
                <w:lang w:val="en-AU"/>
              </w:rPr>
            </w:pPr>
            <w:r w:rsidRPr="00AA5CB5">
              <w:rPr>
                <w:rFonts w:eastAsiaTheme="minorHAnsi"/>
                <w:b w:val="0"/>
                <w:bCs w:val="0"/>
                <w:lang w:val="en-AU"/>
              </w:rPr>
              <w:t>Other</w:t>
            </w:r>
            <w:r w:rsidR="00295868" w:rsidRPr="00AA5CB5">
              <w:rPr>
                <w:rFonts w:eastAsiaTheme="minorHAnsi"/>
                <w:b w:val="0"/>
                <w:bCs w:val="0"/>
                <w:lang w:val="en-AU"/>
              </w:rPr>
              <w:t xml:space="preserve"> vehicles</w:t>
            </w:r>
          </w:p>
        </w:tc>
        <w:tc>
          <w:tcPr>
            <w:tcW w:w="833" w:type="pct"/>
            <w:hideMark/>
          </w:tcPr>
          <w:p w14:paraId="4697DF4B" w14:textId="3E079D1D" w:rsidR="00295868" w:rsidRPr="00AA5CB5" w:rsidRDefault="00295868" w:rsidP="0077587A">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 xml:space="preserve">Diesel </w:t>
            </w:r>
          </w:p>
        </w:tc>
        <w:tc>
          <w:tcPr>
            <w:tcW w:w="833" w:type="pct"/>
          </w:tcPr>
          <w:p w14:paraId="39CE7A38" w14:textId="204C06B8" w:rsidR="00295868" w:rsidRPr="00AA5CB5" w:rsidRDefault="00295868" w:rsidP="0077587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63D4DB47" w14:textId="5E662399" w:rsidR="00295868" w:rsidRPr="00AA5CB5" w:rsidRDefault="00224D2C" w:rsidP="0077587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38.6</w:t>
            </w:r>
          </w:p>
        </w:tc>
        <w:tc>
          <w:tcPr>
            <w:tcW w:w="833" w:type="pct"/>
            <w:hideMark/>
          </w:tcPr>
          <w:p w14:paraId="4B5E28B2" w14:textId="77777777" w:rsidR="00295868" w:rsidRPr="00AA5CB5" w:rsidRDefault="00295868" w:rsidP="00DD295D">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70.41 </w:t>
            </w:r>
          </w:p>
        </w:tc>
        <w:tc>
          <w:tcPr>
            <w:tcW w:w="833" w:type="pct"/>
            <w:hideMark/>
          </w:tcPr>
          <w:p w14:paraId="764C1671" w14:textId="43C8E47B" w:rsidR="00295868" w:rsidRPr="00AA5CB5" w:rsidRDefault="00295868" w:rsidP="0077587A">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17.3</w:t>
            </w:r>
          </w:p>
        </w:tc>
      </w:tr>
      <w:tr w:rsidR="00DC0C68" w:rsidRPr="00AA5CB5" w14:paraId="5371D296" w14:textId="77777777" w:rsidTr="00295868">
        <w:trPr>
          <w:trHeight w:val="212"/>
        </w:trPr>
        <w:tc>
          <w:tcPr>
            <w:cnfStyle w:val="001000000000" w:firstRow="0" w:lastRow="0" w:firstColumn="1" w:lastColumn="0" w:oddVBand="0" w:evenVBand="0" w:oddHBand="0" w:evenHBand="0" w:firstRowFirstColumn="0" w:firstRowLastColumn="0" w:lastRowFirstColumn="0" w:lastRowLastColumn="0"/>
            <w:tcW w:w="833" w:type="pct"/>
          </w:tcPr>
          <w:p w14:paraId="5F36B365" w14:textId="4AED4B36" w:rsidR="00DC0C68" w:rsidRPr="00AA5CB5" w:rsidRDefault="00DC0C68" w:rsidP="00DC0C68">
            <w:pPr>
              <w:pStyle w:val="Tablebodytext"/>
              <w:rPr>
                <w:b w:val="0"/>
                <w:bCs w:val="0"/>
                <w:lang w:val="en-AU"/>
              </w:rPr>
            </w:pPr>
            <w:r w:rsidRPr="00AA5CB5">
              <w:rPr>
                <w:rFonts w:eastAsiaTheme="minorHAnsi"/>
                <w:b w:val="0"/>
                <w:bCs w:val="0"/>
                <w:lang w:val="en-AU"/>
              </w:rPr>
              <w:t>Other vehicles</w:t>
            </w:r>
          </w:p>
        </w:tc>
        <w:tc>
          <w:tcPr>
            <w:tcW w:w="833" w:type="pct"/>
            <w:hideMark/>
          </w:tcPr>
          <w:p w14:paraId="5EA80591" w14:textId="3E33AB12" w:rsidR="00DC0C68" w:rsidRPr="00AA5CB5" w:rsidRDefault="00DC0C68" w:rsidP="00DC0C68">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Biodiesel</w:t>
            </w:r>
          </w:p>
        </w:tc>
        <w:tc>
          <w:tcPr>
            <w:tcW w:w="833" w:type="pct"/>
          </w:tcPr>
          <w:p w14:paraId="1C07B84D" w14:textId="1FAA925E" w:rsidR="00DC0C68" w:rsidRPr="00AA5CB5" w:rsidRDefault="00DC0C68" w:rsidP="00DC0C68">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76B53AE9" w14:textId="7D21A661" w:rsidR="00DC0C68" w:rsidRPr="00AA5CB5" w:rsidRDefault="00224D2C" w:rsidP="00DC0C68">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34.6</w:t>
            </w:r>
          </w:p>
        </w:tc>
        <w:tc>
          <w:tcPr>
            <w:tcW w:w="833" w:type="pct"/>
            <w:hideMark/>
          </w:tcPr>
          <w:p w14:paraId="6EEA819C" w14:textId="77777777" w:rsidR="00DC0C68" w:rsidRPr="00AA5CB5" w:rsidRDefault="00DC0C68" w:rsidP="00DD295D">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2.50 </w:t>
            </w:r>
          </w:p>
        </w:tc>
        <w:tc>
          <w:tcPr>
            <w:tcW w:w="833" w:type="pct"/>
            <w:hideMark/>
          </w:tcPr>
          <w:p w14:paraId="357B3A21" w14:textId="32A8E5F1" w:rsidR="00DC0C68" w:rsidRPr="00AA5CB5" w:rsidRDefault="00155B9C" w:rsidP="00DC0C68">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Not available</w:t>
            </w:r>
          </w:p>
        </w:tc>
      </w:tr>
      <w:tr w:rsidR="00183687" w:rsidRPr="00AA5CB5" w14:paraId="2C81EB75" w14:textId="77777777" w:rsidTr="00295868">
        <w:trPr>
          <w:trHeight w:val="212"/>
        </w:trPr>
        <w:tc>
          <w:tcPr>
            <w:cnfStyle w:val="001000000000" w:firstRow="0" w:lastRow="0" w:firstColumn="1" w:lastColumn="0" w:oddVBand="0" w:evenVBand="0" w:oddHBand="0" w:evenHBand="0" w:firstRowFirstColumn="0" w:firstRowLastColumn="0" w:lastRowFirstColumn="0" w:lastRowLastColumn="0"/>
            <w:tcW w:w="833" w:type="pct"/>
          </w:tcPr>
          <w:p w14:paraId="3B7546A8" w14:textId="5C372758" w:rsidR="00183687" w:rsidRPr="00AA5CB5" w:rsidRDefault="00183687" w:rsidP="00183687">
            <w:pPr>
              <w:pStyle w:val="Tablebodytext"/>
              <w:rPr>
                <w:b w:val="0"/>
                <w:bCs w:val="0"/>
                <w:lang w:val="en-AU"/>
              </w:rPr>
            </w:pPr>
            <w:r w:rsidRPr="00AA5CB5">
              <w:rPr>
                <w:b w:val="0"/>
                <w:bCs w:val="0"/>
                <w:lang w:val="en-AU"/>
              </w:rPr>
              <w:t>Other vehicles</w:t>
            </w:r>
          </w:p>
        </w:tc>
        <w:tc>
          <w:tcPr>
            <w:tcW w:w="833" w:type="pct"/>
          </w:tcPr>
          <w:p w14:paraId="1D2474DF" w14:textId="5A305E81"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Ethanol mix</w:t>
            </w:r>
          </w:p>
        </w:tc>
        <w:tc>
          <w:tcPr>
            <w:tcW w:w="833" w:type="pct"/>
          </w:tcPr>
          <w:p w14:paraId="1AA460B0" w14:textId="28B01CB9"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2F1DF2F7" w14:textId="074AA773"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33.12</w:t>
            </w:r>
          </w:p>
        </w:tc>
        <w:tc>
          <w:tcPr>
            <w:tcW w:w="833" w:type="pct"/>
          </w:tcPr>
          <w:p w14:paraId="2AFEBBF5" w14:textId="560689C5" w:rsidR="00183687" w:rsidRPr="00AA5CB5" w:rsidRDefault="00183687" w:rsidP="00183687">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60.898 </w:t>
            </w:r>
          </w:p>
        </w:tc>
        <w:tc>
          <w:tcPr>
            <w:tcW w:w="833" w:type="pct"/>
          </w:tcPr>
          <w:p w14:paraId="097D71C3" w14:textId="53E01DBC"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15.48</w:t>
            </w:r>
          </w:p>
        </w:tc>
      </w:tr>
      <w:tr w:rsidR="00183687" w:rsidRPr="00AA5CB5" w14:paraId="0D5C0FB1" w14:textId="77777777" w:rsidTr="00295868">
        <w:trPr>
          <w:trHeight w:val="212"/>
        </w:trPr>
        <w:tc>
          <w:tcPr>
            <w:cnfStyle w:val="001000000000" w:firstRow="0" w:lastRow="0" w:firstColumn="1" w:lastColumn="0" w:oddVBand="0" w:evenVBand="0" w:oddHBand="0" w:evenHBand="0" w:firstRowFirstColumn="0" w:firstRowLastColumn="0" w:lastRowFirstColumn="0" w:lastRowLastColumn="0"/>
            <w:tcW w:w="833" w:type="pct"/>
          </w:tcPr>
          <w:p w14:paraId="729370CB" w14:textId="5E9D8654" w:rsidR="00183687" w:rsidRPr="00AA5CB5" w:rsidRDefault="00183687" w:rsidP="00183687">
            <w:pPr>
              <w:pStyle w:val="Tablebodytext"/>
              <w:rPr>
                <w:b w:val="0"/>
                <w:bCs w:val="0"/>
                <w:lang w:val="en-AU"/>
              </w:rPr>
            </w:pPr>
            <w:r w:rsidRPr="00AA5CB5">
              <w:rPr>
                <w:rFonts w:eastAsiaTheme="minorHAnsi"/>
                <w:b w:val="0"/>
                <w:bCs w:val="0"/>
                <w:lang w:val="en-AU"/>
              </w:rPr>
              <w:t>Other vehicles</w:t>
            </w:r>
          </w:p>
        </w:tc>
        <w:tc>
          <w:tcPr>
            <w:tcW w:w="833" w:type="pct"/>
            <w:hideMark/>
          </w:tcPr>
          <w:p w14:paraId="6AE08E0B" w14:textId="0BB75302"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 xml:space="preserve">Pure ethanol </w:t>
            </w:r>
          </w:p>
        </w:tc>
        <w:tc>
          <w:tcPr>
            <w:tcW w:w="833" w:type="pct"/>
          </w:tcPr>
          <w:p w14:paraId="417B0D92" w14:textId="2A04496A"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0DD50AF9" w14:textId="648BC95F"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23.4</w:t>
            </w:r>
          </w:p>
        </w:tc>
        <w:tc>
          <w:tcPr>
            <w:tcW w:w="833" w:type="pct"/>
            <w:hideMark/>
          </w:tcPr>
          <w:p w14:paraId="43B62E90" w14:textId="77777777" w:rsidR="00183687" w:rsidRPr="00AA5CB5" w:rsidRDefault="00183687" w:rsidP="00183687">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0.40 </w:t>
            </w:r>
          </w:p>
        </w:tc>
        <w:tc>
          <w:tcPr>
            <w:tcW w:w="833" w:type="pct"/>
            <w:hideMark/>
          </w:tcPr>
          <w:p w14:paraId="3F2519D0" w14:textId="28D84730"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Not available</w:t>
            </w:r>
          </w:p>
        </w:tc>
      </w:tr>
      <w:tr w:rsidR="00183687" w:rsidRPr="00AA5CB5" w14:paraId="0BAD001A" w14:textId="77777777" w:rsidTr="00295868">
        <w:trPr>
          <w:trHeight w:val="212"/>
        </w:trPr>
        <w:tc>
          <w:tcPr>
            <w:cnfStyle w:val="001000000000" w:firstRow="0" w:lastRow="0" w:firstColumn="1" w:lastColumn="0" w:oddVBand="0" w:evenVBand="0" w:oddHBand="0" w:evenHBand="0" w:firstRowFirstColumn="0" w:firstRowLastColumn="0" w:lastRowFirstColumn="0" w:lastRowLastColumn="0"/>
            <w:tcW w:w="833" w:type="pct"/>
          </w:tcPr>
          <w:p w14:paraId="38680E11" w14:textId="23BE8268" w:rsidR="00183687" w:rsidRPr="00AA5CB5" w:rsidRDefault="00183687" w:rsidP="00183687">
            <w:pPr>
              <w:pStyle w:val="Tablebodytext"/>
              <w:rPr>
                <w:b w:val="0"/>
                <w:bCs w:val="0"/>
                <w:lang w:val="en-AU"/>
              </w:rPr>
            </w:pPr>
            <w:r w:rsidRPr="00AA5CB5">
              <w:rPr>
                <w:rFonts w:eastAsiaTheme="minorHAnsi"/>
                <w:b w:val="0"/>
                <w:bCs w:val="0"/>
                <w:lang w:val="en-AU"/>
              </w:rPr>
              <w:t>Other vehicles</w:t>
            </w:r>
          </w:p>
        </w:tc>
        <w:tc>
          <w:tcPr>
            <w:tcW w:w="833" w:type="pct"/>
            <w:hideMark/>
          </w:tcPr>
          <w:p w14:paraId="1FD2A596" w14:textId="06745831"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 xml:space="preserve">Gasoline </w:t>
            </w:r>
          </w:p>
        </w:tc>
        <w:tc>
          <w:tcPr>
            <w:tcW w:w="833" w:type="pct"/>
          </w:tcPr>
          <w:p w14:paraId="3ADBA01A" w14:textId="018132AA"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077B5F72" w14:textId="5AFE7E96"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34.2</w:t>
            </w:r>
          </w:p>
        </w:tc>
        <w:tc>
          <w:tcPr>
            <w:tcW w:w="833" w:type="pct"/>
            <w:hideMark/>
          </w:tcPr>
          <w:p w14:paraId="6F272C61" w14:textId="77777777" w:rsidR="00183687" w:rsidRPr="00AA5CB5" w:rsidRDefault="00183687" w:rsidP="00183687">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67.62 </w:t>
            </w:r>
          </w:p>
        </w:tc>
        <w:tc>
          <w:tcPr>
            <w:tcW w:w="833" w:type="pct"/>
            <w:hideMark/>
          </w:tcPr>
          <w:p w14:paraId="4CDE6A9E" w14:textId="5CE4E010"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 17.2</w:t>
            </w:r>
          </w:p>
        </w:tc>
      </w:tr>
      <w:tr w:rsidR="00183687" w:rsidRPr="00AA5CB5" w14:paraId="1CC9C17C" w14:textId="77777777" w:rsidTr="00295868">
        <w:trPr>
          <w:trHeight w:val="212"/>
        </w:trPr>
        <w:tc>
          <w:tcPr>
            <w:cnfStyle w:val="001000000000" w:firstRow="0" w:lastRow="0" w:firstColumn="1" w:lastColumn="0" w:oddVBand="0" w:evenVBand="0" w:oddHBand="0" w:evenHBand="0" w:firstRowFirstColumn="0" w:firstRowLastColumn="0" w:lastRowFirstColumn="0" w:lastRowLastColumn="0"/>
            <w:tcW w:w="833" w:type="pct"/>
          </w:tcPr>
          <w:p w14:paraId="7569B1CC" w14:textId="4C6BAFA6" w:rsidR="00183687" w:rsidRPr="00AA5CB5" w:rsidRDefault="00183687" w:rsidP="00183687">
            <w:pPr>
              <w:pStyle w:val="Tablebodytext"/>
              <w:rPr>
                <w:b w:val="0"/>
                <w:bCs w:val="0"/>
                <w:lang w:val="en-AU"/>
              </w:rPr>
            </w:pPr>
            <w:r w:rsidRPr="00AA5CB5">
              <w:rPr>
                <w:rFonts w:eastAsiaTheme="minorHAnsi"/>
                <w:b w:val="0"/>
                <w:bCs w:val="0"/>
                <w:lang w:val="en-AU"/>
              </w:rPr>
              <w:t>Other vehicles</w:t>
            </w:r>
          </w:p>
        </w:tc>
        <w:tc>
          <w:tcPr>
            <w:tcW w:w="833" w:type="pct"/>
            <w:hideMark/>
          </w:tcPr>
          <w:p w14:paraId="06E98A9D" w14:textId="1536E130"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Liquid petroleum gas (LPG)</w:t>
            </w:r>
          </w:p>
        </w:tc>
        <w:tc>
          <w:tcPr>
            <w:tcW w:w="833" w:type="pct"/>
          </w:tcPr>
          <w:p w14:paraId="533B267A" w14:textId="54815E5A"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0C9F76B5" w14:textId="60809F1F"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26.2</w:t>
            </w:r>
          </w:p>
        </w:tc>
        <w:tc>
          <w:tcPr>
            <w:tcW w:w="833" w:type="pct"/>
            <w:hideMark/>
          </w:tcPr>
          <w:p w14:paraId="4877601B" w14:textId="77777777" w:rsidR="00183687" w:rsidRPr="00AA5CB5" w:rsidRDefault="00183687" w:rsidP="00183687">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61.00 </w:t>
            </w:r>
          </w:p>
        </w:tc>
        <w:tc>
          <w:tcPr>
            <w:tcW w:w="833" w:type="pct"/>
            <w:hideMark/>
          </w:tcPr>
          <w:p w14:paraId="26AED90E" w14:textId="40CC4569"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 20.2</w:t>
            </w:r>
          </w:p>
        </w:tc>
      </w:tr>
      <w:tr w:rsidR="00183687" w:rsidRPr="00AA5CB5" w14:paraId="42989F75" w14:textId="77777777" w:rsidTr="00295868">
        <w:trPr>
          <w:trHeight w:val="212"/>
        </w:trPr>
        <w:tc>
          <w:tcPr>
            <w:cnfStyle w:val="001000000000" w:firstRow="0" w:lastRow="0" w:firstColumn="1" w:lastColumn="0" w:oddVBand="0" w:evenVBand="0" w:oddHBand="0" w:evenHBand="0" w:firstRowFirstColumn="0" w:firstRowLastColumn="0" w:lastRowFirstColumn="0" w:lastRowLastColumn="0"/>
            <w:tcW w:w="833" w:type="pct"/>
          </w:tcPr>
          <w:p w14:paraId="77B8B29D" w14:textId="64026F10" w:rsidR="00183687" w:rsidRPr="00AA5CB5" w:rsidRDefault="00183687" w:rsidP="00183687">
            <w:pPr>
              <w:pStyle w:val="Tablebodytext"/>
              <w:rPr>
                <w:b w:val="0"/>
                <w:bCs w:val="0"/>
                <w:lang w:val="en-AU"/>
              </w:rPr>
            </w:pPr>
            <w:r w:rsidRPr="00AA5CB5">
              <w:rPr>
                <w:rFonts w:eastAsiaTheme="minorHAnsi"/>
                <w:b w:val="0"/>
                <w:bCs w:val="0"/>
                <w:lang w:val="en-AU"/>
              </w:rPr>
              <w:t>Other vehicles</w:t>
            </w:r>
          </w:p>
        </w:tc>
        <w:tc>
          <w:tcPr>
            <w:tcW w:w="833" w:type="pct"/>
            <w:hideMark/>
          </w:tcPr>
          <w:p w14:paraId="03106BE5" w14:textId="4ED25FF9"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 xml:space="preserve">Other biofuels </w:t>
            </w:r>
          </w:p>
        </w:tc>
        <w:tc>
          <w:tcPr>
            <w:tcW w:w="833" w:type="pct"/>
          </w:tcPr>
          <w:p w14:paraId="1AD88991" w14:textId="020D7E30"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26299B49" w14:textId="2A730D66"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23.4</w:t>
            </w:r>
          </w:p>
        </w:tc>
        <w:tc>
          <w:tcPr>
            <w:tcW w:w="833" w:type="pct"/>
            <w:hideMark/>
          </w:tcPr>
          <w:p w14:paraId="2807EC5C" w14:textId="77777777" w:rsidR="00183687" w:rsidRPr="00AA5CB5" w:rsidRDefault="00183687" w:rsidP="00183687">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2.50</w:t>
            </w:r>
          </w:p>
        </w:tc>
        <w:tc>
          <w:tcPr>
            <w:tcW w:w="833" w:type="pct"/>
            <w:hideMark/>
          </w:tcPr>
          <w:p w14:paraId="530359CB" w14:textId="1DEF4500" w:rsidR="00183687" w:rsidRPr="00AA5CB5" w:rsidRDefault="00183687" w:rsidP="00183687">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Not available</w:t>
            </w:r>
          </w:p>
        </w:tc>
      </w:tr>
    </w:tbl>
    <w:p w14:paraId="1835D393" w14:textId="77777777" w:rsidR="00C05C90" w:rsidRPr="00AA5CB5" w:rsidRDefault="00C05C90">
      <w:pPr>
        <w:pStyle w:val="Notebullets1"/>
        <w:numPr>
          <w:ilvl w:val="0"/>
          <w:numId w:val="0"/>
        </w:numPr>
        <w:contextualSpacing/>
      </w:pPr>
      <w:r w:rsidRPr="00AA5CB5">
        <w:t xml:space="preserve">* Ethanol mix assumes a mix of 10% ethanol and 90% gasoline (E10). Energy content factors and emissions factors were calculated as the addition of the EC or EF of gasoline multiplied by 90% and the EC or EF of pure ethanol multiplied by 10%.  </w:t>
      </w:r>
    </w:p>
    <w:p w14:paraId="61D1559B" w14:textId="73F02569" w:rsidR="005E42B3" w:rsidRPr="00AA5CB5" w:rsidRDefault="005E543E" w:rsidP="0007457F">
      <w:pPr>
        <w:pStyle w:val="notebullet2"/>
        <w:numPr>
          <w:ilvl w:val="0"/>
          <w:numId w:val="0"/>
        </w:numPr>
      </w:pPr>
      <w:r w:rsidRPr="00AA5CB5">
        <w:t xml:space="preserve">Note: </w:t>
      </w:r>
      <w:r w:rsidR="005E42B3" w:rsidRPr="00AA5CB5">
        <w:t xml:space="preserve">Emissions factors for other vehicles </w:t>
      </w:r>
      <w:r w:rsidR="00236AF9" w:rsidRPr="00AA5CB5">
        <w:t>are</w:t>
      </w:r>
      <w:r w:rsidR="005E42B3" w:rsidRPr="00AA5CB5">
        <w:t xml:space="preserve"> applied to </w:t>
      </w:r>
      <w:r w:rsidR="007D4990" w:rsidRPr="00AA5CB5">
        <w:t>o</w:t>
      </w:r>
      <w:r w:rsidR="005E42B3" w:rsidRPr="00AA5CB5">
        <w:t xml:space="preserve">ther </w:t>
      </w:r>
      <w:r w:rsidR="009819EA" w:rsidRPr="00AA5CB5">
        <w:t>o</w:t>
      </w:r>
      <w:r w:rsidR="005E42B3" w:rsidRPr="00AA5CB5">
        <w:t>ff-</w:t>
      </w:r>
      <w:r w:rsidR="009819EA" w:rsidRPr="00AA5CB5">
        <w:t>r</w:t>
      </w:r>
      <w:r w:rsidR="005E42B3" w:rsidRPr="00AA5CB5">
        <w:t xml:space="preserve">oad </w:t>
      </w:r>
      <w:r w:rsidR="009819EA" w:rsidRPr="00AA5CB5">
        <w:t>v</w:t>
      </w:r>
      <w:r w:rsidR="005E42B3" w:rsidRPr="00AA5CB5">
        <w:t xml:space="preserve">ehicles, </w:t>
      </w:r>
      <w:r w:rsidR="009819EA" w:rsidRPr="00AA5CB5">
        <w:t>d</w:t>
      </w:r>
      <w:r w:rsidR="005E42B3" w:rsidRPr="00AA5CB5">
        <w:t xml:space="preserve">omestic </w:t>
      </w:r>
      <w:r w:rsidR="009819EA" w:rsidRPr="00AA5CB5">
        <w:t>m</w:t>
      </w:r>
      <w:r w:rsidR="005E42B3" w:rsidRPr="00AA5CB5">
        <w:t xml:space="preserve">arine, </w:t>
      </w:r>
      <w:r w:rsidR="009819EA" w:rsidRPr="00AA5CB5">
        <w:t>m</w:t>
      </w:r>
      <w:r w:rsidR="005E42B3" w:rsidRPr="00AA5CB5">
        <w:t>otorcycles</w:t>
      </w:r>
      <w:r w:rsidR="007D4990" w:rsidRPr="00AA5CB5">
        <w:t xml:space="preserve"> and</w:t>
      </w:r>
      <w:r w:rsidR="005E42B3" w:rsidRPr="00AA5CB5">
        <w:t xml:space="preserve"> </w:t>
      </w:r>
      <w:r w:rsidR="00EE3362" w:rsidRPr="00AA5CB5">
        <w:t>heavy-duty</w:t>
      </w:r>
      <w:r w:rsidR="005E42B3" w:rsidRPr="00AA5CB5">
        <w:t xml:space="preserve"> </w:t>
      </w:r>
      <w:r w:rsidR="009819EA" w:rsidRPr="00AA5CB5">
        <w:t>t</w:t>
      </w:r>
      <w:r w:rsidR="005E42B3" w:rsidRPr="00AA5CB5">
        <w:t xml:space="preserve">rucks and </w:t>
      </w:r>
      <w:r w:rsidR="009819EA" w:rsidRPr="00AA5CB5">
        <w:t>b</w:t>
      </w:r>
      <w:r w:rsidR="005E42B3" w:rsidRPr="00AA5CB5">
        <w:t xml:space="preserve">uses, with exceptions for: </w:t>
      </w:r>
    </w:p>
    <w:p w14:paraId="4155C337" w14:textId="77777777" w:rsidR="005E543E" w:rsidRPr="00AA5CB5" w:rsidRDefault="005E42B3" w:rsidP="0007457F">
      <w:pPr>
        <w:pStyle w:val="notebullet2"/>
        <w:ind w:left="0" w:firstLine="0"/>
      </w:pPr>
      <w:r w:rsidRPr="00AA5CB5">
        <w:t>LPG, biodiesel, or diesel</w:t>
      </w:r>
      <w:r w:rsidR="003F2107" w:rsidRPr="00AA5CB5">
        <w:t>, which are not applicable to motorcycles.</w:t>
      </w:r>
    </w:p>
    <w:p w14:paraId="331AFC32" w14:textId="77777777" w:rsidR="005E543E" w:rsidRPr="00AA5CB5" w:rsidRDefault="005E42B3" w:rsidP="0007457F">
      <w:pPr>
        <w:pStyle w:val="notebullet2"/>
        <w:ind w:left="0" w:firstLine="0"/>
      </w:pPr>
      <w:r w:rsidRPr="00AA5CB5">
        <w:t>LPG</w:t>
      </w:r>
      <w:r w:rsidR="003F2107" w:rsidRPr="00AA5CB5">
        <w:t>,</w:t>
      </w:r>
      <w:r w:rsidRPr="00AA5CB5">
        <w:t xml:space="preserve"> which is not applicable domestic marine.</w:t>
      </w:r>
    </w:p>
    <w:p w14:paraId="6EAB1CBC" w14:textId="34EC482A" w:rsidR="000865B7" w:rsidRPr="00AA5CB5" w:rsidRDefault="005E42B3" w:rsidP="0007457F">
      <w:pPr>
        <w:pStyle w:val="notebullet2"/>
        <w:ind w:left="0" w:firstLine="0"/>
      </w:pPr>
      <w:r w:rsidRPr="00AA5CB5">
        <w:t xml:space="preserve">Diesel </w:t>
      </w:r>
      <w:r w:rsidR="006E2917" w:rsidRPr="00AA5CB5">
        <w:t xml:space="preserve">in </w:t>
      </w:r>
      <w:r w:rsidRPr="00AA5CB5">
        <w:t>heavy</w:t>
      </w:r>
      <w:r w:rsidR="003F2107" w:rsidRPr="00AA5CB5">
        <w:t>-duty</w:t>
      </w:r>
      <w:r w:rsidRPr="00AA5CB5">
        <w:t xml:space="preserve"> trucks and buses, which use the emission factor</w:t>
      </w:r>
      <w:r w:rsidR="003F2107" w:rsidRPr="00AA5CB5">
        <w:t>s</w:t>
      </w:r>
      <w:r w:rsidRPr="00AA5CB5">
        <w:t xml:space="preserve"> for Euro </w:t>
      </w:r>
      <w:r w:rsidR="006E2917" w:rsidRPr="00AA5CB5">
        <w:t>i</w:t>
      </w:r>
      <w:r w:rsidR="003F2107" w:rsidRPr="00AA5CB5">
        <w:t>, Euro i</w:t>
      </w:r>
      <w:r w:rsidR="006E2917" w:rsidRPr="00AA5CB5">
        <w:t>i</w:t>
      </w:r>
      <w:r w:rsidR="003F2107" w:rsidRPr="00AA5CB5">
        <w:t xml:space="preserve">i, Euro iv or </w:t>
      </w:r>
      <w:r w:rsidR="006E2917" w:rsidRPr="00AA5CB5">
        <w:t>higher</w:t>
      </w:r>
      <w:r w:rsidR="00281DDE" w:rsidRPr="00AA5CB5">
        <w:t xml:space="preserve"> diesel oil</w:t>
      </w:r>
      <w:r w:rsidRPr="00AA5CB5">
        <w:t>.</w:t>
      </w:r>
      <w:r w:rsidR="00281DDE" w:rsidRPr="00AA5CB5">
        <w:t xml:space="preserve"> </w:t>
      </w:r>
      <w:r w:rsidR="00684DED">
        <w:t>Refer to</w:t>
      </w:r>
      <w:r w:rsidR="00281DDE" w:rsidRPr="00AA5CB5">
        <w:t xml:space="preserve"> </w:t>
      </w:r>
      <w:r w:rsidR="00281DDE" w:rsidRPr="00AA5CB5">
        <w:fldChar w:fldCharType="begin"/>
      </w:r>
      <w:r w:rsidR="00281DDE" w:rsidRPr="00AA5CB5">
        <w:instrText xml:space="preserve"> REF _Ref199436347 \h  \* MERGEFORMAT </w:instrText>
      </w:r>
      <w:r w:rsidR="00281DDE" w:rsidRPr="00AA5CB5">
        <w:fldChar w:fldCharType="separate"/>
      </w:r>
      <w:r w:rsidR="00422A37" w:rsidRPr="00AA5CB5">
        <w:t xml:space="preserve">Table </w:t>
      </w:r>
      <w:r w:rsidR="00422A37">
        <w:t>17</w:t>
      </w:r>
      <w:r w:rsidR="00281DDE" w:rsidRPr="00AA5CB5">
        <w:fldChar w:fldCharType="end"/>
      </w:r>
      <w:r w:rsidR="00281DDE" w:rsidRPr="00AA5CB5">
        <w:t>.</w:t>
      </w:r>
    </w:p>
    <w:p w14:paraId="5ECA179C" w14:textId="66B5FCAB" w:rsidR="000865B7" w:rsidRPr="00AA5CB5" w:rsidRDefault="000865B7">
      <w:pPr>
        <w:pStyle w:val="notebullet2"/>
        <w:numPr>
          <w:ilvl w:val="0"/>
          <w:numId w:val="0"/>
        </w:numPr>
      </w:pPr>
      <w:r w:rsidRPr="00AA5CB5">
        <w:rPr>
          <w:rStyle w:val="Notebullets1Char"/>
        </w:rPr>
        <w:t>Source:</w:t>
      </w:r>
      <w:r w:rsidRPr="00AA5CB5">
        <w:t xml:space="preserve"> DCCEEW (2024) </w:t>
      </w:r>
      <w:hyperlink r:id="rId71" w:history="1">
        <w:r w:rsidRPr="00AA5CB5">
          <w:rPr>
            <w:rStyle w:val="Hyperlink1"/>
            <w:rFonts w:asciiTheme="minorHAnsi" w:hAnsiTheme="minorHAnsi" w:cstheme="minorHAnsi"/>
            <w:i/>
            <w:iCs/>
            <w:sz w:val="20"/>
            <w:szCs w:val="20"/>
          </w:rPr>
          <w:t>Australian National Greenhouse Accounts Factors</w:t>
        </w:r>
      </w:hyperlink>
      <w:r w:rsidRPr="00AA5CB5">
        <w:t>, DCCEEW, 2024:25-26; table 9, accessed 14 February 2025.</w:t>
      </w:r>
    </w:p>
    <w:p w14:paraId="6EA09E3F" w14:textId="4784B413" w:rsidR="009B6F39" w:rsidRPr="00AA5CB5" w:rsidRDefault="009B6F39" w:rsidP="009B6F39">
      <w:pPr>
        <w:pStyle w:val="Caption"/>
      </w:pPr>
      <w:bookmarkStart w:id="176" w:name="_Toc197438655"/>
      <w:bookmarkStart w:id="177" w:name="_Toc197438673"/>
      <w:bookmarkStart w:id="178" w:name="_Toc201927389"/>
      <w:r w:rsidRPr="00AA5CB5">
        <w:t xml:space="preserve">Table </w:t>
      </w:r>
      <w:r w:rsidRPr="00AA5CB5">
        <w:fldChar w:fldCharType="begin"/>
      </w:r>
      <w:r w:rsidRPr="00AA5CB5">
        <w:instrText xml:space="preserve"> SEQ Table \* ARABIC </w:instrText>
      </w:r>
      <w:r w:rsidRPr="00AA5CB5">
        <w:fldChar w:fldCharType="separate"/>
      </w:r>
      <w:r w:rsidR="00422A37">
        <w:rPr>
          <w:noProof/>
        </w:rPr>
        <w:t>16</w:t>
      </w:r>
      <w:r w:rsidRPr="00AA5CB5">
        <w:fldChar w:fldCharType="end"/>
      </w:r>
      <w:r w:rsidR="0088604A">
        <w:t>:</w:t>
      </w:r>
      <w:r w:rsidRPr="00AA5CB5">
        <w:t xml:space="preserve"> Mobile combustion –</w:t>
      </w:r>
      <w:r w:rsidR="006A48BE">
        <w:t>e</w:t>
      </w:r>
      <w:r w:rsidRPr="00AA5CB5">
        <w:t>mission factors for cars and light commercial vehicles</w:t>
      </w:r>
      <w:bookmarkEnd w:id="176"/>
      <w:bookmarkEnd w:id="177"/>
      <w:bookmarkEnd w:id="178"/>
    </w:p>
    <w:tbl>
      <w:tblPr>
        <w:tblStyle w:val="ListTable4-Accent6"/>
        <w:tblW w:w="5000" w:type="pct"/>
        <w:tblInd w:w="0" w:type="dxa"/>
        <w:tblLook w:val="06A0" w:firstRow="1" w:lastRow="0" w:firstColumn="1" w:lastColumn="0" w:noHBand="1" w:noVBand="1"/>
      </w:tblPr>
      <w:tblGrid>
        <w:gridCol w:w="1567"/>
        <w:gridCol w:w="1567"/>
        <w:gridCol w:w="1567"/>
        <w:gridCol w:w="1567"/>
        <w:gridCol w:w="1567"/>
        <w:gridCol w:w="1567"/>
      </w:tblGrid>
      <w:tr w:rsidR="00C733B0" w:rsidRPr="00AA5CB5" w14:paraId="26414214" w14:textId="77777777" w:rsidTr="005B5558">
        <w:trPr>
          <w:cnfStyle w:val="100000000000" w:firstRow="1" w:lastRow="0" w:firstColumn="0" w:lastColumn="0" w:oddVBand="0" w:evenVBand="0" w:oddHBand="0" w:evenHBand="0" w:firstRowFirstColumn="0" w:firstRowLastColumn="0" w:lastRowFirstColumn="0" w:lastRowLastColumn="0"/>
          <w:trHeight w:val="592"/>
          <w:tblHeader/>
        </w:trPr>
        <w:tc>
          <w:tcPr>
            <w:cnfStyle w:val="001000000000" w:firstRow="0" w:lastRow="0" w:firstColumn="1" w:lastColumn="0" w:oddVBand="0" w:evenVBand="0" w:oddHBand="0" w:evenHBand="0" w:firstRowFirstColumn="0" w:firstRowLastColumn="0" w:lastRowFirstColumn="0" w:lastRowLastColumn="0"/>
            <w:tcW w:w="833" w:type="pct"/>
          </w:tcPr>
          <w:p w14:paraId="348E0A09" w14:textId="6E453F09" w:rsidR="00BD1D47" w:rsidRPr="00AA5CB5" w:rsidRDefault="00295868">
            <w:pPr>
              <w:pStyle w:val="Tableheading"/>
              <w:rPr>
                <w:b/>
                <w:bCs w:val="0"/>
                <w:lang w:val="en-AU"/>
              </w:rPr>
            </w:pPr>
            <w:r w:rsidRPr="00AA5CB5">
              <w:rPr>
                <w:b/>
                <w:bCs w:val="0"/>
                <w:lang w:val="en-AU"/>
              </w:rPr>
              <w:t>Transport</w:t>
            </w:r>
            <w:r w:rsidR="00662370" w:rsidRPr="00AA5CB5">
              <w:rPr>
                <w:b/>
                <w:bCs w:val="0"/>
                <w:lang w:val="en-AU"/>
              </w:rPr>
              <w:t xml:space="preserve"> Type</w:t>
            </w:r>
          </w:p>
        </w:tc>
        <w:tc>
          <w:tcPr>
            <w:tcW w:w="833" w:type="pct"/>
          </w:tcPr>
          <w:p w14:paraId="22E3C808" w14:textId="1D933CBE" w:rsidR="00BD1D47" w:rsidRPr="00AA5CB5" w:rsidRDefault="00BD1D47">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 xml:space="preserve">Fuel </w:t>
            </w:r>
          </w:p>
        </w:tc>
        <w:tc>
          <w:tcPr>
            <w:tcW w:w="833" w:type="pct"/>
          </w:tcPr>
          <w:p w14:paraId="07B2D8B8" w14:textId="134106A3" w:rsidR="00BD1D47" w:rsidRPr="00AA5CB5" w:rsidRDefault="0072697B">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Activity data u</w:t>
            </w:r>
            <w:r w:rsidR="00BD1D47" w:rsidRPr="00AA5CB5">
              <w:rPr>
                <w:b/>
                <w:lang w:val="en-AU"/>
              </w:rPr>
              <w:t>nit</w:t>
            </w:r>
          </w:p>
        </w:tc>
        <w:tc>
          <w:tcPr>
            <w:tcW w:w="833" w:type="pct"/>
          </w:tcPr>
          <w:p w14:paraId="783CFB35" w14:textId="7BB776BB" w:rsidR="00620F67" w:rsidRPr="00AA5CB5" w:rsidRDefault="00BD1D47">
            <w:pPr>
              <w:pStyle w:val="Tableheading"/>
              <w:cnfStyle w:val="100000000000" w:firstRow="1" w:lastRow="0" w:firstColumn="0" w:lastColumn="0" w:oddVBand="0" w:evenVBand="0" w:oddHBand="0" w:evenHBand="0" w:firstRowFirstColumn="0" w:firstRowLastColumn="0" w:lastRowFirstColumn="0" w:lastRowLastColumn="0"/>
              <w:rPr>
                <w:bCs w:val="0"/>
                <w:lang w:val="en-AU"/>
              </w:rPr>
            </w:pPr>
            <w:r w:rsidRPr="00AA5CB5">
              <w:rPr>
                <w:b/>
                <w:lang w:val="en-AU"/>
              </w:rPr>
              <w:t xml:space="preserve">Energy </w:t>
            </w:r>
            <w:r w:rsidR="009764A0" w:rsidRPr="00AA5CB5">
              <w:rPr>
                <w:b/>
                <w:lang w:val="en-AU"/>
              </w:rPr>
              <w:t>c</w:t>
            </w:r>
            <w:r w:rsidRPr="00AA5CB5">
              <w:rPr>
                <w:b/>
                <w:lang w:val="en-AU"/>
              </w:rPr>
              <w:t xml:space="preserve">ontent </w:t>
            </w:r>
            <w:r w:rsidR="009764A0" w:rsidRPr="00AA5CB5">
              <w:rPr>
                <w:b/>
                <w:lang w:val="en-AU"/>
              </w:rPr>
              <w:t>f</w:t>
            </w:r>
            <w:r w:rsidRPr="00AA5CB5">
              <w:rPr>
                <w:b/>
                <w:lang w:val="en-AU"/>
              </w:rPr>
              <w:t>actor</w:t>
            </w:r>
            <w:r w:rsidR="00CA5878" w:rsidRPr="00AA5CB5">
              <w:rPr>
                <w:b/>
                <w:lang w:val="en-AU"/>
              </w:rPr>
              <w:t xml:space="preserve"> </w:t>
            </w:r>
            <w:r w:rsidR="005543DE" w:rsidRPr="00AA5CB5">
              <w:rPr>
                <w:b/>
                <w:lang w:val="en-AU"/>
              </w:rPr>
              <w:t>(EC)</w:t>
            </w:r>
          </w:p>
          <w:p w14:paraId="73921256" w14:textId="422B66A7" w:rsidR="00BD1D47" w:rsidRPr="00AA5CB5" w:rsidRDefault="008C730B">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GJ per unit</w:t>
            </w:r>
            <w:r w:rsidR="00BD1D47" w:rsidRPr="00AA5CB5">
              <w:rPr>
                <w:b/>
                <w:lang w:val="en-AU"/>
              </w:rPr>
              <w:t xml:space="preserve"> </w:t>
            </w:r>
          </w:p>
        </w:tc>
        <w:tc>
          <w:tcPr>
            <w:tcW w:w="833" w:type="pct"/>
            <w:hideMark/>
          </w:tcPr>
          <w:p w14:paraId="3EF242C9" w14:textId="77777777" w:rsidR="00620F67" w:rsidRPr="00AA5CB5" w:rsidRDefault="00BD1D47">
            <w:pPr>
              <w:pStyle w:val="Tableheading"/>
              <w:cnfStyle w:val="100000000000" w:firstRow="1"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b/>
                <w:bCs w:val="0"/>
                <w:lang w:val="en-AU"/>
              </w:rPr>
              <w:t>Net scope 1 emission factor </w:t>
            </w:r>
          </w:p>
          <w:p w14:paraId="177D992D" w14:textId="567E1B83" w:rsidR="00BD1D47" w:rsidRPr="00AA5CB5" w:rsidRDefault="00BD1D47">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c>
          <w:tcPr>
            <w:tcW w:w="833" w:type="pct"/>
            <w:hideMark/>
          </w:tcPr>
          <w:p w14:paraId="61080264" w14:textId="77777777" w:rsidR="00620F67" w:rsidRPr="00AA5CB5" w:rsidRDefault="00BD1D47">
            <w:pPr>
              <w:pStyle w:val="Tableheading"/>
              <w:cnfStyle w:val="100000000000" w:firstRow="1"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b/>
                <w:bCs w:val="0"/>
                <w:lang w:val="en-AU"/>
              </w:rPr>
              <w:t>Net scope 3 supply chain emission factor </w:t>
            </w:r>
          </w:p>
          <w:p w14:paraId="486A04A6" w14:textId="6EF8FCD2" w:rsidR="00BD1D47" w:rsidRPr="00AA5CB5" w:rsidRDefault="00BD1D47">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r>
      <w:tr w:rsidR="00BD1D47" w:rsidRPr="00AA5CB5" w14:paraId="475BA60F" w14:textId="77777777" w:rsidTr="005B5558">
        <w:trPr>
          <w:trHeight w:val="405"/>
        </w:trPr>
        <w:tc>
          <w:tcPr>
            <w:cnfStyle w:val="001000000000" w:firstRow="0" w:lastRow="0" w:firstColumn="1" w:lastColumn="0" w:oddVBand="0" w:evenVBand="0" w:oddHBand="0" w:evenHBand="0" w:firstRowFirstColumn="0" w:firstRowLastColumn="0" w:lastRowFirstColumn="0" w:lastRowLastColumn="0"/>
            <w:tcW w:w="833" w:type="pct"/>
          </w:tcPr>
          <w:p w14:paraId="063C8B8C" w14:textId="6FE4D01F" w:rsidR="00BD1D47" w:rsidRPr="00AA5CB5" w:rsidRDefault="00A70B7A">
            <w:pPr>
              <w:pStyle w:val="Tablebodytext"/>
              <w:rPr>
                <w:b w:val="0"/>
                <w:bCs w:val="0"/>
                <w:lang w:val="en-AU"/>
              </w:rPr>
            </w:pPr>
            <w:r w:rsidRPr="00AA5CB5">
              <w:rPr>
                <w:b w:val="0"/>
                <w:bCs w:val="0"/>
                <w:lang w:val="en-AU"/>
              </w:rPr>
              <w:t>Cars and light commercial vehicles</w:t>
            </w:r>
          </w:p>
        </w:tc>
        <w:tc>
          <w:tcPr>
            <w:tcW w:w="833" w:type="pct"/>
            <w:hideMark/>
          </w:tcPr>
          <w:p w14:paraId="3090B0B7" w14:textId="1420DEAE" w:rsidR="00BD1D47" w:rsidRPr="00AA5CB5" w:rsidRDefault="00BD1D47">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Biodiesel</w:t>
            </w:r>
          </w:p>
        </w:tc>
        <w:tc>
          <w:tcPr>
            <w:tcW w:w="833" w:type="pct"/>
          </w:tcPr>
          <w:p w14:paraId="0C85EA2A" w14:textId="5DA76C16" w:rsidR="00BD1D47" w:rsidRPr="00AA5CB5" w:rsidRDefault="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p w14:paraId="4FEC520F" w14:textId="41A0ECEC" w:rsidR="001A01D0" w:rsidRPr="00AA5CB5" w:rsidRDefault="001A01D0">
            <w:pPr>
              <w:pStyle w:val="Tablebodytext"/>
              <w:cnfStyle w:val="000000000000" w:firstRow="0" w:lastRow="0" w:firstColumn="0" w:lastColumn="0" w:oddVBand="0" w:evenVBand="0" w:oddHBand="0" w:evenHBand="0" w:firstRowFirstColumn="0" w:firstRowLastColumn="0" w:lastRowFirstColumn="0" w:lastRowLastColumn="0"/>
              <w:rPr>
                <w:lang w:val="en-AU"/>
              </w:rPr>
            </w:pPr>
          </w:p>
        </w:tc>
        <w:tc>
          <w:tcPr>
            <w:tcW w:w="833" w:type="pct"/>
          </w:tcPr>
          <w:p w14:paraId="089A8E2D" w14:textId="57154CDF" w:rsidR="00BD1D47" w:rsidRPr="00AA5CB5" w:rsidRDefault="00CA5878" w:rsidP="00DA61C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34.6</w:t>
            </w:r>
          </w:p>
        </w:tc>
        <w:tc>
          <w:tcPr>
            <w:tcW w:w="833" w:type="pct"/>
            <w:hideMark/>
          </w:tcPr>
          <w:p w14:paraId="39D81FD7" w14:textId="77777777" w:rsidR="00BD1D47" w:rsidRPr="00AA5CB5" w:rsidRDefault="00BD1D47" w:rsidP="00DA61C2">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2.50 </w:t>
            </w:r>
          </w:p>
        </w:tc>
        <w:tc>
          <w:tcPr>
            <w:tcW w:w="833" w:type="pct"/>
            <w:hideMark/>
          </w:tcPr>
          <w:p w14:paraId="334A6042" w14:textId="73DCE553" w:rsidR="00BD1D47" w:rsidRPr="00AA5CB5" w:rsidRDefault="00A708B4">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Not available</w:t>
            </w:r>
          </w:p>
        </w:tc>
      </w:tr>
      <w:tr w:rsidR="001A01D0" w:rsidRPr="00AA5CB5" w14:paraId="40651AA1" w14:textId="77777777" w:rsidTr="005B5558">
        <w:trPr>
          <w:trHeight w:val="405"/>
        </w:trPr>
        <w:tc>
          <w:tcPr>
            <w:cnfStyle w:val="001000000000" w:firstRow="0" w:lastRow="0" w:firstColumn="1" w:lastColumn="0" w:oddVBand="0" w:evenVBand="0" w:oddHBand="0" w:evenHBand="0" w:firstRowFirstColumn="0" w:firstRowLastColumn="0" w:lastRowFirstColumn="0" w:lastRowLastColumn="0"/>
            <w:tcW w:w="833" w:type="pct"/>
          </w:tcPr>
          <w:p w14:paraId="7F75C619" w14:textId="037AC644" w:rsidR="001A01D0" w:rsidRPr="00AA5CB5" w:rsidRDefault="001A01D0" w:rsidP="001A01D0">
            <w:pPr>
              <w:pStyle w:val="Tablebodytext"/>
              <w:rPr>
                <w:b w:val="0"/>
                <w:bCs w:val="0"/>
                <w:lang w:val="en-AU"/>
              </w:rPr>
            </w:pPr>
            <w:r w:rsidRPr="00AA5CB5">
              <w:rPr>
                <w:b w:val="0"/>
                <w:bCs w:val="0"/>
                <w:lang w:val="en-AU"/>
              </w:rPr>
              <w:t>Cars and light commercial vehicles</w:t>
            </w:r>
          </w:p>
        </w:tc>
        <w:tc>
          <w:tcPr>
            <w:tcW w:w="833" w:type="pct"/>
          </w:tcPr>
          <w:p w14:paraId="26114B34" w14:textId="6E9115D3"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Diesel oil</w:t>
            </w:r>
          </w:p>
        </w:tc>
        <w:tc>
          <w:tcPr>
            <w:tcW w:w="833" w:type="pct"/>
          </w:tcPr>
          <w:p w14:paraId="7A93AAFB" w14:textId="1C4CB2D9"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238FC606" w14:textId="57B403F1" w:rsidR="001A01D0" w:rsidRPr="00AA5CB5" w:rsidRDefault="008555EB" w:rsidP="00DA61C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38.6</w:t>
            </w:r>
          </w:p>
        </w:tc>
        <w:tc>
          <w:tcPr>
            <w:tcW w:w="833" w:type="pct"/>
          </w:tcPr>
          <w:p w14:paraId="007ED2A6" w14:textId="77777777" w:rsidR="001A01D0" w:rsidRPr="00AA5CB5" w:rsidRDefault="001A01D0" w:rsidP="00DA61C2">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70.41 </w:t>
            </w:r>
          </w:p>
        </w:tc>
        <w:tc>
          <w:tcPr>
            <w:tcW w:w="833" w:type="pct"/>
          </w:tcPr>
          <w:p w14:paraId="1C63EC18" w14:textId="5E22766A"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17.3</w:t>
            </w:r>
          </w:p>
        </w:tc>
      </w:tr>
      <w:tr w:rsidR="001A01D0" w:rsidRPr="00AA5CB5" w14:paraId="0A0A0B78" w14:textId="77777777" w:rsidTr="005B5558">
        <w:trPr>
          <w:trHeight w:val="405"/>
        </w:trPr>
        <w:tc>
          <w:tcPr>
            <w:cnfStyle w:val="001000000000" w:firstRow="0" w:lastRow="0" w:firstColumn="1" w:lastColumn="0" w:oddVBand="0" w:evenVBand="0" w:oddHBand="0" w:evenHBand="0" w:firstRowFirstColumn="0" w:firstRowLastColumn="0" w:lastRowFirstColumn="0" w:lastRowLastColumn="0"/>
            <w:tcW w:w="833" w:type="pct"/>
          </w:tcPr>
          <w:p w14:paraId="383CA1B0" w14:textId="1814DB06" w:rsidR="001A01D0" w:rsidRPr="00AA5CB5" w:rsidRDefault="001A01D0" w:rsidP="001A01D0">
            <w:pPr>
              <w:pStyle w:val="Tablebodytext"/>
              <w:rPr>
                <w:b w:val="0"/>
                <w:bCs w:val="0"/>
                <w:lang w:val="en-AU"/>
              </w:rPr>
            </w:pPr>
            <w:r w:rsidRPr="00AA5CB5">
              <w:rPr>
                <w:b w:val="0"/>
                <w:bCs w:val="0"/>
                <w:lang w:val="en-AU"/>
              </w:rPr>
              <w:t>Cars and light commercial vehicles</w:t>
            </w:r>
          </w:p>
        </w:tc>
        <w:tc>
          <w:tcPr>
            <w:tcW w:w="833" w:type="pct"/>
          </w:tcPr>
          <w:p w14:paraId="01BB6387" w14:textId="57DF2A8C" w:rsidR="001A01D0" w:rsidRPr="00AA5CB5" w:rsidRDefault="00DC6B8F"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Ethanol mix</w:t>
            </w:r>
            <w:r w:rsidR="00193544" w:rsidRPr="00AA5CB5">
              <w:rPr>
                <w:rFonts w:eastAsiaTheme="minorHAnsi"/>
                <w:lang w:val="en-AU"/>
              </w:rPr>
              <w:t>*</w:t>
            </w:r>
          </w:p>
        </w:tc>
        <w:tc>
          <w:tcPr>
            <w:tcW w:w="833" w:type="pct"/>
          </w:tcPr>
          <w:p w14:paraId="72C5C0A9" w14:textId="5A09D93F"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351CEACE" w14:textId="7840CF36" w:rsidR="001A01D0" w:rsidRPr="00AA5CB5" w:rsidRDefault="00EB71B2" w:rsidP="00DA61C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33.</w:t>
            </w:r>
            <w:r w:rsidR="00193544" w:rsidRPr="00AA5CB5">
              <w:rPr>
                <w:lang w:val="en-AU"/>
              </w:rPr>
              <w:t>12</w:t>
            </w:r>
          </w:p>
        </w:tc>
        <w:tc>
          <w:tcPr>
            <w:tcW w:w="833" w:type="pct"/>
          </w:tcPr>
          <w:p w14:paraId="0CE5E359" w14:textId="7197BF0C" w:rsidR="001A01D0" w:rsidRPr="00AA5CB5" w:rsidRDefault="001A01D0" w:rsidP="00DA61C2">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60.</w:t>
            </w:r>
            <w:r w:rsidR="00397D5D" w:rsidRPr="00AA5CB5">
              <w:rPr>
                <w:rFonts w:eastAsiaTheme="minorHAnsi"/>
                <w:lang w:val="en-AU"/>
              </w:rPr>
              <w:t>8</w:t>
            </w:r>
            <w:r w:rsidR="00BB4434" w:rsidRPr="00AA5CB5">
              <w:rPr>
                <w:rFonts w:eastAsiaTheme="minorHAnsi"/>
                <w:lang w:val="en-AU"/>
              </w:rPr>
              <w:t>98</w:t>
            </w:r>
            <w:r w:rsidRPr="00AA5CB5">
              <w:rPr>
                <w:rFonts w:eastAsiaTheme="minorHAnsi"/>
                <w:lang w:val="en-AU"/>
              </w:rPr>
              <w:t> </w:t>
            </w:r>
          </w:p>
        </w:tc>
        <w:tc>
          <w:tcPr>
            <w:tcW w:w="833" w:type="pct"/>
          </w:tcPr>
          <w:p w14:paraId="6A4F94BD" w14:textId="77777777"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15.48</w:t>
            </w:r>
          </w:p>
        </w:tc>
      </w:tr>
      <w:tr w:rsidR="001A01D0" w:rsidRPr="00AA5CB5" w14:paraId="22534B0B" w14:textId="77777777" w:rsidTr="005B5558">
        <w:trPr>
          <w:trHeight w:val="405"/>
        </w:trPr>
        <w:tc>
          <w:tcPr>
            <w:cnfStyle w:val="001000000000" w:firstRow="0" w:lastRow="0" w:firstColumn="1" w:lastColumn="0" w:oddVBand="0" w:evenVBand="0" w:oddHBand="0" w:evenHBand="0" w:firstRowFirstColumn="0" w:firstRowLastColumn="0" w:lastRowFirstColumn="0" w:lastRowLastColumn="0"/>
            <w:tcW w:w="833" w:type="pct"/>
          </w:tcPr>
          <w:p w14:paraId="1217A916" w14:textId="7323311F" w:rsidR="001A01D0" w:rsidRPr="00AA5CB5" w:rsidRDefault="001A01D0" w:rsidP="001A01D0">
            <w:pPr>
              <w:pStyle w:val="Tablebodytext"/>
              <w:rPr>
                <w:b w:val="0"/>
                <w:bCs w:val="0"/>
                <w:lang w:val="en-AU"/>
              </w:rPr>
            </w:pPr>
            <w:r w:rsidRPr="00AA5CB5">
              <w:rPr>
                <w:b w:val="0"/>
                <w:bCs w:val="0"/>
                <w:lang w:val="en-AU"/>
              </w:rPr>
              <w:t>Cars and light commercial vehicles</w:t>
            </w:r>
          </w:p>
        </w:tc>
        <w:tc>
          <w:tcPr>
            <w:tcW w:w="833" w:type="pct"/>
            <w:hideMark/>
          </w:tcPr>
          <w:p w14:paraId="3E66A59A" w14:textId="1A8757E0" w:rsidR="001A01D0" w:rsidRPr="00AA5CB5" w:rsidRDefault="00DC6B8F" w:rsidP="001A01D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Pure e</w:t>
            </w:r>
            <w:r w:rsidR="001A01D0" w:rsidRPr="00AA5CB5">
              <w:rPr>
                <w:rFonts w:eastAsiaTheme="minorHAnsi"/>
                <w:lang w:val="en-AU"/>
              </w:rPr>
              <w:t>thanol</w:t>
            </w:r>
          </w:p>
        </w:tc>
        <w:tc>
          <w:tcPr>
            <w:tcW w:w="833" w:type="pct"/>
          </w:tcPr>
          <w:p w14:paraId="2C2CC6C1" w14:textId="1E30FFA0"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69A5DECD" w14:textId="226ACCD3" w:rsidR="001A01D0" w:rsidRPr="00AA5CB5" w:rsidRDefault="0081317E" w:rsidP="00DA61C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23.4</w:t>
            </w:r>
          </w:p>
        </w:tc>
        <w:tc>
          <w:tcPr>
            <w:tcW w:w="833" w:type="pct"/>
            <w:hideMark/>
          </w:tcPr>
          <w:p w14:paraId="02EBE8D4" w14:textId="77777777" w:rsidR="001A01D0" w:rsidRPr="00AA5CB5" w:rsidRDefault="001A01D0" w:rsidP="00DA61C2">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0.40 </w:t>
            </w:r>
          </w:p>
        </w:tc>
        <w:tc>
          <w:tcPr>
            <w:tcW w:w="833" w:type="pct"/>
            <w:hideMark/>
          </w:tcPr>
          <w:p w14:paraId="2F4FC55D" w14:textId="21483F84" w:rsidR="001A01D0" w:rsidRPr="00AA5CB5" w:rsidRDefault="00A708B4" w:rsidP="001A01D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Not available</w:t>
            </w:r>
          </w:p>
        </w:tc>
      </w:tr>
      <w:tr w:rsidR="001A01D0" w:rsidRPr="00AA5CB5" w14:paraId="65ACDCE5" w14:textId="77777777" w:rsidTr="005B5558">
        <w:trPr>
          <w:trHeight w:val="405"/>
        </w:trPr>
        <w:tc>
          <w:tcPr>
            <w:cnfStyle w:val="001000000000" w:firstRow="0" w:lastRow="0" w:firstColumn="1" w:lastColumn="0" w:oddVBand="0" w:evenVBand="0" w:oddHBand="0" w:evenHBand="0" w:firstRowFirstColumn="0" w:firstRowLastColumn="0" w:lastRowFirstColumn="0" w:lastRowLastColumn="0"/>
            <w:tcW w:w="833" w:type="pct"/>
          </w:tcPr>
          <w:p w14:paraId="3D58F6C6" w14:textId="28205817" w:rsidR="001A01D0" w:rsidRPr="00AA5CB5" w:rsidRDefault="001A01D0" w:rsidP="001A01D0">
            <w:pPr>
              <w:pStyle w:val="Tablebodytext"/>
              <w:rPr>
                <w:b w:val="0"/>
                <w:bCs w:val="0"/>
                <w:lang w:val="en-AU"/>
              </w:rPr>
            </w:pPr>
            <w:r w:rsidRPr="00AA5CB5">
              <w:rPr>
                <w:b w:val="0"/>
                <w:bCs w:val="0"/>
                <w:lang w:val="en-AU"/>
              </w:rPr>
              <w:lastRenderedPageBreak/>
              <w:t>Cars and light commercial vehicles</w:t>
            </w:r>
          </w:p>
        </w:tc>
        <w:tc>
          <w:tcPr>
            <w:tcW w:w="833" w:type="pct"/>
            <w:hideMark/>
          </w:tcPr>
          <w:p w14:paraId="7072AFB2" w14:textId="79A1F6CD"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Fuel oil</w:t>
            </w:r>
          </w:p>
        </w:tc>
        <w:tc>
          <w:tcPr>
            <w:tcW w:w="833" w:type="pct"/>
          </w:tcPr>
          <w:p w14:paraId="371E24F8" w14:textId="0D699865"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06575D07" w14:textId="72CB3F89" w:rsidR="001A01D0" w:rsidRPr="00AA5CB5" w:rsidRDefault="00F02A82" w:rsidP="00DA61C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39.7</w:t>
            </w:r>
          </w:p>
        </w:tc>
        <w:tc>
          <w:tcPr>
            <w:tcW w:w="833" w:type="pct"/>
            <w:hideMark/>
          </w:tcPr>
          <w:p w14:paraId="7ACB4389" w14:textId="77777777" w:rsidR="001A01D0" w:rsidRPr="00AA5CB5" w:rsidRDefault="001A01D0" w:rsidP="00DA61C2">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74.18 </w:t>
            </w:r>
          </w:p>
        </w:tc>
        <w:tc>
          <w:tcPr>
            <w:tcW w:w="833" w:type="pct"/>
            <w:hideMark/>
          </w:tcPr>
          <w:p w14:paraId="62EAD2FB" w14:textId="1EAA4278"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18.0</w:t>
            </w:r>
          </w:p>
        </w:tc>
      </w:tr>
      <w:tr w:rsidR="001A01D0" w:rsidRPr="00AA5CB5" w14:paraId="798043DC" w14:textId="77777777" w:rsidTr="005B5558">
        <w:trPr>
          <w:trHeight w:val="405"/>
        </w:trPr>
        <w:tc>
          <w:tcPr>
            <w:cnfStyle w:val="001000000000" w:firstRow="0" w:lastRow="0" w:firstColumn="1" w:lastColumn="0" w:oddVBand="0" w:evenVBand="0" w:oddHBand="0" w:evenHBand="0" w:firstRowFirstColumn="0" w:firstRowLastColumn="0" w:lastRowFirstColumn="0" w:lastRowLastColumn="0"/>
            <w:tcW w:w="833" w:type="pct"/>
          </w:tcPr>
          <w:p w14:paraId="445AEF8E" w14:textId="7BE03E7F" w:rsidR="001A01D0" w:rsidRPr="00AA5CB5" w:rsidRDefault="001A01D0" w:rsidP="001A01D0">
            <w:pPr>
              <w:pStyle w:val="Tablebodytext"/>
              <w:rPr>
                <w:b w:val="0"/>
                <w:bCs w:val="0"/>
                <w:lang w:val="en-AU"/>
              </w:rPr>
            </w:pPr>
            <w:r w:rsidRPr="00AA5CB5">
              <w:rPr>
                <w:b w:val="0"/>
                <w:bCs w:val="0"/>
                <w:lang w:val="en-AU"/>
              </w:rPr>
              <w:t>Cars and light commercial vehicles</w:t>
            </w:r>
          </w:p>
        </w:tc>
        <w:tc>
          <w:tcPr>
            <w:tcW w:w="833" w:type="pct"/>
            <w:hideMark/>
          </w:tcPr>
          <w:p w14:paraId="33A324BE" w14:textId="55861879"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Gasoline</w:t>
            </w:r>
          </w:p>
        </w:tc>
        <w:tc>
          <w:tcPr>
            <w:tcW w:w="833" w:type="pct"/>
          </w:tcPr>
          <w:p w14:paraId="7A09B291" w14:textId="796AEC6E"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414082FC" w14:textId="07571059" w:rsidR="001A01D0" w:rsidRPr="00AA5CB5" w:rsidRDefault="007F5BAF" w:rsidP="00DA61C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34.2</w:t>
            </w:r>
          </w:p>
        </w:tc>
        <w:tc>
          <w:tcPr>
            <w:tcW w:w="833" w:type="pct"/>
            <w:hideMark/>
          </w:tcPr>
          <w:p w14:paraId="14C567EA" w14:textId="77777777" w:rsidR="001A01D0" w:rsidRPr="00AA5CB5" w:rsidRDefault="001A01D0" w:rsidP="00DA61C2">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67.62 </w:t>
            </w:r>
          </w:p>
        </w:tc>
        <w:tc>
          <w:tcPr>
            <w:tcW w:w="833" w:type="pct"/>
            <w:hideMark/>
          </w:tcPr>
          <w:p w14:paraId="74303C25" w14:textId="0A1ACC3F"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17.2</w:t>
            </w:r>
          </w:p>
        </w:tc>
      </w:tr>
      <w:tr w:rsidR="001A01D0" w:rsidRPr="00AA5CB5" w14:paraId="3EB5DDD9" w14:textId="77777777" w:rsidTr="005B5558">
        <w:trPr>
          <w:trHeight w:val="405"/>
        </w:trPr>
        <w:tc>
          <w:tcPr>
            <w:cnfStyle w:val="001000000000" w:firstRow="0" w:lastRow="0" w:firstColumn="1" w:lastColumn="0" w:oddVBand="0" w:evenVBand="0" w:oddHBand="0" w:evenHBand="0" w:firstRowFirstColumn="0" w:firstRowLastColumn="0" w:lastRowFirstColumn="0" w:lastRowLastColumn="0"/>
            <w:tcW w:w="833" w:type="pct"/>
          </w:tcPr>
          <w:p w14:paraId="2A476172" w14:textId="4534F421" w:rsidR="001A01D0" w:rsidRPr="00AA5CB5" w:rsidRDefault="001A01D0" w:rsidP="001A01D0">
            <w:pPr>
              <w:pStyle w:val="Tablebodytext"/>
              <w:rPr>
                <w:b w:val="0"/>
                <w:bCs w:val="0"/>
                <w:lang w:val="en-AU"/>
              </w:rPr>
            </w:pPr>
            <w:r w:rsidRPr="00AA5CB5">
              <w:rPr>
                <w:b w:val="0"/>
                <w:bCs w:val="0"/>
                <w:lang w:val="en-AU"/>
              </w:rPr>
              <w:t>Cars and light commercial vehicles</w:t>
            </w:r>
          </w:p>
        </w:tc>
        <w:tc>
          <w:tcPr>
            <w:tcW w:w="833" w:type="pct"/>
            <w:hideMark/>
          </w:tcPr>
          <w:p w14:paraId="71286D1A" w14:textId="1D89E0F4"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Liquid petroleum gas (LPG)</w:t>
            </w:r>
          </w:p>
        </w:tc>
        <w:tc>
          <w:tcPr>
            <w:tcW w:w="833" w:type="pct"/>
          </w:tcPr>
          <w:p w14:paraId="33424579" w14:textId="2DB9BC82"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794076D4" w14:textId="37664A55" w:rsidR="001A01D0" w:rsidRPr="00AA5CB5" w:rsidRDefault="005B33C3" w:rsidP="00DA61C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26.2</w:t>
            </w:r>
          </w:p>
        </w:tc>
        <w:tc>
          <w:tcPr>
            <w:tcW w:w="833" w:type="pct"/>
            <w:hideMark/>
          </w:tcPr>
          <w:p w14:paraId="36EE78BB" w14:textId="77777777" w:rsidR="001A01D0" w:rsidRPr="00AA5CB5" w:rsidRDefault="001A01D0" w:rsidP="00DA61C2">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61.00 </w:t>
            </w:r>
          </w:p>
        </w:tc>
        <w:tc>
          <w:tcPr>
            <w:tcW w:w="833" w:type="pct"/>
            <w:hideMark/>
          </w:tcPr>
          <w:p w14:paraId="759A6231" w14:textId="26B6C660"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20.2</w:t>
            </w:r>
          </w:p>
        </w:tc>
      </w:tr>
      <w:tr w:rsidR="001A01D0" w:rsidRPr="00AA5CB5" w14:paraId="6F739AA8" w14:textId="77777777" w:rsidTr="005B5558">
        <w:trPr>
          <w:trHeight w:val="405"/>
        </w:trPr>
        <w:tc>
          <w:tcPr>
            <w:cnfStyle w:val="001000000000" w:firstRow="0" w:lastRow="0" w:firstColumn="1" w:lastColumn="0" w:oddVBand="0" w:evenVBand="0" w:oddHBand="0" w:evenHBand="0" w:firstRowFirstColumn="0" w:firstRowLastColumn="0" w:lastRowFirstColumn="0" w:lastRowLastColumn="0"/>
            <w:tcW w:w="833" w:type="pct"/>
          </w:tcPr>
          <w:p w14:paraId="540B41F9" w14:textId="1B86632B" w:rsidR="001A01D0" w:rsidRPr="00AA5CB5" w:rsidRDefault="001A01D0" w:rsidP="001A01D0">
            <w:pPr>
              <w:pStyle w:val="Tablebodytext"/>
              <w:rPr>
                <w:b w:val="0"/>
                <w:bCs w:val="0"/>
                <w:lang w:val="en-AU"/>
              </w:rPr>
            </w:pPr>
            <w:r w:rsidRPr="00AA5CB5">
              <w:rPr>
                <w:b w:val="0"/>
                <w:bCs w:val="0"/>
                <w:lang w:val="en-AU"/>
              </w:rPr>
              <w:t>Cars and light commercial vehicles</w:t>
            </w:r>
          </w:p>
        </w:tc>
        <w:tc>
          <w:tcPr>
            <w:tcW w:w="833" w:type="pct"/>
            <w:hideMark/>
          </w:tcPr>
          <w:p w14:paraId="620CA4F9" w14:textId="4D87C3BC"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Other biofuels</w:t>
            </w:r>
          </w:p>
        </w:tc>
        <w:tc>
          <w:tcPr>
            <w:tcW w:w="833" w:type="pct"/>
          </w:tcPr>
          <w:p w14:paraId="6C861EBC" w14:textId="099A628E" w:rsidR="001A01D0" w:rsidRPr="00AA5CB5" w:rsidRDefault="001A01D0" w:rsidP="001A01D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25FD5B9B" w14:textId="0C900D90" w:rsidR="001A01D0" w:rsidRPr="00AA5CB5" w:rsidRDefault="006D5FCF" w:rsidP="00DA61C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23.4</w:t>
            </w:r>
          </w:p>
        </w:tc>
        <w:tc>
          <w:tcPr>
            <w:tcW w:w="833" w:type="pct"/>
            <w:hideMark/>
          </w:tcPr>
          <w:p w14:paraId="1A21C7D1" w14:textId="77777777" w:rsidR="001A01D0" w:rsidRPr="00AA5CB5" w:rsidRDefault="001A01D0" w:rsidP="00DA61C2">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2.50 </w:t>
            </w:r>
          </w:p>
        </w:tc>
        <w:tc>
          <w:tcPr>
            <w:tcW w:w="833" w:type="pct"/>
            <w:hideMark/>
          </w:tcPr>
          <w:p w14:paraId="1CFB4ADC" w14:textId="449E8EA5" w:rsidR="001A01D0" w:rsidRPr="00AA5CB5" w:rsidRDefault="00A708B4" w:rsidP="001A01D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Not available</w:t>
            </w:r>
          </w:p>
        </w:tc>
      </w:tr>
    </w:tbl>
    <w:p w14:paraId="1485DD99" w14:textId="3C08D46E" w:rsidR="00DA61C2" w:rsidRPr="00AA5CB5" w:rsidRDefault="00DA61C2">
      <w:pPr>
        <w:pStyle w:val="Notebullets1"/>
        <w:numPr>
          <w:ilvl w:val="0"/>
          <w:numId w:val="0"/>
        </w:numPr>
      </w:pPr>
      <w:bookmarkStart w:id="179" w:name="_Toc197438656"/>
      <w:bookmarkStart w:id="180" w:name="_Toc197438674"/>
      <w:r w:rsidRPr="00AA5CB5">
        <w:t xml:space="preserve">* </w:t>
      </w:r>
      <w:r w:rsidR="00193544" w:rsidRPr="00AA5CB5">
        <w:t xml:space="preserve">Ethanol mix </w:t>
      </w:r>
      <w:r w:rsidR="00C05C90" w:rsidRPr="00AA5CB5">
        <w:t>assumes</w:t>
      </w:r>
      <w:r w:rsidR="00193544" w:rsidRPr="00AA5CB5">
        <w:t xml:space="preserve"> </w:t>
      </w:r>
      <w:r w:rsidR="00686B2A" w:rsidRPr="00AA5CB5">
        <w:t xml:space="preserve">a mix of </w:t>
      </w:r>
      <w:r w:rsidR="009B6F39" w:rsidRPr="00AA5CB5">
        <w:t>10% ethanol and 90% gasoline</w:t>
      </w:r>
      <w:r w:rsidR="00686B2A" w:rsidRPr="00AA5CB5">
        <w:t xml:space="preserve"> (E10)</w:t>
      </w:r>
      <w:r w:rsidR="009B6F39" w:rsidRPr="00AA5CB5">
        <w:t>.</w:t>
      </w:r>
      <w:r w:rsidR="008777F1" w:rsidRPr="00AA5CB5">
        <w:t xml:space="preserve"> </w:t>
      </w:r>
      <w:r w:rsidR="00686B2A" w:rsidRPr="00AA5CB5">
        <w:t xml:space="preserve">Energy content factors and emissions factors were calculated </w:t>
      </w:r>
      <w:r w:rsidR="00F95F65" w:rsidRPr="00AA5CB5">
        <w:t xml:space="preserve">as the </w:t>
      </w:r>
      <w:r w:rsidRPr="00AA5CB5">
        <w:t xml:space="preserve">addition of the </w:t>
      </w:r>
      <w:r w:rsidR="00F95F65" w:rsidRPr="00AA5CB5">
        <w:t>EC or EF of gaso</w:t>
      </w:r>
      <w:r w:rsidRPr="00AA5CB5">
        <w:t xml:space="preserve">line multiplied by 90% and the EC or EF of pure ethanol multiplied by 10%. </w:t>
      </w:r>
      <w:r w:rsidR="008777F1" w:rsidRPr="00AA5CB5">
        <w:t xml:space="preserve"> </w:t>
      </w:r>
    </w:p>
    <w:p w14:paraId="5C0AA730" w14:textId="23873195" w:rsidR="00DD7DBE" w:rsidRPr="00AA5CB5" w:rsidRDefault="00DD7DBE">
      <w:pPr>
        <w:pStyle w:val="Notebullets1"/>
        <w:numPr>
          <w:ilvl w:val="0"/>
          <w:numId w:val="0"/>
        </w:numPr>
      </w:pPr>
      <w:r w:rsidRPr="00AA5CB5">
        <w:rPr>
          <w:rStyle w:val="Notebullets1Char"/>
        </w:rPr>
        <w:t>Source:</w:t>
      </w:r>
      <w:r w:rsidRPr="00AA5CB5">
        <w:t xml:space="preserve"> DCCEEW (2024) </w:t>
      </w:r>
      <w:hyperlink r:id="rId72" w:history="1">
        <w:r w:rsidRPr="00AA5CB5">
          <w:rPr>
            <w:rStyle w:val="Hyperlink1"/>
            <w:rFonts w:asciiTheme="minorHAnsi" w:hAnsiTheme="minorHAnsi" w:cstheme="minorHAnsi"/>
            <w:i/>
            <w:iCs/>
            <w:sz w:val="20"/>
            <w:szCs w:val="20"/>
          </w:rPr>
          <w:t>Australian National Greenhouse Accounts Factors</w:t>
        </w:r>
      </w:hyperlink>
      <w:r w:rsidRPr="00AA5CB5">
        <w:t>, DCCEEW, 2024:25-26; table 9, accessed 14 February 2025.</w:t>
      </w:r>
    </w:p>
    <w:p w14:paraId="64BF025A" w14:textId="1097B6B5" w:rsidR="009B6F39" w:rsidRPr="00AA5CB5" w:rsidRDefault="009B6F39" w:rsidP="009B6F39">
      <w:pPr>
        <w:pStyle w:val="Caption"/>
        <w:rPr>
          <w:rFonts w:asciiTheme="minorHAnsi" w:hAnsiTheme="minorHAnsi"/>
        </w:rPr>
      </w:pPr>
      <w:bookmarkStart w:id="181" w:name="_Ref199436347"/>
      <w:bookmarkStart w:id="182" w:name="_Toc201927390"/>
      <w:r w:rsidRPr="00AA5CB5">
        <w:rPr>
          <w:rFonts w:asciiTheme="minorHAnsi" w:hAnsiTheme="minorHAnsi"/>
        </w:rPr>
        <w:t xml:space="preserve">Table </w:t>
      </w:r>
      <w:r w:rsidRPr="00AA5CB5">
        <w:rPr>
          <w:rFonts w:asciiTheme="minorHAnsi" w:hAnsiTheme="minorHAnsi"/>
        </w:rPr>
        <w:fldChar w:fldCharType="begin"/>
      </w:r>
      <w:r w:rsidRPr="00AA5CB5">
        <w:rPr>
          <w:rFonts w:asciiTheme="minorHAnsi" w:hAnsiTheme="minorHAnsi"/>
        </w:rPr>
        <w:instrText xml:space="preserve"> SEQ Table \* ARABIC </w:instrText>
      </w:r>
      <w:r w:rsidRPr="00AA5CB5">
        <w:rPr>
          <w:rFonts w:asciiTheme="minorHAnsi" w:hAnsiTheme="minorHAnsi"/>
        </w:rPr>
        <w:fldChar w:fldCharType="separate"/>
      </w:r>
      <w:r w:rsidR="00422A37">
        <w:rPr>
          <w:rFonts w:asciiTheme="minorHAnsi" w:hAnsiTheme="minorHAnsi"/>
          <w:noProof/>
        </w:rPr>
        <w:t>17</w:t>
      </w:r>
      <w:r w:rsidRPr="00AA5CB5">
        <w:rPr>
          <w:rFonts w:asciiTheme="minorHAnsi" w:hAnsiTheme="minorHAnsi"/>
        </w:rPr>
        <w:fldChar w:fldCharType="end"/>
      </w:r>
      <w:bookmarkEnd w:id="181"/>
      <w:r w:rsidR="0088604A">
        <w:rPr>
          <w:rFonts w:asciiTheme="minorHAnsi" w:hAnsiTheme="minorHAnsi"/>
        </w:rPr>
        <w:t>:</w:t>
      </w:r>
      <w:r w:rsidRPr="00AA5CB5">
        <w:rPr>
          <w:rFonts w:asciiTheme="minorHAnsi" w:hAnsiTheme="minorHAnsi"/>
        </w:rPr>
        <w:t xml:space="preserve"> </w:t>
      </w:r>
      <w:r w:rsidRPr="00AA5CB5">
        <w:t xml:space="preserve">Mobile combustion – </w:t>
      </w:r>
      <w:r w:rsidR="006A48BE">
        <w:t>e</w:t>
      </w:r>
      <w:r w:rsidRPr="00AA5CB5">
        <w:t xml:space="preserve">mission factors for </w:t>
      </w:r>
      <w:r w:rsidR="00D534CB" w:rsidRPr="00AA5CB5">
        <w:rPr>
          <w:rFonts w:asciiTheme="minorHAnsi" w:hAnsiTheme="minorHAnsi"/>
        </w:rPr>
        <w:t>h</w:t>
      </w:r>
      <w:r w:rsidRPr="00AA5CB5">
        <w:rPr>
          <w:rFonts w:asciiTheme="minorHAnsi" w:hAnsiTheme="minorHAnsi"/>
        </w:rPr>
        <w:t>eavy duty vehicles</w:t>
      </w:r>
      <w:bookmarkEnd w:id="179"/>
      <w:bookmarkEnd w:id="180"/>
      <w:bookmarkEnd w:id="182"/>
    </w:p>
    <w:tbl>
      <w:tblPr>
        <w:tblStyle w:val="ListTable4-Accent6"/>
        <w:tblW w:w="5000" w:type="pct"/>
        <w:tblInd w:w="0" w:type="dxa"/>
        <w:tblLook w:val="06A0" w:firstRow="1" w:lastRow="0" w:firstColumn="1" w:lastColumn="0" w:noHBand="1" w:noVBand="1"/>
      </w:tblPr>
      <w:tblGrid>
        <w:gridCol w:w="1567"/>
        <w:gridCol w:w="1567"/>
        <w:gridCol w:w="1567"/>
        <w:gridCol w:w="1567"/>
        <w:gridCol w:w="1567"/>
        <w:gridCol w:w="1567"/>
      </w:tblGrid>
      <w:tr w:rsidR="00C733B0" w:rsidRPr="00AA5CB5" w14:paraId="0FAF6672" w14:textId="77777777" w:rsidTr="004E660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33" w:type="pct"/>
          </w:tcPr>
          <w:p w14:paraId="67629A53" w14:textId="45B4FFE0" w:rsidR="00E23C7B" w:rsidRPr="00AA5CB5" w:rsidRDefault="00295868" w:rsidP="00E23C7B">
            <w:pPr>
              <w:pStyle w:val="Tableheading"/>
              <w:rPr>
                <w:b/>
                <w:bCs w:val="0"/>
                <w:lang w:val="en-AU"/>
              </w:rPr>
            </w:pPr>
            <w:r w:rsidRPr="00AA5CB5">
              <w:rPr>
                <w:b/>
                <w:bCs w:val="0"/>
                <w:lang w:val="en-AU"/>
              </w:rPr>
              <w:t>Transport Type</w:t>
            </w:r>
          </w:p>
        </w:tc>
        <w:tc>
          <w:tcPr>
            <w:tcW w:w="833" w:type="pct"/>
          </w:tcPr>
          <w:p w14:paraId="0ECA1B2D" w14:textId="4B4321BE" w:rsidR="00E23C7B" w:rsidRPr="00AA5CB5" w:rsidRDefault="00E23C7B" w:rsidP="00E23C7B">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 xml:space="preserve">Fuel </w:t>
            </w:r>
          </w:p>
        </w:tc>
        <w:tc>
          <w:tcPr>
            <w:tcW w:w="833" w:type="pct"/>
          </w:tcPr>
          <w:p w14:paraId="6EC733AD" w14:textId="0EFE015F" w:rsidR="00E23C7B" w:rsidRPr="00AA5CB5" w:rsidRDefault="00E23C7B" w:rsidP="00E23C7B">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Activity data unit</w:t>
            </w:r>
          </w:p>
        </w:tc>
        <w:tc>
          <w:tcPr>
            <w:tcW w:w="833" w:type="pct"/>
          </w:tcPr>
          <w:p w14:paraId="4A5EE51B" w14:textId="2F4511A6" w:rsidR="00E23C7B" w:rsidRPr="00AA5CB5" w:rsidRDefault="00E23C7B" w:rsidP="00E23C7B">
            <w:pPr>
              <w:pStyle w:val="Tableheading"/>
              <w:cnfStyle w:val="100000000000" w:firstRow="1" w:lastRow="0" w:firstColumn="0" w:lastColumn="0" w:oddVBand="0" w:evenVBand="0" w:oddHBand="0" w:evenHBand="0" w:firstRowFirstColumn="0" w:firstRowLastColumn="0" w:lastRowFirstColumn="0" w:lastRowLastColumn="0"/>
              <w:rPr>
                <w:bCs w:val="0"/>
                <w:lang w:val="en-AU"/>
              </w:rPr>
            </w:pPr>
            <w:r w:rsidRPr="00AA5CB5">
              <w:rPr>
                <w:b/>
                <w:lang w:val="en-AU"/>
              </w:rPr>
              <w:t xml:space="preserve">Energy </w:t>
            </w:r>
            <w:r w:rsidR="009764A0" w:rsidRPr="00AA5CB5">
              <w:rPr>
                <w:b/>
                <w:lang w:val="en-AU"/>
              </w:rPr>
              <w:t>c</w:t>
            </w:r>
            <w:r w:rsidRPr="00AA5CB5">
              <w:rPr>
                <w:b/>
                <w:lang w:val="en-AU"/>
              </w:rPr>
              <w:t xml:space="preserve">ontent </w:t>
            </w:r>
            <w:r w:rsidR="009764A0" w:rsidRPr="00AA5CB5">
              <w:rPr>
                <w:b/>
                <w:lang w:val="en-AU"/>
              </w:rPr>
              <w:t>f</w:t>
            </w:r>
            <w:r w:rsidRPr="00AA5CB5">
              <w:rPr>
                <w:b/>
                <w:lang w:val="en-AU"/>
              </w:rPr>
              <w:t>actor (EC)</w:t>
            </w:r>
          </w:p>
          <w:p w14:paraId="5C7A63B8" w14:textId="35880E08" w:rsidR="00E23C7B" w:rsidRPr="00AA5CB5" w:rsidRDefault="00E23C7B" w:rsidP="00E23C7B">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 xml:space="preserve">GJ per unit </w:t>
            </w:r>
          </w:p>
        </w:tc>
        <w:tc>
          <w:tcPr>
            <w:tcW w:w="833" w:type="pct"/>
            <w:hideMark/>
          </w:tcPr>
          <w:p w14:paraId="7A815713" w14:textId="77777777" w:rsidR="00E23C7B" w:rsidRPr="00AA5CB5" w:rsidRDefault="00E23C7B" w:rsidP="00E23C7B">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1 emission factor </w:t>
            </w:r>
          </w:p>
          <w:p w14:paraId="4EF669EA" w14:textId="77777777" w:rsidR="00E23C7B" w:rsidRPr="00AA5CB5" w:rsidRDefault="00E23C7B" w:rsidP="00E23C7B">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c>
          <w:tcPr>
            <w:tcW w:w="833" w:type="pct"/>
            <w:hideMark/>
          </w:tcPr>
          <w:p w14:paraId="5E4A1324" w14:textId="77777777" w:rsidR="00E23C7B" w:rsidRPr="00AA5CB5" w:rsidRDefault="00E23C7B" w:rsidP="00E23C7B">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3 supply chain emission factor </w:t>
            </w:r>
          </w:p>
          <w:p w14:paraId="5ACD43D0" w14:textId="77777777" w:rsidR="00E23C7B" w:rsidRPr="00AA5CB5" w:rsidRDefault="00E23C7B" w:rsidP="00E23C7B">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r>
      <w:tr w:rsidR="00F27090" w:rsidRPr="00AA5CB5" w14:paraId="5D3CEB3B" w14:textId="77777777" w:rsidTr="00F27090">
        <w:trPr>
          <w:trHeight w:val="300"/>
        </w:trPr>
        <w:tc>
          <w:tcPr>
            <w:cnfStyle w:val="001000000000" w:firstRow="0" w:lastRow="0" w:firstColumn="1" w:lastColumn="0" w:oddVBand="0" w:evenVBand="0" w:oddHBand="0" w:evenHBand="0" w:firstRowFirstColumn="0" w:firstRowLastColumn="0" w:lastRowFirstColumn="0" w:lastRowLastColumn="0"/>
            <w:tcW w:w="833" w:type="pct"/>
          </w:tcPr>
          <w:p w14:paraId="03DF5943" w14:textId="0B6DFE44" w:rsidR="00F27090" w:rsidRPr="00AA5CB5" w:rsidRDefault="00F27090" w:rsidP="00F27090">
            <w:pPr>
              <w:pStyle w:val="Tablebodytext"/>
              <w:rPr>
                <w:b w:val="0"/>
                <w:bCs w:val="0"/>
                <w:lang w:val="en-AU"/>
              </w:rPr>
            </w:pPr>
            <w:r w:rsidRPr="00AA5CB5">
              <w:rPr>
                <w:rFonts w:eastAsiaTheme="minorHAnsi"/>
                <w:b w:val="0"/>
                <w:bCs w:val="0"/>
                <w:lang w:val="en-AU"/>
              </w:rPr>
              <w:t>Heavy duty vehicles </w:t>
            </w:r>
          </w:p>
        </w:tc>
        <w:tc>
          <w:tcPr>
            <w:tcW w:w="833" w:type="pct"/>
          </w:tcPr>
          <w:p w14:paraId="56F9DBC2" w14:textId="147ADC24"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Compressed natural gas</w:t>
            </w:r>
          </w:p>
        </w:tc>
        <w:tc>
          <w:tcPr>
            <w:tcW w:w="833" w:type="pct"/>
          </w:tcPr>
          <w:p w14:paraId="048B8025" w14:textId="2757AE15"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Cubic metres (m</w:t>
            </w:r>
            <w:r w:rsidRPr="00AA5CB5">
              <w:rPr>
                <w:vertAlign w:val="superscript"/>
                <w:lang w:val="en-AU"/>
              </w:rPr>
              <w:t>3</w:t>
            </w:r>
            <w:r w:rsidRPr="00AA5CB5">
              <w:rPr>
                <w:lang w:val="en-AU"/>
              </w:rPr>
              <w:t>)</w:t>
            </w:r>
          </w:p>
        </w:tc>
        <w:tc>
          <w:tcPr>
            <w:tcW w:w="833" w:type="pct"/>
          </w:tcPr>
          <w:p w14:paraId="6BB01DFF" w14:textId="7A10443C" w:rsidR="00F27090" w:rsidRPr="00AA5CB5" w:rsidRDefault="00BF0F95" w:rsidP="00EC2F4A">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0.0393</w:t>
            </w:r>
          </w:p>
        </w:tc>
        <w:tc>
          <w:tcPr>
            <w:tcW w:w="833" w:type="pct"/>
          </w:tcPr>
          <w:p w14:paraId="4A709218" w14:textId="77777777"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54.50 </w:t>
            </w:r>
          </w:p>
        </w:tc>
        <w:tc>
          <w:tcPr>
            <w:tcW w:w="833" w:type="pct"/>
          </w:tcPr>
          <w:p w14:paraId="5BA17CC8" w14:textId="094C3DB7"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18.0</w:t>
            </w:r>
          </w:p>
        </w:tc>
      </w:tr>
      <w:tr w:rsidR="00F27090" w:rsidRPr="00AA5CB5" w14:paraId="1ABA121D" w14:textId="77777777" w:rsidTr="00F27090">
        <w:trPr>
          <w:trHeight w:val="300"/>
        </w:trPr>
        <w:tc>
          <w:tcPr>
            <w:cnfStyle w:val="001000000000" w:firstRow="0" w:lastRow="0" w:firstColumn="1" w:lastColumn="0" w:oddVBand="0" w:evenVBand="0" w:oddHBand="0" w:evenHBand="0" w:firstRowFirstColumn="0" w:firstRowLastColumn="0" w:lastRowFirstColumn="0" w:lastRowLastColumn="0"/>
            <w:tcW w:w="833" w:type="pct"/>
          </w:tcPr>
          <w:p w14:paraId="4EA25654" w14:textId="7B4FDBA9" w:rsidR="00F27090" w:rsidRPr="00AA5CB5" w:rsidRDefault="00F27090" w:rsidP="00F27090">
            <w:pPr>
              <w:pStyle w:val="Tablebodytext"/>
              <w:rPr>
                <w:b w:val="0"/>
                <w:bCs w:val="0"/>
                <w:lang w:val="en-AU"/>
              </w:rPr>
            </w:pPr>
            <w:r w:rsidRPr="00AA5CB5">
              <w:rPr>
                <w:rFonts w:eastAsiaTheme="minorHAnsi"/>
                <w:b w:val="0"/>
                <w:bCs w:val="0"/>
                <w:lang w:val="en-AU"/>
              </w:rPr>
              <w:t>Heavy duty vehicles </w:t>
            </w:r>
          </w:p>
        </w:tc>
        <w:tc>
          <w:tcPr>
            <w:tcW w:w="833" w:type="pct"/>
            <w:hideMark/>
          </w:tcPr>
          <w:p w14:paraId="051929D4" w14:textId="4535D5F3"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Diesel oil - Euro i</w:t>
            </w:r>
          </w:p>
        </w:tc>
        <w:tc>
          <w:tcPr>
            <w:tcW w:w="833" w:type="pct"/>
          </w:tcPr>
          <w:p w14:paraId="64A1E74B" w14:textId="4EAF7370"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4C1AE18E" w14:textId="466A83EA" w:rsidR="00F27090" w:rsidRPr="00AA5CB5" w:rsidRDefault="00BF0F95" w:rsidP="00EC2F4A">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38.6</w:t>
            </w:r>
          </w:p>
        </w:tc>
        <w:tc>
          <w:tcPr>
            <w:tcW w:w="833" w:type="pct"/>
            <w:hideMark/>
          </w:tcPr>
          <w:p w14:paraId="31665301" w14:textId="77777777"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70.50 </w:t>
            </w:r>
          </w:p>
        </w:tc>
        <w:tc>
          <w:tcPr>
            <w:tcW w:w="833" w:type="pct"/>
            <w:hideMark/>
          </w:tcPr>
          <w:p w14:paraId="3D8B0E8D" w14:textId="06F5E8A9"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17.3</w:t>
            </w:r>
          </w:p>
        </w:tc>
      </w:tr>
      <w:tr w:rsidR="00F27090" w:rsidRPr="00AA5CB5" w14:paraId="55E853CC" w14:textId="77777777" w:rsidTr="00F27090">
        <w:trPr>
          <w:trHeight w:val="300"/>
        </w:trPr>
        <w:tc>
          <w:tcPr>
            <w:cnfStyle w:val="001000000000" w:firstRow="0" w:lastRow="0" w:firstColumn="1" w:lastColumn="0" w:oddVBand="0" w:evenVBand="0" w:oddHBand="0" w:evenHBand="0" w:firstRowFirstColumn="0" w:firstRowLastColumn="0" w:lastRowFirstColumn="0" w:lastRowLastColumn="0"/>
            <w:tcW w:w="833" w:type="pct"/>
          </w:tcPr>
          <w:p w14:paraId="610263EE" w14:textId="41AAD230" w:rsidR="00F27090" w:rsidRPr="00AA5CB5" w:rsidRDefault="00F27090" w:rsidP="00F27090">
            <w:pPr>
              <w:pStyle w:val="Tablebodytext"/>
              <w:rPr>
                <w:b w:val="0"/>
                <w:bCs w:val="0"/>
                <w:lang w:val="en-AU"/>
              </w:rPr>
            </w:pPr>
            <w:r w:rsidRPr="00AA5CB5">
              <w:rPr>
                <w:rFonts w:eastAsiaTheme="minorHAnsi"/>
                <w:b w:val="0"/>
                <w:bCs w:val="0"/>
                <w:lang w:val="en-AU"/>
              </w:rPr>
              <w:t>Heavy duty vehicles </w:t>
            </w:r>
          </w:p>
        </w:tc>
        <w:tc>
          <w:tcPr>
            <w:tcW w:w="833" w:type="pct"/>
            <w:hideMark/>
          </w:tcPr>
          <w:p w14:paraId="6F55A2AC" w14:textId="3D5D942F"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Diesel oil - Euro iii</w:t>
            </w:r>
          </w:p>
        </w:tc>
        <w:tc>
          <w:tcPr>
            <w:tcW w:w="833" w:type="pct"/>
          </w:tcPr>
          <w:p w14:paraId="6400645F" w14:textId="3BEC5F0A"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2957395B" w14:textId="187E89E4" w:rsidR="00F27090" w:rsidRPr="00AA5CB5" w:rsidRDefault="00BF0F95" w:rsidP="00EC2F4A">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38.6</w:t>
            </w:r>
          </w:p>
        </w:tc>
        <w:tc>
          <w:tcPr>
            <w:tcW w:w="833" w:type="pct"/>
            <w:hideMark/>
          </w:tcPr>
          <w:p w14:paraId="434E8CE8" w14:textId="77777777"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70.40 </w:t>
            </w:r>
          </w:p>
        </w:tc>
        <w:tc>
          <w:tcPr>
            <w:tcW w:w="833" w:type="pct"/>
            <w:hideMark/>
          </w:tcPr>
          <w:p w14:paraId="378073D4" w14:textId="3A207CF5" w:rsidR="00F27090" w:rsidRPr="00AA5CB5" w:rsidRDefault="00F27090" w:rsidP="00F27090">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17.3</w:t>
            </w:r>
          </w:p>
        </w:tc>
      </w:tr>
      <w:tr w:rsidR="00E23C7B" w:rsidRPr="00AA5CB5" w14:paraId="377FD390" w14:textId="77777777" w:rsidTr="00F27090">
        <w:trPr>
          <w:trHeight w:val="300"/>
        </w:trPr>
        <w:tc>
          <w:tcPr>
            <w:cnfStyle w:val="001000000000" w:firstRow="0" w:lastRow="0" w:firstColumn="1" w:lastColumn="0" w:oddVBand="0" w:evenVBand="0" w:oddHBand="0" w:evenHBand="0" w:firstRowFirstColumn="0" w:firstRowLastColumn="0" w:lastRowFirstColumn="0" w:lastRowLastColumn="0"/>
            <w:tcW w:w="833" w:type="pct"/>
          </w:tcPr>
          <w:p w14:paraId="03610C50" w14:textId="514E5593" w:rsidR="00E23C7B" w:rsidRPr="00AA5CB5" w:rsidRDefault="003F637F">
            <w:pPr>
              <w:pStyle w:val="Tablebodytext"/>
              <w:rPr>
                <w:b w:val="0"/>
                <w:bCs w:val="0"/>
                <w:lang w:val="en-AU"/>
              </w:rPr>
            </w:pPr>
            <w:r w:rsidRPr="00AA5CB5">
              <w:rPr>
                <w:rFonts w:eastAsiaTheme="minorHAnsi"/>
                <w:b w:val="0"/>
                <w:bCs w:val="0"/>
                <w:lang w:val="en-AU"/>
              </w:rPr>
              <w:t>Heavy duty vehicles </w:t>
            </w:r>
          </w:p>
        </w:tc>
        <w:tc>
          <w:tcPr>
            <w:tcW w:w="833" w:type="pct"/>
            <w:hideMark/>
          </w:tcPr>
          <w:p w14:paraId="4CE39366" w14:textId="4A0A9ECC" w:rsidR="00E23C7B" w:rsidRPr="00AA5CB5" w:rsidRDefault="00E23C7B">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Diesel oil - Euro iv or higher</w:t>
            </w:r>
          </w:p>
        </w:tc>
        <w:tc>
          <w:tcPr>
            <w:tcW w:w="833" w:type="pct"/>
          </w:tcPr>
          <w:p w14:paraId="7B0A96C4" w14:textId="1B625581" w:rsidR="00E23C7B" w:rsidRPr="00AA5CB5" w:rsidRDefault="00F2709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7898394B" w14:textId="15BCF61E" w:rsidR="00E23C7B" w:rsidRPr="00AA5CB5" w:rsidRDefault="00BF0F95" w:rsidP="00EC2F4A">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38.6</w:t>
            </w:r>
          </w:p>
        </w:tc>
        <w:tc>
          <w:tcPr>
            <w:tcW w:w="833" w:type="pct"/>
            <w:hideMark/>
          </w:tcPr>
          <w:p w14:paraId="519A852C" w14:textId="77777777" w:rsidR="00E23C7B" w:rsidRPr="00AA5CB5" w:rsidRDefault="00E23C7B">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70.37 </w:t>
            </w:r>
          </w:p>
        </w:tc>
        <w:tc>
          <w:tcPr>
            <w:tcW w:w="833" w:type="pct"/>
            <w:hideMark/>
          </w:tcPr>
          <w:p w14:paraId="2FF3D003" w14:textId="7A45A004" w:rsidR="00E23C7B" w:rsidRPr="00AA5CB5" w:rsidRDefault="00E23C7B">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17.3</w:t>
            </w:r>
          </w:p>
        </w:tc>
      </w:tr>
      <w:tr w:rsidR="00F53A5A" w:rsidRPr="00AA5CB5" w14:paraId="0BB435D1" w14:textId="77777777" w:rsidTr="00F27090">
        <w:trPr>
          <w:trHeight w:val="300"/>
        </w:trPr>
        <w:tc>
          <w:tcPr>
            <w:cnfStyle w:val="001000000000" w:firstRow="0" w:lastRow="0" w:firstColumn="1" w:lastColumn="0" w:oddVBand="0" w:evenVBand="0" w:oddHBand="0" w:evenHBand="0" w:firstRowFirstColumn="0" w:firstRowLastColumn="0" w:lastRowFirstColumn="0" w:lastRowLastColumn="0"/>
            <w:tcW w:w="833" w:type="pct"/>
          </w:tcPr>
          <w:p w14:paraId="54A07377" w14:textId="4944BDB9" w:rsidR="00F53A5A" w:rsidRPr="00AA5CB5" w:rsidRDefault="00F53A5A" w:rsidP="00F53A5A">
            <w:pPr>
              <w:pStyle w:val="Tablebodytext"/>
              <w:rPr>
                <w:b w:val="0"/>
                <w:bCs w:val="0"/>
                <w:lang w:val="en-AU"/>
              </w:rPr>
            </w:pPr>
            <w:r w:rsidRPr="00AA5CB5">
              <w:rPr>
                <w:rFonts w:eastAsiaTheme="minorHAnsi"/>
                <w:b w:val="0"/>
                <w:bCs w:val="0"/>
                <w:lang w:val="en-AU"/>
              </w:rPr>
              <w:t>Heavy duty vehicles</w:t>
            </w:r>
          </w:p>
        </w:tc>
        <w:tc>
          <w:tcPr>
            <w:tcW w:w="833" w:type="pct"/>
          </w:tcPr>
          <w:p w14:paraId="2A7A7373" w14:textId="03ED0756"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Liquefied natural gas</w:t>
            </w:r>
          </w:p>
        </w:tc>
        <w:tc>
          <w:tcPr>
            <w:tcW w:w="833" w:type="pct"/>
          </w:tcPr>
          <w:p w14:paraId="36ABC6BD" w14:textId="53E3A7B2"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76F410D5" w14:textId="749081B2" w:rsidR="00F53A5A" w:rsidRPr="00AA5CB5" w:rsidRDefault="00F53A5A" w:rsidP="00EC2F4A">
            <w:pPr>
              <w:pStyle w:val="Tablebodytext"/>
              <w:tabs>
                <w:tab w:val="decimal" w:pos="286"/>
              </w:tabs>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25.3</w:t>
            </w:r>
          </w:p>
        </w:tc>
        <w:tc>
          <w:tcPr>
            <w:tcW w:w="833" w:type="pct"/>
          </w:tcPr>
          <w:p w14:paraId="0C36A2DC" w14:textId="6465CEEC"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54.50 </w:t>
            </w:r>
          </w:p>
        </w:tc>
        <w:tc>
          <w:tcPr>
            <w:tcW w:w="833" w:type="pct"/>
          </w:tcPr>
          <w:p w14:paraId="27127F8E" w14:textId="3033419D" w:rsidR="00F53A5A" w:rsidRPr="00AA5CB5" w:rsidRDefault="00F53A5A" w:rsidP="00403FCB">
            <w:pPr>
              <w:pStyle w:val="Tablebodytext"/>
              <w:numPr>
                <w:ilvl w:val="0"/>
                <w:numId w:val="29"/>
              </w:numPr>
              <w:cnfStyle w:val="000000000000" w:firstRow="0" w:lastRow="0" w:firstColumn="0" w:lastColumn="0" w:oddVBand="0" w:evenVBand="0" w:oddHBand="0" w:evenHBand="0" w:firstRowFirstColumn="0" w:firstRowLastColumn="0" w:lastRowFirstColumn="0" w:lastRowLastColumn="0"/>
              <w:rPr>
                <w:lang w:val="en-AU"/>
              </w:rPr>
            </w:pPr>
          </w:p>
        </w:tc>
      </w:tr>
    </w:tbl>
    <w:p w14:paraId="2FDD9072" w14:textId="77777777" w:rsidR="00403FCB" w:rsidRPr="00AA5CB5" w:rsidRDefault="00403FCB">
      <w:pPr>
        <w:pStyle w:val="Notebullets1"/>
        <w:numPr>
          <w:ilvl w:val="0"/>
          <w:numId w:val="0"/>
        </w:numPr>
      </w:pPr>
      <w:bookmarkStart w:id="183" w:name="_Toc197438657"/>
      <w:bookmarkStart w:id="184" w:name="_Toc197438675"/>
      <w:r w:rsidRPr="00AA5CB5">
        <w:rPr>
          <w:rStyle w:val="Notebullets1Char"/>
        </w:rPr>
        <w:t>Source:</w:t>
      </w:r>
      <w:r w:rsidRPr="00AA5CB5">
        <w:t xml:space="preserve"> DCCEEW (2024) </w:t>
      </w:r>
      <w:hyperlink r:id="rId73" w:history="1">
        <w:r w:rsidRPr="00AA5CB5">
          <w:rPr>
            <w:rStyle w:val="Hyperlink1"/>
            <w:rFonts w:asciiTheme="minorHAnsi" w:hAnsiTheme="minorHAnsi" w:cstheme="minorHAnsi"/>
            <w:i/>
            <w:iCs/>
            <w:sz w:val="20"/>
            <w:szCs w:val="20"/>
          </w:rPr>
          <w:t>Australian National Greenhouse Accounts Factors</w:t>
        </w:r>
      </w:hyperlink>
      <w:r w:rsidRPr="00AA5CB5">
        <w:t>, DCCEEW, 2024:25-26; table 9, accessed 14 February 2025.</w:t>
      </w:r>
    </w:p>
    <w:p w14:paraId="3DE4184D" w14:textId="3E7FD6D7" w:rsidR="009B6F39" w:rsidRPr="00AA5CB5" w:rsidRDefault="009B6F39" w:rsidP="009B6F39">
      <w:pPr>
        <w:pStyle w:val="Caption"/>
        <w:rPr>
          <w:rFonts w:asciiTheme="minorHAnsi" w:hAnsiTheme="minorHAnsi"/>
        </w:rPr>
      </w:pPr>
      <w:bookmarkStart w:id="185" w:name="_Toc201927391"/>
      <w:r w:rsidRPr="00AA5CB5">
        <w:rPr>
          <w:rFonts w:asciiTheme="minorHAnsi" w:hAnsiTheme="minorHAnsi"/>
        </w:rPr>
        <w:t xml:space="preserve">Table </w:t>
      </w:r>
      <w:r w:rsidRPr="00AA5CB5">
        <w:rPr>
          <w:rFonts w:asciiTheme="minorHAnsi" w:hAnsiTheme="minorHAnsi"/>
        </w:rPr>
        <w:fldChar w:fldCharType="begin"/>
      </w:r>
      <w:r w:rsidRPr="00AA5CB5">
        <w:rPr>
          <w:rFonts w:asciiTheme="minorHAnsi" w:hAnsiTheme="minorHAnsi"/>
        </w:rPr>
        <w:instrText xml:space="preserve"> SEQ Table \* ARABIC </w:instrText>
      </w:r>
      <w:r w:rsidRPr="00AA5CB5">
        <w:rPr>
          <w:rFonts w:asciiTheme="minorHAnsi" w:hAnsiTheme="minorHAnsi"/>
        </w:rPr>
        <w:fldChar w:fldCharType="separate"/>
      </w:r>
      <w:r w:rsidR="00422A37">
        <w:rPr>
          <w:rFonts w:asciiTheme="minorHAnsi" w:hAnsiTheme="minorHAnsi"/>
          <w:noProof/>
        </w:rPr>
        <w:t>18</w:t>
      </w:r>
      <w:r w:rsidRPr="00AA5CB5">
        <w:rPr>
          <w:rFonts w:asciiTheme="minorHAnsi" w:hAnsiTheme="minorHAnsi"/>
        </w:rPr>
        <w:fldChar w:fldCharType="end"/>
      </w:r>
      <w:r w:rsidR="0088604A">
        <w:rPr>
          <w:rFonts w:asciiTheme="minorHAnsi" w:hAnsiTheme="minorHAnsi"/>
        </w:rPr>
        <w:t>:</w:t>
      </w:r>
      <w:r w:rsidRPr="00AA5CB5">
        <w:rPr>
          <w:rFonts w:asciiTheme="minorHAnsi" w:hAnsiTheme="minorHAnsi"/>
        </w:rPr>
        <w:t xml:space="preserve"> </w:t>
      </w:r>
      <w:r w:rsidRPr="00AA5CB5">
        <w:t xml:space="preserve">Mobile combustion – </w:t>
      </w:r>
      <w:r w:rsidR="006A48BE">
        <w:t>e</w:t>
      </w:r>
      <w:r w:rsidRPr="00AA5CB5">
        <w:t xml:space="preserve">mission factors for </w:t>
      </w:r>
      <w:r w:rsidR="00D534CB" w:rsidRPr="00AA5CB5">
        <w:t>l</w:t>
      </w:r>
      <w:r w:rsidRPr="00AA5CB5">
        <w:rPr>
          <w:rFonts w:asciiTheme="minorHAnsi" w:hAnsiTheme="minorHAnsi"/>
        </w:rPr>
        <w:t>ight duty vehicles</w:t>
      </w:r>
      <w:bookmarkEnd w:id="183"/>
      <w:bookmarkEnd w:id="184"/>
      <w:bookmarkEnd w:id="185"/>
    </w:p>
    <w:tbl>
      <w:tblPr>
        <w:tblStyle w:val="ListTable4-Accent6"/>
        <w:tblW w:w="5000" w:type="pct"/>
        <w:tblInd w:w="0" w:type="dxa"/>
        <w:tblLook w:val="06A0" w:firstRow="1" w:lastRow="0" w:firstColumn="1" w:lastColumn="0" w:noHBand="1" w:noVBand="1"/>
      </w:tblPr>
      <w:tblGrid>
        <w:gridCol w:w="1567"/>
        <w:gridCol w:w="1567"/>
        <w:gridCol w:w="1567"/>
        <w:gridCol w:w="1567"/>
        <w:gridCol w:w="1567"/>
        <w:gridCol w:w="1567"/>
      </w:tblGrid>
      <w:tr w:rsidR="00C733B0" w:rsidRPr="00AA5CB5" w14:paraId="3C8609A3" w14:textId="77777777" w:rsidTr="00F53A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Pr>
          <w:p w14:paraId="7D10A401" w14:textId="7CCB5349" w:rsidR="0077587A" w:rsidRPr="00AA5CB5" w:rsidRDefault="00295868" w:rsidP="0077587A">
            <w:pPr>
              <w:pStyle w:val="Tableheading"/>
              <w:rPr>
                <w:b/>
                <w:bCs w:val="0"/>
                <w:lang w:val="en-AU"/>
              </w:rPr>
            </w:pPr>
            <w:r w:rsidRPr="00AA5CB5">
              <w:rPr>
                <w:b/>
                <w:bCs w:val="0"/>
                <w:lang w:val="en-AU"/>
              </w:rPr>
              <w:t>Transport Type</w:t>
            </w:r>
          </w:p>
        </w:tc>
        <w:tc>
          <w:tcPr>
            <w:tcW w:w="833" w:type="pct"/>
          </w:tcPr>
          <w:p w14:paraId="72850568" w14:textId="41C6A765" w:rsidR="0077587A" w:rsidRPr="00AA5CB5" w:rsidRDefault="0077587A" w:rsidP="0077587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 xml:space="preserve">Fuel </w:t>
            </w:r>
          </w:p>
        </w:tc>
        <w:tc>
          <w:tcPr>
            <w:tcW w:w="833" w:type="pct"/>
          </w:tcPr>
          <w:p w14:paraId="1964CAC2" w14:textId="46A5AA58" w:rsidR="0077587A" w:rsidRPr="00AA5CB5" w:rsidRDefault="0077587A" w:rsidP="0077587A">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Activity data unit</w:t>
            </w:r>
          </w:p>
        </w:tc>
        <w:tc>
          <w:tcPr>
            <w:tcW w:w="833" w:type="pct"/>
          </w:tcPr>
          <w:p w14:paraId="6BD3C9A8" w14:textId="77777777" w:rsidR="0077587A" w:rsidRPr="00AA5CB5" w:rsidRDefault="0077587A" w:rsidP="0077587A">
            <w:pPr>
              <w:pStyle w:val="Tableheading"/>
              <w:cnfStyle w:val="100000000000" w:firstRow="1" w:lastRow="0" w:firstColumn="0" w:lastColumn="0" w:oddVBand="0" w:evenVBand="0" w:oddHBand="0" w:evenHBand="0" w:firstRowFirstColumn="0" w:firstRowLastColumn="0" w:lastRowFirstColumn="0" w:lastRowLastColumn="0"/>
              <w:rPr>
                <w:bCs w:val="0"/>
                <w:lang w:val="en-AU"/>
              </w:rPr>
            </w:pPr>
            <w:r w:rsidRPr="00AA5CB5">
              <w:rPr>
                <w:b/>
                <w:lang w:val="en-AU"/>
              </w:rPr>
              <w:t>Energy content factor (EC)</w:t>
            </w:r>
          </w:p>
          <w:p w14:paraId="5C5DBF00" w14:textId="36EC1C21" w:rsidR="0077587A" w:rsidRPr="00AA5CB5" w:rsidRDefault="0077587A" w:rsidP="0077587A">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lastRenderedPageBreak/>
              <w:t xml:space="preserve">GJ per unit </w:t>
            </w:r>
          </w:p>
        </w:tc>
        <w:tc>
          <w:tcPr>
            <w:tcW w:w="833" w:type="pct"/>
            <w:hideMark/>
          </w:tcPr>
          <w:p w14:paraId="742D52E6" w14:textId="77777777" w:rsidR="0077587A" w:rsidRPr="00AA5CB5" w:rsidRDefault="0077587A" w:rsidP="0077587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lastRenderedPageBreak/>
              <w:t>Net scope 1 emission factor</w:t>
            </w:r>
          </w:p>
          <w:p w14:paraId="09D245F5" w14:textId="77777777" w:rsidR="0077587A" w:rsidRPr="00AA5CB5" w:rsidRDefault="0077587A" w:rsidP="0077587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lastRenderedPageBreak/>
              <w:t>kg CO</w:t>
            </w:r>
            <w:r w:rsidRPr="00AA5CB5">
              <w:rPr>
                <w:rFonts w:eastAsiaTheme="minorHAnsi"/>
                <w:b/>
                <w:bCs w:val="0"/>
                <w:vertAlign w:val="subscript"/>
                <w:lang w:val="en-AU"/>
              </w:rPr>
              <w:t>2</w:t>
            </w:r>
            <w:r w:rsidRPr="00AA5CB5">
              <w:rPr>
                <w:rFonts w:eastAsiaTheme="minorHAnsi"/>
                <w:b/>
                <w:bCs w:val="0"/>
                <w:lang w:val="en-AU"/>
              </w:rPr>
              <w:t>-e/GJ</w:t>
            </w:r>
          </w:p>
        </w:tc>
        <w:tc>
          <w:tcPr>
            <w:tcW w:w="833" w:type="pct"/>
            <w:hideMark/>
          </w:tcPr>
          <w:p w14:paraId="62D279FB" w14:textId="77777777" w:rsidR="0077587A" w:rsidRPr="00AA5CB5" w:rsidRDefault="0077587A" w:rsidP="0077587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lastRenderedPageBreak/>
              <w:t xml:space="preserve">Net scope 3 supply chain </w:t>
            </w:r>
            <w:r w:rsidRPr="00AA5CB5">
              <w:rPr>
                <w:rFonts w:eastAsiaTheme="minorHAnsi"/>
                <w:b/>
                <w:bCs w:val="0"/>
                <w:lang w:val="en-AU"/>
              </w:rPr>
              <w:lastRenderedPageBreak/>
              <w:t>emission factor </w:t>
            </w:r>
          </w:p>
          <w:p w14:paraId="3F9E71F1" w14:textId="77777777" w:rsidR="0077587A" w:rsidRPr="00AA5CB5" w:rsidRDefault="0077587A" w:rsidP="0077587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eastAsiaTheme="minorHAnsi"/>
                <w:b/>
                <w:bCs w:val="0"/>
                <w:vertAlign w:val="subscript"/>
                <w:lang w:val="en-AU"/>
              </w:rPr>
              <w:t>2</w:t>
            </w:r>
            <w:r w:rsidRPr="00AA5CB5">
              <w:rPr>
                <w:rFonts w:eastAsiaTheme="minorHAnsi"/>
                <w:b/>
                <w:bCs w:val="0"/>
                <w:lang w:val="en-AU"/>
              </w:rPr>
              <w:t>-e/GJ</w:t>
            </w:r>
          </w:p>
        </w:tc>
      </w:tr>
      <w:tr w:rsidR="00F53A5A" w:rsidRPr="00AA5CB5" w14:paraId="63FFE409" w14:textId="77777777" w:rsidTr="00F53A5A">
        <w:trPr>
          <w:trHeight w:val="300"/>
        </w:trPr>
        <w:tc>
          <w:tcPr>
            <w:cnfStyle w:val="001000000000" w:firstRow="0" w:lastRow="0" w:firstColumn="1" w:lastColumn="0" w:oddVBand="0" w:evenVBand="0" w:oddHBand="0" w:evenHBand="0" w:firstRowFirstColumn="0" w:firstRowLastColumn="0" w:lastRowFirstColumn="0" w:lastRowLastColumn="0"/>
            <w:tcW w:w="833" w:type="pct"/>
          </w:tcPr>
          <w:p w14:paraId="1A13C348" w14:textId="5A26CC8A" w:rsidR="00F53A5A" w:rsidRPr="00AA5CB5" w:rsidRDefault="00F53A5A" w:rsidP="00F53A5A">
            <w:pPr>
              <w:pStyle w:val="Tablebodytext"/>
              <w:rPr>
                <w:b w:val="0"/>
                <w:bCs w:val="0"/>
                <w:lang w:val="en-AU"/>
              </w:rPr>
            </w:pPr>
            <w:r w:rsidRPr="00AA5CB5">
              <w:rPr>
                <w:rFonts w:eastAsiaTheme="minorHAnsi"/>
                <w:b w:val="0"/>
                <w:bCs w:val="0"/>
                <w:lang w:val="en-AU"/>
              </w:rPr>
              <w:lastRenderedPageBreak/>
              <w:t>Light duty vehicles</w:t>
            </w:r>
          </w:p>
        </w:tc>
        <w:tc>
          <w:tcPr>
            <w:tcW w:w="833" w:type="pct"/>
            <w:hideMark/>
          </w:tcPr>
          <w:p w14:paraId="7D2C78F2" w14:textId="148FF5B2"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rFonts w:eastAsiaTheme="minorHAnsi"/>
                <w:b/>
                <w:bCs/>
                <w:lang w:val="en-AU"/>
              </w:rPr>
            </w:pPr>
            <w:r w:rsidRPr="00AA5CB5">
              <w:rPr>
                <w:rFonts w:eastAsiaTheme="minorHAnsi"/>
                <w:lang w:val="en-AU"/>
              </w:rPr>
              <w:t>Compressed natural gas</w:t>
            </w:r>
          </w:p>
        </w:tc>
        <w:tc>
          <w:tcPr>
            <w:tcW w:w="833" w:type="pct"/>
          </w:tcPr>
          <w:p w14:paraId="68E7DE97" w14:textId="71D1766B"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Cubic metres (m</w:t>
            </w:r>
            <w:r w:rsidRPr="00AA5CB5">
              <w:rPr>
                <w:vertAlign w:val="superscript"/>
                <w:lang w:val="en-AU"/>
              </w:rPr>
              <w:t>3</w:t>
            </w:r>
            <w:r w:rsidRPr="00AA5CB5">
              <w:rPr>
                <w:lang w:val="en-AU"/>
              </w:rPr>
              <w:t>)</w:t>
            </w:r>
          </w:p>
        </w:tc>
        <w:tc>
          <w:tcPr>
            <w:tcW w:w="833" w:type="pct"/>
          </w:tcPr>
          <w:p w14:paraId="3F7A46AD" w14:textId="0BB8CF06"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0.0393</w:t>
            </w:r>
          </w:p>
        </w:tc>
        <w:tc>
          <w:tcPr>
            <w:tcW w:w="833" w:type="pct"/>
            <w:hideMark/>
          </w:tcPr>
          <w:p w14:paraId="2E28C7BD" w14:textId="0C82FAA2"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59.00</w:t>
            </w:r>
          </w:p>
        </w:tc>
        <w:tc>
          <w:tcPr>
            <w:tcW w:w="833" w:type="pct"/>
            <w:hideMark/>
          </w:tcPr>
          <w:p w14:paraId="6D835FD2" w14:textId="55960E93"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18.0</w:t>
            </w:r>
          </w:p>
        </w:tc>
      </w:tr>
      <w:tr w:rsidR="00F53A5A" w:rsidRPr="00AA5CB5" w14:paraId="53BBDCE9" w14:textId="77777777" w:rsidTr="00F53A5A">
        <w:trPr>
          <w:trHeight w:val="300"/>
        </w:trPr>
        <w:tc>
          <w:tcPr>
            <w:cnfStyle w:val="001000000000" w:firstRow="0" w:lastRow="0" w:firstColumn="1" w:lastColumn="0" w:oddVBand="0" w:evenVBand="0" w:oddHBand="0" w:evenHBand="0" w:firstRowFirstColumn="0" w:firstRowLastColumn="0" w:lastRowFirstColumn="0" w:lastRowLastColumn="0"/>
            <w:tcW w:w="833" w:type="pct"/>
          </w:tcPr>
          <w:p w14:paraId="1119612D" w14:textId="282D9F5E" w:rsidR="00F53A5A" w:rsidRPr="00AA5CB5" w:rsidRDefault="00F53A5A" w:rsidP="00F53A5A">
            <w:pPr>
              <w:pStyle w:val="Tablebodytext"/>
              <w:rPr>
                <w:b w:val="0"/>
                <w:bCs w:val="0"/>
                <w:lang w:val="en-AU"/>
              </w:rPr>
            </w:pPr>
            <w:r w:rsidRPr="00AA5CB5">
              <w:rPr>
                <w:rFonts w:eastAsiaTheme="minorHAnsi"/>
                <w:b w:val="0"/>
                <w:bCs w:val="0"/>
                <w:lang w:val="en-AU"/>
              </w:rPr>
              <w:t>Light duty vehicles</w:t>
            </w:r>
          </w:p>
        </w:tc>
        <w:tc>
          <w:tcPr>
            <w:tcW w:w="833" w:type="pct"/>
          </w:tcPr>
          <w:p w14:paraId="15B1A3F6" w14:textId="79479D55"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b/>
                <w:bCs/>
                <w:lang w:val="en-AU"/>
              </w:rPr>
            </w:pPr>
            <w:r w:rsidRPr="00AA5CB5">
              <w:rPr>
                <w:rFonts w:eastAsiaTheme="minorHAnsi"/>
                <w:lang w:val="en-AU"/>
              </w:rPr>
              <w:t>Liquefied natural gas</w:t>
            </w:r>
          </w:p>
        </w:tc>
        <w:tc>
          <w:tcPr>
            <w:tcW w:w="833" w:type="pct"/>
          </w:tcPr>
          <w:p w14:paraId="5AEBD913" w14:textId="4B6BC1F6"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833" w:type="pct"/>
          </w:tcPr>
          <w:p w14:paraId="24F39D66" w14:textId="7FFCCC69"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25.3</w:t>
            </w:r>
          </w:p>
        </w:tc>
        <w:tc>
          <w:tcPr>
            <w:tcW w:w="833" w:type="pct"/>
          </w:tcPr>
          <w:p w14:paraId="30EA1052" w14:textId="203AD461"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59.00 </w:t>
            </w:r>
          </w:p>
        </w:tc>
        <w:tc>
          <w:tcPr>
            <w:tcW w:w="833" w:type="pct"/>
          </w:tcPr>
          <w:p w14:paraId="1E80F175" w14:textId="1473B2FD" w:rsidR="00F53A5A" w:rsidRPr="00AA5CB5" w:rsidRDefault="00F53A5A" w:rsidP="00F53A5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18.0</w:t>
            </w:r>
          </w:p>
        </w:tc>
      </w:tr>
    </w:tbl>
    <w:p w14:paraId="12AFD5B3" w14:textId="77777777" w:rsidR="00403FCB" w:rsidRPr="00AA5CB5" w:rsidRDefault="00403FCB">
      <w:pPr>
        <w:pStyle w:val="Notebullets1"/>
        <w:numPr>
          <w:ilvl w:val="0"/>
          <w:numId w:val="0"/>
        </w:numPr>
      </w:pPr>
      <w:bookmarkStart w:id="186" w:name="_Toc197426935"/>
      <w:bookmarkStart w:id="187" w:name="_Toc197438600"/>
      <w:r w:rsidRPr="00AA5CB5">
        <w:rPr>
          <w:rStyle w:val="Notebullets1Char"/>
        </w:rPr>
        <w:t>Source:</w:t>
      </w:r>
      <w:r w:rsidRPr="00AA5CB5">
        <w:t xml:space="preserve"> DCCEEW (2024) </w:t>
      </w:r>
      <w:hyperlink r:id="rId74" w:history="1">
        <w:r w:rsidRPr="00AA5CB5">
          <w:rPr>
            <w:rStyle w:val="Hyperlink1"/>
            <w:rFonts w:asciiTheme="minorHAnsi" w:hAnsiTheme="minorHAnsi" w:cstheme="minorHAnsi"/>
            <w:i/>
            <w:iCs/>
            <w:sz w:val="20"/>
            <w:szCs w:val="20"/>
          </w:rPr>
          <w:t>Australian National Greenhouse Accounts Factors</w:t>
        </w:r>
      </w:hyperlink>
      <w:r w:rsidRPr="00AA5CB5">
        <w:t>, DCCEEW, 2024:25-26; table 9, accessed 14 February 2025.</w:t>
      </w:r>
    </w:p>
    <w:p w14:paraId="58B159D2" w14:textId="4E54BC71" w:rsidR="00566D2B" w:rsidRPr="00AA5CB5" w:rsidRDefault="00566D2B" w:rsidP="00566D2B">
      <w:pPr>
        <w:pStyle w:val="Caption"/>
        <w:keepNext/>
      </w:pPr>
      <w:bookmarkStart w:id="188" w:name="_Ref199870946"/>
      <w:bookmarkStart w:id="189" w:name="_Toc201927392"/>
      <w:r w:rsidRPr="00AA5CB5">
        <w:t xml:space="preserve">Table </w:t>
      </w:r>
      <w:r w:rsidRPr="00AA5CB5">
        <w:fldChar w:fldCharType="begin"/>
      </w:r>
      <w:r w:rsidRPr="00AA5CB5">
        <w:instrText xml:space="preserve"> SEQ Table \* ARABIC </w:instrText>
      </w:r>
      <w:r w:rsidRPr="00AA5CB5">
        <w:fldChar w:fldCharType="separate"/>
      </w:r>
      <w:r w:rsidR="00422A37">
        <w:rPr>
          <w:noProof/>
        </w:rPr>
        <w:t>19</w:t>
      </w:r>
      <w:r w:rsidRPr="00AA5CB5">
        <w:fldChar w:fldCharType="end"/>
      </w:r>
      <w:bookmarkEnd w:id="188"/>
      <w:r w:rsidR="0088604A">
        <w:t>:</w:t>
      </w:r>
      <w:r w:rsidRPr="00AA5CB5">
        <w:t xml:space="preserve"> </w:t>
      </w:r>
      <w:r w:rsidR="00D534CB" w:rsidRPr="00AA5CB5">
        <w:t>Mobile combustion –</w:t>
      </w:r>
      <w:r w:rsidR="00391950">
        <w:t xml:space="preserve"> </w:t>
      </w:r>
      <w:r w:rsidR="006A48BE">
        <w:t>e</w:t>
      </w:r>
      <w:r w:rsidRPr="00AA5CB5">
        <w:t xml:space="preserve">mission factors </w:t>
      </w:r>
      <w:r w:rsidR="00D534CB" w:rsidRPr="00AA5CB5">
        <w:t>for aircraft</w:t>
      </w:r>
      <w:bookmarkEnd w:id="189"/>
    </w:p>
    <w:tbl>
      <w:tblPr>
        <w:tblStyle w:val="ListTable4-Accent6"/>
        <w:tblW w:w="5000" w:type="pct"/>
        <w:tblInd w:w="0" w:type="dxa"/>
        <w:tblLook w:val="06A0" w:firstRow="1" w:lastRow="0" w:firstColumn="1" w:lastColumn="0" w:noHBand="1" w:noVBand="1"/>
      </w:tblPr>
      <w:tblGrid>
        <w:gridCol w:w="1567"/>
        <w:gridCol w:w="1567"/>
        <w:gridCol w:w="1567"/>
        <w:gridCol w:w="1567"/>
        <w:gridCol w:w="1567"/>
        <w:gridCol w:w="1567"/>
      </w:tblGrid>
      <w:tr w:rsidR="00C733B0" w:rsidRPr="00AA5CB5" w14:paraId="2A4612BD" w14:textId="77777777" w:rsidTr="00C27E3B">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833" w:type="pct"/>
          </w:tcPr>
          <w:p w14:paraId="47A9A14C" w14:textId="03DEF78C" w:rsidR="00C27E3B" w:rsidRPr="00AA5CB5" w:rsidRDefault="00295868" w:rsidP="00C27E3B">
            <w:pPr>
              <w:pStyle w:val="Tableheading"/>
              <w:rPr>
                <w:b/>
                <w:bCs w:val="0"/>
                <w:lang w:val="en-AU"/>
              </w:rPr>
            </w:pPr>
            <w:r w:rsidRPr="00AA5CB5">
              <w:rPr>
                <w:b/>
                <w:bCs w:val="0"/>
                <w:lang w:val="en-AU"/>
              </w:rPr>
              <w:t>Transport Type</w:t>
            </w:r>
          </w:p>
        </w:tc>
        <w:tc>
          <w:tcPr>
            <w:tcW w:w="833" w:type="pct"/>
          </w:tcPr>
          <w:p w14:paraId="26CFBAFC" w14:textId="5321DD6B" w:rsidR="00C27E3B" w:rsidRPr="00AA5CB5" w:rsidRDefault="00C27E3B" w:rsidP="00C27E3B">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 xml:space="preserve">Fuel </w:t>
            </w:r>
          </w:p>
        </w:tc>
        <w:tc>
          <w:tcPr>
            <w:tcW w:w="833" w:type="pct"/>
          </w:tcPr>
          <w:p w14:paraId="0A452C64" w14:textId="66B279A2" w:rsidR="00C27E3B" w:rsidRPr="00AA5CB5" w:rsidRDefault="00C27E3B" w:rsidP="00C27E3B">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Activity data unit</w:t>
            </w:r>
          </w:p>
        </w:tc>
        <w:tc>
          <w:tcPr>
            <w:tcW w:w="833" w:type="pct"/>
          </w:tcPr>
          <w:p w14:paraId="28DF61B2" w14:textId="77777777" w:rsidR="00C27E3B" w:rsidRPr="00AA5CB5" w:rsidRDefault="00C27E3B" w:rsidP="00C27E3B">
            <w:pPr>
              <w:pStyle w:val="Tableheading"/>
              <w:cnfStyle w:val="100000000000" w:firstRow="1" w:lastRow="0" w:firstColumn="0" w:lastColumn="0" w:oddVBand="0" w:evenVBand="0" w:oddHBand="0" w:evenHBand="0" w:firstRowFirstColumn="0" w:firstRowLastColumn="0" w:lastRowFirstColumn="0" w:lastRowLastColumn="0"/>
              <w:rPr>
                <w:bCs w:val="0"/>
                <w:lang w:val="en-AU"/>
              </w:rPr>
            </w:pPr>
            <w:r w:rsidRPr="00AA5CB5">
              <w:rPr>
                <w:b/>
                <w:lang w:val="en-AU"/>
              </w:rPr>
              <w:t>Energy content factor (EC)</w:t>
            </w:r>
          </w:p>
          <w:p w14:paraId="1AC4BFD0" w14:textId="1CB3B62B" w:rsidR="00C27E3B" w:rsidRPr="00AA5CB5" w:rsidRDefault="00C27E3B" w:rsidP="00C27E3B">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 xml:space="preserve">GJ per unit </w:t>
            </w:r>
          </w:p>
        </w:tc>
        <w:tc>
          <w:tcPr>
            <w:tcW w:w="833" w:type="pct"/>
            <w:hideMark/>
          </w:tcPr>
          <w:p w14:paraId="08FF4CFB" w14:textId="77777777" w:rsidR="00C27E3B" w:rsidRPr="00AA5CB5" w:rsidRDefault="00C27E3B" w:rsidP="00C27E3B">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1 emission factor</w:t>
            </w:r>
          </w:p>
          <w:p w14:paraId="4538F86C" w14:textId="77777777" w:rsidR="00C27E3B" w:rsidRPr="00AA5CB5" w:rsidRDefault="00C27E3B" w:rsidP="00C27E3B">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c>
          <w:tcPr>
            <w:tcW w:w="833" w:type="pct"/>
            <w:hideMark/>
          </w:tcPr>
          <w:p w14:paraId="359F2CC3" w14:textId="77777777" w:rsidR="00C27E3B" w:rsidRPr="00AA5CB5" w:rsidRDefault="00C27E3B" w:rsidP="00C27E3B">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3 supply chain emission factor </w:t>
            </w:r>
          </w:p>
          <w:p w14:paraId="36851366" w14:textId="77777777" w:rsidR="00C27E3B" w:rsidRPr="00AA5CB5" w:rsidRDefault="00C27E3B" w:rsidP="00C27E3B">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r>
      <w:tr w:rsidR="008F5460" w:rsidRPr="00AA5CB5" w14:paraId="6CCA759D" w14:textId="77777777" w:rsidTr="00C27E3B">
        <w:trPr>
          <w:trHeight w:val="300"/>
        </w:trPr>
        <w:tc>
          <w:tcPr>
            <w:cnfStyle w:val="001000000000" w:firstRow="0" w:lastRow="0" w:firstColumn="1" w:lastColumn="0" w:oddVBand="0" w:evenVBand="0" w:oddHBand="0" w:evenHBand="0" w:firstRowFirstColumn="0" w:firstRowLastColumn="0" w:lastRowFirstColumn="0" w:lastRowLastColumn="0"/>
            <w:tcW w:w="833" w:type="pct"/>
          </w:tcPr>
          <w:p w14:paraId="1C718E81" w14:textId="5AFFD983" w:rsidR="008F5460" w:rsidRPr="00AA5CB5" w:rsidRDefault="008F5460" w:rsidP="008F5460">
            <w:pPr>
              <w:pStyle w:val="Tablebodytext"/>
              <w:rPr>
                <w:b w:val="0"/>
                <w:color w:val="auto"/>
                <w:lang w:val="en-AU"/>
              </w:rPr>
            </w:pPr>
            <w:r w:rsidRPr="00AA5CB5">
              <w:rPr>
                <w:b w:val="0"/>
                <w:color w:val="auto"/>
                <w:lang w:val="en-AU"/>
              </w:rPr>
              <w:t>Aircraft</w:t>
            </w:r>
          </w:p>
        </w:tc>
        <w:tc>
          <w:tcPr>
            <w:tcW w:w="833" w:type="pct"/>
            <w:hideMark/>
          </w:tcPr>
          <w:p w14:paraId="5D49989A" w14:textId="47E823F8" w:rsidR="008F5460" w:rsidRPr="00AA5CB5" w:rsidRDefault="008F5460" w:rsidP="008F5460">
            <w:pPr>
              <w:pStyle w:val="Tablebodytext"/>
              <w:cnfStyle w:val="000000000000" w:firstRow="0" w:lastRow="0" w:firstColumn="0" w:lastColumn="0" w:oddVBand="0" w:evenVBand="0" w:oddHBand="0" w:evenHBand="0" w:firstRowFirstColumn="0" w:firstRowLastColumn="0" w:lastRowFirstColumn="0" w:lastRowLastColumn="0"/>
              <w:rPr>
                <w:rFonts w:eastAsiaTheme="minorHAnsi"/>
                <w:bCs/>
                <w:color w:val="auto"/>
                <w:lang w:val="en-AU"/>
              </w:rPr>
            </w:pPr>
            <w:r w:rsidRPr="00AA5CB5">
              <w:rPr>
                <w:rFonts w:eastAsiaTheme="minorHAnsi"/>
                <w:bCs/>
                <w:color w:val="auto"/>
                <w:lang w:val="en-AU"/>
              </w:rPr>
              <w:t>Gasoline for use as fuel in an aircraft</w:t>
            </w:r>
          </w:p>
        </w:tc>
        <w:tc>
          <w:tcPr>
            <w:tcW w:w="833" w:type="pct"/>
          </w:tcPr>
          <w:p w14:paraId="6B7031C5" w14:textId="27A55FED" w:rsidR="008F5460" w:rsidRPr="00AA5CB5" w:rsidRDefault="008F5460" w:rsidP="008F5460">
            <w:pPr>
              <w:pStyle w:val="Tablebodytext"/>
              <w:cnfStyle w:val="000000000000" w:firstRow="0" w:lastRow="0" w:firstColumn="0" w:lastColumn="0" w:oddVBand="0" w:evenVBand="0" w:oddHBand="0" w:evenHBand="0" w:firstRowFirstColumn="0" w:firstRowLastColumn="0" w:lastRowFirstColumn="0" w:lastRowLastColumn="0"/>
              <w:rPr>
                <w:color w:val="auto"/>
                <w:lang w:val="en-AU"/>
              </w:rPr>
            </w:pPr>
            <w:r w:rsidRPr="00AA5CB5">
              <w:rPr>
                <w:lang w:val="en-AU"/>
              </w:rPr>
              <w:t>Kilolitres (kL)</w:t>
            </w:r>
          </w:p>
        </w:tc>
        <w:tc>
          <w:tcPr>
            <w:tcW w:w="833" w:type="pct"/>
          </w:tcPr>
          <w:p w14:paraId="4A324D00" w14:textId="6BE6E9EE" w:rsidR="008F5460" w:rsidRPr="00AA5CB5" w:rsidRDefault="008F5460" w:rsidP="008F5460">
            <w:pPr>
              <w:pStyle w:val="Tablebodytext"/>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33.1</w:t>
            </w:r>
          </w:p>
        </w:tc>
        <w:tc>
          <w:tcPr>
            <w:tcW w:w="833" w:type="pct"/>
            <w:hideMark/>
          </w:tcPr>
          <w:p w14:paraId="06C0CB5A" w14:textId="77777777" w:rsidR="008F5460" w:rsidRPr="00AA5CB5" w:rsidRDefault="008F5460" w:rsidP="008F5460">
            <w:pPr>
              <w:pStyle w:val="Tablebodytext"/>
              <w:cnfStyle w:val="000000000000" w:firstRow="0" w:lastRow="0" w:firstColumn="0" w:lastColumn="0" w:oddVBand="0" w:evenVBand="0" w:oddHBand="0" w:evenHBand="0" w:firstRowFirstColumn="0" w:firstRowLastColumn="0" w:lastRowFirstColumn="0" w:lastRowLastColumn="0"/>
              <w:rPr>
                <w:rFonts w:eastAsiaTheme="minorHAnsi"/>
                <w:color w:val="auto"/>
                <w:lang w:val="en-AU"/>
              </w:rPr>
            </w:pPr>
            <w:r w:rsidRPr="00AA5CB5">
              <w:rPr>
                <w:rFonts w:eastAsiaTheme="minorHAnsi"/>
                <w:color w:val="auto"/>
                <w:lang w:val="en-AU"/>
              </w:rPr>
              <w:t>67.66 </w:t>
            </w:r>
          </w:p>
        </w:tc>
        <w:tc>
          <w:tcPr>
            <w:tcW w:w="833" w:type="pct"/>
            <w:hideMark/>
          </w:tcPr>
          <w:p w14:paraId="2D45E0B6" w14:textId="468EF854" w:rsidR="008F5460" w:rsidRPr="00AA5CB5" w:rsidRDefault="008F5460" w:rsidP="008F5460">
            <w:pPr>
              <w:pStyle w:val="Tablebodytext"/>
              <w:cnfStyle w:val="000000000000" w:firstRow="0" w:lastRow="0" w:firstColumn="0" w:lastColumn="0" w:oddVBand="0" w:evenVBand="0" w:oddHBand="0" w:evenHBand="0" w:firstRowFirstColumn="0" w:firstRowLastColumn="0" w:lastRowFirstColumn="0" w:lastRowLastColumn="0"/>
              <w:rPr>
                <w:rFonts w:eastAsiaTheme="minorHAnsi"/>
                <w:color w:val="auto"/>
                <w:lang w:val="en-AU"/>
              </w:rPr>
            </w:pPr>
            <w:r w:rsidRPr="00AA5CB5">
              <w:rPr>
                <w:rFonts w:eastAsiaTheme="minorHAnsi"/>
                <w:color w:val="auto"/>
                <w:lang w:val="en-AU"/>
              </w:rPr>
              <w:t>18.0</w:t>
            </w:r>
          </w:p>
        </w:tc>
      </w:tr>
      <w:tr w:rsidR="008F5460" w:rsidRPr="00AA5CB5" w14:paraId="30AA01DC" w14:textId="77777777" w:rsidTr="00C27E3B">
        <w:trPr>
          <w:trHeight w:val="300"/>
        </w:trPr>
        <w:tc>
          <w:tcPr>
            <w:cnfStyle w:val="001000000000" w:firstRow="0" w:lastRow="0" w:firstColumn="1" w:lastColumn="0" w:oddVBand="0" w:evenVBand="0" w:oddHBand="0" w:evenHBand="0" w:firstRowFirstColumn="0" w:firstRowLastColumn="0" w:lastRowFirstColumn="0" w:lastRowLastColumn="0"/>
            <w:tcW w:w="833" w:type="pct"/>
          </w:tcPr>
          <w:p w14:paraId="36428674" w14:textId="1B35C627" w:rsidR="008F5460" w:rsidRPr="00AA5CB5" w:rsidRDefault="008F5460" w:rsidP="008F5460">
            <w:pPr>
              <w:pStyle w:val="Tablebodytext"/>
              <w:rPr>
                <w:b w:val="0"/>
                <w:color w:val="auto"/>
                <w:lang w:val="en-AU"/>
              </w:rPr>
            </w:pPr>
            <w:r w:rsidRPr="00AA5CB5">
              <w:rPr>
                <w:b w:val="0"/>
                <w:color w:val="auto"/>
                <w:lang w:val="en-AU"/>
              </w:rPr>
              <w:t>Aircraft</w:t>
            </w:r>
          </w:p>
        </w:tc>
        <w:tc>
          <w:tcPr>
            <w:tcW w:w="833" w:type="pct"/>
            <w:hideMark/>
          </w:tcPr>
          <w:p w14:paraId="2E0EFD86" w14:textId="5BE58022" w:rsidR="008F5460" w:rsidRPr="00AA5CB5" w:rsidRDefault="008F5460" w:rsidP="008F5460">
            <w:pPr>
              <w:pStyle w:val="Tablebodytext"/>
              <w:cnfStyle w:val="000000000000" w:firstRow="0" w:lastRow="0" w:firstColumn="0" w:lastColumn="0" w:oddVBand="0" w:evenVBand="0" w:oddHBand="0" w:evenHBand="0" w:firstRowFirstColumn="0" w:firstRowLastColumn="0" w:lastRowFirstColumn="0" w:lastRowLastColumn="0"/>
              <w:rPr>
                <w:rFonts w:eastAsiaTheme="minorHAnsi"/>
                <w:bCs/>
                <w:color w:val="auto"/>
                <w:lang w:val="en-AU"/>
              </w:rPr>
            </w:pPr>
            <w:r w:rsidRPr="00AA5CB5">
              <w:rPr>
                <w:rFonts w:eastAsiaTheme="minorHAnsi"/>
                <w:bCs/>
                <w:color w:val="auto"/>
                <w:lang w:val="en-AU"/>
              </w:rPr>
              <w:t>Kerosene for use as fuel in an aircraft</w:t>
            </w:r>
          </w:p>
        </w:tc>
        <w:tc>
          <w:tcPr>
            <w:tcW w:w="833" w:type="pct"/>
          </w:tcPr>
          <w:p w14:paraId="1020D054" w14:textId="42012F11" w:rsidR="008F5460" w:rsidRPr="00AA5CB5" w:rsidRDefault="008F5460" w:rsidP="008F5460">
            <w:pPr>
              <w:pStyle w:val="Tablebodytext"/>
              <w:cnfStyle w:val="000000000000" w:firstRow="0" w:lastRow="0" w:firstColumn="0" w:lastColumn="0" w:oddVBand="0" w:evenVBand="0" w:oddHBand="0" w:evenHBand="0" w:firstRowFirstColumn="0" w:firstRowLastColumn="0" w:lastRowFirstColumn="0" w:lastRowLastColumn="0"/>
              <w:rPr>
                <w:color w:val="auto"/>
                <w:lang w:val="en-AU"/>
              </w:rPr>
            </w:pPr>
            <w:r w:rsidRPr="00AA5CB5">
              <w:rPr>
                <w:lang w:val="en-AU"/>
              </w:rPr>
              <w:t>Kilolitres (kL)</w:t>
            </w:r>
          </w:p>
        </w:tc>
        <w:tc>
          <w:tcPr>
            <w:tcW w:w="833" w:type="pct"/>
          </w:tcPr>
          <w:p w14:paraId="55E4E767" w14:textId="14A95117" w:rsidR="008F5460" w:rsidRPr="00AA5CB5" w:rsidRDefault="008F5460" w:rsidP="008F5460">
            <w:pPr>
              <w:pStyle w:val="Tablebodytext"/>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36.8</w:t>
            </w:r>
          </w:p>
        </w:tc>
        <w:tc>
          <w:tcPr>
            <w:tcW w:w="833" w:type="pct"/>
            <w:hideMark/>
          </w:tcPr>
          <w:p w14:paraId="498E3FCC" w14:textId="77777777" w:rsidR="008F5460" w:rsidRPr="00AA5CB5" w:rsidRDefault="008F5460" w:rsidP="008F5460">
            <w:pPr>
              <w:pStyle w:val="Tablebodytext"/>
              <w:cnfStyle w:val="000000000000" w:firstRow="0" w:lastRow="0" w:firstColumn="0" w:lastColumn="0" w:oddVBand="0" w:evenVBand="0" w:oddHBand="0" w:evenHBand="0" w:firstRowFirstColumn="0" w:firstRowLastColumn="0" w:lastRowFirstColumn="0" w:lastRowLastColumn="0"/>
              <w:rPr>
                <w:rFonts w:eastAsiaTheme="minorHAnsi"/>
                <w:color w:val="auto"/>
                <w:lang w:val="en-AU"/>
              </w:rPr>
            </w:pPr>
            <w:r w:rsidRPr="00AA5CB5">
              <w:rPr>
                <w:rFonts w:eastAsiaTheme="minorHAnsi"/>
                <w:color w:val="auto"/>
                <w:lang w:val="en-AU"/>
              </w:rPr>
              <w:t>70.21 </w:t>
            </w:r>
          </w:p>
        </w:tc>
        <w:tc>
          <w:tcPr>
            <w:tcW w:w="833" w:type="pct"/>
            <w:hideMark/>
          </w:tcPr>
          <w:p w14:paraId="713245BB" w14:textId="33AD2F9D" w:rsidR="008F5460" w:rsidRPr="00AA5CB5" w:rsidRDefault="008F5460" w:rsidP="008F5460">
            <w:pPr>
              <w:pStyle w:val="Tablebodytext"/>
              <w:cnfStyle w:val="000000000000" w:firstRow="0" w:lastRow="0" w:firstColumn="0" w:lastColumn="0" w:oddVBand="0" w:evenVBand="0" w:oddHBand="0" w:evenHBand="0" w:firstRowFirstColumn="0" w:firstRowLastColumn="0" w:lastRowFirstColumn="0" w:lastRowLastColumn="0"/>
              <w:rPr>
                <w:rFonts w:eastAsiaTheme="minorHAnsi"/>
                <w:color w:val="auto"/>
                <w:lang w:val="en-AU"/>
              </w:rPr>
            </w:pPr>
            <w:r w:rsidRPr="00AA5CB5">
              <w:rPr>
                <w:rFonts w:eastAsiaTheme="minorHAnsi"/>
                <w:color w:val="auto"/>
                <w:lang w:val="en-AU"/>
              </w:rPr>
              <w:t>18.0</w:t>
            </w:r>
          </w:p>
        </w:tc>
      </w:tr>
    </w:tbl>
    <w:bookmarkEnd w:id="186"/>
    <w:bookmarkEnd w:id="187"/>
    <w:p w14:paraId="2EB2D5B1" w14:textId="77777777" w:rsidR="00403FCB" w:rsidRPr="00AA5CB5" w:rsidRDefault="00403FCB">
      <w:pPr>
        <w:pStyle w:val="Notebullets1"/>
        <w:numPr>
          <w:ilvl w:val="0"/>
          <w:numId w:val="0"/>
        </w:numPr>
      </w:pPr>
      <w:r w:rsidRPr="00AA5CB5">
        <w:rPr>
          <w:rStyle w:val="Notebullets1Char"/>
        </w:rPr>
        <w:t>Source:</w:t>
      </w:r>
      <w:r w:rsidRPr="00AA5CB5">
        <w:t xml:space="preserve"> DCCEEW (2024) </w:t>
      </w:r>
      <w:hyperlink r:id="rId75" w:history="1">
        <w:r w:rsidRPr="00AA5CB5">
          <w:rPr>
            <w:rStyle w:val="Hyperlink1"/>
            <w:rFonts w:asciiTheme="minorHAnsi" w:hAnsiTheme="minorHAnsi" w:cstheme="minorHAnsi"/>
            <w:i/>
            <w:iCs/>
            <w:sz w:val="20"/>
            <w:szCs w:val="20"/>
          </w:rPr>
          <w:t>Australian National Greenhouse Accounts Factors</w:t>
        </w:r>
      </w:hyperlink>
      <w:r w:rsidRPr="00AA5CB5">
        <w:t>, DCCEEW, 2024:25-26; table 9, accessed 14 February 2025.</w:t>
      </w:r>
    </w:p>
    <w:p w14:paraId="21E5602D" w14:textId="36DCC13A" w:rsidR="00BD7FA8" w:rsidRPr="00AA5CB5" w:rsidRDefault="00BD7FA8" w:rsidP="00BD7FA8">
      <w:pPr>
        <w:pStyle w:val="Heading2"/>
      </w:pPr>
      <w:bookmarkStart w:id="190" w:name="_Toc201927369"/>
      <w:r w:rsidRPr="00AA5CB5">
        <w:t xml:space="preserve">Domestic </w:t>
      </w:r>
      <w:r w:rsidR="008320EA">
        <w:t>c</w:t>
      </w:r>
      <w:r w:rsidRPr="00AA5CB5">
        <w:t xml:space="preserve">ommercial </w:t>
      </w:r>
      <w:r w:rsidR="008320EA">
        <w:t>f</w:t>
      </w:r>
      <w:r w:rsidRPr="00AA5CB5">
        <w:t>lights</w:t>
      </w:r>
      <w:bookmarkEnd w:id="190"/>
      <w:r w:rsidRPr="00AA5CB5">
        <w:t xml:space="preserve"> </w:t>
      </w:r>
    </w:p>
    <w:p w14:paraId="1D830AA2" w14:textId="6BC18B5F" w:rsidR="004B4290" w:rsidRPr="004B4290" w:rsidRDefault="004B4290" w:rsidP="00DE743E">
      <w:pPr>
        <w:pStyle w:val="BodyText1"/>
        <w:rPr>
          <w:b/>
        </w:rPr>
      </w:pPr>
      <w:bookmarkStart w:id="191" w:name="_Toc197438652"/>
      <w:bookmarkStart w:id="192" w:name="_Toc197438670"/>
      <w:bookmarkStart w:id="193" w:name="_Toc197426938"/>
      <w:bookmarkStart w:id="194" w:name="_Toc197438603"/>
      <w:r>
        <w:t xml:space="preserve">Emissions from domestic commercial flights </w:t>
      </w:r>
      <w:r w:rsidRPr="004B4290">
        <w:t>are calculated based on the total number of kilometres (km) travelled</w:t>
      </w:r>
      <w:r w:rsidR="008F3A70">
        <w:t>,</w:t>
      </w:r>
      <w:r w:rsidRPr="004B4290">
        <w:t xml:space="preserve"> the </w:t>
      </w:r>
      <w:r w:rsidR="008C2623">
        <w:t xml:space="preserve">flight category, which is determined by the flight length, and the </w:t>
      </w:r>
      <w:r w:rsidR="00ED6326">
        <w:t>cabin class.</w:t>
      </w:r>
      <w:r w:rsidRPr="004B4290">
        <w:t xml:space="preserve"> </w:t>
      </w:r>
    </w:p>
    <w:p w14:paraId="241FD047" w14:textId="77777777" w:rsidR="0031346E" w:rsidRPr="00AA5CB5" w:rsidRDefault="0031346E" w:rsidP="0031346E">
      <w:pPr>
        <w:pStyle w:val="BodyText1"/>
        <w:shd w:val="clear" w:color="auto" w:fill="E8F0FE" w:themeFill="accent5" w:themeFillTint="33"/>
      </w:pPr>
      <m:oMathPara>
        <m:oMath>
          <m:r>
            <m:rPr>
              <m:sty m:val="p"/>
            </m:rPr>
            <w:rPr>
              <w:rFonts w:ascii="Cambria Math" w:hAnsi="Cambria Math"/>
            </w:rPr>
            <m:t xml:space="preserve">t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nor/>
            </m:rPr>
            <m:t>-</m:t>
          </m:r>
          <m:r>
            <m:rPr>
              <m:sty m:val="p"/>
            </m:rPr>
            <w:rPr>
              <w:rFonts w:ascii="Cambria Math" w:hAnsi="Cambria Math"/>
            </w:rPr>
            <m:t>e=</m:t>
          </m:r>
          <m:f>
            <m:fPr>
              <m:ctrlPr>
                <w:rPr>
                  <w:rFonts w:ascii="Cambria Math" w:hAnsi="Cambria Math"/>
                </w:rPr>
              </m:ctrlPr>
            </m:fPr>
            <m:num>
              <m:r>
                <m:rPr>
                  <m:sty m:val="p"/>
                </m:rPr>
                <w:rPr>
                  <w:rFonts w:ascii="Cambria Math" w:hAnsi="Cambria Math"/>
                </w:rPr>
                <m:t>Q×EF</m:t>
              </m:r>
            </m:num>
            <m:den>
              <m:r>
                <m:rPr>
                  <m:sty m:val="p"/>
                </m:rPr>
                <w:rPr>
                  <w:rFonts w:ascii="Cambria Math" w:hAnsi="Cambria Math"/>
                </w:rPr>
                <m:t>1000</m:t>
              </m:r>
            </m:den>
          </m:f>
          <m:r>
            <m:rPr>
              <m:sty m:val="p"/>
            </m:rPr>
            <w:rPr>
              <w:rFonts w:ascii="Cambria Math" w:hAnsi="Cambria Math"/>
            </w:rPr>
            <m:t xml:space="preserve"> </m:t>
          </m:r>
        </m:oMath>
      </m:oMathPara>
    </w:p>
    <w:p w14:paraId="7385EB3D" w14:textId="77777777" w:rsidR="0031346E" w:rsidRPr="00AA5CB5" w:rsidRDefault="0031346E" w:rsidP="0031346E">
      <w:pPr>
        <w:pStyle w:val="BodyText1"/>
        <w:shd w:val="clear" w:color="auto" w:fill="E8F0FE" w:themeFill="accent5" w:themeFillTint="33"/>
      </w:pPr>
      <w:r w:rsidRPr="00AA5CB5">
        <w:t>Where:</w:t>
      </w:r>
    </w:p>
    <w:p w14:paraId="739E6CE2" w14:textId="5335685B" w:rsidR="0031346E" w:rsidRPr="00AA5CB5" w:rsidRDefault="0031346E" w:rsidP="0031346E">
      <w:pPr>
        <w:pStyle w:val="Bodybullet1"/>
        <w:shd w:val="clear" w:color="auto" w:fill="E8F0FE" w:themeFill="accent5" w:themeFillTint="33"/>
      </w:pPr>
      <m:oMath>
        <m:r>
          <m:rPr>
            <m:sty m:val="b"/>
          </m:rPr>
          <w:rPr>
            <w:rFonts w:ascii="Cambria Math" w:hAnsi="Cambria Math"/>
          </w:rPr>
          <m:t xml:space="preserve">t </m:t>
        </m:r>
        <m:sSub>
          <m:sSubPr>
            <m:ctrlPr>
              <w:rPr>
                <w:rFonts w:ascii="Cambria Math" w:hAnsi="Cambria Math"/>
              </w:rPr>
            </m:ctrlPr>
          </m:sSubPr>
          <m:e>
            <m:r>
              <m:rPr>
                <m:sty m:val="b"/>
              </m:rPr>
              <w:rPr>
                <w:rFonts w:ascii="Cambria Math" w:hAnsi="Cambria Math"/>
              </w:rPr>
              <m:t>CO</m:t>
            </m:r>
          </m:e>
          <m:sub>
            <m:r>
              <m:rPr>
                <m:sty m:val="b"/>
              </m:rPr>
              <w:rPr>
                <w:rFonts w:ascii="Cambria Math" w:hAnsi="Cambria Math"/>
              </w:rPr>
              <m:t>2</m:t>
            </m:r>
          </m:sub>
        </m:sSub>
        <m:r>
          <m:rPr>
            <m:nor/>
          </m:rPr>
          <m:t>-</m:t>
        </m:r>
        <m:r>
          <m:rPr>
            <m:sty m:val="b"/>
          </m:rPr>
          <w:rPr>
            <w:rFonts w:ascii="Cambria Math" w:hAnsi="Cambria Math"/>
          </w:rPr>
          <m:t>e</m:t>
        </m:r>
      </m:oMath>
      <w:r w:rsidRPr="00AA5CB5">
        <w:t xml:space="preserve"> is the </w:t>
      </w:r>
      <w:r w:rsidR="00E90152">
        <w:t>GHG</w:t>
      </w:r>
      <w:r w:rsidRPr="00AA5CB5">
        <w:t xml:space="preserve"> emissions, in tonnes carbon dioxide equivalent</w:t>
      </w:r>
    </w:p>
    <w:p w14:paraId="1E632E07" w14:textId="7C5C10E9" w:rsidR="001643D2" w:rsidRPr="00AA5CB5" w:rsidRDefault="0031346E" w:rsidP="001643D2">
      <w:pPr>
        <w:pStyle w:val="Bodybullet1"/>
        <w:shd w:val="clear" w:color="auto" w:fill="E8F0FE" w:themeFill="accent5" w:themeFillTint="33"/>
      </w:pPr>
      <m:oMath>
        <m:r>
          <m:rPr>
            <m:sty m:val="b"/>
          </m:rPr>
          <w:rPr>
            <w:rFonts w:ascii="Cambria Math" w:hAnsi="Cambria Math"/>
          </w:rPr>
          <m:t>Q</m:t>
        </m:r>
      </m:oMath>
      <w:r w:rsidRPr="00AA5CB5">
        <w:t xml:space="preserve"> </w:t>
      </w:r>
      <w:r w:rsidR="001643D2" w:rsidRPr="00AA5CB5">
        <w:t xml:space="preserve">is the </w:t>
      </w:r>
      <w:r w:rsidR="001643D2">
        <w:t>distance</w:t>
      </w:r>
      <w:r w:rsidR="001000A8">
        <w:t xml:space="preserve"> travelled</w:t>
      </w:r>
      <w:r w:rsidR="001643D2">
        <w:t>,</w:t>
      </w:r>
      <w:r w:rsidR="001643D2" w:rsidRPr="00AA5CB5">
        <w:t xml:space="preserve"> in </w:t>
      </w:r>
      <w:r w:rsidR="001000A8">
        <w:t>kilometres</w:t>
      </w:r>
      <w:r w:rsidR="001643D2" w:rsidRPr="00AA5CB5">
        <w:t xml:space="preserve"> (</w:t>
      </w:r>
      <w:r w:rsidR="001000A8">
        <w:t>km</w:t>
      </w:r>
      <w:r w:rsidR="001643D2" w:rsidRPr="00AA5CB5">
        <w:t xml:space="preserve">) </w:t>
      </w:r>
    </w:p>
    <w:p w14:paraId="3D2722A4" w14:textId="7D8FAFCB" w:rsidR="0031346E" w:rsidRDefault="0031346E" w:rsidP="00AA75C6">
      <w:pPr>
        <w:pStyle w:val="Bodybullet1"/>
        <w:shd w:val="clear" w:color="auto" w:fill="E8F0FE" w:themeFill="accent5" w:themeFillTint="33"/>
      </w:pPr>
      <m:oMath>
        <m:r>
          <m:rPr>
            <m:sty m:val="b"/>
          </m:rPr>
          <w:rPr>
            <w:rFonts w:ascii="Cambria Math" w:hAnsi="Cambria Math"/>
          </w:rPr>
          <m:t>EF</m:t>
        </m:r>
      </m:oMath>
      <w:r w:rsidRPr="00AA5CB5">
        <w:t xml:space="preserve"> is the source specific emissions factor, in kilogram carbon dioxide equivalent (kg CO</w:t>
      </w:r>
      <w:r w:rsidRPr="001643D2">
        <w:rPr>
          <w:vertAlign w:val="subscript"/>
        </w:rPr>
        <w:t>2</w:t>
      </w:r>
      <w:r w:rsidRPr="00AA5CB5">
        <w:t xml:space="preserve">-e) per </w:t>
      </w:r>
      <w:r w:rsidR="001000A8">
        <w:t>km</w:t>
      </w:r>
      <w:r w:rsidR="00391950">
        <w:t xml:space="preserve">, as per </w:t>
      </w:r>
      <w:r w:rsidR="00391950">
        <w:fldChar w:fldCharType="begin"/>
      </w:r>
      <w:r w:rsidR="00391950">
        <w:instrText xml:space="preserve"> REF _Ref198143052 \h </w:instrText>
      </w:r>
      <w:r w:rsidR="00391950">
        <w:fldChar w:fldCharType="separate"/>
      </w:r>
      <w:r w:rsidR="00422A37" w:rsidRPr="00AA5CB5">
        <w:t xml:space="preserve">Table </w:t>
      </w:r>
      <w:r w:rsidR="00422A37">
        <w:rPr>
          <w:noProof/>
        </w:rPr>
        <w:t>20</w:t>
      </w:r>
      <w:r w:rsidR="00391950">
        <w:fldChar w:fldCharType="end"/>
      </w:r>
    </w:p>
    <w:p w14:paraId="7A1402D9" w14:textId="5483AE9E" w:rsidR="00391950" w:rsidRPr="00AA5CB5" w:rsidRDefault="00391950" w:rsidP="00391950">
      <w:pPr>
        <w:pStyle w:val="Bodybullet1"/>
        <w:numPr>
          <w:ilvl w:val="0"/>
          <w:numId w:val="0"/>
        </w:numPr>
        <w:shd w:val="clear" w:color="auto" w:fill="E8F0FE" w:themeFill="accent5" w:themeFillTint="33"/>
      </w:pPr>
      <w:r w:rsidRPr="00391950">
        <w:t>To convert from kilograms (kg) to tonnes (t), divide by 1000. Conversely, to convert from t to kg, multiply by 1000.</w:t>
      </w:r>
    </w:p>
    <w:p w14:paraId="6B7BA014" w14:textId="6486BFAA" w:rsidR="00391950" w:rsidRPr="00AA5CB5" w:rsidRDefault="001B1334" w:rsidP="00391950">
      <w:pPr>
        <w:pStyle w:val="Caption"/>
        <w:keepNext/>
      </w:pPr>
      <w:bookmarkStart w:id="195" w:name="_Ref198143052"/>
      <w:bookmarkStart w:id="196" w:name="_Toc201927393"/>
      <w:r w:rsidRPr="00AA5CB5">
        <w:lastRenderedPageBreak/>
        <w:t xml:space="preserve">Table </w:t>
      </w:r>
      <w:r w:rsidRPr="00AA5CB5">
        <w:fldChar w:fldCharType="begin"/>
      </w:r>
      <w:r w:rsidRPr="00AA5CB5">
        <w:instrText xml:space="preserve"> SEQ Table \* ARABIC </w:instrText>
      </w:r>
      <w:r w:rsidRPr="00AA5CB5">
        <w:fldChar w:fldCharType="separate"/>
      </w:r>
      <w:r w:rsidR="00422A37">
        <w:rPr>
          <w:noProof/>
        </w:rPr>
        <w:t>20</w:t>
      </w:r>
      <w:r w:rsidRPr="00AA5CB5">
        <w:fldChar w:fldCharType="end"/>
      </w:r>
      <w:bookmarkEnd w:id="195"/>
      <w:r w:rsidR="0088604A">
        <w:t>:</w:t>
      </w:r>
      <w:r w:rsidRPr="00AA5CB5">
        <w:t xml:space="preserve"> </w:t>
      </w:r>
      <w:r w:rsidR="008320EA">
        <w:t>Domestic commercial flights</w:t>
      </w:r>
      <w:r w:rsidR="00391950" w:rsidRPr="00AA5CB5">
        <w:t xml:space="preserve"> –</w:t>
      </w:r>
      <w:r w:rsidR="00391950">
        <w:t xml:space="preserve"> </w:t>
      </w:r>
      <w:r w:rsidR="006A48BE">
        <w:t>e</w:t>
      </w:r>
      <w:r w:rsidR="00391950" w:rsidRPr="00AA5CB5">
        <w:t>mission factors for aircraft</w:t>
      </w:r>
      <w:r w:rsidR="00391950">
        <w:t xml:space="preserve"> where </w:t>
      </w:r>
      <w:r w:rsidR="008320EA">
        <w:t>distance travelled is</w:t>
      </w:r>
      <w:r w:rsidR="00391950">
        <w:t xml:space="preserve"> known</w:t>
      </w:r>
      <w:bookmarkEnd w:id="196"/>
    </w:p>
    <w:tbl>
      <w:tblPr>
        <w:tblStyle w:val="ListTable4-Accent6"/>
        <w:tblW w:w="5000" w:type="pct"/>
        <w:tblInd w:w="0" w:type="dxa"/>
        <w:tblLook w:val="06A0" w:firstRow="1" w:lastRow="0" w:firstColumn="1" w:lastColumn="0" w:noHBand="1" w:noVBand="1"/>
      </w:tblPr>
      <w:tblGrid>
        <w:gridCol w:w="1567"/>
        <w:gridCol w:w="1567"/>
        <w:gridCol w:w="1567"/>
        <w:gridCol w:w="1567"/>
        <w:gridCol w:w="1567"/>
        <w:gridCol w:w="1567"/>
      </w:tblGrid>
      <w:tr w:rsidR="00C733B0" w:rsidRPr="00AA5CB5" w14:paraId="5391B978" w14:textId="0802A9FC" w:rsidTr="002D0DF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33" w:type="pct"/>
          </w:tcPr>
          <w:bookmarkEnd w:id="191"/>
          <w:bookmarkEnd w:id="192"/>
          <w:p w14:paraId="3B5FA182" w14:textId="2E729D94" w:rsidR="00BA2AD2" w:rsidRPr="00AA5CB5" w:rsidRDefault="00BA2AD2" w:rsidP="001B1334">
            <w:pPr>
              <w:pStyle w:val="Tablebodytext"/>
              <w:rPr>
                <w:bCs w:val="0"/>
                <w:lang w:val="en-AU"/>
              </w:rPr>
            </w:pPr>
            <w:r w:rsidRPr="00AA5CB5">
              <w:rPr>
                <w:bCs w:val="0"/>
                <w:lang w:val="en-AU"/>
              </w:rPr>
              <w:t xml:space="preserve">Flight </w:t>
            </w:r>
            <w:r w:rsidR="008C2623">
              <w:rPr>
                <w:bCs w:val="0"/>
                <w:lang w:val="en-AU"/>
              </w:rPr>
              <w:t>category</w:t>
            </w:r>
            <w:r w:rsidRPr="00AA5CB5">
              <w:rPr>
                <w:bCs w:val="0"/>
                <w:lang w:val="en-AU"/>
              </w:rPr>
              <w:t> </w:t>
            </w:r>
          </w:p>
        </w:tc>
        <w:tc>
          <w:tcPr>
            <w:tcW w:w="833" w:type="pct"/>
          </w:tcPr>
          <w:p w14:paraId="261455EC" w14:textId="77777777" w:rsidR="00BA2AD2" w:rsidRPr="00AA5CB5" w:rsidRDefault="00BA2AD2" w:rsidP="001B1334">
            <w:pPr>
              <w:pStyle w:val="Tablebodytext"/>
              <w:cnfStyle w:val="100000000000" w:firstRow="1" w:lastRow="0" w:firstColumn="0" w:lastColumn="0" w:oddVBand="0" w:evenVBand="0" w:oddHBand="0" w:evenHBand="0" w:firstRowFirstColumn="0" w:firstRowLastColumn="0" w:lastRowFirstColumn="0" w:lastRowLastColumn="0"/>
              <w:rPr>
                <w:b w:val="0"/>
                <w:bCs w:val="0"/>
                <w:lang w:val="en-AU"/>
              </w:rPr>
            </w:pPr>
            <w:r w:rsidRPr="00AA5CB5">
              <w:rPr>
                <w:lang w:val="en-AU"/>
              </w:rPr>
              <w:t xml:space="preserve">Flight Length </w:t>
            </w:r>
          </w:p>
          <w:p w14:paraId="575A9DF2" w14:textId="38F83BA1" w:rsidR="00BA2AD2" w:rsidRPr="00AA5CB5" w:rsidRDefault="00BA2AD2" w:rsidP="001B1334">
            <w:pPr>
              <w:pStyle w:val="Tablebodytext"/>
              <w:cnfStyle w:val="100000000000" w:firstRow="1" w:lastRow="0" w:firstColumn="0" w:lastColumn="0" w:oddVBand="0" w:evenVBand="0" w:oddHBand="0" w:evenHBand="0" w:firstRowFirstColumn="0" w:firstRowLastColumn="0" w:lastRowFirstColumn="0" w:lastRowLastColumn="0"/>
              <w:rPr>
                <w:lang w:val="en-AU"/>
              </w:rPr>
            </w:pPr>
            <w:r w:rsidRPr="00AA5CB5">
              <w:rPr>
                <w:lang w:val="en-AU"/>
              </w:rPr>
              <w:t>(km)</w:t>
            </w:r>
          </w:p>
        </w:tc>
        <w:tc>
          <w:tcPr>
            <w:tcW w:w="833" w:type="pct"/>
          </w:tcPr>
          <w:p w14:paraId="6A7719E1" w14:textId="7CF8B572" w:rsidR="00BA2AD2" w:rsidRPr="00AA5CB5" w:rsidRDefault="00BA2AD2" w:rsidP="001B1334">
            <w:pPr>
              <w:pStyle w:val="Tablebodytext"/>
              <w:cnfStyle w:val="100000000000" w:firstRow="1" w:lastRow="0" w:firstColumn="0" w:lastColumn="0" w:oddVBand="0" w:evenVBand="0" w:oddHBand="0" w:evenHBand="0" w:firstRowFirstColumn="0" w:firstRowLastColumn="0" w:lastRowFirstColumn="0" w:lastRowLastColumn="0"/>
              <w:rPr>
                <w:lang w:val="en-AU"/>
              </w:rPr>
            </w:pPr>
            <w:r w:rsidRPr="00AA5CB5">
              <w:rPr>
                <w:lang w:val="en-AU"/>
              </w:rPr>
              <w:t>Cabin class</w:t>
            </w:r>
          </w:p>
        </w:tc>
        <w:tc>
          <w:tcPr>
            <w:tcW w:w="833" w:type="pct"/>
          </w:tcPr>
          <w:p w14:paraId="5F3E2102" w14:textId="6A89A3DE" w:rsidR="00BA2AD2" w:rsidRPr="00AA5CB5" w:rsidRDefault="006049FD" w:rsidP="001B1334">
            <w:pPr>
              <w:pStyle w:val="Tablebodytext"/>
              <w:cnfStyle w:val="100000000000" w:firstRow="1" w:lastRow="0" w:firstColumn="0" w:lastColumn="0" w:oddVBand="0" w:evenVBand="0" w:oddHBand="0" w:evenHBand="0" w:firstRowFirstColumn="0" w:firstRowLastColumn="0" w:lastRowFirstColumn="0" w:lastRowLastColumn="0"/>
              <w:rPr>
                <w:b w:val="0"/>
                <w:lang w:val="en-AU"/>
              </w:rPr>
            </w:pPr>
            <w:r w:rsidRPr="00AA5CB5">
              <w:rPr>
                <w:bCs w:val="0"/>
                <w:lang w:val="en-AU"/>
              </w:rPr>
              <w:t xml:space="preserve">Indirect </w:t>
            </w:r>
            <w:r w:rsidR="00BA2AD2" w:rsidRPr="00AA5CB5">
              <w:rPr>
                <w:bCs w:val="0"/>
                <w:lang w:val="en-AU"/>
              </w:rPr>
              <w:t>scope 3 emission factor </w:t>
            </w:r>
          </w:p>
          <w:p w14:paraId="191F6AB2" w14:textId="40F650F9" w:rsidR="00BA2AD2" w:rsidRPr="00AA5CB5" w:rsidRDefault="00BA2AD2" w:rsidP="001B1334">
            <w:pPr>
              <w:pStyle w:val="Tablebodytext"/>
              <w:cnfStyle w:val="100000000000" w:firstRow="1" w:lastRow="0" w:firstColumn="0" w:lastColumn="0" w:oddVBand="0" w:evenVBand="0" w:oddHBand="0" w:evenHBand="0" w:firstRowFirstColumn="0" w:firstRowLastColumn="0" w:lastRowFirstColumn="0" w:lastRowLastColumn="0"/>
              <w:rPr>
                <w:lang w:val="en-AU"/>
              </w:rPr>
            </w:pPr>
            <w:r w:rsidRPr="00AA5CB5">
              <w:rPr>
                <w:bCs w:val="0"/>
                <w:lang w:val="en-AU"/>
              </w:rPr>
              <w:t>(kg CO</w:t>
            </w:r>
            <w:r w:rsidRPr="00AA5CB5">
              <w:rPr>
                <w:bCs w:val="0"/>
                <w:vertAlign w:val="subscript"/>
                <w:lang w:val="en-AU"/>
              </w:rPr>
              <w:t>2</w:t>
            </w:r>
            <w:r w:rsidRPr="00AA5CB5">
              <w:rPr>
                <w:bCs w:val="0"/>
                <w:lang w:val="en-AU"/>
              </w:rPr>
              <w:t>-e/km)</w:t>
            </w:r>
          </w:p>
        </w:tc>
        <w:tc>
          <w:tcPr>
            <w:tcW w:w="833" w:type="pct"/>
          </w:tcPr>
          <w:p w14:paraId="2AA64156" w14:textId="1E6F9604" w:rsidR="00BA2AD2" w:rsidRPr="00AA5CB5" w:rsidRDefault="006049FD" w:rsidP="001B1334">
            <w:pPr>
              <w:pStyle w:val="Tablebodytext"/>
              <w:cnfStyle w:val="100000000000" w:firstRow="1" w:lastRow="0" w:firstColumn="0" w:lastColumn="0" w:oddVBand="0" w:evenVBand="0" w:oddHBand="0" w:evenHBand="0" w:firstRowFirstColumn="0" w:firstRowLastColumn="0" w:lastRowFirstColumn="0" w:lastRowLastColumn="0"/>
              <w:rPr>
                <w:b w:val="0"/>
                <w:lang w:val="en-AU"/>
              </w:rPr>
            </w:pPr>
            <w:r w:rsidRPr="00AA5CB5">
              <w:rPr>
                <w:bCs w:val="0"/>
                <w:lang w:val="en-AU"/>
              </w:rPr>
              <w:t xml:space="preserve">Supply chain </w:t>
            </w:r>
            <w:r w:rsidR="00BA2AD2" w:rsidRPr="00AA5CB5">
              <w:rPr>
                <w:bCs w:val="0"/>
                <w:lang w:val="en-AU"/>
              </w:rPr>
              <w:t xml:space="preserve">scope 3 emission factor </w:t>
            </w:r>
          </w:p>
          <w:p w14:paraId="654CEFA0" w14:textId="6B8266AE" w:rsidR="00BA2AD2" w:rsidRPr="00AA5CB5" w:rsidRDefault="00BA2AD2" w:rsidP="001B1334">
            <w:pPr>
              <w:pStyle w:val="Tablebodytext"/>
              <w:cnfStyle w:val="100000000000" w:firstRow="1" w:lastRow="0" w:firstColumn="0" w:lastColumn="0" w:oddVBand="0" w:evenVBand="0" w:oddHBand="0" w:evenHBand="0" w:firstRowFirstColumn="0" w:firstRowLastColumn="0" w:lastRowFirstColumn="0" w:lastRowLastColumn="0"/>
              <w:rPr>
                <w:lang w:val="en-AU"/>
              </w:rPr>
            </w:pPr>
            <w:r w:rsidRPr="00AA5CB5">
              <w:rPr>
                <w:bCs w:val="0"/>
                <w:lang w:val="en-AU"/>
              </w:rPr>
              <w:t>(kg CO</w:t>
            </w:r>
            <w:r w:rsidRPr="00AA5CB5">
              <w:rPr>
                <w:bCs w:val="0"/>
                <w:vertAlign w:val="subscript"/>
                <w:lang w:val="en-AU"/>
              </w:rPr>
              <w:t>2</w:t>
            </w:r>
            <w:r w:rsidRPr="00AA5CB5">
              <w:rPr>
                <w:bCs w:val="0"/>
                <w:lang w:val="en-AU"/>
              </w:rPr>
              <w:t>-e/km)</w:t>
            </w:r>
          </w:p>
        </w:tc>
        <w:tc>
          <w:tcPr>
            <w:tcW w:w="833" w:type="pct"/>
          </w:tcPr>
          <w:p w14:paraId="7A7DBE62" w14:textId="77777777" w:rsidR="00BA2AD2" w:rsidRPr="00AA5CB5" w:rsidRDefault="00BA2AD2" w:rsidP="001B1334">
            <w:pPr>
              <w:pStyle w:val="Tablebodytext"/>
              <w:cnfStyle w:val="100000000000" w:firstRow="1" w:lastRow="0" w:firstColumn="0" w:lastColumn="0" w:oddVBand="0" w:evenVBand="0" w:oddHBand="0" w:evenHBand="0" w:firstRowFirstColumn="0" w:firstRowLastColumn="0" w:lastRowFirstColumn="0" w:lastRowLastColumn="0"/>
              <w:rPr>
                <w:b w:val="0"/>
                <w:bCs w:val="0"/>
                <w:lang w:val="en-AU"/>
              </w:rPr>
            </w:pPr>
            <w:r w:rsidRPr="00AA5CB5">
              <w:rPr>
                <w:lang w:val="en-AU"/>
              </w:rPr>
              <w:t xml:space="preserve">Total scope 3 emissions factor </w:t>
            </w:r>
          </w:p>
          <w:p w14:paraId="693FE1F1" w14:textId="533377FE" w:rsidR="00BA2AD2" w:rsidRPr="00AA5CB5" w:rsidRDefault="00BA2AD2" w:rsidP="001B1334">
            <w:pPr>
              <w:pStyle w:val="Tablebodytext"/>
              <w:cnfStyle w:val="100000000000" w:firstRow="1" w:lastRow="0" w:firstColumn="0" w:lastColumn="0" w:oddVBand="0" w:evenVBand="0" w:oddHBand="0" w:evenHBand="0" w:firstRowFirstColumn="0" w:firstRowLastColumn="0" w:lastRowFirstColumn="0" w:lastRowLastColumn="0"/>
              <w:rPr>
                <w:lang w:val="en-AU"/>
              </w:rPr>
            </w:pPr>
            <w:r w:rsidRPr="00AA5CB5">
              <w:rPr>
                <w:lang w:val="en-AU"/>
              </w:rPr>
              <w:t>(kg CO</w:t>
            </w:r>
            <w:r w:rsidRPr="00AA5CB5">
              <w:rPr>
                <w:vertAlign w:val="subscript"/>
                <w:lang w:val="en-AU"/>
              </w:rPr>
              <w:t>2</w:t>
            </w:r>
            <w:r w:rsidRPr="00AA5CB5">
              <w:rPr>
                <w:lang w:val="en-AU"/>
              </w:rPr>
              <w:t>-</w:t>
            </w:r>
            <w:r w:rsidR="007461A1" w:rsidRPr="00AA5CB5">
              <w:rPr>
                <w:lang w:val="en-AU"/>
              </w:rPr>
              <w:t>e</w:t>
            </w:r>
            <w:r w:rsidRPr="00AA5CB5">
              <w:rPr>
                <w:lang w:val="en-AU"/>
              </w:rPr>
              <w:t>/km)</w:t>
            </w:r>
          </w:p>
        </w:tc>
      </w:tr>
      <w:tr w:rsidR="00942D51" w:rsidRPr="00AA5CB5" w14:paraId="401FA836" w14:textId="77777777" w:rsidTr="002D0DFC">
        <w:trPr>
          <w:trHeight w:val="390"/>
        </w:trPr>
        <w:tc>
          <w:tcPr>
            <w:cnfStyle w:val="001000000000" w:firstRow="0" w:lastRow="0" w:firstColumn="1" w:lastColumn="0" w:oddVBand="0" w:evenVBand="0" w:oddHBand="0" w:evenHBand="0" w:firstRowFirstColumn="0" w:firstRowLastColumn="0" w:lastRowFirstColumn="0" w:lastRowLastColumn="0"/>
            <w:tcW w:w="833" w:type="pct"/>
            <w:hideMark/>
          </w:tcPr>
          <w:p w14:paraId="45E5FD54" w14:textId="77777777" w:rsidR="00942D51" w:rsidRPr="00AA5CB5" w:rsidRDefault="00942D51" w:rsidP="00942D51">
            <w:pPr>
              <w:pStyle w:val="Tablebodytext"/>
              <w:rPr>
                <w:b w:val="0"/>
                <w:bCs w:val="0"/>
                <w:i/>
                <w:iCs/>
                <w:lang w:val="en-AU"/>
              </w:rPr>
            </w:pPr>
            <w:r w:rsidRPr="00AA5CB5">
              <w:rPr>
                <w:b w:val="0"/>
                <w:bCs w:val="0"/>
                <w:lang w:val="en-AU"/>
              </w:rPr>
              <w:t xml:space="preserve">Long </w:t>
            </w:r>
          </w:p>
        </w:tc>
        <w:tc>
          <w:tcPr>
            <w:tcW w:w="833" w:type="pct"/>
          </w:tcPr>
          <w:p w14:paraId="23345563"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Greater than 3,700 km</w:t>
            </w:r>
          </w:p>
        </w:tc>
        <w:tc>
          <w:tcPr>
            <w:tcW w:w="833" w:type="pct"/>
          </w:tcPr>
          <w:p w14:paraId="29BC7096"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First class</w:t>
            </w:r>
          </w:p>
        </w:tc>
        <w:tc>
          <w:tcPr>
            <w:tcW w:w="833" w:type="pct"/>
            <w:hideMark/>
          </w:tcPr>
          <w:p w14:paraId="3D37F81E"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0.47246 </w:t>
            </w:r>
          </w:p>
        </w:tc>
        <w:tc>
          <w:tcPr>
            <w:tcW w:w="833" w:type="pct"/>
          </w:tcPr>
          <w:p w14:paraId="273677A2"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0.09844 </w:t>
            </w:r>
          </w:p>
        </w:tc>
        <w:tc>
          <w:tcPr>
            <w:tcW w:w="833" w:type="pct"/>
          </w:tcPr>
          <w:p w14:paraId="6F98486E" w14:textId="54330F28"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0.57090</w:t>
            </w:r>
          </w:p>
        </w:tc>
      </w:tr>
      <w:tr w:rsidR="00942D51" w:rsidRPr="00AA5CB5" w14:paraId="15929EBC" w14:textId="6DCFF7BC" w:rsidTr="002D0DFC">
        <w:trPr>
          <w:trHeight w:val="390"/>
        </w:trPr>
        <w:tc>
          <w:tcPr>
            <w:cnfStyle w:val="001000000000" w:firstRow="0" w:lastRow="0" w:firstColumn="1" w:lastColumn="0" w:oddVBand="0" w:evenVBand="0" w:oddHBand="0" w:evenHBand="0" w:firstRowFirstColumn="0" w:firstRowLastColumn="0" w:lastRowFirstColumn="0" w:lastRowLastColumn="0"/>
            <w:tcW w:w="833" w:type="pct"/>
            <w:hideMark/>
          </w:tcPr>
          <w:p w14:paraId="7F46C87E" w14:textId="0C3CB8A4" w:rsidR="00942D51" w:rsidRPr="00AA5CB5" w:rsidRDefault="00942D51" w:rsidP="00942D51">
            <w:pPr>
              <w:pStyle w:val="Tablebodytext"/>
              <w:rPr>
                <w:b w:val="0"/>
                <w:bCs w:val="0"/>
                <w:i/>
                <w:iCs/>
                <w:lang w:val="en-AU"/>
              </w:rPr>
            </w:pPr>
            <w:r w:rsidRPr="00AA5CB5">
              <w:rPr>
                <w:b w:val="0"/>
                <w:bCs w:val="0"/>
                <w:lang w:val="en-AU"/>
              </w:rPr>
              <w:t xml:space="preserve">Long </w:t>
            </w:r>
          </w:p>
        </w:tc>
        <w:tc>
          <w:tcPr>
            <w:tcW w:w="833" w:type="pct"/>
          </w:tcPr>
          <w:p w14:paraId="0910B19F" w14:textId="182029FC"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Greater than 3,700 km</w:t>
            </w:r>
          </w:p>
        </w:tc>
        <w:tc>
          <w:tcPr>
            <w:tcW w:w="833" w:type="pct"/>
          </w:tcPr>
          <w:p w14:paraId="12E45210" w14:textId="73D9F945"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Business</w:t>
            </w:r>
          </w:p>
        </w:tc>
        <w:tc>
          <w:tcPr>
            <w:tcW w:w="833" w:type="pct"/>
            <w:hideMark/>
          </w:tcPr>
          <w:p w14:paraId="690964FF"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i/>
                <w:iCs/>
                <w:lang w:val="en-AU"/>
              </w:rPr>
            </w:pPr>
            <w:r w:rsidRPr="00AA5CB5">
              <w:rPr>
                <w:lang w:val="en-AU"/>
              </w:rPr>
              <w:t>0.34252 </w:t>
            </w:r>
          </w:p>
        </w:tc>
        <w:tc>
          <w:tcPr>
            <w:tcW w:w="833" w:type="pct"/>
          </w:tcPr>
          <w:p w14:paraId="28746D52" w14:textId="3DBB2B22"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0.07137 </w:t>
            </w:r>
          </w:p>
        </w:tc>
        <w:tc>
          <w:tcPr>
            <w:tcW w:w="833" w:type="pct"/>
          </w:tcPr>
          <w:p w14:paraId="5E5FCFD2" w14:textId="45D95A22"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0.41389</w:t>
            </w:r>
          </w:p>
        </w:tc>
      </w:tr>
      <w:tr w:rsidR="00942D51" w:rsidRPr="00AA5CB5" w14:paraId="38699474" w14:textId="57D82309" w:rsidTr="002D0DFC">
        <w:trPr>
          <w:trHeight w:val="390"/>
        </w:trPr>
        <w:tc>
          <w:tcPr>
            <w:cnfStyle w:val="001000000000" w:firstRow="0" w:lastRow="0" w:firstColumn="1" w:lastColumn="0" w:oddVBand="0" w:evenVBand="0" w:oddHBand="0" w:evenHBand="0" w:firstRowFirstColumn="0" w:firstRowLastColumn="0" w:lastRowFirstColumn="0" w:lastRowLastColumn="0"/>
            <w:tcW w:w="833" w:type="pct"/>
            <w:hideMark/>
          </w:tcPr>
          <w:p w14:paraId="2B5AEEF6" w14:textId="6B94E698" w:rsidR="00942D51" w:rsidRPr="00AA5CB5" w:rsidRDefault="00942D51" w:rsidP="00942D51">
            <w:pPr>
              <w:pStyle w:val="Tablebodytext"/>
              <w:rPr>
                <w:b w:val="0"/>
                <w:bCs w:val="0"/>
                <w:i/>
                <w:iCs/>
                <w:lang w:val="en-AU"/>
              </w:rPr>
            </w:pPr>
            <w:r w:rsidRPr="00AA5CB5">
              <w:rPr>
                <w:b w:val="0"/>
                <w:bCs w:val="0"/>
                <w:lang w:val="en-AU"/>
              </w:rPr>
              <w:t xml:space="preserve">Long </w:t>
            </w:r>
          </w:p>
        </w:tc>
        <w:tc>
          <w:tcPr>
            <w:tcW w:w="833" w:type="pct"/>
          </w:tcPr>
          <w:p w14:paraId="224CA113" w14:textId="1872B276"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Greater than 3,700 km</w:t>
            </w:r>
          </w:p>
        </w:tc>
        <w:tc>
          <w:tcPr>
            <w:tcW w:w="833" w:type="pct"/>
          </w:tcPr>
          <w:p w14:paraId="68BCDDC5" w14:textId="225CF4C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Premium economy</w:t>
            </w:r>
          </w:p>
        </w:tc>
        <w:tc>
          <w:tcPr>
            <w:tcW w:w="833" w:type="pct"/>
            <w:hideMark/>
          </w:tcPr>
          <w:p w14:paraId="48BB3E0C"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0.18897 </w:t>
            </w:r>
          </w:p>
        </w:tc>
        <w:tc>
          <w:tcPr>
            <w:tcW w:w="833" w:type="pct"/>
          </w:tcPr>
          <w:p w14:paraId="52483D6E" w14:textId="72F46B42"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0.03937 </w:t>
            </w:r>
          </w:p>
        </w:tc>
        <w:tc>
          <w:tcPr>
            <w:tcW w:w="833" w:type="pct"/>
          </w:tcPr>
          <w:p w14:paraId="19C5010A" w14:textId="3E6393B5"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0.22834</w:t>
            </w:r>
          </w:p>
        </w:tc>
      </w:tr>
      <w:tr w:rsidR="00942D51" w:rsidRPr="00AA5CB5" w14:paraId="7967BCEC" w14:textId="77777777" w:rsidTr="002D0DFC">
        <w:trPr>
          <w:trHeight w:val="390"/>
        </w:trPr>
        <w:tc>
          <w:tcPr>
            <w:cnfStyle w:val="001000000000" w:firstRow="0" w:lastRow="0" w:firstColumn="1" w:lastColumn="0" w:oddVBand="0" w:evenVBand="0" w:oddHBand="0" w:evenHBand="0" w:firstRowFirstColumn="0" w:firstRowLastColumn="0" w:lastRowFirstColumn="0" w:lastRowLastColumn="0"/>
            <w:tcW w:w="833" w:type="pct"/>
            <w:hideMark/>
          </w:tcPr>
          <w:p w14:paraId="25EEFE62" w14:textId="77777777" w:rsidR="00942D51" w:rsidRPr="00AA5CB5" w:rsidRDefault="00942D51" w:rsidP="00942D51">
            <w:pPr>
              <w:pStyle w:val="Tablebodytext"/>
              <w:rPr>
                <w:b w:val="0"/>
                <w:bCs w:val="0"/>
                <w:i/>
                <w:iCs/>
                <w:lang w:val="en-AU"/>
              </w:rPr>
            </w:pPr>
            <w:r w:rsidRPr="00AA5CB5">
              <w:rPr>
                <w:b w:val="0"/>
                <w:bCs w:val="0"/>
                <w:lang w:val="en-AU"/>
              </w:rPr>
              <w:t xml:space="preserve">Long </w:t>
            </w:r>
          </w:p>
        </w:tc>
        <w:tc>
          <w:tcPr>
            <w:tcW w:w="833" w:type="pct"/>
          </w:tcPr>
          <w:p w14:paraId="5CA1C313"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Greater than 3,700 km</w:t>
            </w:r>
          </w:p>
        </w:tc>
        <w:tc>
          <w:tcPr>
            <w:tcW w:w="833" w:type="pct"/>
          </w:tcPr>
          <w:p w14:paraId="44C5A910"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Economy</w:t>
            </w:r>
          </w:p>
        </w:tc>
        <w:tc>
          <w:tcPr>
            <w:tcW w:w="833" w:type="pct"/>
            <w:hideMark/>
          </w:tcPr>
          <w:p w14:paraId="6DF399A2"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0.11812 </w:t>
            </w:r>
          </w:p>
        </w:tc>
        <w:tc>
          <w:tcPr>
            <w:tcW w:w="833" w:type="pct"/>
          </w:tcPr>
          <w:p w14:paraId="3559DF5A"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0.02461 </w:t>
            </w:r>
          </w:p>
        </w:tc>
        <w:tc>
          <w:tcPr>
            <w:tcW w:w="833" w:type="pct"/>
          </w:tcPr>
          <w:p w14:paraId="53DA5124" w14:textId="0D2659EE"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0.14273</w:t>
            </w:r>
          </w:p>
        </w:tc>
      </w:tr>
      <w:tr w:rsidR="00942D51" w:rsidRPr="00AA5CB5" w14:paraId="7F0CCA95" w14:textId="04AB5895" w:rsidTr="002D0DFC">
        <w:trPr>
          <w:trHeight w:val="390"/>
        </w:trPr>
        <w:tc>
          <w:tcPr>
            <w:cnfStyle w:val="001000000000" w:firstRow="0" w:lastRow="0" w:firstColumn="1" w:lastColumn="0" w:oddVBand="0" w:evenVBand="0" w:oddHBand="0" w:evenHBand="0" w:firstRowFirstColumn="0" w:firstRowLastColumn="0" w:lastRowFirstColumn="0" w:lastRowLastColumn="0"/>
            <w:tcW w:w="833" w:type="pct"/>
            <w:hideMark/>
          </w:tcPr>
          <w:p w14:paraId="00EB0E01" w14:textId="34A072C3" w:rsidR="00942D51" w:rsidRPr="00AA5CB5" w:rsidRDefault="00942D51" w:rsidP="00942D51">
            <w:pPr>
              <w:pStyle w:val="Tablebodytext"/>
              <w:rPr>
                <w:b w:val="0"/>
                <w:bCs w:val="0"/>
                <w:i/>
                <w:iCs/>
                <w:lang w:val="en-AU"/>
              </w:rPr>
            </w:pPr>
            <w:r w:rsidRPr="00AA5CB5">
              <w:rPr>
                <w:b w:val="0"/>
                <w:bCs w:val="0"/>
                <w:lang w:val="en-AU"/>
              </w:rPr>
              <w:t xml:space="preserve">Short </w:t>
            </w:r>
          </w:p>
        </w:tc>
        <w:tc>
          <w:tcPr>
            <w:tcW w:w="833" w:type="pct"/>
          </w:tcPr>
          <w:p w14:paraId="00B438C2" w14:textId="6780561C"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Between 400 km and 3,700 km</w:t>
            </w:r>
          </w:p>
        </w:tc>
        <w:tc>
          <w:tcPr>
            <w:tcW w:w="833" w:type="pct"/>
          </w:tcPr>
          <w:p w14:paraId="535092AA" w14:textId="348A26CC"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Premium economy, business and first class</w:t>
            </w:r>
          </w:p>
          <w:p w14:paraId="7BD1973F" w14:textId="4C7F9590"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p>
        </w:tc>
        <w:tc>
          <w:tcPr>
            <w:tcW w:w="833" w:type="pct"/>
            <w:hideMark/>
          </w:tcPr>
          <w:p w14:paraId="38F46A29"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0.16191 </w:t>
            </w:r>
          </w:p>
        </w:tc>
        <w:tc>
          <w:tcPr>
            <w:tcW w:w="833" w:type="pct"/>
          </w:tcPr>
          <w:p w14:paraId="139966E3" w14:textId="130EE704"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0.03373 </w:t>
            </w:r>
          </w:p>
        </w:tc>
        <w:tc>
          <w:tcPr>
            <w:tcW w:w="833" w:type="pct"/>
          </w:tcPr>
          <w:p w14:paraId="3C71FCE8" w14:textId="1354A46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0.19564</w:t>
            </w:r>
          </w:p>
        </w:tc>
      </w:tr>
      <w:tr w:rsidR="00942D51" w:rsidRPr="00AA5CB5" w14:paraId="6F882611" w14:textId="16178043" w:rsidTr="002D0DFC">
        <w:trPr>
          <w:trHeight w:val="390"/>
        </w:trPr>
        <w:tc>
          <w:tcPr>
            <w:cnfStyle w:val="001000000000" w:firstRow="0" w:lastRow="0" w:firstColumn="1" w:lastColumn="0" w:oddVBand="0" w:evenVBand="0" w:oddHBand="0" w:evenHBand="0" w:firstRowFirstColumn="0" w:firstRowLastColumn="0" w:lastRowFirstColumn="0" w:lastRowLastColumn="0"/>
            <w:tcW w:w="833" w:type="pct"/>
            <w:hideMark/>
          </w:tcPr>
          <w:p w14:paraId="765DAA68" w14:textId="5F3656A4" w:rsidR="00942D51" w:rsidRPr="00AA5CB5" w:rsidRDefault="00942D51" w:rsidP="00942D51">
            <w:pPr>
              <w:pStyle w:val="Tablebodytext"/>
              <w:rPr>
                <w:b w:val="0"/>
                <w:bCs w:val="0"/>
                <w:i/>
                <w:iCs/>
                <w:lang w:val="en-AU"/>
              </w:rPr>
            </w:pPr>
            <w:r w:rsidRPr="00AA5CB5">
              <w:rPr>
                <w:b w:val="0"/>
                <w:bCs w:val="0"/>
                <w:lang w:val="en-AU"/>
              </w:rPr>
              <w:t xml:space="preserve">Short </w:t>
            </w:r>
          </w:p>
        </w:tc>
        <w:tc>
          <w:tcPr>
            <w:tcW w:w="833" w:type="pct"/>
          </w:tcPr>
          <w:p w14:paraId="2C3AF7BB" w14:textId="56F4C388"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Between 400 km and 3,700 km</w:t>
            </w:r>
          </w:p>
        </w:tc>
        <w:tc>
          <w:tcPr>
            <w:tcW w:w="833" w:type="pct"/>
          </w:tcPr>
          <w:p w14:paraId="5CC8D2C2" w14:textId="3305398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Economy</w:t>
            </w:r>
          </w:p>
        </w:tc>
        <w:tc>
          <w:tcPr>
            <w:tcW w:w="833" w:type="pct"/>
            <w:hideMark/>
          </w:tcPr>
          <w:p w14:paraId="654EABF0"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0.10794 </w:t>
            </w:r>
          </w:p>
        </w:tc>
        <w:tc>
          <w:tcPr>
            <w:tcW w:w="833" w:type="pct"/>
          </w:tcPr>
          <w:p w14:paraId="1626F4C0" w14:textId="2818D9EC"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0.02249 </w:t>
            </w:r>
          </w:p>
        </w:tc>
        <w:tc>
          <w:tcPr>
            <w:tcW w:w="833" w:type="pct"/>
          </w:tcPr>
          <w:p w14:paraId="1EA03F17" w14:textId="3133CBF3"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0.13043</w:t>
            </w:r>
          </w:p>
        </w:tc>
      </w:tr>
      <w:tr w:rsidR="00942D51" w:rsidRPr="00AA5CB5" w14:paraId="72B5D20D" w14:textId="2DB33A3F" w:rsidTr="002D0DFC">
        <w:trPr>
          <w:trHeight w:val="390"/>
        </w:trPr>
        <w:tc>
          <w:tcPr>
            <w:cnfStyle w:val="001000000000" w:firstRow="0" w:lastRow="0" w:firstColumn="1" w:lastColumn="0" w:oddVBand="0" w:evenVBand="0" w:oddHBand="0" w:evenHBand="0" w:firstRowFirstColumn="0" w:firstRowLastColumn="0" w:lastRowFirstColumn="0" w:lastRowLastColumn="0"/>
            <w:tcW w:w="833" w:type="pct"/>
            <w:hideMark/>
          </w:tcPr>
          <w:p w14:paraId="01592E18" w14:textId="2E4C425D" w:rsidR="00942D51" w:rsidRPr="00AA5CB5" w:rsidRDefault="00942D51" w:rsidP="00942D51">
            <w:pPr>
              <w:pStyle w:val="Tablebodytext"/>
              <w:rPr>
                <w:b w:val="0"/>
                <w:bCs w:val="0"/>
                <w:i/>
                <w:iCs/>
                <w:lang w:val="en-AU"/>
              </w:rPr>
            </w:pPr>
            <w:r w:rsidRPr="00AA5CB5">
              <w:rPr>
                <w:b w:val="0"/>
                <w:bCs w:val="0"/>
                <w:lang w:val="en-AU"/>
              </w:rPr>
              <w:t xml:space="preserve">Very short </w:t>
            </w:r>
          </w:p>
        </w:tc>
        <w:tc>
          <w:tcPr>
            <w:tcW w:w="833" w:type="pct"/>
          </w:tcPr>
          <w:p w14:paraId="693BF0DB" w14:textId="03A2F196"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Less than 400 km</w:t>
            </w:r>
          </w:p>
        </w:tc>
        <w:tc>
          <w:tcPr>
            <w:tcW w:w="833" w:type="pct"/>
          </w:tcPr>
          <w:p w14:paraId="02CA81A5" w14:textId="4322FF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All classes</w:t>
            </w:r>
          </w:p>
        </w:tc>
        <w:tc>
          <w:tcPr>
            <w:tcW w:w="833" w:type="pct"/>
            <w:hideMark/>
          </w:tcPr>
          <w:p w14:paraId="315067D1" w14:textId="77777777"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0.16098 </w:t>
            </w:r>
          </w:p>
        </w:tc>
        <w:tc>
          <w:tcPr>
            <w:tcW w:w="833" w:type="pct"/>
          </w:tcPr>
          <w:p w14:paraId="74AB8262" w14:textId="20DF673D"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0.03350 </w:t>
            </w:r>
          </w:p>
        </w:tc>
        <w:tc>
          <w:tcPr>
            <w:tcW w:w="833" w:type="pct"/>
          </w:tcPr>
          <w:p w14:paraId="4FCE3F6E" w14:textId="2B23FC86" w:rsidR="00942D51" w:rsidRPr="00AA5CB5" w:rsidRDefault="00942D51" w:rsidP="00942D5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0.19448</w:t>
            </w:r>
          </w:p>
        </w:tc>
      </w:tr>
    </w:tbl>
    <w:p w14:paraId="3FA49746" w14:textId="1AB8556B" w:rsidR="00B13C99" w:rsidRPr="00AA5CB5" w:rsidRDefault="000306DE">
      <w:pPr>
        <w:pStyle w:val="Notebullets1"/>
        <w:numPr>
          <w:ilvl w:val="0"/>
          <w:numId w:val="0"/>
        </w:numPr>
      </w:pPr>
      <w:r w:rsidRPr="00AA5CB5">
        <w:t xml:space="preserve">Notes: </w:t>
      </w:r>
      <w:r w:rsidR="00574D3A" w:rsidRPr="00AA5CB5">
        <w:t>Commercial</w:t>
      </w:r>
      <w:r w:rsidRPr="00AA5CB5">
        <w:t xml:space="preserve"> flight </w:t>
      </w:r>
      <w:r w:rsidR="00574D3A" w:rsidRPr="00AA5CB5">
        <w:t>e</w:t>
      </w:r>
      <w:r w:rsidR="001B1334" w:rsidRPr="00AA5CB5">
        <w:t>mission factor</w:t>
      </w:r>
      <w:r w:rsidR="00574D3A" w:rsidRPr="00AA5CB5">
        <w:t>s</w:t>
      </w:r>
      <w:r w:rsidR="001B1334" w:rsidRPr="00AA5CB5">
        <w:t xml:space="preserve"> </w:t>
      </w:r>
      <w:r w:rsidR="009140A6" w:rsidRPr="00AA5CB5">
        <w:t>represent</w:t>
      </w:r>
      <w:r w:rsidR="001B1334" w:rsidRPr="00AA5CB5">
        <w:t xml:space="preserve"> CO</w:t>
      </w:r>
      <w:r w:rsidR="001B1334" w:rsidRPr="00AA5CB5">
        <w:rPr>
          <w:vertAlign w:val="subscript"/>
        </w:rPr>
        <w:t>2</w:t>
      </w:r>
      <w:r w:rsidR="001B1334" w:rsidRPr="00AA5CB5">
        <w:t>, CH</w:t>
      </w:r>
      <w:r w:rsidR="001B1334" w:rsidRPr="00AA5CB5">
        <w:rPr>
          <w:vertAlign w:val="subscript"/>
        </w:rPr>
        <w:t>4</w:t>
      </w:r>
      <w:r w:rsidR="001B1334" w:rsidRPr="00AA5CB5">
        <w:t xml:space="preserve"> and N</w:t>
      </w:r>
      <w:r w:rsidR="001B1334" w:rsidRPr="00AA5CB5">
        <w:rPr>
          <w:vertAlign w:val="subscript"/>
        </w:rPr>
        <w:t>2</w:t>
      </w:r>
      <w:r w:rsidR="001B1334" w:rsidRPr="00AA5CB5">
        <w:t>O</w:t>
      </w:r>
      <w:r w:rsidR="00574D3A" w:rsidRPr="00AA5CB5">
        <w:t xml:space="preserve"> emissions. </w:t>
      </w:r>
      <w:r w:rsidR="0009606D" w:rsidRPr="00AA5CB5">
        <w:t>Emissions factors are without Radiative Forcing (RF)</w:t>
      </w:r>
      <w:r w:rsidR="00B13C99" w:rsidRPr="00AA5CB5">
        <w:t xml:space="preserve"> and can be applied to both domestic and international flights.</w:t>
      </w:r>
    </w:p>
    <w:p w14:paraId="04A16D4C" w14:textId="0C41D523" w:rsidR="00B13C99" w:rsidRPr="00AA5CB5" w:rsidRDefault="00276673">
      <w:pPr>
        <w:pStyle w:val="Notebullets1"/>
        <w:numPr>
          <w:ilvl w:val="0"/>
          <w:numId w:val="0"/>
        </w:numPr>
      </w:pPr>
      <w:r w:rsidRPr="00AA5CB5">
        <w:t>Su</w:t>
      </w:r>
      <w:r w:rsidR="00867E20" w:rsidRPr="00AA5CB5">
        <w:t xml:space="preserve">pply chain emissions factors are </w:t>
      </w:r>
      <w:r w:rsidR="001B1334" w:rsidRPr="00AA5CB5">
        <w:t>Well-to-Tank</w:t>
      </w:r>
      <w:r w:rsidR="00867E20" w:rsidRPr="00AA5CB5">
        <w:t xml:space="preserve"> (WTT)</w:t>
      </w:r>
      <w:r w:rsidR="001B1334" w:rsidRPr="00AA5CB5">
        <w:t xml:space="preserve"> emission factor</w:t>
      </w:r>
      <w:r w:rsidR="00867E20" w:rsidRPr="00AA5CB5">
        <w:t>s. WTT</w:t>
      </w:r>
      <w:r w:rsidR="001B1334" w:rsidRPr="00AA5CB5">
        <w:t xml:space="preserve"> is an average of all the emissions released into the atmosphere from the production, processing and delivery of a fuel to the point where it is put into an aircraft. </w:t>
      </w:r>
    </w:p>
    <w:p w14:paraId="6F5DAAC3" w14:textId="77777777" w:rsidR="00911EE0" w:rsidRPr="00AA5CB5" w:rsidRDefault="00782113">
      <w:pPr>
        <w:pStyle w:val="Notebullets1"/>
        <w:numPr>
          <w:ilvl w:val="0"/>
          <w:numId w:val="0"/>
        </w:numPr>
        <w:contextualSpacing/>
      </w:pPr>
      <w:r w:rsidRPr="00AA5CB5">
        <w:t xml:space="preserve">Source: </w:t>
      </w:r>
      <w:r w:rsidRPr="00AA5CB5">
        <w:rPr>
          <w:rFonts w:cstheme="minorHAnsi"/>
        </w:rPr>
        <w:t>Department for Energy Security &amp; Net Zero (2024)</w:t>
      </w:r>
      <w:hyperlink r:id="rId76" w:history="1">
        <w:r w:rsidRPr="00AA5CB5">
          <w:rPr>
            <w:rStyle w:val="Hyperlink1"/>
            <w:rFonts w:asciiTheme="minorHAnsi" w:hAnsiTheme="minorHAnsi" w:cstheme="minorHAnsi"/>
            <w:i/>
            <w:iCs/>
            <w:sz w:val="20"/>
            <w:szCs w:val="20"/>
          </w:rPr>
          <w:t xml:space="preserve"> Conversion Factors 2024: full set (for advanced users)</w:t>
        </w:r>
      </w:hyperlink>
      <w:r w:rsidRPr="00AA5CB5">
        <w:t xml:space="preserve"> [data set], gov.uk/government/publications/greenhouse-gas-reporting-conversion-factors-2024 , Government of the United Kingdom, accessed 14 February 2025</w:t>
      </w:r>
      <w:r w:rsidR="009E31AA" w:rsidRPr="00AA5CB5">
        <w:t>.</w:t>
      </w:r>
    </w:p>
    <w:p w14:paraId="64CF1F80" w14:textId="77777777" w:rsidR="00911EE0" w:rsidRPr="00AA5CB5" w:rsidRDefault="009E31AA" w:rsidP="0007457F">
      <w:pPr>
        <w:pStyle w:val="notebullet2"/>
        <w:ind w:left="0" w:firstLine="0"/>
        <w:rPr>
          <w:rFonts w:cstheme="minorBidi"/>
        </w:rPr>
      </w:pPr>
      <w:r w:rsidRPr="00AA5CB5">
        <w:t xml:space="preserve">Indirect scope 3 emission factors sourced from </w:t>
      </w:r>
      <w:r w:rsidR="00B738A5" w:rsidRPr="00AA5CB5">
        <w:t xml:space="preserve">sheet </w:t>
      </w:r>
      <w:r w:rsidR="0055705C" w:rsidRPr="00AA5CB5">
        <w:t>‘</w:t>
      </w:r>
      <w:r w:rsidR="00DA75AD" w:rsidRPr="00AA5CB5">
        <w:t>Business travel – air</w:t>
      </w:r>
      <w:r w:rsidR="0055705C" w:rsidRPr="00AA5CB5">
        <w:t>’</w:t>
      </w:r>
      <w:r w:rsidR="00DA75AD" w:rsidRPr="00AA5CB5">
        <w:t xml:space="preserve">, cells </w:t>
      </w:r>
      <w:r w:rsidR="00BE631C" w:rsidRPr="00AA5CB5">
        <w:t>I23:36.</w:t>
      </w:r>
    </w:p>
    <w:p w14:paraId="3AEE145C" w14:textId="4AC6AB6D" w:rsidR="00BE631C" w:rsidRPr="00AA5CB5" w:rsidRDefault="00BE631C" w:rsidP="0007457F">
      <w:pPr>
        <w:pStyle w:val="notebullet2"/>
        <w:ind w:left="0" w:firstLine="0"/>
        <w:rPr>
          <w:b/>
        </w:rPr>
      </w:pPr>
      <w:r w:rsidRPr="00AA5CB5">
        <w:t xml:space="preserve">Supply chain scope 3 emission factors </w:t>
      </w:r>
      <w:r w:rsidR="00304AE4" w:rsidRPr="00AA5CB5">
        <w:t xml:space="preserve">sourced from sheet </w:t>
      </w:r>
      <w:r w:rsidR="004B4290" w:rsidRPr="00AA5CB5">
        <w:t>‘WTT</w:t>
      </w:r>
      <w:r w:rsidR="00304AE4" w:rsidRPr="00AA5CB5">
        <w:t xml:space="preserve"> - business travel – air’, cells </w:t>
      </w:r>
      <w:r w:rsidR="00911EE0" w:rsidRPr="00AA5CB5">
        <w:t>F20:33.</w:t>
      </w:r>
    </w:p>
    <w:p w14:paraId="77A75FD5" w14:textId="1CD540E4" w:rsidR="00BD7FA8" w:rsidRPr="00AA5CB5" w:rsidRDefault="00BD7FA8" w:rsidP="00BD7FA8">
      <w:pPr>
        <w:pStyle w:val="Heading2"/>
      </w:pPr>
      <w:bookmarkStart w:id="197" w:name="_Toc201927370"/>
      <w:bookmarkEnd w:id="193"/>
      <w:bookmarkEnd w:id="194"/>
      <w:r w:rsidRPr="00AA5CB5">
        <w:t xml:space="preserve">Domestic </w:t>
      </w:r>
      <w:r w:rsidR="006A48BE">
        <w:t>h</w:t>
      </w:r>
      <w:r w:rsidRPr="00AA5CB5">
        <w:t xml:space="preserve">ire </w:t>
      </w:r>
      <w:r w:rsidR="006A48BE">
        <w:t>c</w:t>
      </w:r>
      <w:r w:rsidRPr="00AA5CB5">
        <w:t>ar</w:t>
      </w:r>
      <w:bookmarkEnd w:id="197"/>
    </w:p>
    <w:p w14:paraId="76A9C251" w14:textId="10D8643E" w:rsidR="0022671E" w:rsidRPr="00AA5CB5" w:rsidRDefault="000F4E3C" w:rsidP="001B1334">
      <w:pPr>
        <w:pStyle w:val="BodyText1"/>
      </w:pPr>
      <w:r w:rsidRPr="00AA5CB5">
        <w:t xml:space="preserve">Hire car emissions are calculated </w:t>
      </w:r>
      <w:r w:rsidR="00C54186" w:rsidRPr="00AA5CB5">
        <w:t xml:space="preserve">based on the total number of kilometres (km) travelled, and the grams </w:t>
      </w:r>
      <w:r w:rsidR="00A75E0D" w:rsidRPr="00AA5CB5">
        <w:t xml:space="preserve">of </w:t>
      </w:r>
      <w:r w:rsidR="00C54186" w:rsidRPr="00AA5CB5">
        <w:t>CO</w:t>
      </w:r>
      <w:r w:rsidR="00C54186" w:rsidRPr="00AA5CB5">
        <w:rPr>
          <w:vertAlign w:val="subscript"/>
        </w:rPr>
        <w:t>2</w:t>
      </w:r>
      <w:r w:rsidR="00C54186" w:rsidRPr="00AA5CB5">
        <w:t xml:space="preserve"> </w:t>
      </w:r>
      <w:r w:rsidR="00166B0B" w:rsidRPr="00AA5CB5">
        <w:t xml:space="preserve">produced by </w:t>
      </w:r>
      <w:r w:rsidR="0022644D" w:rsidRPr="00AA5CB5">
        <w:t xml:space="preserve">the specific vehicle </w:t>
      </w:r>
      <w:r w:rsidR="00166B0B" w:rsidRPr="00AA5CB5">
        <w:t xml:space="preserve">make and model </w:t>
      </w:r>
      <w:r w:rsidR="0064498A" w:rsidRPr="00AA5CB5">
        <w:t>per km</w:t>
      </w:r>
      <w:r w:rsidR="00166B0B" w:rsidRPr="00AA5CB5">
        <w:t xml:space="preserve"> </w:t>
      </w:r>
      <w:r w:rsidR="00C54186" w:rsidRPr="00AA5CB5">
        <w:t>(tailpipe</w:t>
      </w:r>
      <w:r w:rsidR="00166B0B" w:rsidRPr="00AA5CB5">
        <w:t xml:space="preserve"> CO</w:t>
      </w:r>
      <w:r w:rsidR="00166B0B" w:rsidRPr="00AA5CB5">
        <w:rPr>
          <w:vertAlign w:val="subscript"/>
        </w:rPr>
        <w:t>2</w:t>
      </w:r>
      <w:r w:rsidR="00C54186" w:rsidRPr="00AA5CB5">
        <w:t>)</w:t>
      </w:r>
      <w:r w:rsidR="0064498A" w:rsidRPr="00AA5CB5">
        <w:t xml:space="preserve">. The availability of </w:t>
      </w:r>
      <w:r w:rsidR="00FE67F9" w:rsidRPr="00AA5CB5">
        <w:t xml:space="preserve">the make and model </w:t>
      </w:r>
      <w:r w:rsidR="00C85779" w:rsidRPr="00AA5CB5">
        <w:t xml:space="preserve">data </w:t>
      </w:r>
      <w:r w:rsidR="00FE67F9" w:rsidRPr="00AA5CB5">
        <w:t xml:space="preserve">of </w:t>
      </w:r>
      <w:r w:rsidR="0022644D" w:rsidRPr="00AA5CB5">
        <w:t>vehicles</w:t>
      </w:r>
      <w:r w:rsidR="00850BB2" w:rsidRPr="00AA5CB5">
        <w:t xml:space="preserve"> is inconsistent from vehicle rental companies.  </w:t>
      </w:r>
    </w:p>
    <w:p w14:paraId="218D4AF8" w14:textId="5B239967" w:rsidR="00A75E0D" w:rsidRPr="00AA5CB5" w:rsidRDefault="007C1C2F" w:rsidP="001B1334">
      <w:pPr>
        <w:pStyle w:val="BodyText1"/>
      </w:pPr>
      <w:r w:rsidRPr="00AA5CB5">
        <w:t>F</w:t>
      </w:r>
      <w:r w:rsidR="000D26EB" w:rsidRPr="00AA5CB5">
        <w:t>or vehicles rented from Hertz Australia Pty Ltd</w:t>
      </w:r>
      <w:r w:rsidRPr="00AA5CB5">
        <w:t xml:space="preserve"> (Hertz)</w:t>
      </w:r>
      <w:r w:rsidR="00407EDC" w:rsidRPr="00AA5CB5">
        <w:t>, the tailpipe CO</w:t>
      </w:r>
      <w:r w:rsidR="00407EDC" w:rsidRPr="00AA5CB5">
        <w:rPr>
          <w:vertAlign w:val="subscript"/>
        </w:rPr>
        <w:t>2</w:t>
      </w:r>
      <w:r w:rsidR="00407EDC" w:rsidRPr="00AA5CB5">
        <w:t xml:space="preserve"> was sourced directly</w:t>
      </w:r>
      <w:r w:rsidRPr="00AA5CB5">
        <w:t xml:space="preserve"> from Hertz</w:t>
      </w:r>
      <w:r w:rsidR="00407EDC" w:rsidRPr="00AA5CB5">
        <w:t xml:space="preserve"> for specific vehicles. Analysis o</w:t>
      </w:r>
      <w:r w:rsidRPr="00AA5CB5">
        <w:t xml:space="preserve">f the </w:t>
      </w:r>
      <w:r w:rsidR="00302DB6" w:rsidRPr="00AA5CB5">
        <w:t>data</w:t>
      </w:r>
      <w:r w:rsidR="00411F6E" w:rsidRPr="00AA5CB5">
        <w:t xml:space="preserve"> sourced from Hertz </w:t>
      </w:r>
      <w:r w:rsidR="00EA15CD" w:rsidRPr="00AA5CB5">
        <w:t xml:space="preserve">found </w:t>
      </w:r>
      <w:r w:rsidR="006D6277" w:rsidRPr="00AA5CB5">
        <w:t>the tailpipe CO</w:t>
      </w:r>
      <w:r w:rsidR="006D6277" w:rsidRPr="00AA5CB5">
        <w:rPr>
          <w:vertAlign w:val="subscript"/>
        </w:rPr>
        <w:t>2</w:t>
      </w:r>
      <w:r w:rsidR="006D6277" w:rsidRPr="00AA5CB5">
        <w:t xml:space="preserve"> values reasonably matched those published by the </w:t>
      </w:r>
      <w:hyperlink r:id="rId77" w:history="1">
        <w:r w:rsidR="006D6277" w:rsidRPr="00AA5CB5">
          <w:rPr>
            <w:rStyle w:val="Hyperlink1"/>
          </w:rPr>
          <w:t>Green Vehicle Guide</w:t>
        </w:r>
      </w:hyperlink>
      <w:r w:rsidR="006D6277" w:rsidRPr="00AA5CB5">
        <w:t>.</w:t>
      </w:r>
    </w:p>
    <w:p w14:paraId="384A1CCD" w14:textId="2BA8433A" w:rsidR="001B1334" w:rsidRPr="00AA5CB5" w:rsidRDefault="007B4487" w:rsidP="001B1334">
      <w:pPr>
        <w:pStyle w:val="BodyText1"/>
      </w:pPr>
      <w:r w:rsidRPr="00AA5CB5">
        <w:lastRenderedPageBreak/>
        <w:t xml:space="preserve">For vehicles </w:t>
      </w:r>
      <w:r w:rsidR="00DC4113" w:rsidRPr="00AA5CB5">
        <w:t>rented from other rental companies, a tailpipe CO</w:t>
      </w:r>
      <w:r w:rsidR="00DC4113" w:rsidRPr="00AA5CB5">
        <w:rPr>
          <w:vertAlign w:val="subscript"/>
        </w:rPr>
        <w:t>2</w:t>
      </w:r>
      <w:r w:rsidR="00DC4113" w:rsidRPr="00AA5CB5">
        <w:t xml:space="preserve"> value was </w:t>
      </w:r>
      <w:r w:rsidR="00396C1E" w:rsidRPr="00AA5CB5">
        <w:t>estimated</w:t>
      </w:r>
      <w:r w:rsidR="00C54186" w:rsidRPr="00AA5CB5">
        <w:t xml:space="preserve"> </w:t>
      </w:r>
      <w:r w:rsidR="00DC4113" w:rsidRPr="00AA5CB5">
        <w:t xml:space="preserve">for </w:t>
      </w:r>
      <w:r w:rsidR="000E5CF1" w:rsidRPr="00AA5CB5">
        <w:t xml:space="preserve">either </w:t>
      </w:r>
      <w:r w:rsidR="00396C1E" w:rsidRPr="00AA5CB5">
        <w:t>the</w:t>
      </w:r>
      <w:r w:rsidR="000E5CF1" w:rsidRPr="00AA5CB5">
        <w:t xml:space="preserve"> </w:t>
      </w:r>
      <w:r w:rsidR="00396C1E" w:rsidRPr="00AA5CB5">
        <w:t xml:space="preserve">fuel type and body type, or for the drive type and body type. </w:t>
      </w:r>
      <w:r w:rsidR="00720D13" w:rsidRPr="00AA5CB5">
        <w:t>Average t</w:t>
      </w:r>
      <w:r w:rsidR="00396C1E" w:rsidRPr="00AA5CB5">
        <w:t>ailpipe CO</w:t>
      </w:r>
      <w:r w:rsidR="00396C1E" w:rsidRPr="00AA5CB5">
        <w:rPr>
          <w:vertAlign w:val="subscript"/>
        </w:rPr>
        <w:t>2</w:t>
      </w:r>
      <w:r w:rsidR="00396C1E" w:rsidRPr="00AA5CB5">
        <w:t xml:space="preserve"> was </w:t>
      </w:r>
      <w:r w:rsidR="00F848E0" w:rsidRPr="00AA5CB5">
        <w:t>calculated using</w:t>
      </w:r>
      <w:r w:rsidR="00C54186" w:rsidRPr="00AA5CB5">
        <w:t xml:space="preserve"> Green Vehicle Guide</w:t>
      </w:r>
      <w:r w:rsidR="00720D13" w:rsidRPr="00AA5CB5">
        <w:t xml:space="preserve"> data</w:t>
      </w:r>
      <w:r w:rsidR="007C2A31" w:rsidRPr="00AA5CB5">
        <w:t xml:space="preserve"> fr</w:t>
      </w:r>
      <w:r w:rsidR="00F848E0" w:rsidRPr="00AA5CB5">
        <w:t>om</w:t>
      </w:r>
      <w:r w:rsidR="007C2A31" w:rsidRPr="00AA5CB5">
        <w:t xml:space="preserve"> </w:t>
      </w:r>
      <w:r w:rsidR="00B84A15" w:rsidRPr="00AA5CB5">
        <w:t xml:space="preserve">approximately 3000 </w:t>
      </w:r>
      <w:r w:rsidR="007C2A31" w:rsidRPr="00AA5CB5">
        <w:t>vehicles</w:t>
      </w:r>
      <w:r w:rsidR="00C54186" w:rsidRPr="00AA5CB5">
        <w:t>.</w:t>
      </w:r>
      <w:r w:rsidR="007C2A31" w:rsidRPr="00AA5CB5">
        <w:t xml:space="preserve"> If </w:t>
      </w:r>
      <w:r w:rsidR="00111DA9" w:rsidRPr="00AA5CB5">
        <w:t xml:space="preserve">fuel/body type or drive/body type is unknown the </w:t>
      </w:r>
      <w:r w:rsidR="00412BB4" w:rsidRPr="00AA5CB5">
        <w:t>emissions of the hire car cannot be estimated.</w:t>
      </w:r>
    </w:p>
    <w:p w14:paraId="0E3FA61D" w14:textId="00399CB0" w:rsidR="001B1334" w:rsidRPr="00AA5CB5" w:rsidRDefault="005C53E6" w:rsidP="001B1334">
      <w:pPr>
        <w:pStyle w:val="BodyText1"/>
        <w:shd w:val="clear" w:color="auto" w:fill="E8F0FE" w:themeFill="accent5" w:themeFillTint="33"/>
      </w:pPr>
      <m:oMathPara>
        <m:oMath>
          <m:r>
            <m:rPr>
              <m:sty m:val="p"/>
            </m:rPr>
            <w:rPr>
              <w:rFonts w:ascii="Cambria Math" w:hAnsi="Cambria Math"/>
            </w:rPr>
            <m:t xml:space="preserve">t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Q×EF</m:t>
              </m:r>
            </m:num>
            <m:den>
              <m:r>
                <w:rPr>
                  <w:rFonts w:ascii="Cambria Math" w:hAnsi="Cambria Math"/>
                </w:rPr>
                <m:t>1,000,000</m:t>
              </m:r>
            </m:den>
          </m:f>
          <m:r>
            <m:rPr>
              <m:sty m:val="p"/>
            </m:rPr>
            <w:rPr>
              <w:rFonts w:ascii="Cambria Math" w:hAnsi="Cambria Math"/>
            </w:rPr>
            <m:t xml:space="preserve">  </m:t>
          </m:r>
        </m:oMath>
      </m:oMathPara>
    </w:p>
    <w:p w14:paraId="3AD45E82" w14:textId="77777777" w:rsidR="001B1334" w:rsidRPr="00AA5CB5" w:rsidRDefault="001B1334" w:rsidP="001B1334">
      <w:pPr>
        <w:pStyle w:val="BodyText1"/>
        <w:shd w:val="clear" w:color="auto" w:fill="E8F0FE" w:themeFill="accent5" w:themeFillTint="33"/>
      </w:pPr>
      <w:r w:rsidRPr="00AA5CB5">
        <w:t>Where:</w:t>
      </w:r>
    </w:p>
    <w:p w14:paraId="003A6F02" w14:textId="3BF0089C" w:rsidR="001B1334" w:rsidRPr="00AA5CB5" w:rsidRDefault="001B1334" w:rsidP="001B1334">
      <w:pPr>
        <w:pStyle w:val="Bodybullet1"/>
        <w:shd w:val="clear" w:color="auto" w:fill="E8F0FE" w:themeFill="accent5" w:themeFillTint="33"/>
      </w:pPr>
      <m:oMath>
        <m:r>
          <m:rPr>
            <m:sty m:val="b"/>
          </m:rPr>
          <w:rPr>
            <w:rFonts w:ascii="Cambria Math" w:hAnsi="Cambria Math"/>
          </w:rPr>
          <m:t xml:space="preserve">t </m:t>
        </m:r>
        <m:sSub>
          <m:sSubPr>
            <m:ctrlPr>
              <w:rPr>
                <w:rFonts w:ascii="Cambria Math" w:hAnsi="Cambria Math"/>
                <w:b/>
                <w:bCs/>
              </w:rPr>
            </m:ctrlPr>
          </m:sSubPr>
          <m:e>
            <m:r>
              <m:rPr>
                <m:sty m:val="b"/>
              </m:rPr>
              <w:rPr>
                <w:rFonts w:ascii="Cambria Math" w:hAnsi="Cambria Math"/>
              </w:rPr>
              <m:t>CO</m:t>
            </m:r>
          </m:e>
          <m:sub>
            <m:r>
              <m:rPr>
                <m:sty m:val="b"/>
              </m:rPr>
              <w:rPr>
                <w:rFonts w:ascii="Cambria Math" w:hAnsi="Cambria Math"/>
              </w:rPr>
              <m:t>2</m:t>
            </m:r>
          </m:sub>
        </m:sSub>
      </m:oMath>
      <w:r w:rsidRPr="00AA5CB5">
        <w:t xml:space="preserve"> is the </w:t>
      </w:r>
      <w:r w:rsidR="00E90152">
        <w:t>GHG</w:t>
      </w:r>
      <w:r w:rsidRPr="00AA5CB5">
        <w:t xml:space="preserve"> emissions, in t</w:t>
      </w:r>
      <w:r w:rsidR="00045DA2" w:rsidRPr="00AA5CB5">
        <w:t>onnes carbon dioxide (t</w:t>
      </w:r>
      <w:r w:rsidRPr="00AA5CB5">
        <w:t xml:space="preserve"> CO</w:t>
      </w:r>
      <w:r w:rsidRPr="00AA5CB5">
        <w:rPr>
          <w:vertAlign w:val="subscript"/>
        </w:rPr>
        <w:t>2</w:t>
      </w:r>
      <w:r w:rsidR="000342B9" w:rsidRPr="00AA5CB5">
        <w:t>)</w:t>
      </w:r>
    </w:p>
    <w:p w14:paraId="04A72AB9" w14:textId="77777777" w:rsidR="00055B93" w:rsidRDefault="001B1334" w:rsidP="00AA75C6">
      <w:pPr>
        <w:pStyle w:val="Bodybullet1"/>
        <w:shd w:val="clear" w:color="auto" w:fill="E8F0FE" w:themeFill="accent5" w:themeFillTint="33"/>
      </w:pPr>
      <m:oMath>
        <m:r>
          <m:rPr>
            <m:sty m:val="b"/>
          </m:rPr>
          <w:rPr>
            <w:rFonts w:ascii="Cambria Math" w:hAnsi="Cambria Math"/>
          </w:rPr>
          <m:t>Q</m:t>
        </m:r>
      </m:oMath>
      <w:r w:rsidRPr="00AA5CB5">
        <w:t xml:space="preserve"> is the </w:t>
      </w:r>
      <w:r w:rsidR="00055B93">
        <w:t>distance travelled,</w:t>
      </w:r>
      <w:r w:rsidR="00055B93" w:rsidRPr="00AA5CB5">
        <w:t xml:space="preserve"> in </w:t>
      </w:r>
      <w:r w:rsidR="00055B93">
        <w:t>kilometres</w:t>
      </w:r>
      <w:r w:rsidR="00055B93" w:rsidRPr="00AA5CB5">
        <w:t xml:space="preserve"> (</w:t>
      </w:r>
      <w:r w:rsidR="00055B93">
        <w:t>km</w:t>
      </w:r>
      <w:r w:rsidR="00055B93" w:rsidRPr="00AA5CB5">
        <w:t xml:space="preserve">) </w:t>
      </w:r>
    </w:p>
    <w:p w14:paraId="7D0121D3" w14:textId="6639AAEF" w:rsidR="001B1334" w:rsidRPr="00AA5CB5" w:rsidRDefault="001B1334" w:rsidP="00AA75C6">
      <w:pPr>
        <w:pStyle w:val="Bodybullet1"/>
        <w:shd w:val="clear" w:color="auto" w:fill="E8F0FE" w:themeFill="accent5" w:themeFillTint="33"/>
      </w:pPr>
      <m:oMath>
        <m:r>
          <m:rPr>
            <m:sty m:val="b"/>
          </m:rPr>
          <w:rPr>
            <w:rFonts w:ascii="Cambria Math" w:hAnsi="Cambria Math"/>
          </w:rPr>
          <m:t>EF</m:t>
        </m:r>
      </m:oMath>
      <w:r w:rsidRPr="00AA5CB5">
        <w:t xml:space="preserve"> is the </w:t>
      </w:r>
      <w:r w:rsidR="00936E27" w:rsidRPr="00AA5CB5">
        <w:t>vehicle</w:t>
      </w:r>
      <w:r w:rsidRPr="00AA5CB5">
        <w:t xml:space="preserve"> specific </w:t>
      </w:r>
      <w:r w:rsidR="008320EA">
        <w:t>tailpipe CO</w:t>
      </w:r>
      <w:r w:rsidR="008320EA" w:rsidRPr="008320EA">
        <w:rPr>
          <w:vertAlign w:val="subscript"/>
        </w:rPr>
        <w:t>2</w:t>
      </w:r>
      <w:r w:rsidRPr="00AA5CB5">
        <w:t xml:space="preserve">, in grams </w:t>
      </w:r>
      <w:r w:rsidR="000342B9" w:rsidRPr="00AA5CB5">
        <w:t xml:space="preserve">carbon dioxide </w:t>
      </w:r>
      <w:r w:rsidRPr="00AA5CB5">
        <w:t>per km</w:t>
      </w:r>
      <w:r w:rsidR="00632AD8" w:rsidRPr="00AA5CB5">
        <w:t xml:space="preserve"> (</w:t>
      </w:r>
      <w:r w:rsidR="008320EA">
        <w:t>g</w:t>
      </w:r>
      <w:r w:rsidR="00632AD8" w:rsidRPr="00AA5CB5">
        <w:t xml:space="preserve"> CO</w:t>
      </w:r>
      <w:r w:rsidR="00632AD8" w:rsidRPr="00055B93">
        <w:rPr>
          <w:vertAlign w:val="subscript"/>
        </w:rPr>
        <w:t>2</w:t>
      </w:r>
      <w:r w:rsidR="008320EA" w:rsidRPr="008320EA">
        <w:t>/km</w:t>
      </w:r>
      <w:r w:rsidR="00632AD8" w:rsidRPr="00AA5CB5">
        <w:t>)</w:t>
      </w:r>
    </w:p>
    <w:p w14:paraId="2F7B88AD" w14:textId="69702783" w:rsidR="001B1334" w:rsidRPr="00AA5CB5" w:rsidRDefault="001B1334" w:rsidP="001B1334">
      <w:pPr>
        <w:pStyle w:val="BodyText1"/>
        <w:shd w:val="clear" w:color="auto" w:fill="E8F0FE" w:themeFill="accent5" w:themeFillTint="33"/>
      </w:pPr>
      <w:r w:rsidRPr="00AA5CB5">
        <w:t xml:space="preserve">To convert from grams (g) to </w:t>
      </w:r>
      <w:r w:rsidR="0049322C" w:rsidRPr="00AA5CB5">
        <w:t>tonnes</w:t>
      </w:r>
      <w:r w:rsidRPr="00AA5CB5">
        <w:t xml:space="preserve"> (</w:t>
      </w:r>
      <w:r w:rsidR="0049322C" w:rsidRPr="00AA5CB5">
        <w:t>t</w:t>
      </w:r>
      <w:r w:rsidRPr="00AA5CB5">
        <w:t xml:space="preserve">) </w:t>
      </w:r>
      <w:r w:rsidR="00D95478">
        <w:t>divide</w:t>
      </w:r>
      <w:r w:rsidRPr="00AA5CB5">
        <w:t xml:space="preserve"> by 1</w:t>
      </w:r>
      <w:r w:rsidR="0049322C" w:rsidRPr="00AA5CB5">
        <w:t>,</w:t>
      </w:r>
      <w:r w:rsidRPr="00AA5CB5">
        <w:t>000</w:t>
      </w:r>
      <w:r w:rsidR="0049322C" w:rsidRPr="00AA5CB5">
        <w:t>,000</w:t>
      </w:r>
      <w:r w:rsidRPr="00AA5CB5">
        <w:t>.</w:t>
      </w:r>
    </w:p>
    <w:p w14:paraId="42A3B19C" w14:textId="1396118A" w:rsidR="005A6003" w:rsidRPr="00AA5CB5" w:rsidRDefault="005A6003" w:rsidP="005A6003">
      <w:pPr>
        <w:pStyle w:val="Caption"/>
        <w:keepNext/>
      </w:pPr>
      <w:bookmarkStart w:id="198" w:name="_Toc201927394"/>
      <w:r w:rsidRPr="00AA5CB5">
        <w:t xml:space="preserve">Table </w:t>
      </w:r>
      <w:r w:rsidRPr="00AA5CB5">
        <w:fldChar w:fldCharType="begin"/>
      </w:r>
      <w:r w:rsidRPr="00AA5CB5">
        <w:instrText xml:space="preserve"> SEQ Table \* ARABIC </w:instrText>
      </w:r>
      <w:r w:rsidRPr="00AA5CB5">
        <w:fldChar w:fldCharType="separate"/>
      </w:r>
      <w:r w:rsidR="00422A37">
        <w:rPr>
          <w:noProof/>
        </w:rPr>
        <w:t>21</w:t>
      </w:r>
      <w:r w:rsidRPr="00AA5CB5">
        <w:fldChar w:fldCharType="end"/>
      </w:r>
      <w:r w:rsidR="0088604A">
        <w:t>:</w:t>
      </w:r>
      <w:r w:rsidRPr="00AA5CB5">
        <w:t xml:space="preserve"> Hire </w:t>
      </w:r>
      <w:r w:rsidR="000E66F2" w:rsidRPr="00AA5CB5">
        <w:t>c</w:t>
      </w:r>
      <w:r w:rsidRPr="00AA5CB5">
        <w:t xml:space="preserve">ar – </w:t>
      </w:r>
      <w:r w:rsidR="006A48BE">
        <w:t>e</w:t>
      </w:r>
      <w:r w:rsidRPr="00AA5CB5">
        <w:t xml:space="preserve">mission factors </w:t>
      </w:r>
      <w:r w:rsidR="008320EA">
        <w:t xml:space="preserve">for vehicles </w:t>
      </w:r>
      <w:r w:rsidRPr="00AA5CB5">
        <w:t xml:space="preserve">where </w:t>
      </w:r>
      <w:r w:rsidR="00632AD8" w:rsidRPr="00AA5CB5">
        <w:t>f</w:t>
      </w:r>
      <w:r w:rsidRPr="00AA5CB5">
        <w:t>uel</w:t>
      </w:r>
      <w:r w:rsidR="00632AD8" w:rsidRPr="00AA5CB5">
        <w:t xml:space="preserve"> type</w:t>
      </w:r>
      <w:r w:rsidR="008320EA">
        <w:t xml:space="preserve">, </w:t>
      </w:r>
      <w:r w:rsidR="00632AD8" w:rsidRPr="00AA5CB5">
        <w:t>b</w:t>
      </w:r>
      <w:r w:rsidRPr="00AA5CB5">
        <w:t>ody</w:t>
      </w:r>
      <w:r w:rsidR="00632AD8" w:rsidRPr="00AA5CB5">
        <w:t xml:space="preserve"> type</w:t>
      </w:r>
      <w:r w:rsidR="008320EA">
        <w:t xml:space="preserve"> and distance travelled</w:t>
      </w:r>
      <w:r w:rsidRPr="00AA5CB5">
        <w:t xml:space="preserve"> </w:t>
      </w:r>
      <w:r w:rsidR="00F16087">
        <w:t>is</w:t>
      </w:r>
      <w:r w:rsidRPr="00AA5CB5">
        <w:t xml:space="preserve"> known</w:t>
      </w:r>
      <w:bookmarkEnd w:id="198"/>
    </w:p>
    <w:tbl>
      <w:tblPr>
        <w:tblStyle w:val="ListTable4-Accent6"/>
        <w:tblW w:w="0" w:type="auto"/>
        <w:tblInd w:w="0" w:type="dxa"/>
        <w:tblLook w:val="06A0" w:firstRow="1" w:lastRow="0" w:firstColumn="1" w:lastColumn="0" w:noHBand="1" w:noVBand="1"/>
      </w:tblPr>
      <w:tblGrid>
        <w:gridCol w:w="3134"/>
        <w:gridCol w:w="3134"/>
        <w:gridCol w:w="3134"/>
      </w:tblGrid>
      <w:tr w:rsidR="009010ED" w:rsidRPr="00AA5CB5" w14:paraId="2E446144" w14:textId="77777777" w:rsidTr="00936E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34" w:type="dxa"/>
          </w:tcPr>
          <w:p w14:paraId="38E04ADA" w14:textId="7A8CB6B9" w:rsidR="00F352DB" w:rsidRPr="00AA5CB5" w:rsidRDefault="00F352DB" w:rsidP="00F352DB">
            <w:pPr>
              <w:rPr>
                <w:color w:val="auto"/>
                <w:lang w:val="en-AU"/>
              </w:rPr>
            </w:pPr>
            <w:r w:rsidRPr="00AA5CB5">
              <w:rPr>
                <w:color w:val="auto"/>
                <w:lang w:val="en-AU"/>
              </w:rPr>
              <w:t>Fuel</w:t>
            </w:r>
            <w:r w:rsidR="00632AD8" w:rsidRPr="00AA5CB5">
              <w:rPr>
                <w:color w:val="auto"/>
                <w:lang w:val="en-AU"/>
              </w:rPr>
              <w:t xml:space="preserve"> type</w:t>
            </w:r>
          </w:p>
        </w:tc>
        <w:tc>
          <w:tcPr>
            <w:tcW w:w="3134" w:type="dxa"/>
          </w:tcPr>
          <w:p w14:paraId="0FA46204" w14:textId="220E2279" w:rsidR="00F352DB" w:rsidRPr="00AA5CB5" w:rsidRDefault="00F352DB" w:rsidP="00F352DB">
            <w:pPr>
              <w:cnfStyle w:val="100000000000" w:firstRow="1" w:lastRow="0" w:firstColumn="0" w:lastColumn="0" w:oddVBand="0" w:evenVBand="0" w:oddHBand="0" w:evenHBand="0" w:firstRowFirstColumn="0" w:firstRowLastColumn="0" w:lastRowFirstColumn="0" w:lastRowLastColumn="0"/>
              <w:rPr>
                <w:color w:val="auto"/>
                <w:lang w:val="en-AU"/>
              </w:rPr>
            </w:pPr>
            <w:r w:rsidRPr="00AA5CB5">
              <w:rPr>
                <w:color w:val="auto"/>
                <w:lang w:val="en-AU"/>
              </w:rPr>
              <w:t>Body</w:t>
            </w:r>
            <w:r w:rsidR="00632AD8" w:rsidRPr="00AA5CB5">
              <w:rPr>
                <w:color w:val="auto"/>
                <w:lang w:val="en-AU"/>
              </w:rPr>
              <w:t xml:space="preserve"> type</w:t>
            </w:r>
          </w:p>
        </w:tc>
        <w:tc>
          <w:tcPr>
            <w:tcW w:w="3134" w:type="dxa"/>
          </w:tcPr>
          <w:p w14:paraId="33D2A95C" w14:textId="28E3397F" w:rsidR="0085283B" w:rsidRPr="00AA5CB5" w:rsidRDefault="0085283B" w:rsidP="00F352DB">
            <w:pPr>
              <w:cnfStyle w:val="100000000000" w:firstRow="1" w:lastRow="0" w:firstColumn="0" w:lastColumn="0" w:oddVBand="0" w:evenVBand="0" w:oddHBand="0" w:evenHBand="0" w:firstRowFirstColumn="0" w:firstRowLastColumn="0" w:lastRowFirstColumn="0" w:lastRowLastColumn="0"/>
              <w:rPr>
                <w:b w:val="0"/>
                <w:bCs w:val="0"/>
                <w:color w:val="auto"/>
                <w:lang w:val="en-AU"/>
              </w:rPr>
            </w:pPr>
            <w:r w:rsidRPr="00AA5CB5">
              <w:rPr>
                <w:color w:val="auto"/>
                <w:lang w:val="en-AU"/>
              </w:rPr>
              <w:t>Tailpipe CO</w:t>
            </w:r>
            <w:r w:rsidRPr="00AA5CB5">
              <w:rPr>
                <w:color w:val="auto"/>
                <w:vertAlign w:val="subscript"/>
                <w:lang w:val="en-AU"/>
              </w:rPr>
              <w:t>2</w:t>
            </w:r>
          </w:p>
          <w:p w14:paraId="3050FE9C" w14:textId="10EF2931" w:rsidR="00F352DB" w:rsidRPr="00AA5CB5" w:rsidRDefault="003F052D" w:rsidP="00F352DB">
            <w:pPr>
              <w:cnfStyle w:val="100000000000" w:firstRow="1" w:lastRow="0" w:firstColumn="0" w:lastColumn="0" w:oddVBand="0" w:evenVBand="0" w:oddHBand="0" w:evenHBand="0" w:firstRowFirstColumn="0" w:firstRowLastColumn="0" w:lastRowFirstColumn="0" w:lastRowLastColumn="0"/>
              <w:rPr>
                <w:color w:val="auto"/>
                <w:lang w:val="en-AU"/>
              </w:rPr>
            </w:pPr>
            <w:r w:rsidRPr="00AA5CB5">
              <w:rPr>
                <w:color w:val="auto"/>
                <w:lang w:val="en-AU"/>
              </w:rPr>
              <w:t>g CO</w:t>
            </w:r>
            <w:r w:rsidRPr="00AA5CB5">
              <w:rPr>
                <w:color w:val="auto"/>
                <w:vertAlign w:val="subscript"/>
                <w:lang w:val="en-AU"/>
              </w:rPr>
              <w:t>2</w:t>
            </w:r>
            <w:r w:rsidRPr="00AA5CB5">
              <w:rPr>
                <w:color w:val="auto"/>
                <w:lang w:val="en-AU"/>
              </w:rPr>
              <w:t>/km</w:t>
            </w:r>
          </w:p>
        </w:tc>
      </w:tr>
      <w:tr w:rsidR="00F352DB" w:rsidRPr="00AA5CB5" w14:paraId="289BC053"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4D591632" w14:textId="7A2DF755" w:rsidR="00F352DB" w:rsidRPr="00AA5CB5" w:rsidRDefault="00F352DB" w:rsidP="00F352DB">
            <w:pPr>
              <w:rPr>
                <w:b w:val="0"/>
                <w:bCs w:val="0"/>
                <w:lang w:val="en-AU"/>
              </w:rPr>
            </w:pPr>
            <w:r w:rsidRPr="00AA5CB5">
              <w:rPr>
                <w:b w:val="0"/>
                <w:bCs w:val="0"/>
                <w:lang w:val="en-AU"/>
              </w:rPr>
              <w:t>Diesel</w:t>
            </w:r>
          </w:p>
        </w:tc>
        <w:tc>
          <w:tcPr>
            <w:tcW w:w="3134" w:type="dxa"/>
          </w:tcPr>
          <w:p w14:paraId="6DB563F0" w14:textId="50766726"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Cab-chassis</w:t>
            </w:r>
          </w:p>
        </w:tc>
        <w:tc>
          <w:tcPr>
            <w:tcW w:w="3134" w:type="dxa"/>
          </w:tcPr>
          <w:p w14:paraId="62C7DDFB" w14:textId="685E342A"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210</w:t>
            </w:r>
          </w:p>
        </w:tc>
      </w:tr>
      <w:tr w:rsidR="00F352DB" w:rsidRPr="00AA5CB5" w14:paraId="5229CA49"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5F2B804D" w14:textId="28422697" w:rsidR="00F352DB" w:rsidRPr="00AA5CB5" w:rsidRDefault="00F352DB" w:rsidP="00F352DB">
            <w:pPr>
              <w:rPr>
                <w:b w:val="0"/>
                <w:bCs w:val="0"/>
                <w:lang w:val="en-AU"/>
              </w:rPr>
            </w:pPr>
            <w:r w:rsidRPr="00AA5CB5">
              <w:rPr>
                <w:b w:val="0"/>
                <w:bCs w:val="0"/>
                <w:lang w:val="en-AU"/>
              </w:rPr>
              <w:t>Diesel</w:t>
            </w:r>
          </w:p>
        </w:tc>
        <w:tc>
          <w:tcPr>
            <w:tcW w:w="3134" w:type="dxa"/>
          </w:tcPr>
          <w:p w14:paraId="22E5ECA8" w14:textId="0CCF410E"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Convertible</w:t>
            </w:r>
          </w:p>
        </w:tc>
        <w:tc>
          <w:tcPr>
            <w:tcW w:w="3134" w:type="dxa"/>
          </w:tcPr>
          <w:p w14:paraId="69B4A4F9" w14:textId="4E8CAD75"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132</w:t>
            </w:r>
          </w:p>
        </w:tc>
      </w:tr>
      <w:tr w:rsidR="00F352DB" w:rsidRPr="00AA5CB5" w14:paraId="16B53946"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4605B66F" w14:textId="4162FBC9" w:rsidR="00F352DB" w:rsidRPr="00AA5CB5" w:rsidRDefault="00F352DB" w:rsidP="00F352DB">
            <w:pPr>
              <w:rPr>
                <w:b w:val="0"/>
                <w:bCs w:val="0"/>
                <w:lang w:val="en-AU"/>
              </w:rPr>
            </w:pPr>
            <w:r w:rsidRPr="00AA5CB5">
              <w:rPr>
                <w:b w:val="0"/>
                <w:bCs w:val="0"/>
                <w:lang w:val="en-AU"/>
              </w:rPr>
              <w:t>Diesel</w:t>
            </w:r>
          </w:p>
        </w:tc>
        <w:tc>
          <w:tcPr>
            <w:tcW w:w="3134" w:type="dxa"/>
          </w:tcPr>
          <w:p w14:paraId="64349930" w14:textId="0D622131"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Coupe</w:t>
            </w:r>
          </w:p>
        </w:tc>
        <w:tc>
          <w:tcPr>
            <w:tcW w:w="3134" w:type="dxa"/>
          </w:tcPr>
          <w:p w14:paraId="50E5B09C" w14:textId="222387F3"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133</w:t>
            </w:r>
          </w:p>
        </w:tc>
      </w:tr>
      <w:tr w:rsidR="00F352DB" w:rsidRPr="00AA5CB5" w14:paraId="06912665"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2C217737" w14:textId="097AA06D" w:rsidR="00F352DB" w:rsidRPr="00AA5CB5" w:rsidRDefault="00F352DB" w:rsidP="00F352DB">
            <w:pPr>
              <w:rPr>
                <w:b w:val="0"/>
                <w:bCs w:val="0"/>
                <w:lang w:val="en-AU"/>
              </w:rPr>
            </w:pPr>
            <w:r w:rsidRPr="00AA5CB5">
              <w:rPr>
                <w:b w:val="0"/>
                <w:bCs w:val="0"/>
                <w:lang w:val="en-AU"/>
              </w:rPr>
              <w:t>Diesel</w:t>
            </w:r>
          </w:p>
        </w:tc>
        <w:tc>
          <w:tcPr>
            <w:tcW w:w="3134" w:type="dxa"/>
          </w:tcPr>
          <w:p w14:paraId="1AE744E3" w14:textId="40691DC2"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Hatch</w:t>
            </w:r>
          </w:p>
        </w:tc>
        <w:tc>
          <w:tcPr>
            <w:tcW w:w="3134" w:type="dxa"/>
          </w:tcPr>
          <w:p w14:paraId="354A8305" w14:textId="278C5936"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112</w:t>
            </w:r>
          </w:p>
        </w:tc>
      </w:tr>
      <w:tr w:rsidR="00F352DB" w:rsidRPr="00AA5CB5" w14:paraId="2D14B883"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5A891891" w14:textId="0EF7493E" w:rsidR="00F352DB" w:rsidRPr="00AA5CB5" w:rsidRDefault="00F352DB" w:rsidP="00F352DB">
            <w:pPr>
              <w:rPr>
                <w:b w:val="0"/>
                <w:bCs w:val="0"/>
                <w:lang w:val="en-AU"/>
              </w:rPr>
            </w:pPr>
            <w:r w:rsidRPr="00AA5CB5">
              <w:rPr>
                <w:b w:val="0"/>
                <w:bCs w:val="0"/>
                <w:lang w:val="en-AU"/>
              </w:rPr>
              <w:t>Diesel</w:t>
            </w:r>
          </w:p>
        </w:tc>
        <w:tc>
          <w:tcPr>
            <w:tcW w:w="3134" w:type="dxa"/>
          </w:tcPr>
          <w:p w14:paraId="588063D1" w14:textId="3FC18639"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Light bus</w:t>
            </w:r>
          </w:p>
        </w:tc>
        <w:tc>
          <w:tcPr>
            <w:tcW w:w="3134" w:type="dxa"/>
          </w:tcPr>
          <w:p w14:paraId="50822D67" w14:textId="21552804"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248</w:t>
            </w:r>
          </w:p>
        </w:tc>
      </w:tr>
      <w:tr w:rsidR="00F352DB" w:rsidRPr="00AA5CB5" w14:paraId="1B500F88"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38E48C3B" w14:textId="69708A5A" w:rsidR="00F352DB" w:rsidRPr="00AA5CB5" w:rsidRDefault="00F352DB" w:rsidP="00F352DB">
            <w:pPr>
              <w:rPr>
                <w:b w:val="0"/>
                <w:bCs w:val="0"/>
                <w:lang w:val="en-AU"/>
              </w:rPr>
            </w:pPr>
            <w:r w:rsidRPr="00AA5CB5">
              <w:rPr>
                <w:b w:val="0"/>
                <w:bCs w:val="0"/>
                <w:lang w:val="en-AU"/>
              </w:rPr>
              <w:t>Diesel</w:t>
            </w:r>
          </w:p>
        </w:tc>
        <w:tc>
          <w:tcPr>
            <w:tcW w:w="3134" w:type="dxa"/>
          </w:tcPr>
          <w:p w14:paraId="32E497C4" w14:textId="1D789682"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Sedan</w:t>
            </w:r>
          </w:p>
        </w:tc>
        <w:tc>
          <w:tcPr>
            <w:tcW w:w="3134" w:type="dxa"/>
          </w:tcPr>
          <w:p w14:paraId="069EF600" w14:textId="5859D25E"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152</w:t>
            </w:r>
          </w:p>
        </w:tc>
      </w:tr>
      <w:tr w:rsidR="00F352DB" w:rsidRPr="00AA5CB5" w14:paraId="5BF142FD"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082A3950" w14:textId="51A3D5E0" w:rsidR="00F352DB" w:rsidRPr="00AA5CB5" w:rsidRDefault="00F352DB" w:rsidP="00F352DB">
            <w:pPr>
              <w:rPr>
                <w:b w:val="0"/>
                <w:bCs w:val="0"/>
                <w:lang w:val="en-AU"/>
              </w:rPr>
            </w:pPr>
            <w:r w:rsidRPr="00AA5CB5">
              <w:rPr>
                <w:b w:val="0"/>
                <w:bCs w:val="0"/>
                <w:lang w:val="en-AU"/>
              </w:rPr>
              <w:t>Diesel</w:t>
            </w:r>
          </w:p>
        </w:tc>
        <w:tc>
          <w:tcPr>
            <w:tcW w:w="3134" w:type="dxa"/>
          </w:tcPr>
          <w:p w14:paraId="56E56503" w14:textId="1550D6C8"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SUV</w:t>
            </w:r>
          </w:p>
        </w:tc>
        <w:tc>
          <w:tcPr>
            <w:tcW w:w="3134" w:type="dxa"/>
          </w:tcPr>
          <w:p w14:paraId="396111B6" w14:textId="5A7A9C50"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184</w:t>
            </w:r>
          </w:p>
        </w:tc>
      </w:tr>
      <w:tr w:rsidR="00F352DB" w:rsidRPr="00AA5CB5" w14:paraId="1B146A69"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37F29956" w14:textId="79430B3E" w:rsidR="00F352DB" w:rsidRPr="00AA5CB5" w:rsidRDefault="00F352DB" w:rsidP="00F352DB">
            <w:pPr>
              <w:rPr>
                <w:b w:val="0"/>
                <w:bCs w:val="0"/>
                <w:lang w:val="en-AU"/>
              </w:rPr>
            </w:pPr>
            <w:r w:rsidRPr="00AA5CB5">
              <w:rPr>
                <w:b w:val="0"/>
                <w:bCs w:val="0"/>
                <w:lang w:val="en-AU"/>
              </w:rPr>
              <w:t>Diesel</w:t>
            </w:r>
          </w:p>
        </w:tc>
        <w:tc>
          <w:tcPr>
            <w:tcW w:w="3134" w:type="dxa"/>
          </w:tcPr>
          <w:p w14:paraId="70F1396D" w14:textId="1C134635"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Utility</w:t>
            </w:r>
          </w:p>
        </w:tc>
        <w:tc>
          <w:tcPr>
            <w:tcW w:w="3134" w:type="dxa"/>
          </w:tcPr>
          <w:p w14:paraId="71350BD9" w14:textId="0CD2EA20"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206</w:t>
            </w:r>
          </w:p>
        </w:tc>
      </w:tr>
      <w:tr w:rsidR="00F352DB" w:rsidRPr="00AA5CB5" w14:paraId="32AE9004"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125C7D06" w14:textId="6DD7C5C3" w:rsidR="00F352DB" w:rsidRPr="00AA5CB5" w:rsidRDefault="00F352DB" w:rsidP="00F352DB">
            <w:pPr>
              <w:rPr>
                <w:b w:val="0"/>
                <w:bCs w:val="0"/>
                <w:lang w:val="en-AU"/>
              </w:rPr>
            </w:pPr>
            <w:r w:rsidRPr="00AA5CB5">
              <w:rPr>
                <w:b w:val="0"/>
                <w:bCs w:val="0"/>
                <w:lang w:val="en-AU"/>
              </w:rPr>
              <w:t>Diesel</w:t>
            </w:r>
          </w:p>
        </w:tc>
        <w:tc>
          <w:tcPr>
            <w:tcW w:w="3134" w:type="dxa"/>
          </w:tcPr>
          <w:p w14:paraId="0135032F" w14:textId="09CAC1A7"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Van</w:t>
            </w:r>
          </w:p>
        </w:tc>
        <w:tc>
          <w:tcPr>
            <w:tcW w:w="3134" w:type="dxa"/>
          </w:tcPr>
          <w:p w14:paraId="69C7D7CC" w14:textId="169D997D"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184</w:t>
            </w:r>
          </w:p>
        </w:tc>
      </w:tr>
      <w:tr w:rsidR="00F352DB" w:rsidRPr="00AA5CB5" w14:paraId="12025BE6"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58039364" w14:textId="7F8C2F9D" w:rsidR="00F352DB" w:rsidRPr="00AA5CB5" w:rsidRDefault="00F352DB" w:rsidP="00F352DB">
            <w:pPr>
              <w:rPr>
                <w:b w:val="0"/>
                <w:bCs w:val="0"/>
                <w:lang w:val="en-AU"/>
              </w:rPr>
            </w:pPr>
            <w:r w:rsidRPr="00AA5CB5">
              <w:rPr>
                <w:b w:val="0"/>
                <w:bCs w:val="0"/>
                <w:lang w:val="en-AU"/>
              </w:rPr>
              <w:t>Diesel</w:t>
            </w:r>
          </w:p>
        </w:tc>
        <w:tc>
          <w:tcPr>
            <w:tcW w:w="3134" w:type="dxa"/>
          </w:tcPr>
          <w:p w14:paraId="1C3A4CC1" w14:textId="400B888E"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Wagon</w:t>
            </w:r>
          </w:p>
        </w:tc>
        <w:tc>
          <w:tcPr>
            <w:tcW w:w="3134" w:type="dxa"/>
          </w:tcPr>
          <w:p w14:paraId="039F5166" w14:textId="187D8433"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177</w:t>
            </w:r>
          </w:p>
        </w:tc>
      </w:tr>
      <w:tr w:rsidR="00F352DB" w:rsidRPr="00AA5CB5" w14:paraId="051280C2"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76ECF4BC" w14:textId="31E24A26" w:rsidR="00F352DB" w:rsidRPr="00AA5CB5" w:rsidRDefault="00F352DB" w:rsidP="00F352DB">
            <w:pPr>
              <w:rPr>
                <w:b w:val="0"/>
                <w:bCs w:val="0"/>
                <w:lang w:val="en-AU"/>
              </w:rPr>
            </w:pPr>
            <w:r w:rsidRPr="00AA5CB5">
              <w:rPr>
                <w:b w:val="0"/>
                <w:bCs w:val="0"/>
                <w:lang w:val="en-AU"/>
              </w:rPr>
              <w:t>Electric/Diesel</w:t>
            </w:r>
          </w:p>
        </w:tc>
        <w:tc>
          <w:tcPr>
            <w:tcW w:w="3134" w:type="dxa"/>
          </w:tcPr>
          <w:p w14:paraId="7B75CB67" w14:textId="51436C12"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Cab-chassis</w:t>
            </w:r>
          </w:p>
        </w:tc>
        <w:tc>
          <w:tcPr>
            <w:tcW w:w="3134" w:type="dxa"/>
          </w:tcPr>
          <w:p w14:paraId="7109190A" w14:textId="5FBE12E6"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199</w:t>
            </w:r>
          </w:p>
        </w:tc>
      </w:tr>
      <w:tr w:rsidR="00F352DB" w:rsidRPr="00AA5CB5" w14:paraId="3289B957"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70B95439" w14:textId="6897FCDE" w:rsidR="00F352DB" w:rsidRPr="00AA5CB5" w:rsidRDefault="00F352DB" w:rsidP="00F352DB">
            <w:pPr>
              <w:rPr>
                <w:b w:val="0"/>
                <w:bCs w:val="0"/>
                <w:lang w:val="en-AU"/>
              </w:rPr>
            </w:pPr>
            <w:r w:rsidRPr="00AA5CB5">
              <w:rPr>
                <w:b w:val="0"/>
                <w:bCs w:val="0"/>
                <w:lang w:val="en-AU"/>
              </w:rPr>
              <w:t>Electric/Diesel</w:t>
            </w:r>
          </w:p>
        </w:tc>
        <w:tc>
          <w:tcPr>
            <w:tcW w:w="3134" w:type="dxa"/>
          </w:tcPr>
          <w:p w14:paraId="10E104DF" w14:textId="29CCCEAE"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Sedan</w:t>
            </w:r>
          </w:p>
        </w:tc>
        <w:tc>
          <w:tcPr>
            <w:tcW w:w="3134" w:type="dxa"/>
          </w:tcPr>
          <w:p w14:paraId="2384A3B9" w14:textId="62F68FE1"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203</w:t>
            </w:r>
          </w:p>
        </w:tc>
      </w:tr>
      <w:tr w:rsidR="00F352DB" w:rsidRPr="00AA5CB5" w14:paraId="0405AA58"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2B54BBA1" w14:textId="6864AC8F" w:rsidR="00F352DB" w:rsidRPr="00AA5CB5" w:rsidRDefault="00F352DB" w:rsidP="00F352DB">
            <w:pPr>
              <w:rPr>
                <w:b w:val="0"/>
                <w:bCs w:val="0"/>
                <w:lang w:val="en-AU"/>
              </w:rPr>
            </w:pPr>
            <w:r w:rsidRPr="00AA5CB5">
              <w:rPr>
                <w:b w:val="0"/>
                <w:bCs w:val="0"/>
                <w:lang w:val="en-AU"/>
              </w:rPr>
              <w:t>Electric/Diesel</w:t>
            </w:r>
          </w:p>
        </w:tc>
        <w:tc>
          <w:tcPr>
            <w:tcW w:w="3134" w:type="dxa"/>
          </w:tcPr>
          <w:p w14:paraId="6CAEC6B5" w14:textId="793CEBCC"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SUV</w:t>
            </w:r>
          </w:p>
        </w:tc>
        <w:tc>
          <w:tcPr>
            <w:tcW w:w="3134" w:type="dxa"/>
          </w:tcPr>
          <w:p w14:paraId="080A08F1" w14:textId="6C5B4080"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204</w:t>
            </w:r>
          </w:p>
        </w:tc>
      </w:tr>
      <w:tr w:rsidR="00F352DB" w:rsidRPr="00AA5CB5" w14:paraId="1E3AD019"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3D115BCF" w14:textId="514E1CB5" w:rsidR="00F352DB" w:rsidRPr="00AA5CB5" w:rsidRDefault="00F352DB" w:rsidP="00F352DB">
            <w:pPr>
              <w:rPr>
                <w:b w:val="0"/>
                <w:bCs w:val="0"/>
                <w:lang w:val="en-AU"/>
              </w:rPr>
            </w:pPr>
            <w:r w:rsidRPr="00AA5CB5">
              <w:rPr>
                <w:b w:val="0"/>
                <w:bCs w:val="0"/>
                <w:lang w:val="en-AU"/>
              </w:rPr>
              <w:t>Electric/Diesel</w:t>
            </w:r>
          </w:p>
        </w:tc>
        <w:tc>
          <w:tcPr>
            <w:tcW w:w="3134" w:type="dxa"/>
          </w:tcPr>
          <w:p w14:paraId="5DFBE63F" w14:textId="3CB02C7D"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Utility</w:t>
            </w:r>
          </w:p>
        </w:tc>
        <w:tc>
          <w:tcPr>
            <w:tcW w:w="3134" w:type="dxa"/>
          </w:tcPr>
          <w:p w14:paraId="23BCD4C2" w14:textId="1BAC0FBB"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196</w:t>
            </w:r>
          </w:p>
        </w:tc>
      </w:tr>
      <w:tr w:rsidR="00F352DB" w:rsidRPr="00AA5CB5" w14:paraId="72FE0E5C"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60A1C4B9" w14:textId="1779D31D" w:rsidR="00F352DB" w:rsidRPr="00AA5CB5" w:rsidRDefault="00F352DB" w:rsidP="00F352DB">
            <w:pPr>
              <w:rPr>
                <w:b w:val="0"/>
                <w:bCs w:val="0"/>
                <w:lang w:val="en-AU"/>
              </w:rPr>
            </w:pPr>
            <w:r w:rsidRPr="00AA5CB5">
              <w:rPr>
                <w:b w:val="0"/>
                <w:bCs w:val="0"/>
                <w:lang w:val="en-AU"/>
              </w:rPr>
              <w:t>Electric/Diesel</w:t>
            </w:r>
          </w:p>
        </w:tc>
        <w:tc>
          <w:tcPr>
            <w:tcW w:w="3134" w:type="dxa"/>
          </w:tcPr>
          <w:p w14:paraId="3904CE8A" w14:textId="37A4C465"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Wagon</w:t>
            </w:r>
          </w:p>
        </w:tc>
        <w:tc>
          <w:tcPr>
            <w:tcW w:w="3134" w:type="dxa"/>
          </w:tcPr>
          <w:p w14:paraId="08745C1A" w14:textId="1C54C8FB"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193</w:t>
            </w:r>
          </w:p>
        </w:tc>
      </w:tr>
      <w:tr w:rsidR="00F352DB" w:rsidRPr="00AA5CB5" w14:paraId="507D8356"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2DF92A89" w14:textId="7A2461DD" w:rsidR="00F352DB" w:rsidRPr="00AA5CB5" w:rsidRDefault="00F352DB" w:rsidP="00F352DB">
            <w:pPr>
              <w:rPr>
                <w:b w:val="0"/>
                <w:bCs w:val="0"/>
                <w:lang w:val="en-AU"/>
              </w:rPr>
            </w:pPr>
            <w:r w:rsidRPr="00AA5CB5">
              <w:rPr>
                <w:b w:val="0"/>
                <w:bCs w:val="0"/>
                <w:lang w:val="en-AU"/>
              </w:rPr>
              <w:t>Plug-in Electric/Diesel</w:t>
            </w:r>
          </w:p>
        </w:tc>
        <w:tc>
          <w:tcPr>
            <w:tcW w:w="3134" w:type="dxa"/>
          </w:tcPr>
          <w:p w14:paraId="4AE19958" w14:textId="60CB6381"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SUV</w:t>
            </w:r>
          </w:p>
        </w:tc>
        <w:tc>
          <w:tcPr>
            <w:tcW w:w="3134" w:type="dxa"/>
          </w:tcPr>
          <w:p w14:paraId="4BC49B10" w14:textId="63158781"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50</w:t>
            </w:r>
          </w:p>
        </w:tc>
      </w:tr>
      <w:tr w:rsidR="00F352DB" w:rsidRPr="00AA5CB5" w14:paraId="34EC4F9D"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3CA7C54D" w14:textId="68B701F7" w:rsidR="00F352DB" w:rsidRPr="00AA5CB5" w:rsidRDefault="00F352DB" w:rsidP="00F352DB">
            <w:pPr>
              <w:rPr>
                <w:b w:val="0"/>
                <w:bCs w:val="0"/>
                <w:lang w:val="en-AU"/>
              </w:rPr>
            </w:pPr>
            <w:r w:rsidRPr="00AA5CB5">
              <w:rPr>
                <w:b w:val="0"/>
                <w:bCs w:val="0"/>
                <w:lang w:val="en-AU"/>
              </w:rPr>
              <w:t>Electric/Petrol</w:t>
            </w:r>
          </w:p>
        </w:tc>
        <w:tc>
          <w:tcPr>
            <w:tcW w:w="3134" w:type="dxa"/>
          </w:tcPr>
          <w:p w14:paraId="0B48DC8A" w14:textId="4FD348F5"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Convertible</w:t>
            </w:r>
          </w:p>
        </w:tc>
        <w:tc>
          <w:tcPr>
            <w:tcW w:w="3134" w:type="dxa"/>
          </w:tcPr>
          <w:p w14:paraId="05414B24" w14:textId="5FBBB205"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175</w:t>
            </w:r>
          </w:p>
        </w:tc>
      </w:tr>
      <w:tr w:rsidR="00F352DB" w:rsidRPr="00AA5CB5" w14:paraId="098C7D09"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6B7633C0" w14:textId="6DA56F00" w:rsidR="00F352DB" w:rsidRPr="00AA5CB5" w:rsidRDefault="00F352DB" w:rsidP="00F352DB">
            <w:pPr>
              <w:rPr>
                <w:b w:val="0"/>
                <w:bCs w:val="0"/>
                <w:lang w:val="en-AU"/>
              </w:rPr>
            </w:pPr>
            <w:r w:rsidRPr="00AA5CB5">
              <w:rPr>
                <w:b w:val="0"/>
                <w:bCs w:val="0"/>
                <w:lang w:val="en-AU"/>
              </w:rPr>
              <w:lastRenderedPageBreak/>
              <w:t>Electric/Petrol</w:t>
            </w:r>
          </w:p>
        </w:tc>
        <w:tc>
          <w:tcPr>
            <w:tcW w:w="3134" w:type="dxa"/>
          </w:tcPr>
          <w:p w14:paraId="30AC4DED" w14:textId="7EA03DB2"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Coupe</w:t>
            </w:r>
          </w:p>
        </w:tc>
        <w:tc>
          <w:tcPr>
            <w:tcW w:w="3134" w:type="dxa"/>
          </w:tcPr>
          <w:p w14:paraId="5D365CA1" w14:textId="6E4A6A46"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189</w:t>
            </w:r>
          </w:p>
        </w:tc>
      </w:tr>
      <w:tr w:rsidR="00F352DB" w:rsidRPr="00AA5CB5" w14:paraId="6744BD35"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6F11B76B" w14:textId="531B7956" w:rsidR="00F352DB" w:rsidRPr="00AA5CB5" w:rsidRDefault="00F352DB" w:rsidP="00F352DB">
            <w:pPr>
              <w:rPr>
                <w:b w:val="0"/>
                <w:bCs w:val="0"/>
                <w:lang w:val="en-AU"/>
              </w:rPr>
            </w:pPr>
            <w:r w:rsidRPr="00AA5CB5">
              <w:rPr>
                <w:b w:val="0"/>
                <w:bCs w:val="0"/>
                <w:lang w:val="en-AU"/>
              </w:rPr>
              <w:t>Electric/Petrol</w:t>
            </w:r>
          </w:p>
        </w:tc>
        <w:tc>
          <w:tcPr>
            <w:tcW w:w="3134" w:type="dxa"/>
          </w:tcPr>
          <w:p w14:paraId="15B68919" w14:textId="600AC556"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Hatch</w:t>
            </w:r>
          </w:p>
        </w:tc>
        <w:tc>
          <w:tcPr>
            <w:tcW w:w="3134" w:type="dxa"/>
          </w:tcPr>
          <w:p w14:paraId="16B63610" w14:textId="01222016"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93</w:t>
            </w:r>
          </w:p>
        </w:tc>
      </w:tr>
      <w:tr w:rsidR="00F352DB" w:rsidRPr="00AA5CB5" w14:paraId="08D6E21A"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4EC935B5" w14:textId="36ACC5E1" w:rsidR="00F352DB" w:rsidRPr="00AA5CB5" w:rsidRDefault="00F352DB" w:rsidP="00F352DB">
            <w:pPr>
              <w:rPr>
                <w:b w:val="0"/>
                <w:bCs w:val="0"/>
                <w:lang w:val="en-AU"/>
              </w:rPr>
            </w:pPr>
            <w:r w:rsidRPr="00AA5CB5">
              <w:rPr>
                <w:b w:val="0"/>
                <w:bCs w:val="0"/>
                <w:lang w:val="en-AU"/>
              </w:rPr>
              <w:t>Electric/Petrol</w:t>
            </w:r>
          </w:p>
        </w:tc>
        <w:tc>
          <w:tcPr>
            <w:tcW w:w="3134" w:type="dxa"/>
          </w:tcPr>
          <w:p w14:paraId="181E4862" w14:textId="1D3018B0"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Sedan</w:t>
            </w:r>
          </w:p>
        </w:tc>
        <w:tc>
          <w:tcPr>
            <w:tcW w:w="3134" w:type="dxa"/>
          </w:tcPr>
          <w:p w14:paraId="5CCB9318" w14:textId="073D622D"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144</w:t>
            </w:r>
          </w:p>
        </w:tc>
      </w:tr>
      <w:tr w:rsidR="00F352DB" w:rsidRPr="00AA5CB5" w14:paraId="4DE93511"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013816F1" w14:textId="06A5BC60" w:rsidR="00F352DB" w:rsidRPr="00AA5CB5" w:rsidRDefault="00F352DB" w:rsidP="00F352DB">
            <w:pPr>
              <w:rPr>
                <w:b w:val="0"/>
                <w:bCs w:val="0"/>
                <w:lang w:val="en-AU"/>
              </w:rPr>
            </w:pPr>
            <w:r w:rsidRPr="00AA5CB5">
              <w:rPr>
                <w:b w:val="0"/>
                <w:bCs w:val="0"/>
                <w:lang w:val="en-AU"/>
              </w:rPr>
              <w:t>Electric/Petrol</w:t>
            </w:r>
          </w:p>
        </w:tc>
        <w:tc>
          <w:tcPr>
            <w:tcW w:w="3134" w:type="dxa"/>
          </w:tcPr>
          <w:p w14:paraId="5FD4CF8D" w14:textId="1F386846"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SUV</w:t>
            </w:r>
          </w:p>
        </w:tc>
        <w:tc>
          <w:tcPr>
            <w:tcW w:w="3134" w:type="dxa"/>
          </w:tcPr>
          <w:p w14:paraId="022B3051" w14:textId="4C626808"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172</w:t>
            </w:r>
          </w:p>
        </w:tc>
      </w:tr>
      <w:tr w:rsidR="00F352DB" w:rsidRPr="00AA5CB5" w14:paraId="558A73CA"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2ACFB45E" w14:textId="3B88FA87" w:rsidR="00F352DB" w:rsidRPr="00AA5CB5" w:rsidRDefault="00F352DB" w:rsidP="00F352DB">
            <w:pPr>
              <w:rPr>
                <w:b w:val="0"/>
                <w:bCs w:val="0"/>
                <w:lang w:val="en-AU"/>
              </w:rPr>
            </w:pPr>
            <w:r w:rsidRPr="00AA5CB5">
              <w:rPr>
                <w:b w:val="0"/>
                <w:bCs w:val="0"/>
                <w:lang w:val="en-AU"/>
              </w:rPr>
              <w:t>Electric/Petrol</w:t>
            </w:r>
          </w:p>
        </w:tc>
        <w:tc>
          <w:tcPr>
            <w:tcW w:w="3134" w:type="dxa"/>
          </w:tcPr>
          <w:p w14:paraId="7D47435A" w14:textId="10FFE756"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Utility</w:t>
            </w:r>
          </w:p>
        </w:tc>
        <w:tc>
          <w:tcPr>
            <w:tcW w:w="3134" w:type="dxa"/>
          </w:tcPr>
          <w:p w14:paraId="31EFBF4B" w14:textId="5DCDCE93"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225</w:t>
            </w:r>
          </w:p>
        </w:tc>
      </w:tr>
      <w:tr w:rsidR="00F352DB" w:rsidRPr="00AA5CB5" w14:paraId="4E855E74"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2900D0F8" w14:textId="6D855C0F" w:rsidR="00F352DB" w:rsidRPr="00AA5CB5" w:rsidRDefault="00F352DB" w:rsidP="00F352DB">
            <w:pPr>
              <w:rPr>
                <w:b w:val="0"/>
                <w:bCs w:val="0"/>
                <w:lang w:val="en-AU"/>
              </w:rPr>
            </w:pPr>
            <w:r w:rsidRPr="00AA5CB5">
              <w:rPr>
                <w:b w:val="0"/>
                <w:bCs w:val="0"/>
                <w:lang w:val="en-AU"/>
              </w:rPr>
              <w:t>Electric/Petrol</w:t>
            </w:r>
          </w:p>
        </w:tc>
        <w:tc>
          <w:tcPr>
            <w:tcW w:w="3134" w:type="dxa"/>
          </w:tcPr>
          <w:p w14:paraId="1F5D7E0E" w14:textId="30299613"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Wagon</w:t>
            </w:r>
          </w:p>
        </w:tc>
        <w:tc>
          <w:tcPr>
            <w:tcW w:w="3134" w:type="dxa"/>
          </w:tcPr>
          <w:p w14:paraId="60B9AF42" w14:textId="29D3F1D7"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144</w:t>
            </w:r>
          </w:p>
        </w:tc>
      </w:tr>
      <w:tr w:rsidR="00F352DB" w:rsidRPr="00AA5CB5" w14:paraId="38D24B00"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4A096DDF" w14:textId="76942340" w:rsidR="00F352DB" w:rsidRPr="00AA5CB5" w:rsidRDefault="00F352DB" w:rsidP="00F352DB">
            <w:pPr>
              <w:rPr>
                <w:b w:val="0"/>
                <w:bCs w:val="0"/>
                <w:lang w:val="en-AU"/>
              </w:rPr>
            </w:pPr>
            <w:r w:rsidRPr="00AA5CB5">
              <w:rPr>
                <w:b w:val="0"/>
                <w:bCs w:val="0"/>
                <w:lang w:val="en-AU"/>
              </w:rPr>
              <w:t>Petrol</w:t>
            </w:r>
          </w:p>
        </w:tc>
        <w:tc>
          <w:tcPr>
            <w:tcW w:w="3134" w:type="dxa"/>
          </w:tcPr>
          <w:p w14:paraId="66C8D2E9" w14:textId="2C194FCD"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Cab-chassis</w:t>
            </w:r>
          </w:p>
        </w:tc>
        <w:tc>
          <w:tcPr>
            <w:tcW w:w="3134" w:type="dxa"/>
          </w:tcPr>
          <w:p w14:paraId="415018C0" w14:textId="32CB9948"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256</w:t>
            </w:r>
          </w:p>
        </w:tc>
      </w:tr>
      <w:tr w:rsidR="00F352DB" w:rsidRPr="00AA5CB5" w14:paraId="24DED5C1"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5EC554F1" w14:textId="13BB0576" w:rsidR="00F352DB" w:rsidRPr="00AA5CB5" w:rsidRDefault="00F352DB" w:rsidP="00F352DB">
            <w:pPr>
              <w:rPr>
                <w:b w:val="0"/>
                <w:bCs w:val="0"/>
                <w:lang w:val="en-AU"/>
              </w:rPr>
            </w:pPr>
            <w:r w:rsidRPr="00AA5CB5">
              <w:rPr>
                <w:b w:val="0"/>
                <w:bCs w:val="0"/>
                <w:lang w:val="en-AU"/>
              </w:rPr>
              <w:t>Petrol</w:t>
            </w:r>
          </w:p>
        </w:tc>
        <w:tc>
          <w:tcPr>
            <w:tcW w:w="3134" w:type="dxa"/>
          </w:tcPr>
          <w:p w14:paraId="5358837C" w14:textId="08CD4A20"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Convertible</w:t>
            </w:r>
          </w:p>
        </w:tc>
        <w:tc>
          <w:tcPr>
            <w:tcW w:w="3134" w:type="dxa"/>
          </w:tcPr>
          <w:p w14:paraId="05B8FD6C" w14:textId="57B65472"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213</w:t>
            </w:r>
          </w:p>
        </w:tc>
      </w:tr>
      <w:tr w:rsidR="00F352DB" w:rsidRPr="00AA5CB5" w14:paraId="30714F4F"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48C40558" w14:textId="05FC5BAD" w:rsidR="00F352DB" w:rsidRPr="00AA5CB5" w:rsidRDefault="00F352DB" w:rsidP="00F352DB">
            <w:pPr>
              <w:rPr>
                <w:b w:val="0"/>
                <w:bCs w:val="0"/>
                <w:lang w:val="en-AU"/>
              </w:rPr>
            </w:pPr>
            <w:r w:rsidRPr="00AA5CB5">
              <w:rPr>
                <w:b w:val="0"/>
                <w:bCs w:val="0"/>
                <w:lang w:val="en-AU"/>
              </w:rPr>
              <w:t>Petrol</w:t>
            </w:r>
          </w:p>
        </w:tc>
        <w:tc>
          <w:tcPr>
            <w:tcW w:w="3134" w:type="dxa"/>
          </w:tcPr>
          <w:p w14:paraId="230DDB8F" w14:textId="3D55A462"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Coupe</w:t>
            </w:r>
          </w:p>
        </w:tc>
        <w:tc>
          <w:tcPr>
            <w:tcW w:w="3134" w:type="dxa"/>
          </w:tcPr>
          <w:p w14:paraId="65ACC793" w14:textId="6623737F"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218</w:t>
            </w:r>
          </w:p>
        </w:tc>
      </w:tr>
      <w:tr w:rsidR="00F352DB" w:rsidRPr="00AA5CB5" w14:paraId="56DB651F"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62DD1795" w14:textId="39C3459B" w:rsidR="00F352DB" w:rsidRPr="00AA5CB5" w:rsidRDefault="00F352DB" w:rsidP="00F352DB">
            <w:pPr>
              <w:rPr>
                <w:b w:val="0"/>
                <w:bCs w:val="0"/>
                <w:lang w:val="en-AU"/>
              </w:rPr>
            </w:pPr>
            <w:r w:rsidRPr="00AA5CB5">
              <w:rPr>
                <w:b w:val="0"/>
                <w:bCs w:val="0"/>
                <w:lang w:val="en-AU"/>
              </w:rPr>
              <w:t>Petrol</w:t>
            </w:r>
          </w:p>
        </w:tc>
        <w:tc>
          <w:tcPr>
            <w:tcW w:w="3134" w:type="dxa"/>
          </w:tcPr>
          <w:p w14:paraId="56DE87EB" w14:textId="13522201"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Hatch</w:t>
            </w:r>
          </w:p>
        </w:tc>
        <w:tc>
          <w:tcPr>
            <w:tcW w:w="3134" w:type="dxa"/>
          </w:tcPr>
          <w:p w14:paraId="32112594" w14:textId="7823D34F" w:rsidR="00F352DB" w:rsidRPr="00AA5CB5" w:rsidRDefault="00F352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150</w:t>
            </w:r>
          </w:p>
        </w:tc>
      </w:tr>
      <w:tr w:rsidR="008D387F" w:rsidRPr="00AA5CB5" w14:paraId="06A6DA2B"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513BBF6A" w14:textId="648A87D9" w:rsidR="008D387F" w:rsidRPr="00AA5CB5" w:rsidRDefault="00616BDB" w:rsidP="00F352DB">
            <w:pPr>
              <w:rPr>
                <w:b w:val="0"/>
                <w:bCs w:val="0"/>
                <w:lang w:val="en-AU"/>
              </w:rPr>
            </w:pPr>
            <w:r w:rsidRPr="00AA5CB5">
              <w:rPr>
                <w:b w:val="0"/>
                <w:bCs w:val="0"/>
                <w:lang w:val="en-AU"/>
              </w:rPr>
              <w:t>Petrol</w:t>
            </w:r>
          </w:p>
        </w:tc>
        <w:tc>
          <w:tcPr>
            <w:tcW w:w="3134" w:type="dxa"/>
          </w:tcPr>
          <w:p w14:paraId="7C2B3885" w14:textId="0991BA1B"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Sedan</w:t>
            </w:r>
          </w:p>
        </w:tc>
        <w:tc>
          <w:tcPr>
            <w:tcW w:w="3134" w:type="dxa"/>
          </w:tcPr>
          <w:p w14:paraId="21243F8D" w14:textId="4DC4DD83"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190</w:t>
            </w:r>
          </w:p>
        </w:tc>
      </w:tr>
      <w:tr w:rsidR="008D387F" w:rsidRPr="00AA5CB5" w14:paraId="004DCE9B"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5B21C15C" w14:textId="318A7F1A" w:rsidR="008D387F" w:rsidRPr="00AA5CB5" w:rsidRDefault="00616BDB" w:rsidP="00F352DB">
            <w:pPr>
              <w:rPr>
                <w:b w:val="0"/>
                <w:bCs w:val="0"/>
                <w:lang w:val="en-AU"/>
              </w:rPr>
            </w:pPr>
            <w:r w:rsidRPr="00AA5CB5">
              <w:rPr>
                <w:b w:val="0"/>
                <w:bCs w:val="0"/>
                <w:lang w:val="en-AU"/>
              </w:rPr>
              <w:t>Petrol</w:t>
            </w:r>
          </w:p>
        </w:tc>
        <w:tc>
          <w:tcPr>
            <w:tcW w:w="3134" w:type="dxa"/>
          </w:tcPr>
          <w:p w14:paraId="3903BC11" w14:textId="369D44FF"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SUV</w:t>
            </w:r>
          </w:p>
        </w:tc>
        <w:tc>
          <w:tcPr>
            <w:tcW w:w="3134" w:type="dxa"/>
          </w:tcPr>
          <w:p w14:paraId="5F52A341" w14:textId="5BF942E1"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194</w:t>
            </w:r>
          </w:p>
        </w:tc>
      </w:tr>
      <w:tr w:rsidR="008D387F" w:rsidRPr="00AA5CB5" w14:paraId="2E67F0E6"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61E26E1A" w14:textId="293AD82C" w:rsidR="008D387F" w:rsidRPr="00AA5CB5" w:rsidRDefault="00616BDB" w:rsidP="00F352DB">
            <w:pPr>
              <w:rPr>
                <w:b w:val="0"/>
                <w:bCs w:val="0"/>
                <w:lang w:val="en-AU"/>
              </w:rPr>
            </w:pPr>
            <w:r w:rsidRPr="00AA5CB5">
              <w:rPr>
                <w:b w:val="0"/>
                <w:bCs w:val="0"/>
                <w:lang w:val="en-AU"/>
              </w:rPr>
              <w:t>Petrol</w:t>
            </w:r>
          </w:p>
        </w:tc>
        <w:tc>
          <w:tcPr>
            <w:tcW w:w="3134" w:type="dxa"/>
          </w:tcPr>
          <w:p w14:paraId="46A6BBA7" w14:textId="4A6CC467"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Utility</w:t>
            </w:r>
          </w:p>
        </w:tc>
        <w:tc>
          <w:tcPr>
            <w:tcW w:w="3134" w:type="dxa"/>
          </w:tcPr>
          <w:p w14:paraId="0579D834" w14:textId="76677FD3"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295</w:t>
            </w:r>
          </w:p>
        </w:tc>
      </w:tr>
      <w:tr w:rsidR="008D387F" w:rsidRPr="00AA5CB5" w14:paraId="71737AA5"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36A129DE" w14:textId="5183CDA6" w:rsidR="008D387F" w:rsidRPr="00AA5CB5" w:rsidRDefault="00616BDB" w:rsidP="00F352DB">
            <w:pPr>
              <w:rPr>
                <w:b w:val="0"/>
                <w:bCs w:val="0"/>
                <w:lang w:val="en-AU"/>
              </w:rPr>
            </w:pPr>
            <w:r w:rsidRPr="00AA5CB5">
              <w:rPr>
                <w:b w:val="0"/>
                <w:bCs w:val="0"/>
                <w:lang w:val="en-AU"/>
              </w:rPr>
              <w:t>Petrol</w:t>
            </w:r>
          </w:p>
        </w:tc>
        <w:tc>
          <w:tcPr>
            <w:tcW w:w="3134" w:type="dxa"/>
          </w:tcPr>
          <w:p w14:paraId="5FCFEF2E" w14:textId="5DF9FD7C"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Van</w:t>
            </w:r>
          </w:p>
        </w:tc>
        <w:tc>
          <w:tcPr>
            <w:tcW w:w="3134" w:type="dxa"/>
          </w:tcPr>
          <w:p w14:paraId="4717A721" w14:textId="731D2BD8"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166</w:t>
            </w:r>
          </w:p>
        </w:tc>
      </w:tr>
      <w:tr w:rsidR="008D387F" w:rsidRPr="00AA5CB5" w14:paraId="71E73187"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00771807" w14:textId="487545F3" w:rsidR="008D387F" w:rsidRPr="00AA5CB5" w:rsidRDefault="00616BDB" w:rsidP="00F352DB">
            <w:pPr>
              <w:rPr>
                <w:b w:val="0"/>
                <w:bCs w:val="0"/>
                <w:lang w:val="en-AU"/>
              </w:rPr>
            </w:pPr>
            <w:r w:rsidRPr="00AA5CB5">
              <w:rPr>
                <w:b w:val="0"/>
                <w:bCs w:val="0"/>
                <w:lang w:val="en-AU"/>
              </w:rPr>
              <w:t>Petrol</w:t>
            </w:r>
          </w:p>
        </w:tc>
        <w:tc>
          <w:tcPr>
            <w:tcW w:w="3134" w:type="dxa"/>
          </w:tcPr>
          <w:p w14:paraId="73E1801C" w14:textId="6BEE69D9"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Wagon</w:t>
            </w:r>
          </w:p>
        </w:tc>
        <w:tc>
          <w:tcPr>
            <w:tcW w:w="3134" w:type="dxa"/>
          </w:tcPr>
          <w:p w14:paraId="2CFC9B86" w14:textId="55394D3B"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189</w:t>
            </w:r>
          </w:p>
        </w:tc>
      </w:tr>
      <w:tr w:rsidR="008D387F" w:rsidRPr="00AA5CB5" w14:paraId="594B2D24"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6C7049A1" w14:textId="4443E703" w:rsidR="008D387F" w:rsidRPr="00AA5CB5" w:rsidRDefault="00616BDB" w:rsidP="00F352DB">
            <w:pPr>
              <w:rPr>
                <w:b w:val="0"/>
                <w:bCs w:val="0"/>
                <w:lang w:val="en-AU"/>
              </w:rPr>
            </w:pPr>
            <w:r w:rsidRPr="00AA5CB5">
              <w:rPr>
                <w:b w:val="0"/>
                <w:bCs w:val="0"/>
                <w:color w:val="000000" w:themeColor="text1"/>
                <w:lang w:val="en-AU"/>
              </w:rPr>
              <w:t>Plug-in Electric/Petro</w:t>
            </w:r>
            <w:r w:rsidR="000E366A" w:rsidRPr="00AA5CB5">
              <w:rPr>
                <w:b w:val="0"/>
                <w:bCs w:val="0"/>
                <w:color w:val="000000" w:themeColor="text1"/>
                <w:lang w:val="en-AU"/>
              </w:rPr>
              <w:t>l</w:t>
            </w:r>
          </w:p>
        </w:tc>
        <w:tc>
          <w:tcPr>
            <w:tcW w:w="3134" w:type="dxa"/>
          </w:tcPr>
          <w:p w14:paraId="2AC58D6A" w14:textId="69AF80F2"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Coupe</w:t>
            </w:r>
          </w:p>
        </w:tc>
        <w:tc>
          <w:tcPr>
            <w:tcW w:w="3134" w:type="dxa"/>
          </w:tcPr>
          <w:p w14:paraId="77CEF2F2" w14:textId="3CC1778C"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110</w:t>
            </w:r>
          </w:p>
        </w:tc>
      </w:tr>
      <w:tr w:rsidR="008D387F" w:rsidRPr="00AA5CB5" w14:paraId="1D77B6F9"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52A4B5B6" w14:textId="7C022F29" w:rsidR="008D387F" w:rsidRPr="00AA5CB5" w:rsidRDefault="00616BDB" w:rsidP="00F352DB">
            <w:pPr>
              <w:rPr>
                <w:b w:val="0"/>
                <w:bCs w:val="0"/>
                <w:lang w:val="en-AU"/>
              </w:rPr>
            </w:pPr>
            <w:r w:rsidRPr="00AA5CB5">
              <w:rPr>
                <w:b w:val="0"/>
                <w:bCs w:val="0"/>
                <w:color w:val="000000" w:themeColor="text1"/>
                <w:lang w:val="en-AU"/>
              </w:rPr>
              <w:t>Plug-in Electric/Petro</w:t>
            </w:r>
            <w:r w:rsidR="000E366A" w:rsidRPr="00AA5CB5">
              <w:rPr>
                <w:b w:val="0"/>
                <w:bCs w:val="0"/>
                <w:color w:val="000000" w:themeColor="text1"/>
                <w:lang w:val="en-AU"/>
              </w:rPr>
              <w:t>l</w:t>
            </w:r>
          </w:p>
        </w:tc>
        <w:tc>
          <w:tcPr>
            <w:tcW w:w="3134" w:type="dxa"/>
          </w:tcPr>
          <w:p w14:paraId="13DBDF16" w14:textId="0CF2C099"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Hatch</w:t>
            </w:r>
          </w:p>
        </w:tc>
        <w:tc>
          <w:tcPr>
            <w:tcW w:w="3134" w:type="dxa"/>
          </w:tcPr>
          <w:p w14:paraId="750A0BE8" w14:textId="28A9BEF9"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36</w:t>
            </w:r>
          </w:p>
        </w:tc>
      </w:tr>
      <w:tr w:rsidR="008D387F" w:rsidRPr="00AA5CB5" w14:paraId="3F1F6F24"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1751A5DB" w14:textId="7AD82643" w:rsidR="008D387F" w:rsidRPr="00AA5CB5" w:rsidRDefault="00616BDB" w:rsidP="00F352DB">
            <w:pPr>
              <w:rPr>
                <w:b w:val="0"/>
                <w:bCs w:val="0"/>
                <w:lang w:val="en-AU"/>
              </w:rPr>
            </w:pPr>
            <w:r w:rsidRPr="00AA5CB5">
              <w:rPr>
                <w:b w:val="0"/>
                <w:bCs w:val="0"/>
                <w:color w:val="000000" w:themeColor="text1"/>
                <w:lang w:val="en-AU"/>
              </w:rPr>
              <w:t>Plug-in Electric/Petro</w:t>
            </w:r>
            <w:r w:rsidR="000E366A" w:rsidRPr="00AA5CB5">
              <w:rPr>
                <w:b w:val="0"/>
                <w:bCs w:val="0"/>
                <w:color w:val="000000" w:themeColor="text1"/>
                <w:lang w:val="en-AU"/>
              </w:rPr>
              <w:t>l</w:t>
            </w:r>
          </w:p>
        </w:tc>
        <w:tc>
          <w:tcPr>
            <w:tcW w:w="3134" w:type="dxa"/>
          </w:tcPr>
          <w:p w14:paraId="3254914F" w14:textId="57D36AA6"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Sedan</w:t>
            </w:r>
          </w:p>
        </w:tc>
        <w:tc>
          <w:tcPr>
            <w:tcW w:w="3134" w:type="dxa"/>
          </w:tcPr>
          <w:p w14:paraId="715759DD" w14:textId="6476E9B1"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48</w:t>
            </w:r>
          </w:p>
        </w:tc>
      </w:tr>
      <w:tr w:rsidR="008D387F" w:rsidRPr="00AA5CB5" w14:paraId="170753E7"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758E2F16" w14:textId="5140C79C" w:rsidR="008D387F" w:rsidRPr="00AA5CB5" w:rsidRDefault="00616BDB" w:rsidP="00F352DB">
            <w:pPr>
              <w:rPr>
                <w:b w:val="0"/>
                <w:bCs w:val="0"/>
                <w:lang w:val="en-AU"/>
              </w:rPr>
            </w:pPr>
            <w:r w:rsidRPr="00AA5CB5">
              <w:rPr>
                <w:b w:val="0"/>
                <w:bCs w:val="0"/>
                <w:color w:val="000000" w:themeColor="text1"/>
                <w:lang w:val="en-AU"/>
              </w:rPr>
              <w:t>Plug-in Electric/Petro</w:t>
            </w:r>
            <w:r w:rsidR="000E366A" w:rsidRPr="00AA5CB5">
              <w:rPr>
                <w:b w:val="0"/>
                <w:bCs w:val="0"/>
                <w:color w:val="000000" w:themeColor="text1"/>
                <w:lang w:val="en-AU"/>
              </w:rPr>
              <w:t>l</w:t>
            </w:r>
          </w:p>
        </w:tc>
        <w:tc>
          <w:tcPr>
            <w:tcW w:w="3134" w:type="dxa"/>
          </w:tcPr>
          <w:p w14:paraId="6AB14CC3" w14:textId="64AF3D91"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SUV</w:t>
            </w:r>
          </w:p>
        </w:tc>
        <w:tc>
          <w:tcPr>
            <w:tcW w:w="3134" w:type="dxa"/>
          </w:tcPr>
          <w:p w14:paraId="2EDAB2BA" w14:textId="7D09E79C" w:rsidR="008D387F" w:rsidRPr="00AA5CB5" w:rsidRDefault="00616BDB" w:rsidP="00616BDB">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50</w:t>
            </w:r>
          </w:p>
        </w:tc>
      </w:tr>
      <w:tr w:rsidR="008D387F" w:rsidRPr="00AA5CB5" w14:paraId="663C271C"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467C3307" w14:textId="3D367B79" w:rsidR="008D387F" w:rsidRPr="00AA5CB5" w:rsidRDefault="00616BDB" w:rsidP="00F352DB">
            <w:pPr>
              <w:rPr>
                <w:b w:val="0"/>
                <w:bCs w:val="0"/>
                <w:lang w:val="en-AU"/>
              </w:rPr>
            </w:pPr>
            <w:r w:rsidRPr="00AA5CB5">
              <w:rPr>
                <w:b w:val="0"/>
                <w:bCs w:val="0"/>
                <w:color w:val="000000" w:themeColor="text1"/>
                <w:lang w:val="en-AU"/>
              </w:rPr>
              <w:t>Plug-in Electric/Petro</w:t>
            </w:r>
            <w:r w:rsidR="000E366A" w:rsidRPr="00AA5CB5">
              <w:rPr>
                <w:b w:val="0"/>
                <w:bCs w:val="0"/>
                <w:color w:val="000000" w:themeColor="text1"/>
                <w:lang w:val="en-AU"/>
              </w:rPr>
              <w:t>l</w:t>
            </w:r>
          </w:p>
        </w:tc>
        <w:tc>
          <w:tcPr>
            <w:tcW w:w="3134" w:type="dxa"/>
          </w:tcPr>
          <w:p w14:paraId="25BE6238" w14:textId="31D9C6A8"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Utility</w:t>
            </w:r>
          </w:p>
        </w:tc>
        <w:tc>
          <w:tcPr>
            <w:tcW w:w="3134" w:type="dxa"/>
          </w:tcPr>
          <w:p w14:paraId="13CACD8C" w14:textId="61B59936"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46</w:t>
            </w:r>
          </w:p>
        </w:tc>
      </w:tr>
      <w:tr w:rsidR="008D387F" w:rsidRPr="00AA5CB5" w14:paraId="01D5D0D5"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48DF601E" w14:textId="6E2B9597" w:rsidR="008D387F" w:rsidRPr="00AA5CB5" w:rsidRDefault="00616BDB" w:rsidP="00F352DB">
            <w:pPr>
              <w:rPr>
                <w:b w:val="0"/>
                <w:bCs w:val="0"/>
                <w:lang w:val="en-AU"/>
              </w:rPr>
            </w:pPr>
            <w:r w:rsidRPr="00AA5CB5">
              <w:rPr>
                <w:b w:val="0"/>
                <w:bCs w:val="0"/>
                <w:color w:val="000000" w:themeColor="text1"/>
                <w:lang w:val="en-AU"/>
              </w:rPr>
              <w:t>Plug-in Electric/Petro</w:t>
            </w:r>
            <w:r w:rsidR="000E366A" w:rsidRPr="00AA5CB5">
              <w:rPr>
                <w:b w:val="0"/>
                <w:bCs w:val="0"/>
                <w:color w:val="000000" w:themeColor="text1"/>
                <w:lang w:val="en-AU"/>
              </w:rPr>
              <w:t>l</w:t>
            </w:r>
          </w:p>
        </w:tc>
        <w:tc>
          <w:tcPr>
            <w:tcW w:w="3134" w:type="dxa"/>
          </w:tcPr>
          <w:p w14:paraId="3C77343E" w14:textId="6F59CD06"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Wagon</w:t>
            </w:r>
          </w:p>
        </w:tc>
        <w:tc>
          <w:tcPr>
            <w:tcW w:w="3134" w:type="dxa"/>
          </w:tcPr>
          <w:p w14:paraId="441C0417" w14:textId="40097391" w:rsidR="008D387F" w:rsidRPr="00AA5CB5" w:rsidRDefault="00616BDB"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color w:val="000000" w:themeColor="text1"/>
                <w:lang w:val="en-AU"/>
              </w:rPr>
              <w:t>50</w:t>
            </w:r>
          </w:p>
        </w:tc>
      </w:tr>
      <w:tr w:rsidR="008D387F" w:rsidRPr="00AA5CB5" w14:paraId="1F4BAEB7" w14:textId="77777777" w:rsidTr="00936E27">
        <w:tc>
          <w:tcPr>
            <w:cnfStyle w:val="001000000000" w:firstRow="0" w:lastRow="0" w:firstColumn="1" w:lastColumn="0" w:oddVBand="0" w:evenVBand="0" w:oddHBand="0" w:evenHBand="0" w:firstRowFirstColumn="0" w:firstRowLastColumn="0" w:lastRowFirstColumn="0" w:lastRowLastColumn="0"/>
            <w:tcW w:w="3134" w:type="dxa"/>
          </w:tcPr>
          <w:p w14:paraId="4CE4A9F3" w14:textId="021B4A5A" w:rsidR="008D387F" w:rsidRPr="00AA5CB5" w:rsidRDefault="00567F7D" w:rsidP="00F352DB">
            <w:pPr>
              <w:rPr>
                <w:b w:val="0"/>
                <w:bCs w:val="0"/>
                <w:lang w:val="en-AU"/>
              </w:rPr>
            </w:pPr>
            <w:r w:rsidRPr="00AA5CB5">
              <w:rPr>
                <w:b w:val="0"/>
                <w:bCs w:val="0"/>
                <w:lang w:val="en-AU"/>
              </w:rPr>
              <w:t xml:space="preserve">Electric </w:t>
            </w:r>
          </w:p>
        </w:tc>
        <w:tc>
          <w:tcPr>
            <w:tcW w:w="3134" w:type="dxa"/>
          </w:tcPr>
          <w:p w14:paraId="7B58BCE5" w14:textId="77777777" w:rsidR="008D387F" w:rsidRPr="00AA5CB5" w:rsidRDefault="008D387F" w:rsidP="00F352DB">
            <w:pPr>
              <w:cnfStyle w:val="000000000000" w:firstRow="0" w:lastRow="0" w:firstColumn="0" w:lastColumn="0" w:oddVBand="0" w:evenVBand="0" w:oddHBand="0" w:evenHBand="0" w:firstRowFirstColumn="0" w:firstRowLastColumn="0" w:lastRowFirstColumn="0" w:lastRowLastColumn="0"/>
              <w:rPr>
                <w:lang w:val="en-AU"/>
              </w:rPr>
            </w:pPr>
          </w:p>
        </w:tc>
        <w:tc>
          <w:tcPr>
            <w:tcW w:w="3134" w:type="dxa"/>
          </w:tcPr>
          <w:p w14:paraId="1653936E" w14:textId="33ED2862" w:rsidR="008D387F" w:rsidRPr="00AA5CB5" w:rsidRDefault="00567F7D" w:rsidP="00F352DB">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w:t>
            </w:r>
          </w:p>
        </w:tc>
      </w:tr>
    </w:tbl>
    <w:p w14:paraId="41B2F3A6" w14:textId="7CFF570C" w:rsidR="00221062" w:rsidRPr="00AA5CB5" w:rsidRDefault="00221062">
      <w:pPr>
        <w:pStyle w:val="Notebullets1"/>
        <w:numPr>
          <w:ilvl w:val="0"/>
          <w:numId w:val="0"/>
        </w:numPr>
        <w:contextualSpacing/>
      </w:pPr>
      <w:r w:rsidRPr="00AA5CB5">
        <w:t>Note: Average tailpipe CO</w:t>
      </w:r>
      <w:r w:rsidRPr="00AA5CB5">
        <w:rPr>
          <w:vertAlign w:val="subscript"/>
        </w:rPr>
        <w:t>2</w:t>
      </w:r>
      <w:r w:rsidRPr="00AA5CB5">
        <w:t xml:space="preserve"> was calculated using Green Vehicle Guide data from approximately 3000 vehicles.  </w:t>
      </w:r>
    </w:p>
    <w:p w14:paraId="2B1E74F2" w14:textId="72310C2A" w:rsidR="00497436" w:rsidRPr="00AA5CB5" w:rsidRDefault="00497436">
      <w:pPr>
        <w:pStyle w:val="Notebullets1"/>
        <w:numPr>
          <w:ilvl w:val="0"/>
          <w:numId w:val="0"/>
        </w:numPr>
        <w:contextualSpacing/>
      </w:pPr>
      <w:r w:rsidRPr="00AA5CB5">
        <w:t xml:space="preserve">Source: </w:t>
      </w:r>
      <w:r w:rsidR="00254453" w:rsidRPr="00AA5CB5">
        <w:t>DITRDCA (</w:t>
      </w:r>
      <w:r w:rsidR="00254453" w:rsidRPr="00AA5CB5">
        <w:rPr>
          <w:rFonts w:cstheme="minorHAnsi"/>
        </w:rPr>
        <w:t>Department of Infrastructure, Transport, Regional Development, Communications and the Arts)</w:t>
      </w:r>
      <w:r w:rsidRPr="00AA5CB5">
        <w:rPr>
          <w:rFonts w:cstheme="minorHAnsi"/>
        </w:rPr>
        <w:t xml:space="preserve"> (2024)</w:t>
      </w:r>
      <w:r w:rsidR="00254453" w:rsidRPr="00AA5CB5">
        <w:rPr>
          <w:i/>
          <w:iCs/>
        </w:rPr>
        <w:t xml:space="preserve"> </w:t>
      </w:r>
      <w:hyperlink r:id="rId78" w:history="1">
        <w:r w:rsidR="003A25D5" w:rsidRPr="00AA5CB5">
          <w:rPr>
            <w:rStyle w:val="Hyperlink1"/>
            <w:i/>
            <w:iCs/>
            <w:sz w:val="20"/>
            <w:szCs w:val="24"/>
          </w:rPr>
          <w:t>Green Vehicle Guide</w:t>
        </w:r>
      </w:hyperlink>
      <w:r w:rsidRPr="00AA5CB5">
        <w:rPr>
          <w:rStyle w:val="Hyperlink1"/>
          <w:i/>
          <w:iCs/>
          <w:sz w:val="20"/>
          <w:szCs w:val="24"/>
        </w:rPr>
        <w:t xml:space="preserve"> </w:t>
      </w:r>
      <w:r w:rsidRPr="00AA5CB5">
        <w:t xml:space="preserve">[data set], </w:t>
      </w:r>
      <w:r w:rsidR="00B86C69" w:rsidRPr="00AA5CB5">
        <w:t>www.greenvehicleguide.gov.au</w:t>
      </w:r>
      <w:r w:rsidRPr="00AA5CB5">
        <w:t xml:space="preserve">, </w:t>
      </w:r>
      <w:r w:rsidR="00B86C69" w:rsidRPr="00AA5CB5">
        <w:t>DITRDCA</w:t>
      </w:r>
      <w:r w:rsidRPr="00AA5CB5">
        <w:t>, accesse</w:t>
      </w:r>
      <w:r w:rsidR="009E15C1" w:rsidRPr="00AA5CB5">
        <w:t>d 29 January 2025</w:t>
      </w:r>
      <w:r w:rsidRPr="00AA5CB5">
        <w:t>.</w:t>
      </w:r>
    </w:p>
    <w:p w14:paraId="1AE2E787" w14:textId="77BEBD80" w:rsidR="005A6003" w:rsidRPr="00AA5CB5" w:rsidRDefault="005A6003" w:rsidP="005A6003">
      <w:pPr>
        <w:pStyle w:val="Caption"/>
        <w:keepNext/>
      </w:pPr>
      <w:bookmarkStart w:id="199" w:name="_Toc201927395"/>
      <w:r w:rsidRPr="00AA5CB5">
        <w:lastRenderedPageBreak/>
        <w:t xml:space="preserve">Table </w:t>
      </w:r>
      <w:r w:rsidRPr="00AA5CB5">
        <w:fldChar w:fldCharType="begin"/>
      </w:r>
      <w:r w:rsidRPr="00AA5CB5">
        <w:instrText xml:space="preserve"> SEQ Table \* ARABIC </w:instrText>
      </w:r>
      <w:r w:rsidRPr="00AA5CB5">
        <w:fldChar w:fldCharType="separate"/>
      </w:r>
      <w:r w:rsidR="00422A37">
        <w:rPr>
          <w:noProof/>
        </w:rPr>
        <w:t>22</w:t>
      </w:r>
      <w:r w:rsidRPr="00AA5CB5">
        <w:fldChar w:fldCharType="end"/>
      </w:r>
      <w:r w:rsidR="0088604A">
        <w:t>:</w:t>
      </w:r>
      <w:r w:rsidRPr="00AA5CB5">
        <w:t xml:space="preserve"> Hire </w:t>
      </w:r>
      <w:r w:rsidR="000E66F2" w:rsidRPr="00AA5CB5">
        <w:t>c</w:t>
      </w:r>
      <w:r w:rsidRPr="00AA5CB5">
        <w:t xml:space="preserve">ar – </w:t>
      </w:r>
      <w:r w:rsidR="006A48BE">
        <w:t>e</w:t>
      </w:r>
      <w:r w:rsidRPr="00AA5CB5">
        <w:t>mission factors</w:t>
      </w:r>
      <w:r w:rsidR="008320EA">
        <w:t xml:space="preserve"> for vehicles</w:t>
      </w:r>
      <w:r w:rsidRPr="00AA5CB5">
        <w:t xml:space="preserve"> where </w:t>
      </w:r>
      <w:r w:rsidR="000E66F2" w:rsidRPr="00AA5CB5">
        <w:t>d</w:t>
      </w:r>
      <w:r w:rsidRPr="00AA5CB5">
        <w:t>rive type</w:t>
      </w:r>
      <w:r w:rsidR="00F16087">
        <w:t xml:space="preserve">, </w:t>
      </w:r>
      <w:r w:rsidR="000E66F2" w:rsidRPr="00AA5CB5">
        <w:t>b</w:t>
      </w:r>
      <w:r w:rsidRPr="00AA5CB5">
        <w:t>ody</w:t>
      </w:r>
      <w:r w:rsidR="000E66F2" w:rsidRPr="00AA5CB5">
        <w:t xml:space="preserve"> type</w:t>
      </w:r>
      <w:r w:rsidR="00F16087">
        <w:t xml:space="preserve"> and distance travelled</w:t>
      </w:r>
      <w:r w:rsidR="00F16087" w:rsidRPr="00AA5CB5">
        <w:t xml:space="preserve"> </w:t>
      </w:r>
      <w:r w:rsidR="00F16087">
        <w:t>is</w:t>
      </w:r>
      <w:r w:rsidRPr="00AA5CB5">
        <w:t xml:space="preserve"> known</w:t>
      </w:r>
      <w:bookmarkEnd w:id="199"/>
    </w:p>
    <w:tbl>
      <w:tblPr>
        <w:tblStyle w:val="ListTable4-Accent6"/>
        <w:tblW w:w="0" w:type="auto"/>
        <w:tblInd w:w="0" w:type="dxa"/>
        <w:tblLook w:val="06A0" w:firstRow="1" w:lastRow="0" w:firstColumn="1" w:lastColumn="0" w:noHBand="1" w:noVBand="1"/>
      </w:tblPr>
      <w:tblGrid>
        <w:gridCol w:w="3134"/>
        <w:gridCol w:w="3134"/>
        <w:gridCol w:w="3134"/>
      </w:tblGrid>
      <w:tr w:rsidR="009010ED" w:rsidRPr="00AA5CB5" w14:paraId="0333C105" w14:textId="77777777" w:rsidTr="00567F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34" w:type="dxa"/>
          </w:tcPr>
          <w:p w14:paraId="5D621FF5" w14:textId="015A3CF5" w:rsidR="003F052D" w:rsidRPr="00AA5CB5" w:rsidRDefault="003F052D" w:rsidP="001B1334">
            <w:pPr>
              <w:rPr>
                <w:color w:val="auto"/>
                <w:lang w:val="en-AU"/>
              </w:rPr>
            </w:pPr>
            <w:r w:rsidRPr="00AA5CB5">
              <w:rPr>
                <w:color w:val="auto"/>
                <w:lang w:val="en-AU"/>
              </w:rPr>
              <w:t xml:space="preserve">Drive </w:t>
            </w:r>
            <w:r w:rsidR="00B121B4" w:rsidRPr="00AA5CB5">
              <w:rPr>
                <w:color w:val="auto"/>
                <w:lang w:val="en-AU"/>
              </w:rPr>
              <w:t>type</w:t>
            </w:r>
          </w:p>
        </w:tc>
        <w:tc>
          <w:tcPr>
            <w:tcW w:w="3134" w:type="dxa"/>
          </w:tcPr>
          <w:p w14:paraId="1870D844" w14:textId="02BE0865" w:rsidR="003F052D" w:rsidRPr="00AA5CB5" w:rsidRDefault="00B721D5" w:rsidP="001B1334">
            <w:pPr>
              <w:cnfStyle w:val="100000000000" w:firstRow="1" w:lastRow="0" w:firstColumn="0" w:lastColumn="0" w:oddVBand="0" w:evenVBand="0" w:oddHBand="0" w:evenHBand="0" w:firstRowFirstColumn="0" w:firstRowLastColumn="0" w:lastRowFirstColumn="0" w:lastRowLastColumn="0"/>
              <w:rPr>
                <w:color w:val="auto"/>
                <w:lang w:val="en-AU"/>
              </w:rPr>
            </w:pPr>
            <w:r w:rsidRPr="00AA5CB5">
              <w:rPr>
                <w:color w:val="auto"/>
                <w:lang w:val="en-AU"/>
              </w:rPr>
              <w:t xml:space="preserve">Body </w:t>
            </w:r>
            <w:r w:rsidR="00B121B4" w:rsidRPr="00AA5CB5">
              <w:rPr>
                <w:color w:val="auto"/>
                <w:lang w:val="en-AU"/>
              </w:rPr>
              <w:t>type</w:t>
            </w:r>
          </w:p>
        </w:tc>
        <w:tc>
          <w:tcPr>
            <w:tcW w:w="3134" w:type="dxa"/>
          </w:tcPr>
          <w:p w14:paraId="3FE434D6" w14:textId="77777777" w:rsidR="00B121B4" w:rsidRPr="00AA5CB5" w:rsidRDefault="00B121B4" w:rsidP="00B121B4">
            <w:pPr>
              <w:cnfStyle w:val="100000000000" w:firstRow="1" w:lastRow="0" w:firstColumn="0" w:lastColumn="0" w:oddVBand="0" w:evenVBand="0" w:oddHBand="0" w:evenHBand="0" w:firstRowFirstColumn="0" w:firstRowLastColumn="0" w:lastRowFirstColumn="0" w:lastRowLastColumn="0"/>
              <w:rPr>
                <w:b w:val="0"/>
                <w:bCs w:val="0"/>
                <w:color w:val="auto"/>
                <w:lang w:val="en-AU"/>
              </w:rPr>
            </w:pPr>
            <w:r w:rsidRPr="00AA5CB5">
              <w:rPr>
                <w:color w:val="auto"/>
                <w:lang w:val="en-AU"/>
              </w:rPr>
              <w:t>Tailpipe CO</w:t>
            </w:r>
            <w:r w:rsidRPr="00AA5CB5">
              <w:rPr>
                <w:color w:val="auto"/>
                <w:vertAlign w:val="subscript"/>
                <w:lang w:val="en-AU"/>
              </w:rPr>
              <w:t>2</w:t>
            </w:r>
          </w:p>
          <w:p w14:paraId="3C256F83" w14:textId="30CBDAAC" w:rsidR="003F052D" w:rsidRPr="00AA5CB5" w:rsidRDefault="00B121B4" w:rsidP="00B121B4">
            <w:pPr>
              <w:cnfStyle w:val="100000000000" w:firstRow="1" w:lastRow="0" w:firstColumn="0" w:lastColumn="0" w:oddVBand="0" w:evenVBand="0" w:oddHBand="0" w:evenHBand="0" w:firstRowFirstColumn="0" w:firstRowLastColumn="0" w:lastRowFirstColumn="0" w:lastRowLastColumn="0"/>
              <w:rPr>
                <w:color w:val="auto"/>
                <w:lang w:val="en-AU"/>
              </w:rPr>
            </w:pPr>
            <w:r w:rsidRPr="00AA5CB5">
              <w:rPr>
                <w:color w:val="auto"/>
                <w:lang w:val="en-AU"/>
              </w:rPr>
              <w:t>g CO</w:t>
            </w:r>
            <w:r w:rsidRPr="00AA5CB5">
              <w:rPr>
                <w:color w:val="auto"/>
                <w:vertAlign w:val="subscript"/>
                <w:lang w:val="en-AU"/>
              </w:rPr>
              <w:t>2</w:t>
            </w:r>
            <w:r w:rsidRPr="00AA5CB5">
              <w:rPr>
                <w:color w:val="auto"/>
                <w:lang w:val="en-AU"/>
              </w:rPr>
              <w:t>/km</w:t>
            </w:r>
          </w:p>
        </w:tc>
      </w:tr>
      <w:tr w:rsidR="003F052D" w:rsidRPr="00AA5CB5" w14:paraId="4B6CD99F"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73809AC7" w14:textId="43C28FCF" w:rsidR="003F052D" w:rsidRPr="00AA5CB5" w:rsidRDefault="00567F7D" w:rsidP="001B1334">
            <w:pPr>
              <w:rPr>
                <w:b w:val="0"/>
                <w:bCs w:val="0"/>
                <w:lang w:val="en-AU"/>
              </w:rPr>
            </w:pPr>
            <w:r w:rsidRPr="00AA5CB5">
              <w:rPr>
                <w:b w:val="0"/>
                <w:bCs w:val="0"/>
                <w:lang w:val="en-AU"/>
              </w:rPr>
              <w:t xml:space="preserve">Electric </w:t>
            </w:r>
          </w:p>
        </w:tc>
        <w:tc>
          <w:tcPr>
            <w:tcW w:w="3134" w:type="dxa"/>
          </w:tcPr>
          <w:p w14:paraId="27BECCD1" w14:textId="756F9944" w:rsidR="003F052D" w:rsidRPr="00AA5CB5" w:rsidRDefault="00B121B4" w:rsidP="001B1334">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w:t>
            </w:r>
          </w:p>
        </w:tc>
        <w:tc>
          <w:tcPr>
            <w:tcW w:w="3134" w:type="dxa"/>
          </w:tcPr>
          <w:p w14:paraId="5DC43688" w14:textId="0B867C26" w:rsidR="003F052D" w:rsidRPr="00AA5CB5" w:rsidRDefault="00567F7D" w:rsidP="001B1334">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0 </w:t>
            </w:r>
          </w:p>
        </w:tc>
      </w:tr>
      <w:tr w:rsidR="003F052D" w:rsidRPr="00AA5CB5" w14:paraId="501E38FA"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29E576EA" w14:textId="509A70F9" w:rsidR="003F052D" w:rsidRPr="00AA5CB5" w:rsidRDefault="000B0935" w:rsidP="001B1334">
            <w:pPr>
              <w:rPr>
                <w:b w:val="0"/>
                <w:bCs w:val="0"/>
                <w:lang w:val="en-AU"/>
              </w:rPr>
            </w:pPr>
            <w:r w:rsidRPr="00AA5CB5">
              <w:rPr>
                <w:b w:val="0"/>
                <w:bCs w:val="0"/>
                <w:lang w:val="en-AU"/>
              </w:rPr>
              <w:t xml:space="preserve">Hybrid </w:t>
            </w:r>
          </w:p>
        </w:tc>
        <w:tc>
          <w:tcPr>
            <w:tcW w:w="3134" w:type="dxa"/>
          </w:tcPr>
          <w:p w14:paraId="630FB3CA" w14:textId="7F13A6D8" w:rsidR="003F052D" w:rsidRPr="00AA5CB5" w:rsidRDefault="000B0935" w:rsidP="001B1334">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Cab-chassis</w:t>
            </w:r>
          </w:p>
        </w:tc>
        <w:tc>
          <w:tcPr>
            <w:tcW w:w="3134" w:type="dxa"/>
          </w:tcPr>
          <w:p w14:paraId="6C7142D8" w14:textId="06527F02" w:rsidR="003F052D" w:rsidRPr="00AA5CB5" w:rsidRDefault="000B0935" w:rsidP="001B1334">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199</w:t>
            </w:r>
          </w:p>
        </w:tc>
      </w:tr>
      <w:tr w:rsidR="003F052D" w:rsidRPr="00AA5CB5" w14:paraId="56840A1C"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327CA6DD" w14:textId="24C7CCC6" w:rsidR="003F052D" w:rsidRPr="00AA5CB5" w:rsidRDefault="000B0935" w:rsidP="001B1334">
            <w:pPr>
              <w:rPr>
                <w:b w:val="0"/>
                <w:bCs w:val="0"/>
                <w:lang w:val="en-AU"/>
              </w:rPr>
            </w:pPr>
            <w:r w:rsidRPr="00AA5CB5">
              <w:rPr>
                <w:b w:val="0"/>
                <w:bCs w:val="0"/>
                <w:lang w:val="en-AU"/>
              </w:rPr>
              <w:t xml:space="preserve">Hybrid </w:t>
            </w:r>
          </w:p>
        </w:tc>
        <w:tc>
          <w:tcPr>
            <w:tcW w:w="3134" w:type="dxa"/>
          </w:tcPr>
          <w:p w14:paraId="731A302B" w14:textId="2FF4B417" w:rsidR="003F052D" w:rsidRPr="00AA5CB5" w:rsidRDefault="000B0935" w:rsidP="001B1334">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Convertible</w:t>
            </w:r>
          </w:p>
        </w:tc>
        <w:tc>
          <w:tcPr>
            <w:tcW w:w="3134" w:type="dxa"/>
          </w:tcPr>
          <w:p w14:paraId="4EB6D130" w14:textId="3E6EE05F" w:rsidR="003F052D" w:rsidRPr="00AA5CB5" w:rsidRDefault="000B0935" w:rsidP="001B1334">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175</w:t>
            </w:r>
          </w:p>
        </w:tc>
      </w:tr>
      <w:tr w:rsidR="003F052D" w:rsidRPr="00AA5CB5" w14:paraId="58DECB7C"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2284AEB0" w14:textId="5D82CF02" w:rsidR="003F052D" w:rsidRPr="00AA5CB5" w:rsidRDefault="000B0935" w:rsidP="001B1334">
            <w:pPr>
              <w:rPr>
                <w:b w:val="0"/>
                <w:bCs w:val="0"/>
                <w:lang w:val="en-AU"/>
              </w:rPr>
            </w:pPr>
            <w:r w:rsidRPr="00AA5CB5">
              <w:rPr>
                <w:b w:val="0"/>
                <w:bCs w:val="0"/>
                <w:lang w:val="en-AU"/>
              </w:rPr>
              <w:t xml:space="preserve">Hybrid </w:t>
            </w:r>
          </w:p>
        </w:tc>
        <w:tc>
          <w:tcPr>
            <w:tcW w:w="3134" w:type="dxa"/>
          </w:tcPr>
          <w:p w14:paraId="572E5999" w14:textId="59ADB5BD" w:rsidR="003F052D" w:rsidRPr="00AA5CB5" w:rsidRDefault="000B0935" w:rsidP="001B1334">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Coupe</w:t>
            </w:r>
          </w:p>
        </w:tc>
        <w:tc>
          <w:tcPr>
            <w:tcW w:w="3134" w:type="dxa"/>
          </w:tcPr>
          <w:p w14:paraId="28301D3F" w14:textId="123310D8" w:rsidR="003F052D" w:rsidRPr="00AA5CB5" w:rsidRDefault="000B0935" w:rsidP="001B1334">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136</w:t>
            </w:r>
          </w:p>
        </w:tc>
      </w:tr>
      <w:tr w:rsidR="003F052D" w:rsidRPr="00AA5CB5" w14:paraId="409554D5"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76312677" w14:textId="535F7279" w:rsidR="003F052D" w:rsidRPr="00AA5CB5" w:rsidRDefault="000B0935" w:rsidP="001B1334">
            <w:pPr>
              <w:rPr>
                <w:b w:val="0"/>
                <w:bCs w:val="0"/>
                <w:lang w:val="en-AU"/>
              </w:rPr>
            </w:pPr>
            <w:r w:rsidRPr="00AA5CB5">
              <w:rPr>
                <w:b w:val="0"/>
                <w:bCs w:val="0"/>
                <w:lang w:val="en-AU"/>
              </w:rPr>
              <w:t xml:space="preserve">Hybrid </w:t>
            </w:r>
          </w:p>
        </w:tc>
        <w:tc>
          <w:tcPr>
            <w:tcW w:w="3134" w:type="dxa"/>
          </w:tcPr>
          <w:p w14:paraId="569D9BF0" w14:textId="7821F643" w:rsidR="003F052D" w:rsidRPr="00AA5CB5" w:rsidRDefault="000B0935" w:rsidP="001B1334">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Hatch</w:t>
            </w:r>
          </w:p>
        </w:tc>
        <w:tc>
          <w:tcPr>
            <w:tcW w:w="3134" w:type="dxa"/>
          </w:tcPr>
          <w:p w14:paraId="77743800" w14:textId="1711FD4B" w:rsidR="003F052D" w:rsidRPr="00AA5CB5" w:rsidRDefault="000B0935" w:rsidP="001B1334">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83</w:t>
            </w:r>
          </w:p>
        </w:tc>
      </w:tr>
      <w:tr w:rsidR="000B0935" w:rsidRPr="00AA5CB5" w14:paraId="3C7E068D"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005F27FF" w14:textId="0D722AA0" w:rsidR="000B0935" w:rsidRPr="00AA5CB5" w:rsidRDefault="000B0935" w:rsidP="000B0935">
            <w:pPr>
              <w:rPr>
                <w:b w:val="0"/>
                <w:bCs w:val="0"/>
                <w:lang w:val="en-AU"/>
              </w:rPr>
            </w:pPr>
            <w:r w:rsidRPr="00AA5CB5">
              <w:rPr>
                <w:b w:val="0"/>
                <w:bCs w:val="0"/>
                <w:lang w:val="en-AU"/>
              </w:rPr>
              <w:t xml:space="preserve">Hybrid </w:t>
            </w:r>
          </w:p>
        </w:tc>
        <w:tc>
          <w:tcPr>
            <w:tcW w:w="3134" w:type="dxa"/>
          </w:tcPr>
          <w:p w14:paraId="5D8E1CFA" w14:textId="0AC4A306"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Sedan</w:t>
            </w:r>
          </w:p>
        </w:tc>
        <w:tc>
          <w:tcPr>
            <w:tcW w:w="3134" w:type="dxa"/>
          </w:tcPr>
          <w:p w14:paraId="2FFA9DA1" w14:textId="3882D41D"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90</w:t>
            </w:r>
          </w:p>
        </w:tc>
      </w:tr>
      <w:tr w:rsidR="000B0935" w:rsidRPr="00AA5CB5" w14:paraId="2C6C83CF"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28BC0DC0" w14:textId="169BBAB0" w:rsidR="000B0935" w:rsidRPr="00AA5CB5" w:rsidRDefault="000B0935" w:rsidP="000B0935">
            <w:pPr>
              <w:rPr>
                <w:b w:val="0"/>
                <w:bCs w:val="0"/>
                <w:lang w:val="en-AU"/>
              </w:rPr>
            </w:pPr>
            <w:r w:rsidRPr="00AA5CB5">
              <w:rPr>
                <w:b w:val="0"/>
                <w:bCs w:val="0"/>
                <w:lang w:val="en-AU"/>
              </w:rPr>
              <w:t xml:space="preserve">Hybrid </w:t>
            </w:r>
          </w:p>
        </w:tc>
        <w:tc>
          <w:tcPr>
            <w:tcW w:w="3134" w:type="dxa"/>
          </w:tcPr>
          <w:p w14:paraId="51685A63" w14:textId="34AED4ED"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SUV</w:t>
            </w:r>
          </w:p>
        </w:tc>
        <w:tc>
          <w:tcPr>
            <w:tcW w:w="3134" w:type="dxa"/>
          </w:tcPr>
          <w:p w14:paraId="2B60676D" w14:textId="7B55C120"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142</w:t>
            </w:r>
          </w:p>
        </w:tc>
      </w:tr>
      <w:tr w:rsidR="000B0935" w:rsidRPr="00AA5CB5" w14:paraId="03FF4DEC"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3ECE40F3" w14:textId="47CDF61B" w:rsidR="000B0935" w:rsidRPr="00AA5CB5" w:rsidRDefault="000B0935" w:rsidP="000B0935">
            <w:pPr>
              <w:rPr>
                <w:b w:val="0"/>
                <w:bCs w:val="0"/>
                <w:lang w:val="en-AU"/>
              </w:rPr>
            </w:pPr>
            <w:r w:rsidRPr="00AA5CB5">
              <w:rPr>
                <w:b w:val="0"/>
                <w:bCs w:val="0"/>
                <w:lang w:val="en-AU"/>
              </w:rPr>
              <w:t xml:space="preserve">Hybrid </w:t>
            </w:r>
          </w:p>
        </w:tc>
        <w:tc>
          <w:tcPr>
            <w:tcW w:w="3134" w:type="dxa"/>
          </w:tcPr>
          <w:p w14:paraId="099E6E8A" w14:textId="322B6755"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Utility</w:t>
            </w:r>
          </w:p>
        </w:tc>
        <w:tc>
          <w:tcPr>
            <w:tcW w:w="3134" w:type="dxa"/>
          </w:tcPr>
          <w:p w14:paraId="1E0369D2" w14:textId="0F7C28A8"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172</w:t>
            </w:r>
          </w:p>
        </w:tc>
      </w:tr>
      <w:tr w:rsidR="000B0935" w:rsidRPr="00AA5CB5" w14:paraId="46C8802B"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685A25E7" w14:textId="6AFA1037" w:rsidR="000B0935" w:rsidRPr="00AA5CB5" w:rsidRDefault="000B0935" w:rsidP="000B0935">
            <w:pPr>
              <w:rPr>
                <w:b w:val="0"/>
                <w:bCs w:val="0"/>
                <w:lang w:val="en-AU"/>
              </w:rPr>
            </w:pPr>
            <w:r w:rsidRPr="00AA5CB5">
              <w:rPr>
                <w:b w:val="0"/>
                <w:bCs w:val="0"/>
                <w:lang w:val="en-AU"/>
              </w:rPr>
              <w:t xml:space="preserve">Hybrid </w:t>
            </w:r>
          </w:p>
        </w:tc>
        <w:tc>
          <w:tcPr>
            <w:tcW w:w="3134" w:type="dxa"/>
          </w:tcPr>
          <w:p w14:paraId="656CF5CB" w14:textId="3CC79538"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Wagon</w:t>
            </w:r>
          </w:p>
        </w:tc>
        <w:tc>
          <w:tcPr>
            <w:tcW w:w="3134" w:type="dxa"/>
          </w:tcPr>
          <w:p w14:paraId="201E55A6" w14:textId="6709AE89"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115</w:t>
            </w:r>
          </w:p>
        </w:tc>
      </w:tr>
      <w:tr w:rsidR="000B0935" w:rsidRPr="00AA5CB5" w14:paraId="5D556779"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3F5AABF1" w14:textId="0DA6207A" w:rsidR="000B0935" w:rsidRPr="00AA5CB5" w:rsidRDefault="007B4492" w:rsidP="000B0935">
            <w:pPr>
              <w:rPr>
                <w:b w:val="0"/>
                <w:bCs w:val="0"/>
                <w:lang w:val="en-AU"/>
              </w:rPr>
            </w:pPr>
            <w:r w:rsidRPr="00AA5CB5">
              <w:rPr>
                <w:b w:val="0"/>
                <w:bCs w:val="0"/>
                <w:lang w:val="en-AU"/>
              </w:rPr>
              <w:t xml:space="preserve">Internal combustion engine </w:t>
            </w:r>
          </w:p>
        </w:tc>
        <w:tc>
          <w:tcPr>
            <w:tcW w:w="3134" w:type="dxa"/>
          </w:tcPr>
          <w:p w14:paraId="14830742" w14:textId="31207D01"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Cab-chassis</w:t>
            </w:r>
          </w:p>
        </w:tc>
        <w:tc>
          <w:tcPr>
            <w:tcW w:w="3134" w:type="dxa"/>
          </w:tcPr>
          <w:p w14:paraId="01BA2621" w14:textId="4F11ED5F"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211</w:t>
            </w:r>
          </w:p>
        </w:tc>
      </w:tr>
      <w:tr w:rsidR="000B0935" w:rsidRPr="00AA5CB5" w14:paraId="27669A08"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6CBF9B64" w14:textId="6A7BB3D8" w:rsidR="000B0935" w:rsidRPr="00AA5CB5" w:rsidRDefault="007B4492" w:rsidP="000B0935">
            <w:pPr>
              <w:rPr>
                <w:b w:val="0"/>
                <w:bCs w:val="0"/>
                <w:lang w:val="en-AU"/>
              </w:rPr>
            </w:pPr>
            <w:r w:rsidRPr="00AA5CB5">
              <w:rPr>
                <w:b w:val="0"/>
                <w:bCs w:val="0"/>
                <w:lang w:val="en-AU"/>
              </w:rPr>
              <w:t xml:space="preserve">Internal combustion engine </w:t>
            </w:r>
          </w:p>
        </w:tc>
        <w:tc>
          <w:tcPr>
            <w:tcW w:w="3134" w:type="dxa"/>
          </w:tcPr>
          <w:p w14:paraId="0DB92C70" w14:textId="46684DEE"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Convertible</w:t>
            </w:r>
          </w:p>
        </w:tc>
        <w:tc>
          <w:tcPr>
            <w:tcW w:w="3134" w:type="dxa"/>
          </w:tcPr>
          <w:p w14:paraId="13EA87C0" w14:textId="5C243E03"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213</w:t>
            </w:r>
          </w:p>
        </w:tc>
      </w:tr>
      <w:tr w:rsidR="000B0935" w:rsidRPr="00AA5CB5" w14:paraId="64D81411"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0609047A" w14:textId="302D1C8E" w:rsidR="000B0935" w:rsidRPr="00AA5CB5" w:rsidRDefault="007B4492" w:rsidP="000B0935">
            <w:pPr>
              <w:rPr>
                <w:b w:val="0"/>
                <w:bCs w:val="0"/>
                <w:lang w:val="en-AU"/>
              </w:rPr>
            </w:pPr>
            <w:r w:rsidRPr="00AA5CB5">
              <w:rPr>
                <w:b w:val="0"/>
                <w:bCs w:val="0"/>
                <w:lang w:val="en-AU"/>
              </w:rPr>
              <w:t xml:space="preserve">Internal combustion engine </w:t>
            </w:r>
          </w:p>
        </w:tc>
        <w:tc>
          <w:tcPr>
            <w:tcW w:w="3134" w:type="dxa"/>
          </w:tcPr>
          <w:p w14:paraId="22FD7EDC" w14:textId="2A8270A4"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Coupe</w:t>
            </w:r>
          </w:p>
        </w:tc>
        <w:tc>
          <w:tcPr>
            <w:tcW w:w="3134" w:type="dxa"/>
          </w:tcPr>
          <w:p w14:paraId="71F87CC9" w14:textId="7483018D"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211</w:t>
            </w:r>
          </w:p>
        </w:tc>
      </w:tr>
      <w:tr w:rsidR="000B0935" w:rsidRPr="00AA5CB5" w14:paraId="5A4AC554"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7CCAC16B" w14:textId="0D15998C" w:rsidR="000B0935" w:rsidRPr="00AA5CB5" w:rsidRDefault="007B4492" w:rsidP="000B0935">
            <w:pPr>
              <w:rPr>
                <w:b w:val="0"/>
                <w:bCs w:val="0"/>
                <w:lang w:val="en-AU"/>
              </w:rPr>
            </w:pPr>
            <w:r w:rsidRPr="00AA5CB5">
              <w:rPr>
                <w:b w:val="0"/>
                <w:bCs w:val="0"/>
                <w:lang w:val="en-AU"/>
              </w:rPr>
              <w:t xml:space="preserve">Internal combustion engine </w:t>
            </w:r>
          </w:p>
        </w:tc>
        <w:tc>
          <w:tcPr>
            <w:tcW w:w="3134" w:type="dxa"/>
          </w:tcPr>
          <w:p w14:paraId="096B26E7" w14:textId="6927FA80"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Hatch</w:t>
            </w:r>
          </w:p>
        </w:tc>
        <w:tc>
          <w:tcPr>
            <w:tcW w:w="3134" w:type="dxa"/>
          </w:tcPr>
          <w:p w14:paraId="6EC0174D" w14:textId="17B984E6"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148</w:t>
            </w:r>
          </w:p>
        </w:tc>
      </w:tr>
      <w:tr w:rsidR="000B0935" w:rsidRPr="00AA5CB5" w14:paraId="13C1290C"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03C99375" w14:textId="57643146" w:rsidR="000B0935" w:rsidRPr="00AA5CB5" w:rsidRDefault="007B4492" w:rsidP="000B0935">
            <w:pPr>
              <w:rPr>
                <w:b w:val="0"/>
                <w:bCs w:val="0"/>
                <w:lang w:val="en-AU"/>
              </w:rPr>
            </w:pPr>
            <w:r w:rsidRPr="00AA5CB5">
              <w:rPr>
                <w:b w:val="0"/>
                <w:bCs w:val="0"/>
                <w:lang w:val="en-AU"/>
              </w:rPr>
              <w:t xml:space="preserve">Internal combustion engine </w:t>
            </w:r>
          </w:p>
        </w:tc>
        <w:tc>
          <w:tcPr>
            <w:tcW w:w="3134" w:type="dxa"/>
          </w:tcPr>
          <w:p w14:paraId="672AA706" w14:textId="2E9E230B"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Light bus </w:t>
            </w:r>
          </w:p>
        </w:tc>
        <w:tc>
          <w:tcPr>
            <w:tcW w:w="3134" w:type="dxa"/>
          </w:tcPr>
          <w:p w14:paraId="6A5681DF" w14:textId="7559D227"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248</w:t>
            </w:r>
          </w:p>
        </w:tc>
      </w:tr>
      <w:tr w:rsidR="000B0935" w:rsidRPr="00AA5CB5" w14:paraId="651D2DD7"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6CCFE4BB" w14:textId="0D84460E" w:rsidR="000B0935" w:rsidRPr="00AA5CB5" w:rsidRDefault="007B4492" w:rsidP="000B0935">
            <w:pPr>
              <w:rPr>
                <w:b w:val="0"/>
                <w:bCs w:val="0"/>
                <w:lang w:val="en-AU"/>
              </w:rPr>
            </w:pPr>
            <w:r w:rsidRPr="00AA5CB5">
              <w:rPr>
                <w:b w:val="0"/>
                <w:bCs w:val="0"/>
                <w:lang w:val="en-AU"/>
              </w:rPr>
              <w:t xml:space="preserve">Internal combustion engine </w:t>
            </w:r>
          </w:p>
        </w:tc>
        <w:tc>
          <w:tcPr>
            <w:tcW w:w="3134" w:type="dxa"/>
          </w:tcPr>
          <w:p w14:paraId="7E86D590" w14:textId="222F24CF"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Sedan</w:t>
            </w:r>
          </w:p>
        </w:tc>
        <w:tc>
          <w:tcPr>
            <w:tcW w:w="3134" w:type="dxa"/>
          </w:tcPr>
          <w:p w14:paraId="15BBEA6E" w14:textId="136E8F6A"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186</w:t>
            </w:r>
          </w:p>
        </w:tc>
      </w:tr>
      <w:tr w:rsidR="000B0935" w:rsidRPr="00AA5CB5" w14:paraId="58EE95C5"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60A46E42" w14:textId="1EBB4A5A" w:rsidR="000B0935" w:rsidRPr="00AA5CB5" w:rsidRDefault="007B4492" w:rsidP="000B0935">
            <w:pPr>
              <w:rPr>
                <w:b w:val="0"/>
                <w:bCs w:val="0"/>
                <w:lang w:val="en-AU"/>
              </w:rPr>
            </w:pPr>
            <w:r w:rsidRPr="00AA5CB5">
              <w:rPr>
                <w:b w:val="0"/>
                <w:bCs w:val="0"/>
                <w:lang w:val="en-AU"/>
              </w:rPr>
              <w:t xml:space="preserve">Internal combustion engine </w:t>
            </w:r>
          </w:p>
        </w:tc>
        <w:tc>
          <w:tcPr>
            <w:tcW w:w="3134" w:type="dxa"/>
          </w:tcPr>
          <w:p w14:paraId="1F26B4A4" w14:textId="05A3DAB1"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SUV</w:t>
            </w:r>
          </w:p>
        </w:tc>
        <w:tc>
          <w:tcPr>
            <w:tcW w:w="3134" w:type="dxa"/>
          </w:tcPr>
          <w:p w14:paraId="2AECC92D" w14:textId="28C10875"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192</w:t>
            </w:r>
          </w:p>
        </w:tc>
      </w:tr>
      <w:tr w:rsidR="000B0935" w:rsidRPr="00AA5CB5" w14:paraId="3A85015E"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74C6DAB4" w14:textId="74CA639E" w:rsidR="000B0935" w:rsidRPr="00AA5CB5" w:rsidRDefault="007B4492" w:rsidP="000B0935">
            <w:pPr>
              <w:rPr>
                <w:b w:val="0"/>
                <w:bCs w:val="0"/>
                <w:lang w:val="en-AU"/>
              </w:rPr>
            </w:pPr>
            <w:r w:rsidRPr="00AA5CB5">
              <w:rPr>
                <w:b w:val="0"/>
                <w:bCs w:val="0"/>
                <w:lang w:val="en-AU"/>
              </w:rPr>
              <w:t xml:space="preserve">Internal combustion engine </w:t>
            </w:r>
          </w:p>
        </w:tc>
        <w:tc>
          <w:tcPr>
            <w:tcW w:w="3134" w:type="dxa"/>
          </w:tcPr>
          <w:p w14:paraId="0BC112A5" w14:textId="7A096255"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Utility</w:t>
            </w:r>
          </w:p>
        </w:tc>
        <w:tc>
          <w:tcPr>
            <w:tcW w:w="3134" w:type="dxa"/>
          </w:tcPr>
          <w:p w14:paraId="08F5031C" w14:textId="7CC86781"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213</w:t>
            </w:r>
          </w:p>
        </w:tc>
      </w:tr>
      <w:tr w:rsidR="000B0935" w:rsidRPr="00AA5CB5" w14:paraId="62DEBE62"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640239CA" w14:textId="623ACFAD" w:rsidR="000B0935" w:rsidRPr="00AA5CB5" w:rsidRDefault="007B4492" w:rsidP="000B0935">
            <w:pPr>
              <w:rPr>
                <w:b w:val="0"/>
                <w:bCs w:val="0"/>
                <w:lang w:val="en-AU"/>
              </w:rPr>
            </w:pPr>
            <w:r w:rsidRPr="00AA5CB5">
              <w:rPr>
                <w:b w:val="0"/>
                <w:bCs w:val="0"/>
                <w:lang w:val="en-AU"/>
              </w:rPr>
              <w:t xml:space="preserve">Internal combustion engine </w:t>
            </w:r>
          </w:p>
        </w:tc>
        <w:tc>
          <w:tcPr>
            <w:tcW w:w="3134" w:type="dxa"/>
          </w:tcPr>
          <w:p w14:paraId="446FDE31" w14:textId="654C94B9"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Van</w:t>
            </w:r>
          </w:p>
        </w:tc>
        <w:tc>
          <w:tcPr>
            <w:tcW w:w="3134" w:type="dxa"/>
          </w:tcPr>
          <w:p w14:paraId="12ABC62F" w14:textId="3B30CBC7"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182</w:t>
            </w:r>
          </w:p>
        </w:tc>
      </w:tr>
      <w:tr w:rsidR="000B0935" w:rsidRPr="00AA5CB5" w14:paraId="340EE4FC" w14:textId="77777777" w:rsidTr="003F052D">
        <w:tc>
          <w:tcPr>
            <w:cnfStyle w:val="001000000000" w:firstRow="0" w:lastRow="0" w:firstColumn="1" w:lastColumn="0" w:oddVBand="0" w:evenVBand="0" w:oddHBand="0" w:evenHBand="0" w:firstRowFirstColumn="0" w:firstRowLastColumn="0" w:lastRowFirstColumn="0" w:lastRowLastColumn="0"/>
            <w:tcW w:w="3134" w:type="dxa"/>
          </w:tcPr>
          <w:p w14:paraId="50217346" w14:textId="381BEA07" w:rsidR="000B0935" w:rsidRPr="00AA5CB5" w:rsidRDefault="007B4492" w:rsidP="000B0935">
            <w:pPr>
              <w:rPr>
                <w:b w:val="0"/>
                <w:bCs w:val="0"/>
                <w:lang w:val="en-AU"/>
              </w:rPr>
            </w:pPr>
            <w:r w:rsidRPr="00AA5CB5">
              <w:rPr>
                <w:b w:val="0"/>
                <w:bCs w:val="0"/>
                <w:lang w:val="en-AU"/>
              </w:rPr>
              <w:t xml:space="preserve">Internal combustion engine </w:t>
            </w:r>
          </w:p>
        </w:tc>
        <w:tc>
          <w:tcPr>
            <w:tcW w:w="3134" w:type="dxa"/>
          </w:tcPr>
          <w:p w14:paraId="2E5016C7" w14:textId="68E8E790"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Wagon</w:t>
            </w:r>
          </w:p>
        </w:tc>
        <w:tc>
          <w:tcPr>
            <w:tcW w:w="3134" w:type="dxa"/>
          </w:tcPr>
          <w:p w14:paraId="51869BAC" w14:textId="19DDC6F8" w:rsidR="000B0935" w:rsidRPr="00AA5CB5" w:rsidRDefault="000B0935" w:rsidP="000B0935">
            <w:pPr>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185</w:t>
            </w:r>
          </w:p>
        </w:tc>
      </w:tr>
    </w:tbl>
    <w:p w14:paraId="6D6048B3" w14:textId="77777777" w:rsidR="00221062" w:rsidRPr="00AA5CB5" w:rsidRDefault="00221062">
      <w:pPr>
        <w:pStyle w:val="Notebullets1"/>
        <w:numPr>
          <w:ilvl w:val="0"/>
          <w:numId w:val="0"/>
        </w:numPr>
        <w:contextualSpacing/>
      </w:pPr>
      <w:r w:rsidRPr="00AA5CB5">
        <w:t>Note: Average tailpipe CO</w:t>
      </w:r>
      <w:r w:rsidRPr="00AA5CB5">
        <w:rPr>
          <w:vertAlign w:val="subscript"/>
        </w:rPr>
        <w:t>2</w:t>
      </w:r>
      <w:r w:rsidRPr="00AA5CB5">
        <w:t xml:space="preserve"> was calculated using Green Vehicle Guide data from approximately 3000 vehicles.  </w:t>
      </w:r>
    </w:p>
    <w:p w14:paraId="21D1E3C7" w14:textId="68AE1C3F" w:rsidR="00221062" w:rsidRPr="00AA5CB5" w:rsidRDefault="00221062">
      <w:pPr>
        <w:pStyle w:val="Notebullets1"/>
        <w:numPr>
          <w:ilvl w:val="0"/>
          <w:numId w:val="0"/>
        </w:numPr>
        <w:contextualSpacing/>
      </w:pPr>
      <w:r w:rsidRPr="00AA5CB5">
        <w:t>Source: DITRDCA (</w:t>
      </w:r>
      <w:r w:rsidRPr="00AA5CB5">
        <w:rPr>
          <w:rFonts w:cstheme="minorHAnsi"/>
        </w:rPr>
        <w:t>Department of Infrastructure, Transport, Regional Development, Communications and the Arts) (2024)</w:t>
      </w:r>
      <w:r w:rsidRPr="00AA5CB5">
        <w:rPr>
          <w:i/>
          <w:iCs/>
        </w:rPr>
        <w:t xml:space="preserve"> </w:t>
      </w:r>
      <w:hyperlink r:id="rId79" w:history="1">
        <w:r w:rsidRPr="00AA5CB5">
          <w:rPr>
            <w:rStyle w:val="Hyperlink1"/>
            <w:i/>
            <w:iCs/>
            <w:sz w:val="20"/>
            <w:szCs w:val="24"/>
          </w:rPr>
          <w:t>Green Vehicle Guide</w:t>
        </w:r>
      </w:hyperlink>
      <w:r w:rsidRPr="00AA5CB5">
        <w:rPr>
          <w:rStyle w:val="Hyperlink1"/>
          <w:i/>
          <w:iCs/>
          <w:sz w:val="20"/>
          <w:szCs w:val="24"/>
        </w:rPr>
        <w:t xml:space="preserve"> </w:t>
      </w:r>
      <w:r w:rsidRPr="00AA5CB5">
        <w:t xml:space="preserve">[data set], www.greenvehicleguide.gov.au, DITRDCA, accessed </w:t>
      </w:r>
      <w:r w:rsidR="009E15C1" w:rsidRPr="00AA5CB5">
        <w:t xml:space="preserve">29 January </w:t>
      </w:r>
      <w:r w:rsidRPr="00AA5CB5">
        <w:t>2025.</w:t>
      </w:r>
    </w:p>
    <w:p w14:paraId="6B146523" w14:textId="379E7765" w:rsidR="00BD7FA8" w:rsidRDefault="00BD7FA8" w:rsidP="00BD7FA8">
      <w:pPr>
        <w:pStyle w:val="Heading2"/>
      </w:pPr>
      <w:bookmarkStart w:id="200" w:name="_Toc201927371"/>
      <w:r w:rsidRPr="00AA5CB5">
        <w:t xml:space="preserve">Domestic </w:t>
      </w:r>
      <w:r w:rsidR="006A48BE">
        <w:t>t</w:t>
      </w:r>
      <w:r w:rsidRPr="00AA5CB5">
        <w:t xml:space="preserve">ravel </w:t>
      </w:r>
      <w:r w:rsidR="006A48BE">
        <w:t>a</w:t>
      </w:r>
      <w:r w:rsidRPr="00AA5CB5">
        <w:t>ccommodation</w:t>
      </w:r>
      <w:bookmarkEnd w:id="200"/>
    </w:p>
    <w:p w14:paraId="6B016690" w14:textId="6121857B" w:rsidR="00CD17B5" w:rsidRPr="00CD17B5" w:rsidRDefault="00CD17B5" w:rsidP="00CD17B5">
      <w:pPr>
        <w:rPr>
          <w:sz w:val="22"/>
          <w:szCs w:val="24"/>
        </w:rPr>
      </w:pPr>
      <w:r>
        <w:rPr>
          <w:sz w:val="22"/>
          <w:szCs w:val="24"/>
        </w:rPr>
        <w:t>E</w:t>
      </w:r>
      <w:r w:rsidRPr="00CD17B5">
        <w:rPr>
          <w:sz w:val="22"/>
          <w:szCs w:val="24"/>
        </w:rPr>
        <w:t xml:space="preserve">missions </w:t>
      </w:r>
      <w:r>
        <w:rPr>
          <w:sz w:val="22"/>
          <w:szCs w:val="24"/>
        </w:rPr>
        <w:t xml:space="preserve">from </w:t>
      </w:r>
      <w:r w:rsidR="00696B86">
        <w:rPr>
          <w:sz w:val="22"/>
          <w:szCs w:val="24"/>
        </w:rPr>
        <w:t xml:space="preserve">travel accommodations </w:t>
      </w:r>
      <w:r w:rsidRPr="00CD17B5">
        <w:rPr>
          <w:sz w:val="22"/>
          <w:szCs w:val="24"/>
        </w:rPr>
        <w:t xml:space="preserve">are calculated based on the total number </w:t>
      </w:r>
      <w:r w:rsidR="00696B86">
        <w:rPr>
          <w:sz w:val="22"/>
          <w:szCs w:val="24"/>
        </w:rPr>
        <w:t xml:space="preserve">nights per room, </w:t>
      </w:r>
      <w:r w:rsidRPr="00CD17B5">
        <w:rPr>
          <w:sz w:val="22"/>
          <w:szCs w:val="24"/>
        </w:rPr>
        <w:t xml:space="preserve">and the </w:t>
      </w:r>
      <w:r w:rsidR="00696B86">
        <w:rPr>
          <w:sz w:val="22"/>
          <w:szCs w:val="24"/>
        </w:rPr>
        <w:t>location</w:t>
      </w:r>
      <w:r w:rsidRPr="00CD17B5">
        <w:rPr>
          <w:sz w:val="22"/>
          <w:szCs w:val="24"/>
        </w:rPr>
        <w:t xml:space="preserve"> specific </w:t>
      </w:r>
      <w:r w:rsidR="00696B86">
        <w:rPr>
          <w:sz w:val="22"/>
          <w:szCs w:val="24"/>
        </w:rPr>
        <w:t>emissions factor</w:t>
      </w:r>
      <w:r w:rsidRPr="00CD17B5">
        <w:rPr>
          <w:sz w:val="22"/>
          <w:szCs w:val="24"/>
        </w:rPr>
        <w:t xml:space="preserve">. </w:t>
      </w:r>
      <w:r w:rsidR="00925FB4">
        <w:rPr>
          <w:sz w:val="22"/>
          <w:szCs w:val="24"/>
        </w:rPr>
        <w:t>L</w:t>
      </w:r>
      <w:r w:rsidR="00696B86">
        <w:rPr>
          <w:sz w:val="22"/>
          <w:szCs w:val="24"/>
        </w:rPr>
        <w:t>ocation specific emissions factors</w:t>
      </w:r>
      <w:r w:rsidR="00925FB4">
        <w:rPr>
          <w:sz w:val="22"/>
          <w:szCs w:val="24"/>
        </w:rPr>
        <w:t xml:space="preserve"> are only </w:t>
      </w:r>
      <w:r w:rsidR="00925FB4">
        <w:rPr>
          <w:sz w:val="22"/>
          <w:szCs w:val="24"/>
        </w:rPr>
        <w:lastRenderedPageBreak/>
        <w:t>available for some major cities in Australia. When a specific emissions factor was unavailable the Australia-wide emissions factor is applied.</w:t>
      </w:r>
      <w:r w:rsidRPr="00CD17B5">
        <w:rPr>
          <w:sz w:val="22"/>
          <w:szCs w:val="24"/>
        </w:rPr>
        <w:t xml:space="preserve"> </w:t>
      </w:r>
    </w:p>
    <w:p w14:paraId="5F7D9AD6" w14:textId="49720ADB" w:rsidR="00071B00" w:rsidRPr="00AA5CB5" w:rsidRDefault="000B2065" w:rsidP="00071B00">
      <w:pPr>
        <w:pStyle w:val="BodyText1"/>
        <w:shd w:val="clear" w:color="auto" w:fill="E8F0FE" w:themeFill="accent5" w:themeFillTint="33"/>
      </w:pPr>
      <m:oMathPara>
        <m:oMath>
          <m:r>
            <m:rPr>
              <m:sty m:val="p"/>
            </m:rPr>
            <w:rPr>
              <w:rFonts w:ascii="Cambria Math" w:hAnsi="Cambria Math"/>
            </w:rPr>
            <m:t xml:space="preserve">t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nor/>
            </m:rPr>
            <m:t>-</m:t>
          </m:r>
          <m:r>
            <m:rPr>
              <m:sty m:val="p"/>
            </m:rPr>
            <w:rPr>
              <w:rFonts w:ascii="Cambria Math" w:hAnsi="Cambria Math"/>
            </w:rPr>
            <m:t>e=</m:t>
          </m:r>
          <m:f>
            <m:fPr>
              <m:ctrlPr>
                <w:rPr>
                  <w:rFonts w:ascii="Cambria Math" w:hAnsi="Cambria Math"/>
                </w:rPr>
              </m:ctrlPr>
            </m:fPr>
            <m:num>
              <m:r>
                <m:rPr>
                  <m:sty m:val="p"/>
                </m:rPr>
                <w:rPr>
                  <w:rFonts w:ascii="Cambria Math" w:hAnsi="Cambria Math"/>
                </w:rPr>
                <m:t>R x N×EF</m:t>
              </m:r>
            </m:num>
            <m:den>
              <m:r>
                <m:rPr>
                  <m:sty m:val="p"/>
                </m:rPr>
                <w:rPr>
                  <w:rFonts w:ascii="Cambria Math" w:hAnsi="Cambria Math"/>
                </w:rPr>
                <m:t>1000</m:t>
              </m:r>
            </m:den>
          </m:f>
          <m:r>
            <m:rPr>
              <m:sty m:val="p"/>
            </m:rPr>
            <w:rPr>
              <w:rFonts w:ascii="Cambria Math" w:hAnsi="Cambria Math"/>
            </w:rPr>
            <m:t xml:space="preserve"> </m:t>
          </m:r>
        </m:oMath>
      </m:oMathPara>
    </w:p>
    <w:p w14:paraId="70A9DCE7" w14:textId="77777777" w:rsidR="00071B00" w:rsidRPr="00AA5CB5" w:rsidRDefault="00071B00" w:rsidP="00071B00">
      <w:pPr>
        <w:pStyle w:val="BodyText1"/>
        <w:shd w:val="clear" w:color="auto" w:fill="E8F0FE" w:themeFill="accent5" w:themeFillTint="33"/>
      </w:pPr>
      <w:r w:rsidRPr="00AA5CB5">
        <w:t>Where:</w:t>
      </w:r>
    </w:p>
    <w:p w14:paraId="3F8C8FF7" w14:textId="120DB241" w:rsidR="00071B00" w:rsidRPr="00AA5CB5" w:rsidRDefault="00071B00" w:rsidP="00071B00">
      <w:pPr>
        <w:pStyle w:val="Bodybullet1"/>
        <w:shd w:val="clear" w:color="auto" w:fill="E8F0FE" w:themeFill="accent5" w:themeFillTint="33"/>
      </w:pPr>
      <m:oMath>
        <m:r>
          <m:rPr>
            <m:sty m:val="b"/>
          </m:rPr>
          <w:rPr>
            <w:rFonts w:ascii="Cambria Math" w:hAnsi="Cambria Math"/>
          </w:rPr>
          <m:t xml:space="preserve">t </m:t>
        </m:r>
        <m:sSub>
          <m:sSubPr>
            <m:ctrlPr>
              <w:rPr>
                <w:rFonts w:ascii="Cambria Math" w:hAnsi="Cambria Math"/>
              </w:rPr>
            </m:ctrlPr>
          </m:sSubPr>
          <m:e>
            <m:r>
              <m:rPr>
                <m:sty m:val="b"/>
              </m:rPr>
              <w:rPr>
                <w:rFonts w:ascii="Cambria Math" w:hAnsi="Cambria Math"/>
              </w:rPr>
              <m:t>CO</m:t>
            </m:r>
          </m:e>
          <m:sub>
            <m:r>
              <m:rPr>
                <m:sty m:val="b"/>
              </m:rPr>
              <w:rPr>
                <w:rFonts w:ascii="Cambria Math" w:hAnsi="Cambria Math"/>
              </w:rPr>
              <m:t>2</m:t>
            </m:r>
          </m:sub>
        </m:sSub>
        <m:r>
          <m:rPr>
            <m:nor/>
          </m:rPr>
          <m:t>-</m:t>
        </m:r>
        <m:r>
          <m:rPr>
            <m:sty m:val="b"/>
          </m:rPr>
          <w:rPr>
            <w:rFonts w:ascii="Cambria Math" w:hAnsi="Cambria Math"/>
          </w:rPr>
          <m:t>e</m:t>
        </m:r>
      </m:oMath>
      <w:r w:rsidRPr="00AA5CB5">
        <w:t xml:space="preserve"> is the </w:t>
      </w:r>
      <w:r w:rsidR="00E90152">
        <w:t>GHG</w:t>
      </w:r>
      <w:r w:rsidRPr="00AA5CB5">
        <w:t xml:space="preserve"> emissions, in tonnes carbon dioxide equivalent</w:t>
      </w:r>
    </w:p>
    <w:p w14:paraId="25774B8D" w14:textId="5CD24F4A" w:rsidR="00416B2A" w:rsidRPr="00AA5CB5" w:rsidRDefault="00416B2A" w:rsidP="00416B2A">
      <w:pPr>
        <w:pStyle w:val="Bodybullet1"/>
        <w:shd w:val="clear" w:color="auto" w:fill="E8F0FE" w:themeFill="accent5" w:themeFillTint="33"/>
      </w:pPr>
      <m:oMath>
        <m:r>
          <m:rPr>
            <m:sty m:val="bi"/>
          </m:rPr>
          <w:rPr>
            <w:rFonts w:ascii="Cambria Math" w:hAnsi="Cambria Math"/>
          </w:rPr>
          <m:t xml:space="preserve">R </m:t>
        </m:r>
      </m:oMath>
      <w:r w:rsidRPr="00AA5CB5">
        <w:t xml:space="preserve">is </w:t>
      </w:r>
      <w:r w:rsidR="008F1403" w:rsidRPr="00AA5CB5">
        <w:t xml:space="preserve">the total </w:t>
      </w:r>
      <w:r w:rsidRPr="00AA5CB5">
        <w:t xml:space="preserve">number of rooms </w:t>
      </w:r>
    </w:p>
    <w:p w14:paraId="0E7BCEED" w14:textId="0B38B063" w:rsidR="00071B00" w:rsidRPr="00AA5CB5" w:rsidRDefault="000B2065" w:rsidP="00071B00">
      <w:pPr>
        <w:pStyle w:val="Bodybullet1"/>
        <w:shd w:val="clear" w:color="auto" w:fill="E8F0FE" w:themeFill="accent5" w:themeFillTint="33"/>
      </w:pPr>
      <m:oMath>
        <m:r>
          <m:rPr>
            <m:sty m:val="bi"/>
          </m:rPr>
          <w:rPr>
            <w:rFonts w:ascii="Cambria Math" w:hAnsi="Cambria Math"/>
          </w:rPr>
          <m:t>N</m:t>
        </m:r>
      </m:oMath>
      <w:r w:rsidR="00071B00" w:rsidRPr="00AA5CB5">
        <w:t xml:space="preserve"> is the </w:t>
      </w:r>
      <w:r w:rsidR="006B1B5F" w:rsidRPr="00AA5CB5">
        <w:t>number of nights</w:t>
      </w:r>
      <w:r w:rsidR="00416B2A" w:rsidRPr="00AA5CB5">
        <w:t xml:space="preserve"> per room</w:t>
      </w:r>
      <w:r w:rsidR="006B1B5F" w:rsidRPr="00AA5CB5">
        <w:t xml:space="preserve"> </w:t>
      </w:r>
    </w:p>
    <w:p w14:paraId="3EBE058E" w14:textId="638AD081" w:rsidR="00071B00" w:rsidRDefault="00071B00" w:rsidP="00071B00">
      <w:pPr>
        <w:pStyle w:val="Bodybullet1"/>
        <w:shd w:val="clear" w:color="auto" w:fill="E8F0FE" w:themeFill="accent5" w:themeFillTint="33"/>
      </w:pPr>
      <m:oMath>
        <m:r>
          <m:rPr>
            <m:sty m:val="b"/>
          </m:rPr>
          <w:rPr>
            <w:rFonts w:ascii="Cambria Math" w:hAnsi="Cambria Math"/>
          </w:rPr>
          <m:t>EF</m:t>
        </m:r>
      </m:oMath>
      <w:r w:rsidRPr="00AA5CB5">
        <w:t xml:space="preserve"> is the </w:t>
      </w:r>
      <w:r w:rsidR="007C2E88" w:rsidRPr="00AA5CB5">
        <w:t>location</w:t>
      </w:r>
      <w:r w:rsidRPr="00AA5CB5">
        <w:t xml:space="preserve"> specific emissions factor, in kilogram carbon dioxide equivalent (kg CO</w:t>
      </w:r>
      <w:r w:rsidRPr="00AA5CB5">
        <w:rPr>
          <w:vertAlign w:val="subscript"/>
        </w:rPr>
        <w:t>2</w:t>
      </w:r>
      <w:r w:rsidRPr="00AA5CB5">
        <w:t xml:space="preserve">-e) per </w:t>
      </w:r>
      <w:r w:rsidR="006B1B5F" w:rsidRPr="00AA5CB5">
        <w:t>room, per night</w:t>
      </w:r>
      <w:r w:rsidRPr="00AA5CB5">
        <w:t xml:space="preserve"> </w:t>
      </w:r>
    </w:p>
    <w:p w14:paraId="1F3F9518" w14:textId="5C7734AA" w:rsidR="00D14B32" w:rsidRPr="00AA5CB5" w:rsidRDefault="00D14B32" w:rsidP="00D14B32">
      <w:pPr>
        <w:pStyle w:val="Bodybullet1"/>
        <w:numPr>
          <w:ilvl w:val="0"/>
          <w:numId w:val="0"/>
        </w:numPr>
        <w:shd w:val="clear" w:color="auto" w:fill="E8F0FE" w:themeFill="accent5" w:themeFillTint="33"/>
      </w:pPr>
      <w:r w:rsidRPr="00D14B32">
        <w:t>To convert from kilograms (kg) to tonnes (t), divide by 1000. Conversely, to convert from t to kg, multiply by 1000.</w:t>
      </w:r>
    </w:p>
    <w:p w14:paraId="279E0A25" w14:textId="2B9835C7" w:rsidR="00071B00" w:rsidRPr="00AA5CB5" w:rsidRDefault="00071B00" w:rsidP="00071B00">
      <w:pPr>
        <w:pStyle w:val="Caption"/>
        <w:keepNext/>
      </w:pPr>
      <w:bookmarkStart w:id="201" w:name="_Toc201927396"/>
      <w:r w:rsidRPr="00AA5CB5">
        <w:t xml:space="preserve">Table </w:t>
      </w:r>
      <w:r w:rsidRPr="00AA5CB5">
        <w:fldChar w:fldCharType="begin"/>
      </w:r>
      <w:r w:rsidRPr="00AA5CB5">
        <w:instrText xml:space="preserve"> SEQ Table \* ARABIC </w:instrText>
      </w:r>
      <w:r w:rsidRPr="00AA5CB5">
        <w:fldChar w:fldCharType="separate"/>
      </w:r>
      <w:r w:rsidR="00422A37">
        <w:rPr>
          <w:noProof/>
        </w:rPr>
        <w:t>23</w:t>
      </w:r>
      <w:r w:rsidRPr="00AA5CB5">
        <w:fldChar w:fldCharType="end"/>
      </w:r>
      <w:r w:rsidR="00744A9C">
        <w:t>:</w:t>
      </w:r>
      <w:r w:rsidRPr="00AA5CB5">
        <w:t xml:space="preserve"> Travel accommodation – </w:t>
      </w:r>
      <w:r w:rsidR="006A48BE">
        <w:t>e</w:t>
      </w:r>
      <w:r w:rsidRPr="00AA5CB5">
        <w:t>mission factors</w:t>
      </w:r>
      <w:r w:rsidR="00C27896" w:rsidRPr="00AA5CB5">
        <w:t xml:space="preserve"> by location</w:t>
      </w:r>
      <w:bookmarkEnd w:id="201"/>
    </w:p>
    <w:tbl>
      <w:tblPr>
        <w:tblStyle w:val="ListTable4-Accent6"/>
        <w:tblW w:w="9390" w:type="dxa"/>
        <w:tblInd w:w="-5" w:type="dxa"/>
        <w:tblLook w:val="06A0" w:firstRow="1" w:lastRow="0" w:firstColumn="1" w:lastColumn="0" w:noHBand="1" w:noVBand="1"/>
      </w:tblPr>
      <w:tblGrid>
        <w:gridCol w:w="4695"/>
        <w:gridCol w:w="4695"/>
      </w:tblGrid>
      <w:tr w:rsidR="00787EB7" w:rsidRPr="00AA5CB5" w14:paraId="57DEA963" w14:textId="77777777" w:rsidTr="00744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95" w:type="dxa"/>
            <w:hideMark/>
          </w:tcPr>
          <w:p w14:paraId="704F4724" w14:textId="79F3C49C" w:rsidR="00765A5B" w:rsidRPr="00AA5CB5" w:rsidRDefault="00765A5B">
            <w:pPr>
              <w:pStyle w:val="BodyText1"/>
              <w:rPr>
                <w:b w:val="0"/>
                <w:color w:val="auto"/>
                <w:lang w:val="en-AU"/>
              </w:rPr>
            </w:pPr>
            <w:r w:rsidRPr="00AA5CB5">
              <w:rPr>
                <w:color w:val="auto"/>
                <w:lang w:val="en-AU"/>
              </w:rPr>
              <w:t xml:space="preserve">Accommodation </w:t>
            </w:r>
            <w:r w:rsidR="005E423E" w:rsidRPr="00AA5CB5">
              <w:rPr>
                <w:color w:val="auto"/>
                <w:lang w:val="en-AU"/>
              </w:rPr>
              <w:t>location</w:t>
            </w:r>
          </w:p>
        </w:tc>
        <w:tc>
          <w:tcPr>
            <w:tcW w:w="4695" w:type="dxa"/>
            <w:hideMark/>
          </w:tcPr>
          <w:p w14:paraId="7216E1C7" w14:textId="63FBBB5D" w:rsidR="005144D2" w:rsidRPr="00AA5CB5" w:rsidRDefault="005144D2">
            <w:pPr>
              <w:pStyle w:val="BodyText1"/>
              <w:cnfStyle w:val="100000000000" w:firstRow="1" w:lastRow="0" w:firstColumn="0" w:lastColumn="0" w:oddVBand="0" w:evenVBand="0" w:oddHBand="0" w:evenHBand="0" w:firstRowFirstColumn="0" w:firstRowLastColumn="0" w:lastRowFirstColumn="0" w:lastRowLastColumn="0"/>
              <w:rPr>
                <w:color w:val="auto"/>
                <w:lang w:val="en-AU"/>
              </w:rPr>
            </w:pPr>
            <w:r w:rsidRPr="00AA5CB5">
              <w:rPr>
                <w:color w:val="auto"/>
                <w:lang w:val="en-AU"/>
              </w:rPr>
              <w:t>Emission factor</w:t>
            </w:r>
          </w:p>
          <w:p w14:paraId="2C691F33" w14:textId="4E356956" w:rsidR="00765A5B" w:rsidRPr="00AA5CB5" w:rsidRDefault="00765A5B">
            <w:pPr>
              <w:pStyle w:val="BodyText1"/>
              <w:cnfStyle w:val="100000000000" w:firstRow="1" w:lastRow="0" w:firstColumn="0" w:lastColumn="0" w:oddVBand="0" w:evenVBand="0" w:oddHBand="0" w:evenHBand="0" w:firstRowFirstColumn="0" w:firstRowLastColumn="0" w:lastRowFirstColumn="0" w:lastRowLastColumn="0"/>
              <w:rPr>
                <w:b w:val="0"/>
                <w:color w:val="auto"/>
                <w:lang w:val="en-AU"/>
              </w:rPr>
            </w:pPr>
            <w:r w:rsidRPr="00AA5CB5">
              <w:rPr>
                <w:color w:val="auto"/>
                <w:lang w:val="en-AU"/>
              </w:rPr>
              <w:t>kg CO</w:t>
            </w:r>
            <w:r w:rsidRPr="00AA5CB5">
              <w:rPr>
                <w:color w:val="auto"/>
                <w:vertAlign w:val="subscript"/>
                <w:lang w:val="en-AU"/>
              </w:rPr>
              <w:t>2</w:t>
            </w:r>
            <w:r w:rsidRPr="00AA5CB5">
              <w:rPr>
                <w:color w:val="auto"/>
                <w:lang w:val="en-AU"/>
              </w:rPr>
              <w:t>-e per room, per night  </w:t>
            </w:r>
          </w:p>
        </w:tc>
      </w:tr>
      <w:tr w:rsidR="00CE1134" w:rsidRPr="00AA5CB5" w14:paraId="3DAE318D" w14:textId="77777777" w:rsidTr="00A957DA">
        <w:trPr>
          <w:trHeight w:val="20"/>
        </w:trPr>
        <w:tc>
          <w:tcPr>
            <w:cnfStyle w:val="001000000000" w:firstRow="0" w:lastRow="0" w:firstColumn="1" w:lastColumn="0" w:oddVBand="0" w:evenVBand="0" w:oddHBand="0" w:evenHBand="0" w:firstRowFirstColumn="0" w:firstRowLastColumn="0" w:lastRowFirstColumn="0" w:lastRowLastColumn="0"/>
            <w:tcW w:w="0" w:type="dxa"/>
            <w:hideMark/>
          </w:tcPr>
          <w:p w14:paraId="14152E35" w14:textId="6431D388" w:rsidR="00765A5B" w:rsidRPr="00AA5CB5" w:rsidRDefault="00765A5B">
            <w:pPr>
              <w:pStyle w:val="BodyText1"/>
              <w:rPr>
                <w:b w:val="0"/>
                <w:bCs w:val="0"/>
                <w:lang w:val="en-AU"/>
              </w:rPr>
            </w:pPr>
            <w:r w:rsidRPr="00AA5CB5">
              <w:rPr>
                <w:b w:val="0"/>
                <w:bCs w:val="0"/>
                <w:lang w:val="en-AU"/>
              </w:rPr>
              <w:t>Sydney</w:t>
            </w:r>
          </w:p>
        </w:tc>
        <w:tc>
          <w:tcPr>
            <w:tcW w:w="0" w:type="dxa"/>
            <w:hideMark/>
          </w:tcPr>
          <w:p w14:paraId="0B9A68AB" w14:textId="5DCAC515" w:rsidR="00765A5B" w:rsidRPr="00AA5CB5" w:rsidRDefault="00765A5B">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 35.7</w:t>
            </w:r>
          </w:p>
        </w:tc>
      </w:tr>
      <w:tr w:rsidR="00CE1134" w:rsidRPr="00AA5CB5" w14:paraId="41961900" w14:textId="77777777" w:rsidTr="00A957DA">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5EAFC85C" w14:textId="642ECBC6" w:rsidR="00765A5B" w:rsidRPr="00AA5CB5" w:rsidRDefault="00765A5B">
            <w:pPr>
              <w:pStyle w:val="BodyText1"/>
              <w:rPr>
                <w:b w:val="0"/>
                <w:bCs w:val="0"/>
                <w:lang w:val="en-AU"/>
              </w:rPr>
            </w:pPr>
            <w:r w:rsidRPr="00AA5CB5">
              <w:rPr>
                <w:b w:val="0"/>
                <w:bCs w:val="0"/>
                <w:lang w:val="en-AU"/>
              </w:rPr>
              <w:t>Melbourne</w:t>
            </w:r>
          </w:p>
        </w:tc>
        <w:tc>
          <w:tcPr>
            <w:tcW w:w="0" w:type="dxa"/>
          </w:tcPr>
          <w:p w14:paraId="18A65EF8" w14:textId="26287255" w:rsidR="00765A5B" w:rsidRPr="00AA5CB5" w:rsidRDefault="00765A5B">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 39.5</w:t>
            </w:r>
          </w:p>
        </w:tc>
      </w:tr>
      <w:tr w:rsidR="00CE1134" w:rsidRPr="00AA5CB5" w14:paraId="497CF771" w14:textId="77777777" w:rsidTr="00A957DA">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3649E4BA" w14:textId="0B12EE74" w:rsidR="00765A5B" w:rsidRPr="00AA5CB5" w:rsidRDefault="00765A5B">
            <w:pPr>
              <w:pStyle w:val="BodyText1"/>
              <w:rPr>
                <w:b w:val="0"/>
                <w:bCs w:val="0"/>
                <w:lang w:val="en-AU"/>
              </w:rPr>
            </w:pPr>
            <w:r w:rsidRPr="00AA5CB5">
              <w:rPr>
                <w:b w:val="0"/>
                <w:bCs w:val="0"/>
                <w:lang w:val="en-AU"/>
              </w:rPr>
              <w:t>Brisbane</w:t>
            </w:r>
          </w:p>
        </w:tc>
        <w:tc>
          <w:tcPr>
            <w:tcW w:w="0" w:type="dxa"/>
          </w:tcPr>
          <w:p w14:paraId="4BD8713C" w14:textId="1BC0D144" w:rsidR="00765A5B" w:rsidRPr="00AA5CB5" w:rsidRDefault="00765A5B">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 34.0</w:t>
            </w:r>
          </w:p>
        </w:tc>
      </w:tr>
      <w:tr w:rsidR="00CE1134" w:rsidRPr="00AA5CB5" w14:paraId="2A68ADAE" w14:textId="77777777" w:rsidTr="00A957DA">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5A2D926D" w14:textId="4D3C4077" w:rsidR="00765A5B" w:rsidRPr="00AA5CB5" w:rsidRDefault="00765A5B">
            <w:pPr>
              <w:pStyle w:val="BodyText1"/>
              <w:rPr>
                <w:b w:val="0"/>
                <w:bCs w:val="0"/>
                <w:lang w:val="en-AU"/>
              </w:rPr>
            </w:pPr>
            <w:r w:rsidRPr="00AA5CB5">
              <w:rPr>
                <w:b w:val="0"/>
                <w:bCs w:val="0"/>
                <w:lang w:val="en-AU"/>
              </w:rPr>
              <w:t>Perth</w:t>
            </w:r>
          </w:p>
        </w:tc>
        <w:tc>
          <w:tcPr>
            <w:tcW w:w="0" w:type="dxa"/>
          </w:tcPr>
          <w:p w14:paraId="21573A6A" w14:textId="6CD39909" w:rsidR="00765A5B" w:rsidRPr="00AA5CB5" w:rsidRDefault="00765A5B">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 22.2</w:t>
            </w:r>
          </w:p>
        </w:tc>
      </w:tr>
      <w:tr w:rsidR="00CE1134" w:rsidRPr="00AA5CB5" w14:paraId="2CD132EF" w14:textId="77777777" w:rsidTr="00A957DA">
        <w:trPr>
          <w:trHeight w:val="20"/>
        </w:trPr>
        <w:tc>
          <w:tcPr>
            <w:cnfStyle w:val="001000000000" w:firstRow="0" w:lastRow="0" w:firstColumn="1" w:lastColumn="0" w:oddVBand="0" w:evenVBand="0" w:oddHBand="0" w:evenHBand="0" w:firstRowFirstColumn="0" w:firstRowLastColumn="0" w:lastRowFirstColumn="0" w:lastRowLastColumn="0"/>
            <w:tcW w:w="0" w:type="dxa"/>
          </w:tcPr>
          <w:p w14:paraId="0CDBB665" w14:textId="7659FA09" w:rsidR="00765A5B" w:rsidRPr="00AA5CB5" w:rsidRDefault="00765A5B">
            <w:pPr>
              <w:pStyle w:val="BodyText1"/>
              <w:rPr>
                <w:b w:val="0"/>
                <w:bCs w:val="0"/>
                <w:lang w:val="en-AU"/>
              </w:rPr>
            </w:pPr>
            <w:r w:rsidRPr="00AA5CB5">
              <w:rPr>
                <w:b w:val="0"/>
                <w:bCs w:val="0"/>
                <w:lang w:val="en-AU"/>
              </w:rPr>
              <w:t>Australia-wide</w:t>
            </w:r>
            <w:r w:rsidR="004974F5" w:rsidRPr="00AA5CB5">
              <w:rPr>
                <w:b w:val="0"/>
                <w:bCs w:val="0"/>
                <w:lang w:val="en-AU"/>
              </w:rPr>
              <w:t xml:space="preserve"> (median)</w:t>
            </w:r>
          </w:p>
        </w:tc>
        <w:tc>
          <w:tcPr>
            <w:tcW w:w="0" w:type="dxa"/>
          </w:tcPr>
          <w:p w14:paraId="63F0ED6C" w14:textId="5E2851CB" w:rsidR="00765A5B" w:rsidRPr="00AA5CB5" w:rsidRDefault="00765A5B">
            <w:pPr>
              <w:pStyle w:val="BodyText1"/>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 34.1</w:t>
            </w:r>
          </w:p>
        </w:tc>
      </w:tr>
    </w:tbl>
    <w:p w14:paraId="5A28F824" w14:textId="5578F3FC" w:rsidR="00047F89" w:rsidRPr="00AA5CB5" w:rsidRDefault="00047F89">
      <w:pPr>
        <w:pStyle w:val="Notebullets1"/>
        <w:numPr>
          <w:ilvl w:val="0"/>
          <w:numId w:val="0"/>
        </w:numPr>
        <w:contextualSpacing/>
      </w:pPr>
      <w:r w:rsidRPr="00AA5CB5">
        <w:t xml:space="preserve">Source: </w:t>
      </w:r>
      <w:r w:rsidR="0090151C" w:rsidRPr="00AA5CB5">
        <w:t>Ricaurte E and</w:t>
      </w:r>
      <w:r w:rsidR="000B584C" w:rsidRPr="00AA5CB5">
        <w:t xml:space="preserve"> Jagarajan R</w:t>
      </w:r>
      <w:r w:rsidR="0090151C" w:rsidRPr="00AA5CB5">
        <w:t xml:space="preserve"> </w:t>
      </w:r>
      <w:r w:rsidRPr="00AA5CB5">
        <w:rPr>
          <w:rFonts w:cstheme="minorHAnsi"/>
        </w:rPr>
        <w:t>(2024</w:t>
      </w:r>
      <w:r w:rsidRPr="00AA5CB5">
        <w:rPr>
          <w:rFonts w:cstheme="minorHAnsi"/>
          <w:i/>
          <w:iCs/>
        </w:rPr>
        <w:t>)</w:t>
      </w:r>
      <w:r w:rsidRPr="00AA5CB5">
        <w:rPr>
          <w:i/>
          <w:iCs/>
        </w:rPr>
        <w:t xml:space="preserve"> </w:t>
      </w:r>
      <w:r w:rsidR="003A0A7D" w:rsidRPr="00AA5CB5">
        <w:rPr>
          <w:rStyle w:val="Hyperlink1"/>
          <w:i/>
          <w:iCs/>
          <w:sz w:val="20"/>
          <w:szCs w:val="24"/>
        </w:rPr>
        <w:t xml:space="preserve">Hotel </w:t>
      </w:r>
      <w:r w:rsidR="00CE4C7B" w:rsidRPr="00AA5CB5">
        <w:rPr>
          <w:rStyle w:val="Hyperlink1"/>
          <w:i/>
          <w:iCs/>
          <w:sz w:val="20"/>
          <w:szCs w:val="24"/>
        </w:rPr>
        <w:t xml:space="preserve">sustainability Benchmarking Index 2024 </w:t>
      </w:r>
      <w:r w:rsidRPr="00AA5CB5">
        <w:t xml:space="preserve">[data set], </w:t>
      </w:r>
      <w:r w:rsidR="007C4202" w:rsidRPr="00AA5CB5">
        <w:t>Cornell University</w:t>
      </w:r>
      <w:r w:rsidR="004D285D" w:rsidRPr="00AA5CB5">
        <w:t xml:space="preserve"> Library website</w:t>
      </w:r>
      <w:r w:rsidRPr="00AA5CB5">
        <w:t xml:space="preserve">, accessed </w:t>
      </w:r>
      <w:r w:rsidR="00CE4C7B" w:rsidRPr="00AA5CB5">
        <w:t>21 February 2</w:t>
      </w:r>
      <w:r w:rsidRPr="00AA5CB5">
        <w:t>025.</w:t>
      </w:r>
    </w:p>
    <w:p w14:paraId="71272795" w14:textId="0878EC2D" w:rsidR="005017F7" w:rsidRPr="00AA5CB5" w:rsidRDefault="00BD7FA8" w:rsidP="00BD7FA8">
      <w:pPr>
        <w:pStyle w:val="Heading2"/>
      </w:pPr>
      <w:bookmarkStart w:id="202" w:name="_Toc201927372"/>
      <w:r w:rsidRPr="00AA5CB5">
        <w:t>Other Energy</w:t>
      </w:r>
      <w:bookmarkEnd w:id="202"/>
    </w:p>
    <w:p w14:paraId="08215205" w14:textId="5BF37A4B" w:rsidR="00BB6CED" w:rsidRPr="00AA5CB5" w:rsidRDefault="00BB6CED" w:rsidP="00BB6CED">
      <w:pPr>
        <w:pStyle w:val="BodyText1"/>
      </w:pPr>
      <w:bookmarkStart w:id="203" w:name="_Ref198137752"/>
      <w:bookmarkStart w:id="204" w:name="_Toc197438647"/>
      <w:bookmarkStart w:id="205" w:name="_Toc197438665"/>
      <w:bookmarkStart w:id="206" w:name="_Toc152749905"/>
      <w:bookmarkStart w:id="207" w:name="_Toc197438648"/>
      <w:bookmarkStart w:id="208" w:name="_Toc197438666"/>
      <w:bookmarkStart w:id="209" w:name="_Ref198137628"/>
      <w:r w:rsidRPr="00AA5CB5">
        <w:t>When an emission factor is given as kg CO</w:t>
      </w:r>
      <w:r w:rsidRPr="00AA5CB5">
        <w:rPr>
          <w:vertAlign w:val="subscript"/>
        </w:rPr>
        <w:t>2</w:t>
      </w:r>
      <w:r w:rsidRPr="00AA5CB5">
        <w:t xml:space="preserve">-e /GJ but the activity data is not in GJ, then an energy content factor is also included in the calculation. The energy content factor is the amount of energy contained in fuel, measured in gross calorific value. </w:t>
      </w:r>
    </w:p>
    <w:p w14:paraId="01543401" w14:textId="7A4A1CCD" w:rsidR="00BB6CED" w:rsidRPr="00AA5CB5" w:rsidRDefault="00B0129F" w:rsidP="00BB6CED">
      <w:pPr>
        <w:pStyle w:val="BodyText1"/>
        <w:shd w:val="clear" w:color="auto" w:fill="E8F0FE" w:themeFill="accent5" w:themeFillTint="33"/>
      </w:pPr>
      <m:oMathPara>
        <m:oMath>
          <m:r>
            <m:rPr>
              <m:sty m:val="p"/>
            </m:rPr>
            <w:rPr>
              <w:rFonts w:ascii="Cambria Math" w:hAnsi="Cambria Math"/>
            </w:rPr>
            <m:t xml:space="preserve">t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nor/>
            </m:rPr>
            <m:t>-</m:t>
          </m:r>
          <m:r>
            <m:rPr>
              <m:sty m:val="p"/>
            </m:rPr>
            <w:rPr>
              <w:rFonts w:ascii="Cambria Math" w:hAnsi="Cambria Math"/>
            </w:rPr>
            <m:t>e=</m:t>
          </m:r>
          <m:f>
            <m:fPr>
              <m:ctrlPr>
                <w:rPr>
                  <w:rFonts w:ascii="Cambria Math" w:hAnsi="Cambria Math"/>
                </w:rPr>
              </m:ctrlPr>
            </m:fPr>
            <m:num>
              <m:r>
                <m:rPr>
                  <m:sty m:val="p"/>
                </m:rPr>
                <w:rPr>
                  <w:rFonts w:ascii="Cambria Math" w:hAnsi="Cambria Math"/>
                </w:rPr>
                <m:t>Q× EC×EF</m:t>
              </m:r>
            </m:num>
            <m:den>
              <m:r>
                <m:rPr>
                  <m:sty m:val="p"/>
                </m:rPr>
                <w:rPr>
                  <w:rFonts w:ascii="Cambria Math" w:hAnsi="Cambria Math"/>
                </w:rPr>
                <m:t>1000</m:t>
              </m:r>
            </m:den>
          </m:f>
          <m:r>
            <m:rPr>
              <m:sty m:val="p"/>
            </m:rPr>
            <w:rPr>
              <w:rFonts w:ascii="Cambria Math" w:hAnsi="Cambria Math"/>
            </w:rPr>
            <m:t xml:space="preserve"> </m:t>
          </m:r>
        </m:oMath>
      </m:oMathPara>
    </w:p>
    <w:p w14:paraId="165BC7F5" w14:textId="77777777" w:rsidR="00BB6CED" w:rsidRPr="00AA5CB5" w:rsidRDefault="00BB6CED" w:rsidP="00BB6CED">
      <w:pPr>
        <w:pStyle w:val="BodyText1"/>
        <w:shd w:val="clear" w:color="auto" w:fill="E8F0FE" w:themeFill="accent5" w:themeFillTint="33"/>
      </w:pPr>
      <w:r w:rsidRPr="00AA5CB5">
        <w:t>Where:</w:t>
      </w:r>
    </w:p>
    <w:p w14:paraId="5A12C151" w14:textId="5C7EBD2B" w:rsidR="00BB6CED" w:rsidRPr="00AA5CB5" w:rsidRDefault="00B0129F" w:rsidP="00BB6CED">
      <w:pPr>
        <w:pStyle w:val="Bodybullet1"/>
        <w:shd w:val="clear" w:color="auto" w:fill="E8F0FE" w:themeFill="accent5" w:themeFillTint="33"/>
      </w:pPr>
      <m:oMath>
        <m:r>
          <m:rPr>
            <m:sty m:val="b"/>
          </m:rPr>
          <w:rPr>
            <w:rFonts w:ascii="Cambria Math" w:hAnsi="Cambria Math"/>
          </w:rPr>
          <m:t xml:space="preserve">t </m:t>
        </m:r>
        <m:sSub>
          <m:sSubPr>
            <m:ctrlPr>
              <w:rPr>
                <w:rFonts w:ascii="Cambria Math" w:hAnsi="Cambria Math"/>
                <w:b/>
                <w:bCs/>
              </w:rPr>
            </m:ctrlPr>
          </m:sSubPr>
          <m:e>
            <m:r>
              <m:rPr>
                <m:sty m:val="b"/>
              </m:rPr>
              <w:rPr>
                <w:rFonts w:ascii="Cambria Math" w:hAnsi="Cambria Math"/>
              </w:rPr>
              <m:t>CO</m:t>
            </m:r>
          </m:e>
          <m:sub>
            <m:r>
              <m:rPr>
                <m:sty m:val="b"/>
              </m:rPr>
              <w:rPr>
                <w:rFonts w:ascii="Cambria Math" w:hAnsi="Cambria Math"/>
              </w:rPr>
              <m:t>2</m:t>
            </m:r>
          </m:sub>
        </m:sSub>
        <m:r>
          <m:rPr>
            <m:nor/>
          </m:rPr>
          <w:rPr>
            <w:b/>
            <w:bCs/>
          </w:rPr>
          <m:t>-</m:t>
        </m:r>
        <m:r>
          <m:rPr>
            <m:sty m:val="b"/>
          </m:rPr>
          <w:rPr>
            <w:rFonts w:ascii="Cambria Math" w:hAnsi="Cambria Math"/>
          </w:rPr>
          <m:t>e</m:t>
        </m:r>
      </m:oMath>
      <w:r w:rsidR="00BB6CED" w:rsidRPr="00AA5CB5">
        <w:t xml:space="preserve"> are the </w:t>
      </w:r>
      <w:r w:rsidR="00E90152">
        <w:t>GHG</w:t>
      </w:r>
      <w:r w:rsidR="00BB6CED" w:rsidRPr="00AA5CB5">
        <w:t xml:space="preserve"> emissions, in tonnes carbon dioxide equivalent </w:t>
      </w:r>
    </w:p>
    <w:p w14:paraId="1C8F386D" w14:textId="621E99CB" w:rsidR="00BB6CED" w:rsidRPr="00AA5CB5" w:rsidRDefault="00B0129F" w:rsidP="00BB6CED">
      <w:pPr>
        <w:pStyle w:val="Bodybullet1"/>
        <w:shd w:val="clear" w:color="auto" w:fill="E8F0FE" w:themeFill="accent5" w:themeFillTint="33"/>
      </w:pPr>
      <m:oMath>
        <m:r>
          <m:rPr>
            <m:sty m:val="b"/>
          </m:rPr>
          <w:rPr>
            <w:rFonts w:ascii="Cambria Math" w:hAnsi="Cambria Math"/>
          </w:rPr>
          <m:t>Q</m:t>
        </m:r>
      </m:oMath>
      <w:r w:rsidR="00BB6CED" w:rsidRPr="00AA5CB5">
        <w:t xml:space="preserve"> is the activity data, in units other than gigajoules</w:t>
      </w:r>
      <w:r w:rsidR="000D0391">
        <w:t xml:space="preserve"> (GJ), </w:t>
      </w:r>
      <w:r w:rsidR="00205668" w:rsidRPr="00AA5CB5">
        <w:t>for example</w:t>
      </w:r>
      <w:r w:rsidR="00BB6CED" w:rsidRPr="00AA5CB5">
        <w:t xml:space="preserve">, </w:t>
      </w:r>
      <w:r w:rsidR="000D0391">
        <w:t>kilolitres (</w:t>
      </w:r>
      <w:r w:rsidR="00BB6CED" w:rsidRPr="00AA5CB5">
        <w:t>kL</w:t>
      </w:r>
      <w:r w:rsidR="000D0391">
        <w:t>)</w:t>
      </w:r>
      <w:r w:rsidR="008B6B64" w:rsidRPr="00AA5CB5">
        <w:t xml:space="preserve"> or</w:t>
      </w:r>
      <w:r w:rsidR="000D0391">
        <w:t xml:space="preserve"> cubic metres (</w:t>
      </w:r>
      <w:r w:rsidR="008B6B64" w:rsidRPr="00AA5CB5">
        <w:t>m</w:t>
      </w:r>
      <w:r w:rsidR="008B6B64" w:rsidRPr="00AA5CB5">
        <w:rPr>
          <w:vertAlign w:val="superscript"/>
        </w:rPr>
        <w:t>3</w:t>
      </w:r>
      <w:r w:rsidR="00BB6CED" w:rsidRPr="00AA5CB5">
        <w:t>)</w:t>
      </w:r>
    </w:p>
    <w:p w14:paraId="3D747049" w14:textId="32D8B66A" w:rsidR="00BB6CED" w:rsidRPr="00AA5CB5" w:rsidRDefault="00B0129F" w:rsidP="00BB6CED">
      <w:pPr>
        <w:pStyle w:val="Bodybullet1"/>
        <w:shd w:val="clear" w:color="auto" w:fill="E8F0FE" w:themeFill="accent5" w:themeFillTint="33"/>
      </w:pPr>
      <m:oMath>
        <m:r>
          <m:rPr>
            <m:sty m:val="b"/>
          </m:rPr>
          <w:rPr>
            <w:rFonts w:ascii="Cambria Math" w:hAnsi="Cambria Math"/>
          </w:rPr>
          <m:t>EC</m:t>
        </m:r>
      </m:oMath>
      <w:r w:rsidR="00BB6CED" w:rsidRPr="00AA5CB5">
        <w:t xml:space="preserve"> is the energy content factor of the fuel</w:t>
      </w:r>
      <w:r w:rsidR="000D0391">
        <w:t xml:space="preserve">, </w:t>
      </w:r>
      <w:r w:rsidR="00F5317A" w:rsidRPr="00AA5CB5">
        <w:t xml:space="preserve">for example, </w:t>
      </w:r>
      <w:r w:rsidR="00BB6CED" w:rsidRPr="00AA5CB5">
        <w:t>GJ/kL</w:t>
      </w:r>
      <w:r w:rsidR="000D0391">
        <w:t xml:space="preserve">, as per </w:t>
      </w:r>
      <w:r w:rsidR="000D0391">
        <w:fldChar w:fldCharType="begin"/>
      </w:r>
      <w:r w:rsidR="000D0391">
        <w:instrText xml:space="preserve"> REF _Ref199872176 \h </w:instrText>
      </w:r>
      <w:r w:rsidR="000D0391">
        <w:fldChar w:fldCharType="separate"/>
      </w:r>
      <w:r w:rsidR="00422A37" w:rsidRPr="00AA5CB5">
        <w:t xml:space="preserve">Table </w:t>
      </w:r>
      <w:r w:rsidR="00422A37">
        <w:rPr>
          <w:noProof/>
        </w:rPr>
        <w:t>24</w:t>
      </w:r>
      <w:r w:rsidR="000D0391">
        <w:fldChar w:fldCharType="end"/>
      </w:r>
      <w:r w:rsidR="000D0391">
        <w:t xml:space="preserve"> to </w:t>
      </w:r>
      <w:r w:rsidR="000D0391">
        <w:fldChar w:fldCharType="begin"/>
      </w:r>
      <w:r w:rsidR="000D0391">
        <w:instrText xml:space="preserve"> REF _Ref199872185 \h </w:instrText>
      </w:r>
      <w:r w:rsidR="000D0391">
        <w:fldChar w:fldCharType="separate"/>
      </w:r>
      <w:r w:rsidR="00422A37" w:rsidRPr="00AA5CB5">
        <w:t xml:space="preserve">Table </w:t>
      </w:r>
      <w:r w:rsidR="00422A37">
        <w:rPr>
          <w:noProof/>
        </w:rPr>
        <w:t>27</w:t>
      </w:r>
      <w:r w:rsidR="000D0391">
        <w:fldChar w:fldCharType="end"/>
      </w:r>
      <w:r w:rsidR="008B6B64" w:rsidRPr="00AA5CB5">
        <w:t xml:space="preserve"> </w:t>
      </w:r>
    </w:p>
    <w:p w14:paraId="37046D52" w14:textId="5D9DB895" w:rsidR="00BB6CED" w:rsidRPr="00AA5CB5" w:rsidRDefault="00B0129F" w:rsidP="00BB6CED">
      <w:pPr>
        <w:pStyle w:val="Bodybullet1"/>
        <w:shd w:val="clear" w:color="auto" w:fill="E8F0FE" w:themeFill="accent5" w:themeFillTint="33"/>
      </w:pPr>
      <m:oMath>
        <m:r>
          <m:rPr>
            <m:sty m:val="b"/>
          </m:rPr>
          <w:rPr>
            <w:rFonts w:ascii="Cambria Math" w:hAnsi="Cambria Math"/>
          </w:rPr>
          <m:t>EF</m:t>
        </m:r>
      </m:oMath>
      <w:r w:rsidR="00BB6CED" w:rsidRPr="00AA5CB5">
        <w:t xml:space="preserve"> is the source specific emissions factor, in kg CO</w:t>
      </w:r>
      <w:r w:rsidR="00BB6CED" w:rsidRPr="00AA5CB5">
        <w:rPr>
          <w:vertAlign w:val="subscript"/>
        </w:rPr>
        <w:t>2</w:t>
      </w:r>
      <w:r w:rsidR="00BB6CED" w:rsidRPr="00AA5CB5">
        <w:t>-e per GJ</w:t>
      </w:r>
      <w:r w:rsidR="000D0391">
        <w:t xml:space="preserve">, as per </w:t>
      </w:r>
      <w:r w:rsidR="000D0391">
        <w:fldChar w:fldCharType="begin"/>
      </w:r>
      <w:r w:rsidR="000D0391">
        <w:instrText xml:space="preserve"> REF _Ref199872176 \h </w:instrText>
      </w:r>
      <w:r w:rsidR="000D0391">
        <w:fldChar w:fldCharType="separate"/>
      </w:r>
      <w:r w:rsidR="00422A37" w:rsidRPr="00AA5CB5">
        <w:t xml:space="preserve">Table </w:t>
      </w:r>
      <w:r w:rsidR="00422A37">
        <w:rPr>
          <w:noProof/>
        </w:rPr>
        <w:t>24</w:t>
      </w:r>
      <w:r w:rsidR="000D0391">
        <w:fldChar w:fldCharType="end"/>
      </w:r>
      <w:r w:rsidR="000D0391">
        <w:t xml:space="preserve"> to </w:t>
      </w:r>
      <w:r w:rsidR="000D0391">
        <w:fldChar w:fldCharType="begin"/>
      </w:r>
      <w:r w:rsidR="000D0391">
        <w:instrText xml:space="preserve"> REF _Ref199872185 \h </w:instrText>
      </w:r>
      <w:r w:rsidR="000D0391">
        <w:fldChar w:fldCharType="separate"/>
      </w:r>
      <w:r w:rsidR="00422A37" w:rsidRPr="00AA5CB5">
        <w:t xml:space="preserve">Table </w:t>
      </w:r>
      <w:r w:rsidR="00422A37">
        <w:rPr>
          <w:noProof/>
        </w:rPr>
        <w:t>27</w:t>
      </w:r>
      <w:r w:rsidR="000D0391">
        <w:fldChar w:fldCharType="end"/>
      </w:r>
      <w:r w:rsidR="00BB6CED" w:rsidRPr="00AA5CB5">
        <w:t xml:space="preserve"> </w:t>
      </w:r>
    </w:p>
    <w:p w14:paraId="79769221" w14:textId="77777777" w:rsidR="00BB6CED" w:rsidRPr="00AA5CB5" w:rsidRDefault="00BB6CED" w:rsidP="00BB6CED">
      <w:pPr>
        <w:pStyle w:val="Bodybullet1"/>
        <w:numPr>
          <w:ilvl w:val="0"/>
          <w:numId w:val="0"/>
        </w:numPr>
        <w:shd w:val="clear" w:color="auto" w:fill="E8F0FE" w:themeFill="accent5" w:themeFillTint="33"/>
      </w:pPr>
      <w:r w:rsidRPr="00AA5CB5">
        <w:lastRenderedPageBreak/>
        <w:t>To convert from kilograms (kg) to tonnes (t), divide by 1000. Conversely, to convert from t to kg, multiply by 1000.</w:t>
      </w:r>
    </w:p>
    <w:p w14:paraId="400E8253" w14:textId="77558193" w:rsidR="006A5A25" w:rsidRPr="00AA5CB5" w:rsidRDefault="006A5A25" w:rsidP="006A5A25">
      <w:pPr>
        <w:pStyle w:val="Caption"/>
      </w:pPr>
      <w:bookmarkStart w:id="210" w:name="_Ref199872176"/>
      <w:bookmarkStart w:id="211" w:name="_Toc201927397"/>
      <w:r w:rsidRPr="00AA5CB5">
        <w:t xml:space="preserve">Table </w:t>
      </w:r>
      <w:r w:rsidRPr="00AA5CB5">
        <w:fldChar w:fldCharType="begin"/>
      </w:r>
      <w:r w:rsidRPr="00AA5CB5">
        <w:instrText xml:space="preserve"> SEQ Table \* ARABIC </w:instrText>
      </w:r>
      <w:r w:rsidRPr="00AA5CB5">
        <w:fldChar w:fldCharType="separate"/>
      </w:r>
      <w:r w:rsidR="00422A37">
        <w:rPr>
          <w:noProof/>
        </w:rPr>
        <w:t>24</w:t>
      </w:r>
      <w:r w:rsidRPr="00AA5CB5">
        <w:fldChar w:fldCharType="end"/>
      </w:r>
      <w:bookmarkEnd w:id="203"/>
      <w:bookmarkEnd w:id="210"/>
      <w:r w:rsidR="00744A9C">
        <w:t>:</w:t>
      </w:r>
      <w:r w:rsidRPr="00AA5CB5">
        <w:t xml:space="preserve"> Stationary combustion - </w:t>
      </w:r>
      <w:r w:rsidR="006A48BE">
        <w:t>e</w:t>
      </w:r>
      <w:r w:rsidRPr="00AA5CB5">
        <w:t xml:space="preserve">mission </w:t>
      </w:r>
      <w:r w:rsidR="00FD7877" w:rsidRPr="00AA5CB5">
        <w:t>f</w:t>
      </w:r>
      <w:r w:rsidRPr="00AA5CB5">
        <w:t xml:space="preserve">actors of </w:t>
      </w:r>
      <w:r w:rsidR="00FD7877" w:rsidRPr="00AA5CB5">
        <w:t>g</w:t>
      </w:r>
      <w:r w:rsidRPr="00AA5CB5">
        <w:t xml:space="preserve">aseous </w:t>
      </w:r>
      <w:r w:rsidR="00FD7877" w:rsidRPr="00AA5CB5">
        <w:t>f</w:t>
      </w:r>
      <w:r w:rsidRPr="00AA5CB5">
        <w:t>uels</w:t>
      </w:r>
      <w:bookmarkEnd w:id="204"/>
      <w:bookmarkEnd w:id="205"/>
      <w:bookmarkEnd w:id="211"/>
      <w:r w:rsidRPr="00AA5CB5">
        <w:t xml:space="preserve"> </w:t>
      </w:r>
    </w:p>
    <w:tbl>
      <w:tblPr>
        <w:tblStyle w:val="ListTable4-Accent6"/>
        <w:tblW w:w="5000" w:type="pct"/>
        <w:tblInd w:w="0" w:type="dxa"/>
        <w:tblLook w:val="06A0" w:firstRow="1" w:lastRow="0" w:firstColumn="1" w:lastColumn="0" w:noHBand="1" w:noVBand="1"/>
      </w:tblPr>
      <w:tblGrid>
        <w:gridCol w:w="1881"/>
        <w:gridCol w:w="1881"/>
        <w:gridCol w:w="1880"/>
        <w:gridCol w:w="1880"/>
        <w:gridCol w:w="1880"/>
      </w:tblGrid>
      <w:tr w:rsidR="0020144B" w:rsidRPr="00AA5CB5" w14:paraId="7AB3A124" w14:textId="77777777" w:rsidTr="00F21E22">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00" w:type="pct"/>
            <w:hideMark/>
          </w:tcPr>
          <w:p w14:paraId="07AA74C9" w14:textId="26F03A96" w:rsidR="00F21E22" w:rsidRPr="00AA5CB5" w:rsidRDefault="00F21E22" w:rsidP="00F21E22">
            <w:pPr>
              <w:pStyle w:val="Tableheading"/>
              <w:rPr>
                <w:rFonts w:eastAsiaTheme="minorHAnsi"/>
                <w:b/>
                <w:bCs w:val="0"/>
                <w:lang w:val="en-AU"/>
              </w:rPr>
            </w:pPr>
            <w:r w:rsidRPr="00AA5CB5">
              <w:rPr>
                <w:rFonts w:eastAsiaTheme="minorHAnsi"/>
                <w:b/>
                <w:bCs w:val="0"/>
                <w:lang w:val="en-AU"/>
              </w:rPr>
              <w:t xml:space="preserve">Fuel </w:t>
            </w:r>
          </w:p>
        </w:tc>
        <w:tc>
          <w:tcPr>
            <w:tcW w:w="1000" w:type="pct"/>
          </w:tcPr>
          <w:p w14:paraId="57EA83E9" w14:textId="0FC8CCCE" w:rsidR="00F21E22" w:rsidRPr="00AA5CB5" w:rsidRDefault="00F21E22" w:rsidP="00F21E22">
            <w:pPr>
              <w:pStyle w:val="Tableheading"/>
              <w:cnfStyle w:val="100000000000" w:firstRow="1" w:lastRow="0" w:firstColumn="0" w:lastColumn="0" w:oddVBand="0" w:evenVBand="0" w:oddHBand="0" w:evenHBand="0" w:firstRowFirstColumn="0" w:firstRowLastColumn="0" w:lastRowFirstColumn="0" w:lastRowLastColumn="0"/>
              <w:rPr>
                <w:b/>
                <w:highlight w:val="yellow"/>
                <w:lang w:val="en-AU"/>
              </w:rPr>
            </w:pPr>
            <w:r w:rsidRPr="00AA5CB5">
              <w:rPr>
                <w:b/>
                <w:lang w:val="en-AU"/>
              </w:rPr>
              <w:t>Activity data unit</w:t>
            </w:r>
          </w:p>
        </w:tc>
        <w:tc>
          <w:tcPr>
            <w:tcW w:w="1000" w:type="pct"/>
          </w:tcPr>
          <w:p w14:paraId="4BDC8234" w14:textId="77777777" w:rsidR="00F21E22" w:rsidRPr="00AA5CB5" w:rsidRDefault="00F21E22" w:rsidP="00F21E22">
            <w:pPr>
              <w:pStyle w:val="Tableheading"/>
              <w:cnfStyle w:val="100000000000" w:firstRow="1" w:lastRow="0" w:firstColumn="0" w:lastColumn="0" w:oddVBand="0" w:evenVBand="0" w:oddHBand="0" w:evenHBand="0" w:firstRowFirstColumn="0" w:firstRowLastColumn="0" w:lastRowFirstColumn="0" w:lastRowLastColumn="0"/>
              <w:rPr>
                <w:bCs w:val="0"/>
                <w:lang w:val="en-AU"/>
              </w:rPr>
            </w:pPr>
            <w:r w:rsidRPr="00AA5CB5">
              <w:rPr>
                <w:b/>
                <w:lang w:val="en-AU"/>
              </w:rPr>
              <w:t>Energy content factor (EC)</w:t>
            </w:r>
          </w:p>
          <w:p w14:paraId="6D9DF954" w14:textId="657BEA7E" w:rsidR="00F21E22" w:rsidRPr="00AA5CB5" w:rsidRDefault="00F21E22" w:rsidP="00F21E22">
            <w:pPr>
              <w:pStyle w:val="Tableheading"/>
              <w:cnfStyle w:val="100000000000" w:firstRow="1" w:lastRow="0" w:firstColumn="0" w:lastColumn="0" w:oddVBand="0" w:evenVBand="0" w:oddHBand="0" w:evenHBand="0" w:firstRowFirstColumn="0" w:firstRowLastColumn="0" w:lastRowFirstColumn="0" w:lastRowLastColumn="0"/>
              <w:rPr>
                <w:b/>
                <w:highlight w:val="yellow"/>
                <w:lang w:val="en-AU"/>
              </w:rPr>
            </w:pPr>
            <w:r w:rsidRPr="00AA5CB5">
              <w:rPr>
                <w:b/>
                <w:lang w:val="en-AU"/>
              </w:rPr>
              <w:t xml:space="preserve">GJ per unit </w:t>
            </w:r>
          </w:p>
        </w:tc>
        <w:tc>
          <w:tcPr>
            <w:tcW w:w="1000" w:type="pct"/>
            <w:hideMark/>
          </w:tcPr>
          <w:p w14:paraId="314EF333" w14:textId="77777777" w:rsidR="00F21E22" w:rsidRPr="00AA5CB5" w:rsidRDefault="00F21E22" w:rsidP="00F21E22">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1 emission factor</w:t>
            </w:r>
          </w:p>
          <w:p w14:paraId="3CD4BD80" w14:textId="77777777" w:rsidR="00F21E22" w:rsidRPr="00AA5CB5" w:rsidRDefault="00F21E22" w:rsidP="00F21E22">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c>
          <w:tcPr>
            <w:tcW w:w="1000" w:type="pct"/>
            <w:hideMark/>
          </w:tcPr>
          <w:p w14:paraId="4876A666" w14:textId="77777777" w:rsidR="00F21E22" w:rsidRPr="00AA5CB5" w:rsidRDefault="00F21E22" w:rsidP="00F21E22">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 xml:space="preserve">Net scope 3 supply chain emission factor </w:t>
            </w:r>
          </w:p>
          <w:p w14:paraId="0ADA7B2A" w14:textId="77777777" w:rsidR="00F21E22" w:rsidRPr="00AA5CB5" w:rsidRDefault="00F21E22" w:rsidP="00F21E22">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r>
      <w:tr w:rsidR="000C4F6A" w:rsidRPr="00AA5CB5" w14:paraId="506B46F9" w14:textId="77777777" w:rsidTr="00F21E22">
        <w:trPr>
          <w:trHeight w:val="270"/>
        </w:trPr>
        <w:tc>
          <w:tcPr>
            <w:cnfStyle w:val="001000000000" w:firstRow="0" w:lastRow="0" w:firstColumn="1" w:lastColumn="0" w:oddVBand="0" w:evenVBand="0" w:oddHBand="0" w:evenHBand="0" w:firstRowFirstColumn="0" w:firstRowLastColumn="0" w:lastRowFirstColumn="0" w:lastRowLastColumn="0"/>
            <w:tcW w:w="1000" w:type="pct"/>
            <w:hideMark/>
          </w:tcPr>
          <w:p w14:paraId="5839ECB2" w14:textId="50AE1E09" w:rsidR="000C4F6A" w:rsidRPr="00AA5CB5" w:rsidRDefault="000C4F6A" w:rsidP="000C4F6A">
            <w:pPr>
              <w:pStyle w:val="Tablebodytext"/>
              <w:rPr>
                <w:b w:val="0"/>
                <w:color w:val="auto"/>
                <w:lang w:val="en-AU"/>
              </w:rPr>
            </w:pPr>
            <w:r w:rsidRPr="00AA5CB5">
              <w:rPr>
                <w:b w:val="0"/>
                <w:color w:val="auto"/>
                <w:lang w:val="en-AU"/>
              </w:rPr>
              <w:t xml:space="preserve">A biogas that is captured for combustion, other than those </w:t>
            </w:r>
            <w:r w:rsidR="000E7F6B" w:rsidRPr="00AA5CB5">
              <w:rPr>
                <w:b w:val="0"/>
                <w:color w:val="auto"/>
                <w:lang w:val="en-AU"/>
              </w:rPr>
              <w:t>listed</w:t>
            </w:r>
            <w:r w:rsidRPr="00AA5CB5">
              <w:rPr>
                <w:b w:val="0"/>
                <w:color w:val="auto"/>
                <w:lang w:val="en-AU"/>
              </w:rPr>
              <w:t xml:space="preserve"> </w:t>
            </w:r>
          </w:p>
        </w:tc>
        <w:tc>
          <w:tcPr>
            <w:tcW w:w="1000" w:type="pct"/>
          </w:tcPr>
          <w:p w14:paraId="324510DC" w14:textId="327C9912"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color w:val="auto"/>
                <w:lang w:val="en-AU"/>
              </w:rPr>
            </w:pPr>
            <w:r w:rsidRPr="00AA5CB5">
              <w:rPr>
                <w:lang w:val="en-AU"/>
              </w:rPr>
              <w:t>Cubic metres (m</w:t>
            </w:r>
            <w:r w:rsidRPr="00AA5CB5">
              <w:rPr>
                <w:vertAlign w:val="superscript"/>
                <w:lang w:val="en-AU"/>
              </w:rPr>
              <w:t>3</w:t>
            </w:r>
            <w:r w:rsidRPr="00AA5CB5">
              <w:rPr>
                <w:color w:val="auto"/>
                <w:lang w:val="en-AU"/>
              </w:rPr>
              <w:t>)</w:t>
            </w:r>
          </w:p>
        </w:tc>
        <w:tc>
          <w:tcPr>
            <w:tcW w:w="1000" w:type="pct"/>
          </w:tcPr>
          <w:p w14:paraId="2642C55C" w14:textId="2D081DBE" w:rsidR="000C4F6A" w:rsidRPr="00AA5CB5" w:rsidRDefault="00FD5560" w:rsidP="000C4F6A">
            <w:pPr>
              <w:pStyle w:val="Tablebodytext"/>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0.037</w:t>
            </w:r>
          </w:p>
        </w:tc>
        <w:tc>
          <w:tcPr>
            <w:tcW w:w="1000" w:type="pct"/>
            <w:hideMark/>
          </w:tcPr>
          <w:p w14:paraId="413A4400" w14:textId="77777777"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color w:val="auto"/>
                <w:lang w:val="en-AU"/>
              </w:rPr>
            </w:pPr>
            <w:r w:rsidRPr="00AA5CB5">
              <w:rPr>
                <w:color w:val="auto"/>
                <w:lang w:val="en-AU"/>
              </w:rPr>
              <w:t>6.43 </w:t>
            </w:r>
          </w:p>
        </w:tc>
        <w:tc>
          <w:tcPr>
            <w:tcW w:w="1000" w:type="pct"/>
            <w:hideMark/>
          </w:tcPr>
          <w:p w14:paraId="734F9DF2" w14:textId="7DDC6CC8"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color w:val="auto"/>
                <w:lang w:val="en-AU"/>
              </w:rPr>
            </w:pPr>
            <w:r w:rsidRPr="00AA5CB5">
              <w:rPr>
                <w:rFonts w:eastAsiaTheme="minorHAnsi"/>
                <w:lang w:val="en-AU"/>
              </w:rPr>
              <w:t>Not available</w:t>
            </w:r>
          </w:p>
        </w:tc>
      </w:tr>
      <w:tr w:rsidR="000C4F6A" w:rsidRPr="00AA5CB5" w14:paraId="5A7CAA35" w14:textId="77777777" w:rsidTr="00F21E22">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3E8E9440" w14:textId="77777777" w:rsidR="000C4F6A" w:rsidRPr="00AA5CB5" w:rsidRDefault="000C4F6A" w:rsidP="000C4F6A">
            <w:pPr>
              <w:pStyle w:val="Tablebodytext"/>
              <w:rPr>
                <w:b w:val="0"/>
                <w:bCs w:val="0"/>
                <w:lang w:val="en-AU"/>
              </w:rPr>
            </w:pPr>
            <w:r w:rsidRPr="00AA5CB5">
              <w:rPr>
                <w:b w:val="0"/>
                <w:bCs w:val="0"/>
                <w:lang w:val="en-AU"/>
              </w:rPr>
              <w:t>Biomethane </w:t>
            </w:r>
          </w:p>
        </w:tc>
        <w:tc>
          <w:tcPr>
            <w:tcW w:w="1000" w:type="pct"/>
          </w:tcPr>
          <w:p w14:paraId="28AFF77D" w14:textId="2A16AADF"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Cubic metres (m</w:t>
            </w:r>
            <w:r w:rsidRPr="00AA5CB5">
              <w:rPr>
                <w:vertAlign w:val="superscript"/>
                <w:lang w:val="en-AU"/>
              </w:rPr>
              <w:t>3</w:t>
            </w:r>
            <w:r w:rsidRPr="00AA5CB5">
              <w:rPr>
                <w:color w:val="auto"/>
                <w:lang w:val="en-AU"/>
              </w:rPr>
              <w:t>)</w:t>
            </w:r>
          </w:p>
        </w:tc>
        <w:tc>
          <w:tcPr>
            <w:tcW w:w="1000" w:type="pct"/>
          </w:tcPr>
          <w:p w14:paraId="32AA3BA8" w14:textId="41D81849" w:rsidR="000C4F6A" w:rsidRPr="00AA5CB5" w:rsidRDefault="00FD5560"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0.0393</w:t>
            </w:r>
          </w:p>
        </w:tc>
        <w:tc>
          <w:tcPr>
            <w:tcW w:w="1000" w:type="pct"/>
            <w:hideMark/>
          </w:tcPr>
          <w:p w14:paraId="7EDA3443" w14:textId="77777777"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0.13 </w:t>
            </w:r>
          </w:p>
        </w:tc>
        <w:tc>
          <w:tcPr>
            <w:tcW w:w="1000" w:type="pct"/>
            <w:hideMark/>
          </w:tcPr>
          <w:p w14:paraId="1413E674" w14:textId="7CB44A40"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Not available</w:t>
            </w:r>
          </w:p>
        </w:tc>
      </w:tr>
      <w:tr w:rsidR="00F21E22" w:rsidRPr="00AA5CB5" w14:paraId="7FF75D1B" w14:textId="77777777" w:rsidTr="00F21E22">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7B9AAAB0" w14:textId="77777777" w:rsidR="00F21E22" w:rsidRPr="00AA5CB5" w:rsidRDefault="00F21E22" w:rsidP="00F21E22">
            <w:pPr>
              <w:pStyle w:val="Tablebodytext"/>
              <w:rPr>
                <w:b w:val="0"/>
                <w:bCs w:val="0"/>
                <w:lang w:val="en-AU"/>
              </w:rPr>
            </w:pPr>
            <w:r w:rsidRPr="00AA5CB5">
              <w:rPr>
                <w:b w:val="0"/>
                <w:bCs w:val="0"/>
                <w:lang w:val="en-AU"/>
              </w:rPr>
              <w:t>Compressed natural gas (reverting to standard conditions) </w:t>
            </w:r>
          </w:p>
        </w:tc>
        <w:tc>
          <w:tcPr>
            <w:tcW w:w="1000" w:type="pct"/>
          </w:tcPr>
          <w:p w14:paraId="7F5265E8" w14:textId="746D815E" w:rsidR="00F21E22" w:rsidRPr="00AA5CB5" w:rsidRDefault="00F21E22" w:rsidP="00F21E2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Cubic metres (m</w:t>
            </w:r>
            <w:r w:rsidRPr="00AA5CB5">
              <w:rPr>
                <w:vertAlign w:val="superscript"/>
                <w:lang w:val="en-AU"/>
              </w:rPr>
              <w:t>3</w:t>
            </w:r>
            <w:r w:rsidRPr="00AA5CB5">
              <w:rPr>
                <w:color w:val="auto"/>
                <w:lang w:val="en-AU"/>
              </w:rPr>
              <w:t>)</w:t>
            </w:r>
          </w:p>
        </w:tc>
        <w:tc>
          <w:tcPr>
            <w:tcW w:w="1000" w:type="pct"/>
          </w:tcPr>
          <w:p w14:paraId="54E2C833" w14:textId="58252FFB" w:rsidR="00F21E22" w:rsidRPr="00AA5CB5" w:rsidRDefault="003D74E7" w:rsidP="00F21E2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0.0393</w:t>
            </w:r>
          </w:p>
        </w:tc>
        <w:tc>
          <w:tcPr>
            <w:tcW w:w="1000" w:type="pct"/>
            <w:hideMark/>
          </w:tcPr>
          <w:p w14:paraId="7793104E" w14:textId="77777777" w:rsidR="00F21E22" w:rsidRPr="00AA5CB5" w:rsidRDefault="00F21E22" w:rsidP="00F21E2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000" w:type="pct"/>
            <w:hideMark/>
          </w:tcPr>
          <w:p w14:paraId="5FE56F9A" w14:textId="77777777" w:rsidR="00F21E22" w:rsidRPr="00AA5CB5" w:rsidRDefault="00F21E22" w:rsidP="00F21E22">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18.00 </w:t>
            </w:r>
          </w:p>
        </w:tc>
      </w:tr>
      <w:tr w:rsidR="000C4F6A" w:rsidRPr="00AA5CB5" w14:paraId="335F136D" w14:textId="77777777" w:rsidTr="00F21E22">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4FBBBFCE" w14:textId="690B2D4D" w:rsidR="000C4F6A" w:rsidRPr="00AA5CB5" w:rsidRDefault="000C4F6A" w:rsidP="000C4F6A">
            <w:pPr>
              <w:pStyle w:val="Tablebodytext"/>
              <w:rPr>
                <w:b w:val="0"/>
                <w:bCs w:val="0"/>
                <w:lang w:val="en-AU"/>
              </w:rPr>
            </w:pPr>
            <w:r w:rsidRPr="00AA5CB5">
              <w:rPr>
                <w:b w:val="0"/>
                <w:bCs w:val="0"/>
                <w:lang w:val="en-AU"/>
              </w:rPr>
              <w:t xml:space="preserve">Gaseous fossil fuels other than those </w:t>
            </w:r>
            <w:r w:rsidR="000E7F6B" w:rsidRPr="00AA5CB5">
              <w:rPr>
                <w:b w:val="0"/>
                <w:bCs w:val="0"/>
                <w:lang w:val="en-AU"/>
              </w:rPr>
              <w:t>listed</w:t>
            </w:r>
          </w:p>
        </w:tc>
        <w:tc>
          <w:tcPr>
            <w:tcW w:w="1000" w:type="pct"/>
          </w:tcPr>
          <w:p w14:paraId="65A10B6D" w14:textId="78952AA6"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Cubic metres (m</w:t>
            </w:r>
            <w:r w:rsidRPr="00AA5CB5">
              <w:rPr>
                <w:vertAlign w:val="superscript"/>
                <w:lang w:val="en-AU"/>
              </w:rPr>
              <w:t>3</w:t>
            </w:r>
            <w:r w:rsidRPr="00AA5CB5">
              <w:rPr>
                <w:color w:val="auto"/>
                <w:lang w:val="en-AU"/>
              </w:rPr>
              <w:t>)</w:t>
            </w:r>
          </w:p>
        </w:tc>
        <w:tc>
          <w:tcPr>
            <w:tcW w:w="1000" w:type="pct"/>
          </w:tcPr>
          <w:p w14:paraId="0935E429" w14:textId="564B33BD" w:rsidR="000C4F6A" w:rsidRPr="00AA5CB5" w:rsidRDefault="003D74E7"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0.039</w:t>
            </w:r>
          </w:p>
        </w:tc>
        <w:tc>
          <w:tcPr>
            <w:tcW w:w="1000" w:type="pct"/>
            <w:hideMark/>
          </w:tcPr>
          <w:p w14:paraId="70BA2A5C" w14:textId="77777777"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51.53 </w:t>
            </w:r>
          </w:p>
        </w:tc>
        <w:tc>
          <w:tcPr>
            <w:tcW w:w="1000" w:type="pct"/>
            <w:hideMark/>
          </w:tcPr>
          <w:p w14:paraId="30F7F42C" w14:textId="37C4A921"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Not available</w:t>
            </w:r>
          </w:p>
        </w:tc>
      </w:tr>
      <w:tr w:rsidR="000C4F6A" w:rsidRPr="00AA5CB5" w14:paraId="6A821926" w14:textId="77777777" w:rsidTr="00F21E22">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61791576" w14:textId="77777777" w:rsidR="000C4F6A" w:rsidRPr="00AA5CB5" w:rsidRDefault="000C4F6A" w:rsidP="000C4F6A">
            <w:pPr>
              <w:pStyle w:val="Tablebodytext"/>
              <w:rPr>
                <w:b w:val="0"/>
                <w:bCs w:val="0"/>
                <w:lang w:val="en-AU"/>
              </w:rPr>
            </w:pPr>
            <w:r w:rsidRPr="00AA5CB5">
              <w:rPr>
                <w:b w:val="0"/>
                <w:bCs w:val="0"/>
                <w:lang w:val="en-AU"/>
              </w:rPr>
              <w:t>Landfill biogas that is captured for combustion (methane only) </w:t>
            </w:r>
          </w:p>
        </w:tc>
        <w:tc>
          <w:tcPr>
            <w:tcW w:w="1000" w:type="pct"/>
          </w:tcPr>
          <w:p w14:paraId="1AA92A51" w14:textId="39095525"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Cubic metres (m</w:t>
            </w:r>
            <w:r w:rsidRPr="00AA5CB5">
              <w:rPr>
                <w:vertAlign w:val="superscript"/>
                <w:lang w:val="en-AU"/>
              </w:rPr>
              <w:t>3</w:t>
            </w:r>
            <w:r w:rsidRPr="00AA5CB5">
              <w:rPr>
                <w:color w:val="auto"/>
                <w:lang w:val="en-AU"/>
              </w:rPr>
              <w:t>)</w:t>
            </w:r>
          </w:p>
        </w:tc>
        <w:tc>
          <w:tcPr>
            <w:tcW w:w="1000" w:type="pct"/>
          </w:tcPr>
          <w:p w14:paraId="01A240AF" w14:textId="1CFBD021" w:rsidR="000C4F6A" w:rsidRPr="00AA5CB5" w:rsidRDefault="000E7F6B"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0.0377</w:t>
            </w:r>
          </w:p>
        </w:tc>
        <w:tc>
          <w:tcPr>
            <w:tcW w:w="1000" w:type="pct"/>
            <w:hideMark/>
          </w:tcPr>
          <w:p w14:paraId="7D393A0A" w14:textId="77777777"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6.43 </w:t>
            </w:r>
          </w:p>
        </w:tc>
        <w:tc>
          <w:tcPr>
            <w:tcW w:w="1000" w:type="pct"/>
            <w:hideMark/>
          </w:tcPr>
          <w:p w14:paraId="17747A3C" w14:textId="26B95DC4"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Not available</w:t>
            </w:r>
          </w:p>
        </w:tc>
      </w:tr>
    </w:tbl>
    <w:bookmarkEnd w:id="206"/>
    <w:p w14:paraId="7E3F3D5A" w14:textId="2EF08446" w:rsidR="006353B5" w:rsidRPr="00AA5CB5" w:rsidRDefault="006353B5">
      <w:pPr>
        <w:pStyle w:val="Notebullets1"/>
        <w:numPr>
          <w:ilvl w:val="0"/>
          <w:numId w:val="0"/>
        </w:numPr>
      </w:pPr>
      <w:r w:rsidRPr="00AA5CB5">
        <w:rPr>
          <w:rStyle w:val="Notebullets1Char"/>
        </w:rPr>
        <w:t>Source:</w:t>
      </w:r>
      <w:r w:rsidRPr="00AA5CB5">
        <w:t xml:space="preserve"> DCCEEW (2024) </w:t>
      </w:r>
      <w:hyperlink r:id="rId80" w:history="1">
        <w:r w:rsidRPr="00AA5CB5">
          <w:rPr>
            <w:rStyle w:val="Hyperlink1"/>
            <w:rFonts w:asciiTheme="minorHAnsi" w:hAnsiTheme="minorHAnsi" w:cstheme="minorHAnsi"/>
            <w:i/>
            <w:iCs/>
            <w:sz w:val="20"/>
            <w:szCs w:val="20"/>
          </w:rPr>
          <w:t>Australian National Greenhouse Accounts Factors</w:t>
        </w:r>
      </w:hyperlink>
      <w:r w:rsidRPr="00AA5CB5">
        <w:t>, DCCEEW, 2024:</w:t>
      </w:r>
      <w:r w:rsidR="00CB256D" w:rsidRPr="00AA5CB5">
        <w:t>17</w:t>
      </w:r>
      <w:r w:rsidR="00234AA9" w:rsidRPr="00AA5CB5">
        <w:t>-18</w:t>
      </w:r>
      <w:r w:rsidRPr="00AA5CB5">
        <w:t xml:space="preserve">; table </w:t>
      </w:r>
      <w:r w:rsidR="00234AA9" w:rsidRPr="00AA5CB5">
        <w:t>5</w:t>
      </w:r>
      <w:r w:rsidRPr="00AA5CB5">
        <w:t>, accessed 14 February 2025.</w:t>
      </w:r>
    </w:p>
    <w:p w14:paraId="1EF75581" w14:textId="0B351634" w:rsidR="006A5A25" w:rsidRPr="00AA5CB5" w:rsidRDefault="006A5A25" w:rsidP="006A5A25">
      <w:pPr>
        <w:pStyle w:val="Caption"/>
      </w:pPr>
      <w:bookmarkStart w:id="212" w:name="_Toc201927398"/>
      <w:r w:rsidRPr="00AA5CB5">
        <w:t xml:space="preserve">Table </w:t>
      </w:r>
      <w:r w:rsidRPr="00AA5CB5">
        <w:fldChar w:fldCharType="begin"/>
      </w:r>
      <w:r w:rsidRPr="00AA5CB5">
        <w:instrText xml:space="preserve"> SEQ Table \* ARABIC </w:instrText>
      </w:r>
      <w:r w:rsidRPr="00AA5CB5">
        <w:fldChar w:fldCharType="separate"/>
      </w:r>
      <w:r w:rsidR="00422A37">
        <w:rPr>
          <w:noProof/>
        </w:rPr>
        <w:t>25</w:t>
      </w:r>
      <w:r w:rsidRPr="00AA5CB5">
        <w:fldChar w:fldCharType="end"/>
      </w:r>
      <w:bookmarkStart w:id="213" w:name="_Toc197438649"/>
      <w:bookmarkStart w:id="214" w:name="_Toc197438667"/>
      <w:bookmarkStart w:id="215" w:name="_Toc197438650"/>
      <w:bookmarkStart w:id="216" w:name="_Toc197438668"/>
      <w:bookmarkEnd w:id="207"/>
      <w:bookmarkEnd w:id="208"/>
      <w:bookmarkEnd w:id="209"/>
      <w:r w:rsidR="00744A9C">
        <w:t>:</w:t>
      </w:r>
      <w:r w:rsidRPr="00AA5CB5">
        <w:t xml:space="preserve"> Stationary combustion - </w:t>
      </w:r>
      <w:r w:rsidR="006A48BE">
        <w:t>e</w:t>
      </w:r>
      <w:r w:rsidRPr="00AA5CB5">
        <w:t xml:space="preserve">mission </w:t>
      </w:r>
      <w:r w:rsidR="00FD7877" w:rsidRPr="00AA5CB5">
        <w:t>f</w:t>
      </w:r>
      <w:r w:rsidRPr="00AA5CB5">
        <w:t xml:space="preserve">actors of </w:t>
      </w:r>
      <w:r w:rsidR="00FD7877" w:rsidRPr="00AA5CB5">
        <w:t>s</w:t>
      </w:r>
      <w:r w:rsidRPr="00AA5CB5">
        <w:t xml:space="preserve">olid </w:t>
      </w:r>
      <w:r w:rsidR="00FD7877" w:rsidRPr="00AA5CB5">
        <w:t>f</w:t>
      </w:r>
      <w:r w:rsidRPr="00AA5CB5">
        <w:t>uels</w:t>
      </w:r>
      <w:bookmarkEnd w:id="212"/>
      <w:bookmarkEnd w:id="213"/>
      <w:bookmarkEnd w:id="214"/>
    </w:p>
    <w:tbl>
      <w:tblPr>
        <w:tblStyle w:val="ListTable4-Accent6"/>
        <w:tblW w:w="5000" w:type="pct"/>
        <w:tblInd w:w="0" w:type="dxa"/>
        <w:tblLook w:val="06A0" w:firstRow="1" w:lastRow="0" w:firstColumn="1" w:lastColumn="0" w:noHBand="1" w:noVBand="1"/>
      </w:tblPr>
      <w:tblGrid>
        <w:gridCol w:w="1881"/>
        <w:gridCol w:w="1881"/>
        <w:gridCol w:w="1880"/>
        <w:gridCol w:w="1880"/>
        <w:gridCol w:w="1880"/>
      </w:tblGrid>
      <w:tr w:rsidR="0020144B" w:rsidRPr="00AA5CB5" w14:paraId="3116C95D" w14:textId="77777777" w:rsidTr="00FD787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000" w:type="pct"/>
          </w:tcPr>
          <w:p w14:paraId="119804D7" w14:textId="75760D8B" w:rsidR="000C4F6A" w:rsidRPr="00AA5CB5" w:rsidRDefault="000C4F6A" w:rsidP="000C4F6A">
            <w:pPr>
              <w:pStyle w:val="Tableheading"/>
              <w:rPr>
                <w:rFonts w:eastAsiaTheme="minorHAnsi"/>
                <w:b/>
                <w:bCs w:val="0"/>
                <w:lang w:val="en-AU"/>
              </w:rPr>
            </w:pPr>
            <w:r w:rsidRPr="00AA5CB5">
              <w:rPr>
                <w:rFonts w:eastAsiaTheme="minorHAnsi"/>
                <w:b/>
                <w:bCs w:val="0"/>
                <w:lang w:val="en-AU"/>
              </w:rPr>
              <w:t xml:space="preserve">Fuel </w:t>
            </w:r>
          </w:p>
        </w:tc>
        <w:tc>
          <w:tcPr>
            <w:tcW w:w="1000" w:type="pct"/>
          </w:tcPr>
          <w:p w14:paraId="2EE28E35" w14:textId="71F2619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Activity data unit</w:t>
            </w:r>
          </w:p>
        </w:tc>
        <w:tc>
          <w:tcPr>
            <w:tcW w:w="1000" w:type="pct"/>
          </w:tcPr>
          <w:p w14:paraId="08FCD556" w14:textId="7777777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bCs w:val="0"/>
                <w:lang w:val="en-AU"/>
              </w:rPr>
            </w:pPr>
            <w:r w:rsidRPr="00AA5CB5">
              <w:rPr>
                <w:b/>
                <w:lang w:val="en-AU"/>
              </w:rPr>
              <w:t>Energy content factor (EC)</w:t>
            </w:r>
          </w:p>
          <w:p w14:paraId="4B20F121" w14:textId="6690EDD3"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 xml:space="preserve">GJ per unit </w:t>
            </w:r>
          </w:p>
        </w:tc>
        <w:tc>
          <w:tcPr>
            <w:tcW w:w="1000" w:type="pct"/>
            <w:hideMark/>
          </w:tcPr>
          <w:p w14:paraId="0FFE70D1" w14:textId="7777777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1 emission factor</w:t>
            </w:r>
          </w:p>
          <w:p w14:paraId="2F3ACB0F" w14:textId="7777777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c>
          <w:tcPr>
            <w:tcW w:w="1000" w:type="pct"/>
            <w:hideMark/>
          </w:tcPr>
          <w:p w14:paraId="7D8CBCB6" w14:textId="7777777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3 supply chain emission factor</w:t>
            </w:r>
          </w:p>
          <w:p w14:paraId="1B309026" w14:textId="7777777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r>
      <w:tr w:rsidR="000C4F6A" w:rsidRPr="00AA5CB5" w14:paraId="542FBD5E" w14:textId="77777777" w:rsidTr="00FD7877">
        <w:trPr>
          <w:trHeight w:val="315"/>
        </w:trPr>
        <w:tc>
          <w:tcPr>
            <w:cnfStyle w:val="001000000000" w:firstRow="0" w:lastRow="0" w:firstColumn="1" w:lastColumn="0" w:oddVBand="0" w:evenVBand="0" w:oddHBand="0" w:evenHBand="0" w:firstRowFirstColumn="0" w:firstRowLastColumn="0" w:lastRowFirstColumn="0" w:lastRowLastColumn="0"/>
            <w:tcW w:w="1000" w:type="pct"/>
            <w:hideMark/>
          </w:tcPr>
          <w:p w14:paraId="5237BA2B" w14:textId="77777777" w:rsidR="000C4F6A" w:rsidRPr="00AA5CB5" w:rsidRDefault="000C4F6A" w:rsidP="000C4F6A">
            <w:pPr>
              <w:pStyle w:val="Tablebodytext"/>
              <w:rPr>
                <w:b w:val="0"/>
                <w:bCs w:val="0"/>
                <w:lang w:val="en-AU"/>
              </w:rPr>
            </w:pPr>
            <w:r w:rsidRPr="00AA5CB5">
              <w:rPr>
                <w:b w:val="0"/>
                <w:bCs w:val="0"/>
                <w:lang w:val="en-AU"/>
              </w:rPr>
              <w:t>Biomass, municipal and industrial materials, if combusted to produce heat or electricity </w:t>
            </w:r>
          </w:p>
        </w:tc>
        <w:tc>
          <w:tcPr>
            <w:tcW w:w="1000" w:type="pct"/>
          </w:tcPr>
          <w:p w14:paraId="72521C25" w14:textId="01C87079" w:rsidR="000C4F6A" w:rsidRPr="00AA5CB5" w:rsidRDefault="00C32747"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Tonnes (t)</w:t>
            </w:r>
          </w:p>
        </w:tc>
        <w:tc>
          <w:tcPr>
            <w:tcW w:w="1000" w:type="pct"/>
          </w:tcPr>
          <w:p w14:paraId="14FB3A90" w14:textId="3FDAEE1D" w:rsidR="000C4F6A" w:rsidRPr="00AA5CB5" w:rsidRDefault="00C32747"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12.2</w:t>
            </w:r>
          </w:p>
        </w:tc>
        <w:tc>
          <w:tcPr>
            <w:tcW w:w="1000" w:type="pct"/>
            <w:hideMark/>
          </w:tcPr>
          <w:p w14:paraId="3EEDE51A" w14:textId="77777777"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1.80 </w:t>
            </w:r>
          </w:p>
        </w:tc>
        <w:tc>
          <w:tcPr>
            <w:tcW w:w="1000" w:type="pct"/>
            <w:hideMark/>
          </w:tcPr>
          <w:p w14:paraId="477AFC59" w14:textId="76C33629"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Not available</w:t>
            </w:r>
          </w:p>
        </w:tc>
      </w:tr>
      <w:tr w:rsidR="000C4F6A" w:rsidRPr="00AA5CB5" w14:paraId="35901886" w14:textId="77777777" w:rsidTr="00FD7877">
        <w:trPr>
          <w:trHeight w:val="270"/>
        </w:trPr>
        <w:tc>
          <w:tcPr>
            <w:cnfStyle w:val="001000000000" w:firstRow="0" w:lastRow="0" w:firstColumn="1" w:lastColumn="0" w:oddVBand="0" w:evenVBand="0" w:oddHBand="0" w:evenHBand="0" w:firstRowFirstColumn="0" w:firstRowLastColumn="0" w:lastRowFirstColumn="0" w:lastRowLastColumn="0"/>
            <w:tcW w:w="1000" w:type="pct"/>
            <w:hideMark/>
          </w:tcPr>
          <w:p w14:paraId="4680B396" w14:textId="77777777" w:rsidR="000C4F6A" w:rsidRPr="00AA5CB5" w:rsidRDefault="000C4F6A" w:rsidP="000C4F6A">
            <w:pPr>
              <w:pStyle w:val="Tablebodytext"/>
              <w:rPr>
                <w:b w:val="0"/>
                <w:bCs w:val="0"/>
                <w:lang w:val="en-AU"/>
              </w:rPr>
            </w:pPr>
            <w:r w:rsidRPr="00AA5CB5">
              <w:rPr>
                <w:b w:val="0"/>
                <w:bCs w:val="0"/>
                <w:lang w:val="en-AU"/>
              </w:rPr>
              <w:t>Dry wood </w:t>
            </w:r>
          </w:p>
        </w:tc>
        <w:tc>
          <w:tcPr>
            <w:tcW w:w="1000" w:type="pct"/>
          </w:tcPr>
          <w:p w14:paraId="4E33F9B0" w14:textId="03D1BE09" w:rsidR="000C4F6A" w:rsidRPr="00AA5CB5" w:rsidRDefault="005906E1"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Tonnes (t)</w:t>
            </w:r>
          </w:p>
        </w:tc>
        <w:tc>
          <w:tcPr>
            <w:tcW w:w="1000" w:type="pct"/>
          </w:tcPr>
          <w:p w14:paraId="3360FACC" w14:textId="4A92BC67" w:rsidR="000C4F6A" w:rsidRPr="00AA5CB5" w:rsidRDefault="005906E1"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16.2</w:t>
            </w:r>
          </w:p>
        </w:tc>
        <w:tc>
          <w:tcPr>
            <w:tcW w:w="1000" w:type="pct"/>
            <w:hideMark/>
          </w:tcPr>
          <w:p w14:paraId="527665AC" w14:textId="77777777"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1.20 </w:t>
            </w:r>
          </w:p>
        </w:tc>
        <w:tc>
          <w:tcPr>
            <w:tcW w:w="1000" w:type="pct"/>
            <w:hideMark/>
          </w:tcPr>
          <w:p w14:paraId="23274BB5" w14:textId="6DF766A9"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Not available</w:t>
            </w:r>
          </w:p>
        </w:tc>
      </w:tr>
      <w:tr w:rsidR="000C4F6A" w:rsidRPr="00AA5CB5" w14:paraId="6BF278BB" w14:textId="77777777" w:rsidTr="00FD7877">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7409A83D" w14:textId="77777777" w:rsidR="000C4F6A" w:rsidRPr="00AA5CB5" w:rsidRDefault="000C4F6A" w:rsidP="000C4F6A">
            <w:pPr>
              <w:pStyle w:val="Tablebodytext"/>
              <w:rPr>
                <w:b w:val="0"/>
                <w:bCs w:val="0"/>
                <w:lang w:val="en-AU"/>
              </w:rPr>
            </w:pPr>
            <w:r w:rsidRPr="00AA5CB5">
              <w:rPr>
                <w:b w:val="0"/>
                <w:bCs w:val="0"/>
                <w:lang w:val="en-AU"/>
              </w:rPr>
              <w:t>Green and air-dried wood </w:t>
            </w:r>
          </w:p>
        </w:tc>
        <w:tc>
          <w:tcPr>
            <w:tcW w:w="1000" w:type="pct"/>
          </w:tcPr>
          <w:p w14:paraId="7FEB17D3" w14:textId="20741718" w:rsidR="000C4F6A" w:rsidRPr="00AA5CB5" w:rsidRDefault="005906E1"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Tonnes (t)</w:t>
            </w:r>
          </w:p>
        </w:tc>
        <w:tc>
          <w:tcPr>
            <w:tcW w:w="1000" w:type="pct"/>
          </w:tcPr>
          <w:p w14:paraId="3FA3405F" w14:textId="7633F740" w:rsidR="000C4F6A" w:rsidRPr="00AA5CB5" w:rsidRDefault="005906E1"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10.4</w:t>
            </w:r>
          </w:p>
        </w:tc>
        <w:tc>
          <w:tcPr>
            <w:tcW w:w="1000" w:type="pct"/>
            <w:hideMark/>
          </w:tcPr>
          <w:p w14:paraId="31882B04" w14:textId="77777777"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1.20 </w:t>
            </w:r>
          </w:p>
        </w:tc>
        <w:tc>
          <w:tcPr>
            <w:tcW w:w="1000" w:type="pct"/>
            <w:hideMark/>
          </w:tcPr>
          <w:p w14:paraId="4FE6FFDC" w14:textId="3DFDB2C7"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Not available</w:t>
            </w:r>
          </w:p>
        </w:tc>
      </w:tr>
      <w:tr w:rsidR="000C4F6A" w:rsidRPr="00AA5CB5" w14:paraId="5DB31758" w14:textId="77777777" w:rsidTr="00FD7877">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500E87A8" w14:textId="5E65747D" w:rsidR="000C4F6A" w:rsidRPr="00AA5CB5" w:rsidRDefault="000C4F6A" w:rsidP="000C4F6A">
            <w:pPr>
              <w:pStyle w:val="Tablebodytext"/>
              <w:rPr>
                <w:b w:val="0"/>
                <w:bCs w:val="0"/>
                <w:lang w:val="en-AU"/>
              </w:rPr>
            </w:pPr>
            <w:r w:rsidRPr="00AA5CB5">
              <w:rPr>
                <w:b w:val="0"/>
                <w:bCs w:val="0"/>
                <w:lang w:val="en-AU"/>
              </w:rPr>
              <w:t xml:space="preserve">Primary solid biomass fuels other than those </w:t>
            </w:r>
            <w:r w:rsidR="009F73A9" w:rsidRPr="00AA5CB5">
              <w:rPr>
                <w:b w:val="0"/>
                <w:bCs w:val="0"/>
                <w:lang w:val="en-AU"/>
              </w:rPr>
              <w:t>listed</w:t>
            </w:r>
            <w:r w:rsidRPr="00AA5CB5">
              <w:rPr>
                <w:b w:val="0"/>
                <w:bCs w:val="0"/>
                <w:lang w:val="en-AU"/>
              </w:rPr>
              <w:t> </w:t>
            </w:r>
          </w:p>
        </w:tc>
        <w:tc>
          <w:tcPr>
            <w:tcW w:w="1000" w:type="pct"/>
          </w:tcPr>
          <w:p w14:paraId="70F8F9C5" w14:textId="20A6B38F" w:rsidR="000C4F6A" w:rsidRPr="00AA5CB5" w:rsidRDefault="005906E1"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Tonnes (t)</w:t>
            </w:r>
          </w:p>
        </w:tc>
        <w:tc>
          <w:tcPr>
            <w:tcW w:w="1000" w:type="pct"/>
          </w:tcPr>
          <w:p w14:paraId="080B4FD2" w14:textId="6FEEC150" w:rsidR="000C4F6A" w:rsidRPr="00AA5CB5" w:rsidRDefault="005906E1"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12.2</w:t>
            </w:r>
          </w:p>
        </w:tc>
        <w:tc>
          <w:tcPr>
            <w:tcW w:w="1000" w:type="pct"/>
            <w:hideMark/>
          </w:tcPr>
          <w:p w14:paraId="58771D42" w14:textId="77777777"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1.80 </w:t>
            </w:r>
          </w:p>
        </w:tc>
        <w:tc>
          <w:tcPr>
            <w:tcW w:w="1000" w:type="pct"/>
            <w:hideMark/>
          </w:tcPr>
          <w:p w14:paraId="6CAA5606" w14:textId="15564C4B" w:rsidR="000C4F6A" w:rsidRPr="00AA5CB5" w:rsidRDefault="000C4F6A" w:rsidP="000C4F6A">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rFonts w:eastAsiaTheme="minorHAnsi"/>
                <w:lang w:val="en-AU"/>
              </w:rPr>
              <w:t>Not available</w:t>
            </w:r>
          </w:p>
        </w:tc>
      </w:tr>
    </w:tbl>
    <w:p w14:paraId="0B0D6024" w14:textId="1679456F" w:rsidR="00234AA9" w:rsidRPr="00AA5CB5" w:rsidRDefault="00234AA9">
      <w:pPr>
        <w:pStyle w:val="Notebullets1"/>
        <w:numPr>
          <w:ilvl w:val="0"/>
          <w:numId w:val="0"/>
        </w:numPr>
      </w:pPr>
      <w:r w:rsidRPr="00AA5CB5">
        <w:rPr>
          <w:rStyle w:val="Notebullets1Char"/>
        </w:rPr>
        <w:lastRenderedPageBreak/>
        <w:t>Source:</w:t>
      </w:r>
      <w:r w:rsidRPr="00AA5CB5">
        <w:t xml:space="preserve"> DCCEEW (2024) </w:t>
      </w:r>
      <w:hyperlink r:id="rId81" w:history="1">
        <w:r w:rsidRPr="00AA5CB5">
          <w:rPr>
            <w:rStyle w:val="Hyperlink1"/>
            <w:rFonts w:asciiTheme="minorHAnsi" w:hAnsiTheme="minorHAnsi" w:cstheme="minorHAnsi"/>
            <w:i/>
            <w:iCs/>
            <w:sz w:val="20"/>
            <w:szCs w:val="20"/>
          </w:rPr>
          <w:t>Australian National Greenhouse Accounts Factors</w:t>
        </w:r>
      </w:hyperlink>
      <w:r w:rsidRPr="00AA5CB5">
        <w:t>, DCCEEW, 2024:14-15; table 4, accessed 14 February 2025.</w:t>
      </w:r>
    </w:p>
    <w:p w14:paraId="449D5EB7" w14:textId="5D7863FA" w:rsidR="006A5A25" w:rsidRPr="00AA5CB5" w:rsidRDefault="006A5A25" w:rsidP="006A5A25">
      <w:pPr>
        <w:pStyle w:val="Caption"/>
      </w:pPr>
      <w:bookmarkStart w:id="217" w:name="_Toc201927399"/>
      <w:r w:rsidRPr="00AA5CB5">
        <w:t xml:space="preserve">Table </w:t>
      </w:r>
      <w:r w:rsidRPr="00AA5CB5">
        <w:fldChar w:fldCharType="begin"/>
      </w:r>
      <w:r w:rsidRPr="00AA5CB5">
        <w:instrText xml:space="preserve"> SEQ Table \* ARABIC </w:instrText>
      </w:r>
      <w:r w:rsidRPr="00AA5CB5">
        <w:fldChar w:fldCharType="separate"/>
      </w:r>
      <w:r w:rsidR="00422A37">
        <w:rPr>
          <w:noProof/>
        </w:rPr>
        <w:t>26</w:t>
      </w:r>
      <w:r w:rsidRPr="00AA5CB5">
        <w:fldChar w:fldCharType="end"/>
      </w:r>
      <w:r w:rsidR="00744A9C">
        <w:t>:</w:t>
      </w:r>
      <w:r w:rsidRPr="00AA5CB5">
        <w:t xml:space="preserve"> Stationary combustion - </w:t>
      </w:r>
      <w:r w:rsidR="006A48BE">
        <w:t>e</w:t>
      </w:r>
      <w:r w:rsidRPr="00AA5CB5">
        <w:t xml:space="preserve">mission </w:t>
      </w:r>
      <w:r w:rsidR="009F73A9" w:rsidRPr="00AA5CB5">
        <w:t>f</w:t>
      </w:r>
      <w:r w:rsidRPr="00AA5CB5">
        <w:t xml:space="preserve">actors of </w:t>
      </w:r>
      <w:r w:rsidR="009F73A9" w:rsidRPr="00AA5CB5">
        <w:t>l</w:t>
      </w:r>
      <w:r w:rsidRPr="00AA5CB5">
        <w:t xml:space="preserve">iquid </w:t>
      </w:r>
      <w:r w:rsidR="009F73A9" w:rsidRPr="00AA5CB5">
        <w:t>f</w:t>
      </w:r>
      <w:r w:rsidRPr="00AA5CB5">
        <w:t>uels</w:t>
      </w:r>
      <w:bookmarkEnd w:id="215"/>
      <w:bookmarkEnd w:id="216"/>
      <w:bookmarkEnd w:id="217"/>
      <w:r w:rsidRPr="00AA5CB5">
        <w:t xml:space="preserve"> </w:t>
      </w:r>
    </w:p>
    <w:tbl>
      <w:tblPr>
        <w:tblStyle w:val="ListTable4-Accent6"/>
        <w:tblW w:w="5000" w:type="pct"/>
        <w:tblInd w:w="0" w:type="dxa"/>
        <w:tblLook w:val="06A0" w:firstRow="1" w:lastRow="0" w:firstColumn="1" w:lastColumn="0" w:noHBand="1" w:noVBand="1"/>
      </w:tblPr>
      <w:tblGrid>
        <w:gridCol w:w="1881"/>
        <w:gridCol w:w="1881"/>
        <w:gridCol w:w="1880"/>
        <w:gridCol w:w="1880"/>
        <w:gridCol w:w="1880"/>
      </w:tblGrid>
      <w:tr w:rsidR="0020144B" w:rsidRPr="00AA5CB5" w14:paraId="4264D23C" w14:textId="77777777" w:rsidTr="000C4F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tcPr>
          <w:p w14:paraId="6447681F" w14:textId="56AAF6ED" w:rsidR="000C4F6A" w:rsidRPr="00AA5CB5" w:rsidRDefault="000C4F6A" w:rsidP="000C4F6A">
            <w:pPr>
              <w:pStyle w:val="Tableheading"/>
              <w:rPr>
                <w:rFonts w:eastAsiaTheme="minorHAnsi"/>
                <w:b/>
                <w:bCs w:val="0"/>
                <w:lang w:val="en-AU"/>
              </w:rPr>
            </w:pPr>
            <w:r w:rsidRPr="00AA5CB5">
              <w:rPr>
                <w:rFonts w:eastAsiaTheme="minorHAnsi"/>
                <w:b/>
                <w:bCs w:val="0"/>
                <w:lang w:val="en-AU"/>
              </w:rPr>
              <w:t xml:space="preserve">Fuel </w:t>
            </w:r>
          </w:p>
        </w:tc>
        <w:tc>
          <w:tcPr>
            <w:tcW w:w="1000" w:type="pct"/>
          </w:tcPr>
          <w:p w14:paraId="1991EB73" w14:textId="7A43324D"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Activity data unit</w:t>
            </w:r>
          </w:p>
        </w:tc>
        <w:tc>
          <w:tcPr>
            <w:tcW w:w="1000" w:type="pct"/>
          </w:tcPr>
          <w:p w14:paraId="7FDB3774" w14:textId="7777777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bCs w:val="0"/>
                <w:lang w:val="en-AU"/>
              </w:rPr>
            </w:pPr>
            <w:r w:rsidRPr="00AA5CB5">
              <w:rPr>
                <w:b/>
                <w:lang w:val="en-AU"/>
              </w:rPr>
              <w:t>Energy content factor (EC)</w:t>
            </w:r>
          </w:p>
          <w:p w14:paraId="03F15716" w14:textId="17EB5BFF"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 xml:space="preserve">GJ per unit </w:t>
            </w:r>
          </w:p>
        </w:tc>
        <w:tc>
          <w:tcPr>
            <w:tcW w:w="1000" w:type="pct"/>
            <w:hideMark/>
          </w:tcPr>
          <w:p w14:paraId="22725EB5" w14:textId="7777777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1 emission factor</w:t>
            </w:r>
          </w:p>
          <w:p w14:paraId="18A7F962" w14:textId="7777777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c>
          <w:tcPr>
            <w:tcW w:w="1000" w:type="pct"/>
            <w:hideMark/>
          </w:tcPr>
          <w:p w14:paraId="7F16DDD8" w14:textId="7777777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 xml:space="preserve">Net scope 3 supply chain emission factor </w:t>
            </w:r>
          </w:p>
          <w:p w14:paraId="2B499EFB" w14:textId="77777777" w:rsidR="000C4F6A" w:rsidRPr="00AA5CB5" w:rsidRDefault="000C4F6A" w:rsidP="000C4F6A">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r>
      <w:tr w:rsidR="006A5A25" w:rsidRPr="00AA5CB5" w14:paraId="62E10576" w14:textId="77777777" w:rsidTr="000C4F6A">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30E2137A" w14:textId="5283A403" w:rsidR="006A5A25" w:rsidRPr="00AA5CB5" w:rsidRDefault="006A5A25">
            <w:pPr>
              <w:pStyle w:val="Tablebodytext"/>
              <w:rPr>
                <w:rFonts w:eastAsiaTheme="minorHAnsi"/>
                <w:b w:val="0"/>
                <w:bCs w:val="0"/>
                <w:lang w:val="en-AU"/>
              </w:rPr>
            </w:pPr>
            <w:r w:rsidRPr="00AA5CB5">
              <w:rPr>
                <w:rFonts w:eastAsiaTheme="minorHAnsi"/>
                <w:b w:val="0"/>
                <w:bCs w:val="0"/>
                <w:lang w:val="en-AU"/>
              </w:rPr>
              <w:t xml:space="preserve">Automotive gasoline/petrol </w:t>
            </w:r>
          </w:p>
        </w:tc>
        <w:tc>
          <w:tcPr>
            <w:tcW w:w="1000" w:type="pct"/>
          </w:tcPr>
          <w:p w14:paraId="49E33F92" w14:textId="34FB9E25" w:rsidR="00825FA5" w:rsidRPr="00AA5CB5" w:rsidRDefault="007713C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1000" w:type="pct"/>
          </w:tcPr>
          <w:p w14:paraId="3E388F60" w14:textId="13CDABE8" w:rsidR="00082020" w:rsidRPr="00AA5CB5" w:rsidRDefault="007713C1">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34.2</w:t>
            </w:r>
          </w:p>
        </w:tc>
        <w:tc>
          <w:tcPr>
            <w:tcW w:w="1000" w:type="pct"/>
            <w:hideMark/>
          </w:tcPr>
          <w:p w14:paraId="6C11F454" w14:textId="77777777"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67.80 </w:t>
            </w:r>
          </w:p>
        </w:tc>
        <w:tc>
          <w:tcPr>
            <w:tcW w:w="1000" w:type="pct"/>
            <w:hideMark/>
          </w:tcPr>
          <w:p w14:paraId="07D71F86" w14:textId="502ECAEA"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17.2 </w:t>
            </w:r>
          </w:p>
        </w:tc>
      </w:tr>
      <w:tr w:rsidR="006A5A25" w:rsidRPr="00AA5CB5" w14:paraId="26CE7242" w14:textId="77777777" w:rsidTr="000C4F6A">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6D9B5908" w14:textId="7791B72D" w:rsidR="006A5A25" w:rsidRPr="00AA5CB5" w:rsidRDefault="006A5A25">
            <w:pPr>
              <w:pStyle w:val="Tablebodytext"/>
              <w:rPr>
                <w:rFonts w:eastAsiaTheme="minorHAnsi"/>
                <w:b w:val="0"/>
                <w:bCs w:val="0"/>
                <w:lang w:val="en-AU"/>
              </w:rPr>
            </w:pPr>
            <w:r w:rsidRPr="00AA5CB5">
              <w:rPr>
                <w:rFonts w:eastAsiaTheme="minorHAnsi"/>
                <w:b w:val="0"/>
                <w:bCs w:val="0"/>
                <w:lang w:val="en-AU"/>
              </w:rPr>
              <w:t xml:space="preserve">Biodiesel </w:t>
            </w:r>
          </w:p>
        </w:tc>
        <w:tc>
          <w:tcPr>
            <w:tcW w:w="1000" w:type="pct"/>
          </w:tcPr>
          <w:p w14:paraId="51DBEAD2" w14:textId="69376E4C" w:rsidR="00825FA5" w:rsidRPr="00AA5CB5" w:rsidRDefault="000033B5">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1000" w:type="pct"/>
          </w:tcPr>
          <w:p w14:paraId="404C0B77" w14:textId="556216F9" w:rsidR="00082020" w:rsidRPr="00AA5CB5" w:rsidRDefault="007F6395">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34.6</w:t>
            </w:r>
          </w:p>
        </w:tc>
        <w:tc>
          <w:tcPr>
            <w:tcW w:w="1000" w:type="pct"/>
            <w:hideMark/>
          </w:tcPr>
          <w:p w14:paraId="7BB36796" w14:textId="77777777"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0.28 </w:t>
            </w:r>
          </w:p>
        </w:tc>
        <w:tc>
          <w:tcPr>
            <w:tcW w:w="1000" w:type="pct"/>
            <w:hideMark/>
          </w:tcPr>
          <w:p w14:paraId="2C99E40C" w14:textId="5250B291" w:rsidR="006A5A25" w:rsidRPr="00AA5CB5" w:rsidRDefault="000C4F6A">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Not available</w:t>
            </w:r>
          </w:p>
        </w:tc>
      </w:tr>
      <w:tr w:rsidR="006A5A25" w:rsidRPr="00AA5CB5" w14:paraId="4B576A38" w14:textId="77777777" w:rsidTr="000C4F6A">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590215E8" w14:textId="77777777" w:rsidR="006A5A25" w:rsidRPr="00AA5CB5" w:rsidRDefault="006A5A25">
            <w:pPr>
              <w:pStyle w:val="Tablebodytext"/>
              <w:rPr>
                <w:rFonts w:eastAsiaTheme="minorHAnsi"/>
                <w:b w:val="0"/>
                <w:bCs w:val="0"/>
                <w:lang w:val="en-AU"/>
              </w:rPr>
            </w:pPr>
            <w:r w:rsidRPr="00AA5CB5">
              <w:rPr>
                <w:rFonts w:eastAsiaTheme="minorHAnsi"/>
                <w:b w:val="0"/>
                <w:bCs w:val="0"/>
                <w:lang w:val="en-AU"/>
              </w:rPr>
              <w:t>Diesel oil </w:t>
            </w:r>
          </w:p>
        </w:tc>
        <w:tc>
          <w:tcPr>
            <w:tcW w:w="1000" w:type="pct"/>
          </w:tcPr>
          <w:p w14:paraId="0497840C" w14:textId="5FE12E17" w:rsidR="00825FA5" w:rsidRPr="00AA5CB5" w:rsidRDefault="000033B5">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1000" w:type="pct"/>
          </w:tcPr>
          <w:p w14:paraId="6A69C4B5" w14:textId="7B640DA2" w:rsidR="00082020" w:rsidRPr="00AA5CB5" w:rsidRDefault="007F6395">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38.6</w:t>
            </w:r>
          </w:p>
        </w:tc>
        <w:tc>
          <w:tcPr>
            <w:tcW w:w="1000" w:type="pct"/>
            <w:hideMark/>
          </w:tcPr>
          <w:p w14:paraId="400F4D82" w14:textId="77777777"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70.20 </w:t>
            </w:r>
          </w:p>
        </w:tc>
        <w:tc>
          <w:tcPr>
            <w:tcW w:w="1000" w:type="pct"/>
            <w:hideMark/>
          </w:tcPr>
          <w:p w14:paraId="261D411B" w14:textId="2289453B"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17.3 </w:t>
            </w:r>
          </w:p>
        </w:tc>
      </w:tr>
      <w:tr w:rsidR="00E271DE" w:rsidRPr="00AA5CB5" w14:paraId="5C32AC69" w14:textId="77777777" w:rsidTr="000C4F6A">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3AC84364" w14:textId="0B81FBDB" w:rsidR="00E271DE" w:rsidRPr="00AA5CB5" w:rsidRDefault="00E271DE">
            <w:pPr>
              <w:pStyle w:val="Tablebodytext"/>
              <w:rPr>
                <w:b w:val="0"/>
                <w:bCs w:val="0"/>
                <w:lang w:val="en-AU"/>
              </w:rPr>
            </w:pPr>
            <w:r w:rsidRPr="00AA5CB5">
              <w:rPr>
                <w:b w:val="0"/>
                <w:bCs w:val="0"/>
                <w:lang w:val="en-AU"/>
              </w:rPr>
              <w:t>Liqu</w:t>
            </w:r>
            <w:r w:rsidR="00DE181E" w:rsidRPr="00AA5CB5">
              <w:rPr>
                <w:b w:val="0"/>
                <w:bCs w:val="0"/>
                <w:lang w:val="en-AU"/>
              </w:rPr>
              <w:t>efied</w:t>
            </w:r>
            <w:r w:rsidRPr="00AA5CB5">
              <w:rPr>
                <w:b w:val="0"/>
                <w:bCs w:val="0"/>
                <w:lang w:val="en-AU"/>
              </w:rPr>
              <w:t xml:space="preserve"> petroleum gas</w:t>
            </w:r>
            <w:r w:rsidR="00DE181E" w:rsidRPr="00AA5CB5">
              <w:rPr>
                <w:b w:val="0"/>
                <w:bCs w:val="0"/>
                <w:lang w:val="en-AU"/>
              </w:rPr>
              <w:t xml:space="preserve"> (LPG)</w:t>
            </w:r>
          </w:p>
        </w:tc>
        <w:tc>
          <w:tcPr>
            <w:tcW w:w="1000" w:type="pct"/>
          </w:tcPr>
          <w:p w14:paraId="2FCE2A3F" w14:textId="77105B0D" w:rsidR="00E271DE" w:rsidRPr="00AA5CB5" w:rsidRDefault="00DE181E">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1000" w:type="pct"/>
          </w:tcPr>
          <w:p w14:paraId="13378157" w14:textId="7A24F1C5" w:rsidR="00E271DE" w:rsidRPr="00AA5CB5" w:rsidRDefault="00135FB8">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25.7</w:t>
            </w:r>
          </w:p>
        </w:tc>
        <w:tc>
          <w:tcPr>
            <w:tcW w:w="1000" w:type="pct"/>
          </w:tcPr>
          <w:p w14:paraId="5369A0E6" w14:textId="4569BF08" w:rsidR="00E271DE" w:rsidRPr="00AA5CB5" w:rsidRDefault="00135FB8">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60.60</w:t>
            </w:r>
          </w:p>
        </w:tc>
        <w:tc>
          <w:tcPr>
            <w:tcW w:w="1000" w:type="pct"/>
          </w:tcPr>
          <w:p w14:paraId="164E7D89" w14:textId="3BFAE0A7" w:rsidR="00E271DE" w:rsidRPr="00AA5CB5" w:rsidRDefault="00135FB8">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20.2</w:t>
            </w:r>
          </w:p>
        </w:tc>
      </w:tr>
      <w:tr w:rsidR="006A5A25" w:rsidRPr="00AA5CB5" w14:paraId="1F475FCD" w14:textId="77777777" w:rsidTr="000C4F6A">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7392D622" w14:textId="77777777" w:rsidR="006A5A25" w:rsidRPr="00AA5CB5" w:rsidRDefault="006A5A25">
            <w:pPr>
              <w:pStyle w:val="Tablebodytext"/>
              <w:rPr>
                <w:rFonts w:eastAsiaTheme="minorHAnsi"/>
                <w:b w:val="0"/>
                <w:bCs w:val="0"/>
                <w:lang w:val="en-AU"/>
              </w:rPr>
            </w:pPr>
            <w:r w:rsidRPr="00AA5CB5">
              <w:rPr>
                <w:rFonts w:eastAsiaTheme="minorHAnsi"/>
                <w:b w:val="0"/>
                <w:bCs w:val="0"/>
                <w:lang w:val="en-AU"/>
              </w:rPr>
              <w:t>Other natural gas liquids </w:t>
            </w:r>
          </w:p>
        </w:tc>
        <w:tc>
          <w:tcPr>
            <w:tcW w:w="1000" w:type="pct"/>
          </w:tcPr>
          <w:p w14:paraId="4618470A" w14:textId="2B8CEAFE" w:rsidR="00825FA5" w:rsidRPr="00AA5CB5" w:rsidRDefault="00E314AF">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Tonnes</w:t>
            </w:r>
            <w:r w:rsidR="000033B5" w:rsidRPr="00AA5CB5">
              <w:rPr>
                <w:lang w:val="en-AU"/>
              </w:rPr>
              <w:t xml:space="preserve"> (</w:t>
            </w:r>
            <w:r w:rsidRPr="00AA5CB5">
              <w:rPr>
                <w:lang w:val="en-AU"/>
              </w:rPr>
              <w:t>t</w:t>
            </w:r>
            <w:r w:rsidR="000033B5" w:rsidRPr="00AA5CB5">
              <w:rPr>
                <w:lang w:val="en-AU"/>
              </w:rPr>
              <w:t>)</w:t>
            </w:r>
          </w:p>
        </w:tc>
        <w:tc>
          <w:tcPr>
            <w:tcW w:w="1000" w:type="pct"/>
          </w:tcPr>
          <w:p w14:paraId="4E026510" w14:textId="581FCEF7" w:rsidR="00082020" w:rsidRPr="00AA5CB5" w:rsidRDefault="00753B2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 xml:space="preserve">46.5 </w:t>
            </w:r>
          </w:p>
        </w:tc>
        <w:tc>
          <w:tcPr>
            <w:tcW w:w="1000" w:type="pct"/>
            <w:hideMark/>
          </w:tcPr>
          <w:p w14:paraId="632DD6DA" w14:textId="77777777"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61.28 </w:t>
            </w:r>
          </w:p>
        </w:tc>
        <w:tc>
          <w:tcPr>
            <w:tcW w:w="1000" w:type="pct"/>
            <w:hideMark/>
          </w:tcPr>
          <w:p w14:paraId="709856D0" w14:textId="1E597E01" w:rsidR="006A5A25" w:rsidRPr="00AA5CB5" w:rsidRDefault="000C4F6A">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Not available</w:t>
            </w:r>
          </w:p>
        </w:tc>
      </w:tr>
      <w:tr w:rsidR="006A5A25" w:rsidRPr="00AA5CB5" w14:paraId="74B8400A" w14:textId="77777777" w:rsidTr="000C4F6A">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1033073A" w14:textId="77777777" w:rsidR="006A5A25" w:rsidRPr="00AA5CB5" w:rsidRDefault="006A5A25">
            <w:pPr>
              <w:pStyle w:val="Tablebodytext"/>
              <w:rPr>
                <w:rFonts w:eastAsiaTheme="minorHAnsi"/>
                <w:b w:val="0"/>
                <w:bCs w:val="0"/>
                <w:lang w:val="en-AU"/>
              </w:rPr>
            </w:pPr>
            <w:r w:rsidRPr="00AA5CB5">
              <w:rPr>
                <w:rFonts w:eastAsiaTheme="minorHAnsi"/>
                <w:b w:val="0"/>
                <w:bCs w:val="0"/>
                <w:lang w:val="en-AU"/>
              </w:rPr>
              <w:t>Petroleum based greases </w:t>
            </w:r>
          </w:p>
        </w:tc>
        <w:tc>
          <w:tcPr>
            <w:tcW w:w="1000" w:type="pct"/>
          </w:tcPr>
          <w:p w14:paraId="633D531B" w14:textId="36F66836" w:rsidR="00825FA5" w:rsidRPr="00AA5CB5" w:rsidRDefault="000033B5">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1000" w:type="pct"/>
          </w:tcPr>
          <w:p w14:paraId="49FEB63C" w14:textId="79F2E7F9" w:rsidR="00082020" w:rsidRPr="00AA5CB5" w:rsidRDefault="00753B2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38.8</w:t>
            </w:r>
          </w:p>
        </w:tc>
        <w:tc>
          <w:tcPr>
            <w:tcW w:w="1000" w:type="pct"/>
            <w:hideMark/>
          </w:tcPr>
          <w:p w14:paraId="10A9080D" w14:textId="77777777"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3.50 </w:t>
            </w:r>
          </w:p>
        </w:tc>
        <w:tc>
          <w:tcPr>
            <w:tcW w:w="1000" w:type="pct"/>
            <w:hideMark/>
          </w:tcPr>
          <w:p w14:paraId="3FA6953E" w14:textId="0731A4C1"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18.0 </w:t>
            </w:r>
          </w:p>
        </w:tc>
      </w:tr>
      <w:tr w:rsidR="006A5A25" w:rsidRPr="00AA5CB5" w14:paraId="38780951" w14:textId="77777777" w:rsidTr="000C4F6A">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5B7DBBA3" w14:textId="0EB88EB1" w:rsidR="006A5A25" w:rsidRPr="00AA5CB5" w:rsidRDefault="006A5A25">
            <w:pPr>
              <w:pStyle w:val="Tablebodytext"/>
              <w:rPr>
                <w:rFonts w:eastAsiaTheme="minorHAnsi"/>
                <w:b w:val="0"/>
                <w:bCs w:val="0"/>
                <w:lang w:val="en-AU"/>
              </w:rPr>
            </w:pPr>
            <w:r w:rsidRPr="00AA5CB5">
              <w:rPr>
                <w:rFonts w:eastAsiaTheme="minorHAnsi"/>
                <w:b w:val="0"/>
                <w:bCs w:val="0"/>
                <w:lang w:val="en-AU"/>
              </w:rPr>
              <w:t>Petroleum based oils (other than petroleum-based oil used as fuel), e.g. lubricants </w:t>
            </w:r>
          </w:p>
        </w:tc>
        <w:tc>
          <w:tcPr>
            <w:tcW w:w="1000" w:type="pct"/>
          </w:tcPr>
          <w:p w14:paraId="1B91F8AC" w14:textId="2608BBB5" w:rsidR="00825FA5" w:rsidRPr="00AA5CB5" w:rsidRDefault="000033B5">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1000" w:type="pct"/>
          </w:tcPr>
          <w:p w14:paraId="0009106A" w14:textId="65B24304" w:rsidR="00082020" w:rsidRPr="00AA5CB5" w:rsidRDefault="00753B20">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38.8</w:t>
            </w:r>
          </w:p>
        </w:tc>
        <w:tc>
          <w:tcPr>
            <w:tcW w:w="1000" w:type="pct"/>
            <w:hideMark/>
          </w:tcPr>
          <w:p w14:paraId="01944DBC" w14:textId="77777777"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13.90 </w:t>
            </w:r>
          </w:p>
        </w:tc>
        <w:tc>
          <w:tcPr>
            <w:tcW w:w="1000" w:type="pct"/>
            <w:hideMark/>
          </w:tcPr>
          <w:p w14:paraId="3176DFE4" w14:textId="168A3C0F"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18.0 </w:t>
            </w:r>
          </w:p>
        </w:tc>
      </w:tr>
      <w:tr w:rsidR="006A5A25" w:rsidRPr="00AA5CB5" w14:paraId="6D3F8257" w14:textId="77777777" w:rsidTr="000C4F6A">
        <w:trPr>
          <w:trHeight w:val="300"/>
        </w:trPr>
        <w:tc>
          <w:tcPr>
            <w:cnfStyle w:val="001000000000" w:firstRow="0" w:lastRow="0" w:firstColumn="1" w:lastColumn="0" w:oddVBand="0" w:evenVBand="0" w:oddHBand="0" w:evenHBand="0" w:firstRowFirstColumn="0" w:firstRowLastColumn="0" w:lastRowFirstColumn="0" w:lastRowLastColumn="0"/>
            <w:tcW w:w="1000" w:type="pct"/>
            <w:hideMark/>
          </w:tcPr>
          <w:p w14:paraId="700A4572" w14:textId="1E2DFA08" w:rsidR="006A5A25" w:rsidRPr="00AA5CB5" w:rsidRDefault="006A5A25">
            <w:pPr>
              <w:pStyle w:val="Tablebodytext"/>
              <w:rPr>
                <w:rFonts w:eastAsiaTheme="minorHAnsi"/>
                <w:b w:val="0"/>
                <w:bCs w:val="0"/>
                <w:lang w:val="en-AU"/>
              </w:rPr>
            </w:pPr>
            <w:r w:rsidRPr="00AA5CB5">
              <w:rPr>
                <w:rFonts w:eastAsiaTheme="minorHAnsi"/>
                <w:b w:val="0"/>
                <w:bCs w:val="0"/>
                <w:lang w:val="en-AU"/>
              </w:rPr>
              <w:t xml:space="preserve">Petroleum based products other than </w:t>
            </w:r>
            <w:r w:rsidR="00DC701E" w:rsidRPr="00AA5CB5">
              <w:rPr>
                <w:rFonts w:eastAsiaTheme="minorHAnsi"/>
                <w:b w:val="0"/>
                <w:bCs w:val="0"/>
                <w:lang w:val="en-AU"/>
              </w:rPr>
              <w:t xml:space="preserve">those </w:t>
            </w:r>
            <w:r w:rsidR="00AB2AB3" w:rsidRPr="00AA5CB5">
              <w:rPr>
                <w:rFonts w:eastAsiaTheme="minorHAnsi"/>
                <w:b w:val="0"/>
                <w:bCs w:val="0"/>
                <w:lang w:val="en-AU"/>
              </w:rPr>
              <w:t>listed</w:t>
            </w:r>
            <w:r w:rsidRPr="00AA5CB5">
              <w:rPr>
                <w:rFonts w:eastAsiaTheme="minorHAnsi"/>
                <w:b w:val="0"/>
                <w:bCs w:val="0"/>
                <w:lang w:val="en-AU"/>
              </w:rPr>
              <w:t> </w:t>
            </w:r>
          </w:p>
        </w:tc>
        <w:tc>
          <w:tcPr>
            <w:tcW w:w="1000" w:type="pct"/>
          </w:tcPr>
          <w:p w14:paraId="78A119A4" w14:textId="3815CB4C" w:rsidR="00825FA5" w:rsidRPr="00AA5CB5" w:rsidRDefault="000033B5">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1000" w:type="pct"/>
          </w:tcPr>
          <w:p w14:paraId="029CECAE" w14:textId="08FE1545" w:rsidR="00082020" w:rsidRPr="00AA5CB5" w:rsidRDefault="00DB5926">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34.8</w:t>
            </w:r>
          </w:p>
        </w:tc>
        <w:tc>
          <w:tcPr>
            <w:tcW w:w="1000" w:type="pct"/>
            <w:hideMark/>
          </w:tcPr>
          <w:p w14:paraId="551726D7" w14:textId="77777777"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69.92 </w:t>
            </w:r>
          </w:p>
        </w:tc>
        <w:tc>
          <w:tcPr>
            <w:tcW w:w="1000" w:type="pct"/>
            <w:hideMark/>
          </w:tcPr>
          <w:p w14:paraId="7439ECD4" w14:textId="2E2B4714" w:rsidR="006A5A25" w:rsidRPr="00AA5CB5" w:rsidRDefault="006A5A25">
            <w:pPr>
              <w:pStyle w:val="Tablebodytext"/>
              <w:cnfStyle w:val="000000000000" w:firstRow="0" w:lastRow="0" w:firstColumn="0" w:lastColumn="0" w:oddVBand="0" w:evenVBand="0" w:oddHBand="0" w:evenHBand="0" w:firstRowFirstColumn="0" w:firstRowLastColumn="0" w:lastRowFirstColumn="0" w:lastRowLastColumn="0"/>
              <w:rPr>
                <w:rFonts w:eastAsiaTheme="minorHAnsi"/>
                <w:lang w:val="en-AU"/>
              </w:rPr>
            </w:pPr>
            <w:r w:rsidRPr="00AA5CB5">
              <w:rPr>
                <w:rFonts w:eastAsiaTheme="minorHAnsi"/>
                <w:lang w:val="en-AU"/>
              </w:rPr>
              <w:t>18.0 </w:t>
            </w:r>
          </w:p>
        </w:tc>
      </w:tr>
      <w:tr w:rsidR="00FC2C93" w:rsidRPr="00AA5CB5" w14:paraId="6ADD1452" w14:textId="77777777" w:rsidTr="000C4F6A">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431E8658" w14:textId="30147BA3" w:rsidR="00FC2C93" w:rsidRPr="00AA5CB5" w:rsidRDefault="002F4B96">
            <w:pPr>
              <w:pStyle w:val="Tablebodytext"/>
              <w:rPr>
                <w:b w:val="0"/>
                <w:bCs w:val="0"/>
                <w:lang w:val="en-AU"/>
              </w:rPr>
            </w:pPr>
            <w:r w:rsidRPr="00AA5CB5">
              <w:rPr>
                <w:b w:val="0"/>
                <w:bCs w:val="0"/>
                <w:lang w:val="en-AU"/>
              </w:rPr>
              <w:t>Kerosene other than for use as a fuel in an aircraft</w:t>
            </w:r>
          </w:p>
        </w:tc>
        <w:tc>
          <w:tcPr>
            <w:tcW w:w="1000" w:type="pct"/>
          </w:tcPr>
          <w:p w14:paraId="79814CEF" w14:textId="3724F375" w:rsidR="00825FA5" w:rsidRPr="00AA5CB5" w:rsidRDefault="000033B5">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1000" w:type="pct"/>
          </w:tcPr>
          <w:p w14:paraId="5D055802" w14:textId="71BD0AAF" w:rsidR="00082020" w:rsidRPr="00AA5CB5" w:rsidRDefault="00D35A17">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37.5</w:t>
            </w:r>
          </w:p>
        </w:tc>
        <w:tc>
          <w:tcPr>
            <w:tcW w:w="1000" w:type="pct"/>
          </w:tcPr>
          <w:p w14:paraId="0514B471" w14:textId="44BD19F2" w:rsidR="00FC2C93" w:rsidRPr="00AA5CB5" w:rsidRDefault="002F4B96">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69.11</w:t>
            </w:r>
          </w:p>
        </w:tc>
        <w:tc>
          <w:tcPr>
            <w:tcW w:w="1000" w:type="pct"/>
          </w:tcPr>
          <w:p w14:paraId="065AF7B2" w14:textId="4D529C76" w:rsidR="00FC2C93" w:rsidRPr="00AA5CB5" w:rsidRDefault="00576434">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18.0</w:t>
            </w:r>
          </w:p>
        </w:tc>
      </w:tr>
    </w:tbl>
    <w:p w14:paraId="194D9329" w14:textId="257D3FB6" w:rsidR="00234AA9" w:rsidRPr="00AA5CB5" w:rsidRDefault="00234AA9">
      <w:pPr>
        <w:pStyle w:val="Notebullets1"/>
        <w:numPr>
          <w:ilvl w:val="0"/>
          <w:numId w:val="0"/>
        </w:numPr>
      </w:pPr>
      <w:bookmarkStart w:id="218" w:name="_Toc197438651"/>
      <w:bookmarkStart w:id="219" w:name="_Toc197438669"/>
      <w:r w:rsidRPr="00AA5CB5">
        <w:rPr>
          <w:rStyle w:val="Notebullets1Char"/>
        </w:rPr>
        <w:t>Source:</w:t>
      </w:r>
      <w:r w:rsidRPr="00AA5CB5">
        <w:t xml:space="preserve"> DCCEEW (2024) </w:t>
      </w:r>
      <w:hyperlink r:id="rId82" w:history="1">
        <w:r w:rsidRPr="00AA5CB5">
          <w:rPr>
            <w:rStyle w:val="Hyperlink1"/>
            <w:rFonts w:asciiTheme="minorHAnsi" w:hAnsiTheme="minorHAnsi" w:cstheme="minorHAnsi"/>
            <w:i/>
            <w:iCs/>
            <w:sz w:val="20"/>
            <w:szCs w:val="20"/>
          </w:rPr>
          <w:t>Australian National Greenhouse Accounts Factors</w:t>
        </w:r>
      </w:hyperlink>
      <w:r w:rsidRPr="00AA5CB5">
        <w:t>, DCCEEW, 2024:21-22; table 8, accessed 14 February 2025.</w:t>
      </w:r>
    </w:p>
    <w:p w14:paraId="76054E04" w14:textId="622A3E4B" w:rsidR="006A5A25" w:rsidRPr="00AA5CB5" w:rsidRDefault="006A5A25" w:rsidP="006A5A25">
      <w:pPr>
        <w:pStyle w:val="Caption"/>
      </w:pPr>
      <w:bookmarkStart w:id="220" w:name="_Ref199872185"/>
      <w:bookmarkStart w:id="221" w:name="_Toc201927400"/>
      <w:r w:rsidRPr="00AA5CB5">
        <w:t xml:space="preserve">Table </w:t>
      </w:r>
      <w:r w:rsidRPr="00AA5CB5">
        <w:fldChar w:fldCharType="begin"/>
      </w:r>
      <w:r w:rsidRPr="00AA5CB5">
        <w:instrText xml:space="preserve"> SEQ Table \* ARABIC </w:instrText>
      </w:r>
      <w:r w:rsidRPr="00AA5CB5">
        <w:fldChar w:fldCharType="separate"/>
      </w:r>
      <w:r w:rsidR="00422A37">
        <w:rPr>
          <w:noProof/>
        </w:rPr>
        <w:t>27</w:t>
      </w:r>
      <w:r w:rsidRPr="00AA5CB5">
        <w:fldChar w:fldCharType="end"/>
      </w:r>
      <w:bookmarkEnd w:id="220"/>
      <w:r w:rsidR="00744A9C">
        <w:t>:</w:t>
      </w:r>
      <w:r w:rsidRPr="00AA5CB5">
        <w:t xml:space="preserve"> Stationary combustion - </w:t>
      </w:r>
      <w:r w:rsidR="006A48BE">
        <w:t>e</w:t>
      </w:r>
      <w:r w:rsidRPr="00AA5CB5">
        <w:t xml:space="preserve">mission </w:t>
      </w:r>
      <w:r w:rsidR="004104EE" w:rsidRPr="00AA5CB5">
        <w:t>f</w:t>
      </w:r>
      <w:r w:rsidRPr="00AA5CB5">
        <w:t xml:space="preserve">actor of </w:t>
      </w:r>
      <w:bookmarkEnd w:id="218"/>
      <w:bookmarkEnd w:id="219"/>
      <w:r w:rsidR="004104EE" w:rsidRPr="00AA5CB5">
        <w:rPr>
          <w:rFonts w:eastAsiaTheme="minorHAnsi" w:cstheme="minorBidi"/>
          <w:color w:val="auto"/>
        </w:rPr>
        <w:t>l</w:t>
      </w:r>
      <w:r w:rsidRPr="00AA5CB5">
        <w:rPr>
          <w:rFonts w:eastAsiaTheme="minorHAnsi" w:cstheme="minorBidi"/>
          <w:color w:val="auto"/>
        </w:rPr>
        <w:t>iqu</w:t>
      </w:r>
      <w:r w:rsidR="004104EE" w:rsidRPr="00AA5CB5">
        <w:rPr>
          <w:rFonts w:eastAsiaTheme="minorHAnsi" w:cstheme="minorBidi"/>
          <w:color w:val="auto"/>
        </w:rPr>
        <w:t>efied</w:t>
      </w:r>
      <w:r w:rsidRPr="00AA5CB5">
        <w:rPr>
          <w:rFonts w:eastAsiaTheme="minorHAnsi" w:cstheme="minorBidi"/>
          <w:color w:val="auto"/>
        </w:rPr>
        <w:t xml:space="preserve"> petroleum gas</w:t>
      </w:r>
      <w:bookmarkEnd w:id="221"/>
    </w:p>
    <w:tbl>
      <w:tblPr>
        <w:tblStyle w:val="ListTable4-Accent6"/>
        <w:tblW w:w="5000" w:type="pct"/>
        <w:tblInd w:w="0" w:type="dxa"/>
        <w:tblLook w:val="06A0" w:firstRow="1" w:lastRow="0" w:firstColumn="1" w:lastColumn="0" w:noHBand="1" w:noVBand="1"/>
      </w:tblPr>
      <w:tblGrid>
        <w:gridCol w:w="1881"/>
        <w:gridCol w:w="1881"/>
        <w:gridCol w:w="1880"/>
        <w:gridCol w:w="1880"/>
        <w:gridCol w:w="1880"/>
      </w:tblGrid>
      <w:tr w:rsidR="0020144B" w:rsidRPr="00AA5CB5" w14:paraId="78646837" w14:textId="77777777" w:rsidTr="000C4F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tcPr>
          <w:p w14:paraId="448EE863" w14:textId="269EEAD9" w:rsidR="004104EE" w:rsidRPr="00AA5CB5" w:rsidRDefault="004104EE" w:rsidP="004104EE">
            <w:pPr>
              <w:pStyle w:val="Tableheading"/>
              <w:rPr>
                <w:rFonts w:eastAsiaTheme="minorHAnsi"/>
                <w:b/>
                <w:bCs w:val="0"/>
                <w:lang w:val="en-AU"/>
              </w:rPr>
            </w:pPr>
            <w:bookmarkStart w:id="222" w:name="_Toc152749907"/>
            <w:r w:rsidRPr="00AA5CB5">
              <w:rPr>
                <w:rFonts w:eastAsiaTheme="minorHAnsi"/>
                <w:b/>
                <w:bCs w:val="0"/>
                <w:lang w:val="en-AU"/>
              </w:rPr>
              <w:t xml:space="preserve">Fuel </w:t>
            </w:r>
          </w:p>
        </w:tc>
        <w:tc>
          <w:tcPr>
            <w:tcW w:w="1000" w:type="pct"/>
          </w:tcPr>
          <w:p w14:paraId="6045C427" w14:textId="6CDC34AE" w:rsidR="004104EE" w:rsidRPr="00AA5CB5" w:rsidRDefault="004104EE" w:rsidP="004104EE">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Activity data unit</w:t>
            </w:r>
          </w:p>
        </w:tc>
        <w:tc>
          <w:tcPr>
            <w:tcW w:w="1000" w:type="pct"/>
          </w:tcPr>
          <w:p w14:paraId="182AE024" w14:textId="77777777" w:rsidR="004104EE" w:rsidRPr="00AA5CB5" w:rsidRDefault="004104EE" w:rsidP="004104EE">
            <w:pPr>
              <w:pStyle w:val="Tableheading"/>
              <w:cnfStyle w:val="100000000000" w:firstRow="1" w:lastRow="0" w:firstColumn="0" w:lastColumn="0" w:oddVBand="0" w:evenVBand="0" w:oddHBand="0" w:evenHBand="0" w:firstRowFirstColumn="0" w:firstRowLastColumn="0" w:lastRowFirstColumn="0" w:lastRowLastColumn="0"/>
              <w:rPr>
                <w:bCs w:val="0"/>
                <w:lang w:val="en-AU"/>
              </w:rPr>
            </w:pPr>
            <w:r w:rsidRPr="00AA5CB5">
              <w:rPr>
                <w:b/>
                <w:lang w:val="en-AU"/>
              </w:rPr>
              <w:t>Energy content factor (EC)</w:t>
            </w:r>
          </w:p>
          <w:p w14:paraId="3884BDDC" w14:textId="3FE5964D" w:rsidR="004104EE" w:rsidRPr="00AA5CB5" w:rsidRDefault="004104EE" w:rsidP="004104EE">
            <w:pPr>
              <w:pStyle w:val="Tableheading"/>
              <w:cnfStyle w:val="100000000000" w:firstRow="1" w:lastRow="0" w:firstColumn="0" w:lastColumn="0" w:oddVBand="0" w:evenVBand="0" w:oddHBand="0" w:evenHBand="0" w:firstRowFirstColumn="0" w:firstRowLastColumn="0" w:lastRowFirstColumn="0" w:lastRowLastColumn="0"/>
              <w:rPr>
                <w:highlight w:val="yellow"/>
                <w:lang w:val="en-AU"/>
              </w:rPr>
            </w:pPr>
            <w:r w:rsidRPr="00AA5CB5">
              <w:rPr>
                <w:b/>
                <w:lang w:val="en-AU"/>
              </w:rPr>
              <w:t xml:space="preserve">GJ per unit </w:t>
            </w:r>
          </w:p>
        </w:tc>
        <w:tc>
          <w:tcPr>
            <w:tcW w:w="1000" w:type="pct"/>
            <w:hideMark/>
          </w:tcPr>
          <w:p w14:paraId="3975FE66" w14:textId="77777777" w:rsidR="004104EE" w:rsidRPr="00AA5CB5" w:rsidRDefault="004104EE" w:rsidP="004104EE">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Net scope 1 emission factor</w:t>
            </w:r>
          </w:p>
          <w:p w14:paraId="7EAD6020" w14:textId="77777777" w:rsidR="004104EE" w:rsidRPr="00AA5CB5" w:rsidRDefault="004104EE" w:rsidP="004104EE">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c>
          <w:tcPr>
            <w:tcW w:w="1000" w:type="pct"/>
            <w:hideMark/>
          </w:tcPr>
          <w:p w14:paraId="5C4D99FE" w14:textId="77777777" w:rsidR="004104EE" w:rsidRPr="00AA5CB5" w:rsidRDefault="004104EE" w:rsidP="004104EE">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 xml:space="preserve">Net scope 3 supply chain emission factor  </w:t>
            </w:r>
          </w:p>
          <w:p w14:paraId="2819948B" w14:textId="77777777" w:rsidR="004104EE" w:rsidRPr="00AA5CB5" w:rsidRDefault="004104EE" w:rsidP="004104EE">
            <w:pPr>
              <w:pStyle w:val="Tableheading"/>
              <w:cnfStyle w:val="100000000000" w:firstRow="1" w:lastRow="0" w:firstColumn="0" w:lastColumn="0" w:oddVBand="0" w:evenVBand="0" w:oddHBand="0" w:evenHBand="0" w:firstRowFirstColumn="0" w:firstRowLastColumn="0" w:lastRowFirstColumn="0" w:lastRowLastColumn="0"/>
              <w:rPr>
                <w:rFonts w:eastAsiaTheme="minorHAnsi"/>
                <w:b/>
                <w:bCs w:val="0"/>
                <w:lang w:val="en-AU"/>
              </w:rPr>
            </w:pPr>
            <w:r w:rsidRPr="00AA5CB5">
              <w:rPr>
                <w:rFonts w:eastAsiaTheme="minorHAnsi"/>
                <w:b/>
                <w:bCs w:val="0"/>
                <w:lang w:val="en-AU"/>
              </w:rPr>
              <w:t>kg CO</w:t>
            </w:r>
            <w:r w:rsidRPr="00AA5CB5">
              <w:rPr>
                <w:rFonts w:asciiTheme="minorHAnsi" w:hAnsiTheme="minorHAnsi"/>
                <w:sz w:val="22"/>
                <w:vertAlign w:val="subscript"/>
                <w:lang w:val="en-AU"/>
              </w:rPr>
              <w:t>2</w:t>
            </w:r>
            <w:r w:rsidRPr="00AA5CB5">
              <w:rPr>
                <w:rFonts w:eastAsiaTheme="minorHAnsi"/>
                <w:b/>
                <w:bCs w:val="0"/>
                <w:lang w:val="en-AU"/>
              </w:rPr>
              <w:t>-e/GJ</w:t>
            </w:r>
          </w:p>
        </w:tc>
      </w:tr>
      <w:tr w:rsidR="00B5797D" w:rsidRPr="00AA5CB5" w14:paraId="6CE14CA8" w14:textId="77777777" w:rsidTr="00F234DB">
        <w:trPr>
          <w:trHeight w:val="300"/>
        </w:trPr>
        <w:tc>
          <w:tcPr>
            <w:cnfStyle w:val="001000000000" w:firstRow="0" w:lastRow="0" w:firstColumn="1" w:lastColumn="0" w:oddVBand="0" w:evenVBand="0" w:oddHBand="0" w:evenHBand="0" w:firstRowFirstColumn="0" w:firstRowLastColumn="0" w:lastRowFirstColumn="0" w:lastRowLastColumn="0"/>
            <w:tcW w:w="1000" w:type="pct"/>
          </w:tcPr>
          <w:p w14:paraId="10437DD5" w14:textId="77777777" w:rsidR="00B5797D" w:rsidRPr="00AA5CB5" w:rsidRDefault="00B5797D" w:rsidP="00F234DB">
            <w:pPr>
              <w:pStyle w:val="Tablebodytext"/>
              <w:rPr>
                <w:b w:val="0"/>
                <w:bCs w:val="0"/>
                <w:lang w:val="en-AU"/>
              </w:rPr>
            </w:pPr>
            <w:r w:rsidRPr="00AA5CB5">
              <w:rPr>
                <w:b w:val="0"/>
                <w:bCs w:val="0"/>
                <w:lang w:val="en-AU"/>
              </w:rPr>
              <w:t>Liquefied petroleum gas (LPG)</w:t>
            </w:r>
          </w:p>
        </w:tc>
        <w:tc>
          <w:tcPr>
            <w:tcW w:w="1000" w:type="pct"/>
          </w:tcPr>
          <w:p w14:paraId="083F19FE" w14:textId="77777777" w:rsidR="00B5797D" w:rsidRPr="00AA5CB5" w:rsidRDefault="00B5797D" w:rsidP="00F234DB">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Kilolitres (kL)</w:t>
            </w:r>
          </w:p>
        </w:tc>
        <w:tc>
          <w:tcPr>
            <w:tcW w:w="1000" w:type="pct"/>
          </w:tcPr>
          <w:p w14:paraId="77D4CEEE" w14:textId="77777777" w:rsidR="00B5797D" w:rsidRPr="00AA5CB5" w:rsidRDefault="00B5797D" w:rsidP="00F234DB">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25.7</w:t>
            </w:r>
          </w:p>
        </w:tc>
        <w:tc>
          <w:tcPr>
            <w:tcW w:w="1000" w:type="pct"/>
          </w:tcPr>
          <w:p w14:paraId="3A13805D" w14:textId="77777777" w:rsidR="00B5797D" w:rsidRPr="00AA5CB5" w:rsidRDefault="00B5797D" w:rsidP="00F234DB">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60.60</w:t>
            </w:r>
          </w:p>
        </w:tc>
        <w:tc>
          <w:tcPr>
            <w:tcW w:w="1000" w:type="pct"/>
          </w:tcPr>
          <w:p w14:paraId="19304C06" w14:textId="77777777" w:rsidR="00B5797D" w:rsidRPr="00AA5CB5" w:rsidRDefault="00B5797D" w:rsidP="00F234DB">
            <w:pPr>
              <w:pStyle w:val="Tablebodytext"/>
              <w:cnfStyle w:val="000000000000" w:firstRow="0" w:lastRow="0" w:firstColumn="0" w:lastColumn="0" w:oddVBand="0" w:evenVBand="0" w:oddHBand="0" w:evenHBand="0" w:firstRowFirstColumn="0" w:firstRowLastColumn="0" w:lastRowFirstColumn="0" w:lastRowLastColumn="0"/>
              <w:rPr>
                <w:lang w:val="en-AU"/>
              </w:rPr>
            </w:pPr>
            <w:r w:rsidRPr="00AA5CB5">
              <w:rPr>
                <w:lang w:val="en-AU"/>
              </w:rPr>
              <w:t>20.2</w:t>
            </w:r>
          </w:p>
        </w:tc>
      </w:tr>
    </w:tbl>
    <w:bookmarkEnd w:id="222"/>
    <w:p w14:paraId="541CBC60" w14:textId="77777777" w:rsidR="00782113" w:rsidRPr="00AA5CB5" w:rsidRDefault="00782113">
      <w:pPr>
        <w:pStyle w:val="Notebullets1"/>
        <w:numPr>
          <w:ilvl w:val="0"/>
          <w:numId w:val="0"/>
        </w:numPr>
      </w:pPr>
      <w:r w:rsidRPr="00AA5CB5">
        <w:rPr>
          <w:rStyle w:val="Notebullets1Char"/>
        </w:rPr>
        <w:t>Source:</w:t>
      </w:r>
      <w:r w:rsidRPr="00AA5CB5">
        <w:t xml:space="preserve"> DCCEEW (2024) </w:t>
      </w:r>
      <w:hyperlink r:id="rId83" w:history="1">
        <w:r w:rsidRPr="00AA5CB5">
          <w:rPr>
            <w:rStyle w:val="Hyperlink1"/>
            <w:rFonts w:asciiTheme="minorHAnsi" w:hAnsiTheme="minorHAnsi" w:cstheme="minorHAnsi"/>
            <w:i/>
            <w:iCs/>
            <w:sz w:val="20"/>
            <w:szCs w:val="20"/>
          </w:rPr>
          <w:t>Australian National Greenhouse Accounts Factors</w:t>
        </w:r>
      </w:hyperlink>
      <w:r w:rsidRPr="00AA5CB5">
        <w:t>, DCCEEW, 2024:21-22; table 8, accessed 14 February 2025.</w:t>
      </w:r>
    </w:p>
    <w:p w14:paraId="11EB24F4" w14:textId="77777777" w:rsidR="006A5A25" w:rsidRPr="00AA5CB5" w:rsidRDefault="006A5A25" w:rsidP="006A5A25">
      <w:pPr>
        <w:pStyle w:val="BodyText1"/>
      </w:pPr>
      <w:r w:rsidRPr="00AA5CB5">
        <w:br w:type="page"/>
      </w:r>
    </w:p>
    <w:p w14:paraId="1BC07BDE" w14:textId="77777777" w:rsidR="00496707" w:rsidRPr="00AA5CB5" w:rsidRDefault="00496707" w:rsidP="00496707">
      <w:pPr>
        <w:pStyle w:val="Heading1"/>
      </w:pPr>
      <w:bookmarkStart w:id="223" w:name="_Toc201927373"/>
      <w:r w:rsidRPr="00AA5CB5">
        <w:lastRenderedPageBreak/>
        <w:t>Glossary</w:t>
      </w:r>
      <w:bookmarkEnd w:id="223"/>
    </w:p>
    <w:tbl>
      <w:tblPr>
        <w:tblStyle w:val="GridTable4-Accent6"/>
        <w:tblW w:w="9350" w:type="dxa"/>
        <w:tblBorders>
          <w:top w:val="single" w:sz="4" w:space="0" w:color="359D9A" w:themeColor="accent2"/>
          <w:left w:val="none" w:sz="0" w:space="0" w:color="auto"/>
          <w:bottom w:val="single" w:sz="4" w:space="0" w:color="359D9A" w:themeColor="accent2"/>
          <w:right w:val="none" w:sz="0" w:space="0" w:color="auto"/>
          <w:insideH w:val="none" w:sz="0" w:space="0" w:color="auto"/>
          <w:insideV w:val="none" w:sz="0" w:space="0" w:color="auto"/>
        </w:tblBorders>
        <w:tblLook w:val="0400" w:firstRow="0" w:lastRow="0" w:firstColumn="0" w:lastColumn="0" w:noHBand="0" w:noVBand="1"/>
      </w:tblPr>
      <w:tblGrid>
        <w:gridCol w:w="2294"/>
        <w:gridCol w:w="7056"/>
      </w:tblGrid>
      <w:tr w:rsidR="00D2550D" w:rsidRPr="00AA5CB5" w14:paraId="6EC72AEA"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45E149C1" w14:textId="77777777" w:rsidR="00D2550D" w:rsidRPr="00AA5CB5" w:rsidRDefault="00D2550D" w:rsidP="00276456">
            <w:pPr>
              <w:pStyle w:val="BodyText1"/>
              <w:rPr>
                <w:b/>
                <w:bCs/>
              </w:rPr>
            </w:pPr>
            <w:r w:rsidRPr="00AA5CB5">
              <w:rPr>
                <w:b/>
                <w:bCs/>
              </w:rPr>
              <w:t>100-year horizon (GWP-100)</w:t>
            </w:r>
          </w:p>
        </w:tc>
        <w:tc>
          <w:tcPr>
            <w:tcW w:w="7056" w:type="dxa"/>
            <w:hideMark/>
          </w:tcPr>
          <w:p w14:paraId="6ED74255" w14:textId="77777777" w:rsidR="00D2550D" w:rsidRPr="00AA5CB5" w:rsidRDefault="00D2550D" w:rsidP="00276456">
            <w:pPr>
              <w:pStyle w:val="BodyText1"/>
            </w:pPr>
            <w:r w:rsidRPr="00AA5CB5">
              <w:t xml:space="preserve">A standard timeframe used to accurately compare the Global warming potential (GWP) of different greenhouse gases based on their impact on climate change over a 100-year period. </w:t>
            </w:r>
          </w:p>
          <w:p w14:paraId="5318B32F" w14:textId="77777777" w:rsidR="00D2550D" w:rsidRPr="00AA5CB5" w:rsidRDefault="00D2550D" w:rsidP="00276456">
            <w:pPr>
              <w:pStyle w:val="BodyText1"/>
            </w:pPr>
            <w:r w:rsidRPr="00AA5CB5">
              <w:t xml:space="preserve">The 100-year horizon was chosen for the </w:t>
            </w:r>
            <w:r>
              <w:t xml:space="preserve">Framework </w:t>
            </w:r>
            <w:r w:rsidRPr="00AA5CB5">
              <w:t xml:space="preserve">to align with the Paris Agreement. </w:t>
            </w:r>
          </w:p>
          <w:p w14:paraId="759EF919" w14:textId="77777777" w:rsidR="00D2550D" w:rsidRPr="00AA5CB5" w:rsidRDefault="00D2550D" w:rsidP="00276456">
            <w:pPr>
              <w:pStyle w:val="BodyText1"/>
            </w:pPr>
            <w:r w:rsidRPr="00AA5CB5">
              <w:t xml:space="preserve">Although shorter (20-year) and longer (500-year) horizons exist, the 100-year horizon has become more commonly used as it balances the short- and long-term impacts of emissions and is on a time scale for meaningful climate action. </w:t>
            </w:r>
          </w:p>
        </w:tc>
      </w:tr>
      <w:tr w:rsidR="00D2550D" w:rsidRPr="00AA5CB5" w14:paraId="6561D355" w14:textId="77777777" w:rsidTr="7CE0D348">
        <w:trPr>
          <w:trHeight w:val="20"/>
        </w:trPr>
        <w:tc>
          <w:tcPr>
            <w:tcW w:w="2294" w:type="dxa"/>
            <w:hideMark/>
          </w:tcPr>
          <w:p w14:paraId="69C65681" w14:textId="77777777" w:rsidR="00D2550D" w:rsidRPr="00AA5CB5" w:rsidRDefault="00D2550D" w:rsidP="00276456">
            <w:pPr>
              <w:pStyle w:val="BodyText1"/>
              <w:rPr>
                <w:b/>
                <w:bCs/>
              </w:rPr>
            </w:pPr>
            <w:r w:rsidRPr="00AA5CB5">
              <w:rPr>
                <w:b/>
                <w:bCs/>
              </w:rPr>
              <w:t>Activity</w:t>
            </w:r>
          </w:p>
        </w:tc>
        <w:tc>
          <w:tcPr>
            <w:tcW w:w="7056" w:type="dxa"/>
            <w:hideMark/>
          </w:tcPr>
          <w:p w14:paraId="78F18AAC" w14:textId="77777777" w:rsidR="00D2550D" w:rsidRPr="00AA5CB5" w:rsidRDefault="00D2550D" w:rsidP="00276456">
            <w:pPr>
              <w:pStyle w:val="BodyText1"/>
            </w:pPr>
            <w:r w:rsidRPr="00AA5CB5">
              <w:t xml:space="preserve">A practice or ensemble of practices that take place on a </w:t>
            </w:r>
            <w:r>
              <w:t xml:space="preserve">specified </w:t>
            </w:r>
            <w:r w:rsidRPr="00AA5CB5">
              <w:t xml:space="preserve">area over a given period of time. </w:t>
            </w:r>
          </w:p>
        </w:tc>
      </w:tr>
      <w:tr w:rsidR="00D2550D" w:rsidRPr="00AA5CB5" w14:paraId="5D70B271"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74F53E9D" w14:textId="77777777" w:rsidR="00D2550D" w:rsidRPr="00AA5CB5" w:rsidRDefault="00D2550D" w:rsidP="00276456">
            <w:pPr>
              <w:pStyle w:val="BodyText1"/>
              <w:rPr>
                <w:b/>
                <w:bCs/>
              </w:rPr>
            </w:pPr>
            <w:r w:rsidRPr="00AA5CB5">
              <w:rPr>
                <w:b/>
                <w:bCs/>
              </w:rPr>
              <w:t>Activity data</w:t>
            </w:r>
          </w:p>
        </w:tc>
        <w:tc>
          <w:tcPr>
            <w:tcW w:w="7056" w:type="dxa"/>
            <w:hideMark/>
          </w:tcPr>
          <w:p w14:paraId="7F700BF6" w14:textId="77777777" w:rsidR="00D2550D" w:rsidRPr="00AA5CB5" w:rsidRDefault="00D2550D" w:rsidP="00276456">
            <w:pPr>
              <w:pStyle w:val="BodyText1"/>
            </w:pPr>
            <w:r w:rsidRPr="00AA5CB5">
              <w:t xml:space="preserve">Data on the </w:t>
            </w:r>
            <w:r>
              <w:t>size</w:t>
            </w:r>
            <w:r w:rsidRPr="00AA5CB5">
              <w:t xml:space="preserve"> of a human activity resulting in emissions or removals taking place during a given period of time. Data on energy use, metal production, land areas, management systems, lime and fertiliser use and waste arisings are examples of activity data.</w:t>
            </w:r>
          </w:p>
          <w:p w14:paraId="0887D12F" w14:textId="77777777" w:rsidR="00D2550D" w:rsidRPr="00AA5CB5" w:rsidRDefault="00D2550D" w:rsidP="00276456">
            <w:pPr>
              <w:pStyle w:val="BodyText1"/>
            </w:pPr>
            <w:r w:rsidRPr="00AA5CB5">
              <w:t>Within the Framework, examples include kilowatt hours of electricity consumed, gigajoules of natural gas or other fuels consumed, tonnes of waste sent to landfill and so forth.</w:t>
            </w:r>
          </w:p>
        </w:tc>
      </w:tr>
      <w:tr w:rsidR="00D2550D" w:rsidRPr="00AA5CB5" w14:paraId="600A9002" w14:textId="77777777" w:rsidTr="7CE0D348">
        <w:trPr>
          <w:trHeight w:val="20"/>
        </w:trPr>
        <w:tc>
          <w:tcPr>
            <w:tcW w:w="2294" w:type="dxa"/>
            <w:hideMark/>
          </w:tcPr>
          <w:p w14:paraId="477A85FF" w14:textId="77777777" w:rsidR="00D2550D" w:rsidRPr="00AA5CB5" w:rsidRDefault="00D2550D" w:rsidP="00276456">
            <w:pPr>
              <w:pStyle w:val="BodyText1"/>
              <w:rPr>
                <w:b/>
                <w:bCs/>
              </w:rPr>
            </w:pPr>
            <w:r w:rsidRPr="00AA5CB5">
              <w:rPr>
                <w:b/>
                <w:bCs/>
              </w:rPr>
              <w:t>Actual data</w:t>
            </w:r>
          </w:p>
        </w:tc>
        <w:tc>
          <w:tcPr>
            <w:tcW w:w="7056" w:type="dxa"/>
            <w:hideMark/>
          </w:tcPr>
          <w:p w14:paraId="42736586" w14:textId="77777777" w:rsidR="00D2550D" w:rsidRPr="00AA5CB5" w:rsidRDefault="00D2550D" w:rsidP="00276456">
            <w:pPr>
              <w:pStyle w:val="BodyText1"/>
            </w:pPr>
            <w:r w:rsidRPr="00AA5CB5">
              <w:t>Also known as ‘actuals’. The real or true figures from operations that occurred over a specific period, as opposed to projections or extrapolated data. It can be from direct measurement, primary or secondary data sources.</w:t>
            </w:r>
          </w:p>
        </w:tc>
      </w:tr>
      <w:tr w:rsidR="00D2550D" w:rsidRPr="00AA5CB5" w14:paraId="1E40E7E6"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10437DC3" w14:textId="77777777" w:rsidR="00D2550D" w:rsidRPr="00AA5CB5" w:rsidRDefault="00D2550D" w:rsidP="00276456">
            <w:pPr>
              <w:pStyle w:val="BodyText1"/>
              <w:rPr>
                <w:b/>
                <w:bCs/>
              </w:rPr>
            </w:pPr>
            <w:r w:rsidRPr="00AA5CB5">
              <w:rPr>
                <w:b/>
                <w:bCs/>
              </w:rPr>
              <w:t>Amendment</w:t>
            </w:r>
          </w:p>
        </w:tc>
        <w:tc>
          <w:tcPr>
            <w:tcW w:w="7056" w:type="dxa"/>
            <w:hideMark/>
          </w:tcPr>
          <w:p w14:paraId="083C5DF0" w14:textId="77777777" w:rsidR="00D2550D" w:rsidRPr="00AA5CB5" w:rsidRDefault="00D2550D" w:rsidP="00276456">
            <w:pPr>
              <w:pStyle w:val="BodyText1"/>
            </w:pPr>
            <w:r w:rsidRPr="00AA5CB5">
              <w:t xml:space="preserve">A correction of a reported or published error, or the reconciliation of activity data, calculated emissions and emissions inventories. </w:t>
            </w:r>
          </w:p>
          <w:p w14:paraId="0EEC673A" w14:textId="77777777" w:rsidR="00D2550D" w:rsidRPr="00AA5CB5" w:rsidRDefault="00D2550D" w:rsidP="00276456">
            <w:pPr>
              <w:pStyle w:val="BodyText1"/>
            </w:pPr>
            <w:r>
              <w:t>Refer to</w:t>
            </w:r>
            <w:r w:rsidRPr="00AA5CB5">
              <w:t xml:space="preserve"> Errors for explanation of an error and Reconciliation for explanation of reconciliations.</w:t>
            </w:r>
          </w:p>
        </w:tc>
      </w:tr>
      <w:tr w:rsidR="00D2550D" w:rsidRPr="00AA5CB5" w14:paraId="5FDC7B3B" w14:textId="77777777" w:rsidTr="7CE0D348">
        <w:trPr>
          <w:trHeight w:val="20"/>
        </w:trPr>
        <w:tc>
          <w:tcPr>
            <w:tcW w:w="2294" w:type="dxa"/>
            <w:hideMark/>
          </w:tcPr>
          <w:p w14:paraId="3B0D3580" w14:textId="77777777" w:rsidR="00D2550D" w:rsidRPr="00AA5CB5" w:rsidRDefault="00D2550D" w:rsidP="00276456">
            <w:pPr>
              <w:pStyle w:val="BodyText1"/>
              <w:rPr>
                <w:b/>
                <w:bCs/>
              </w:rPr>
            </w:pPr>
            <w:r w:rsidRPr="00AA5CB5">
              <w:rPr>
                <w:b/>
                <w:bCs/>
              </w:rPr>
              <w:t>Annual Progress Report</w:t>
            </w:r>
          </w:p>
        </w:tc>
        <w:tc>
          <w:tcPr>
            <w:tcW w:w="7056" w:type="dxa"/>
            <w:hideMark/>
          </w:tcPr>
          <w:p w14:paraId="04CA4C44" w14:textId="1EABF026" w:rsidR="00D2550D" w:rsidRPr="00AA5CB5" w:rsidRDefault="00D2550D" w:rsidP="00276456">
            <w:pPr>
              <w:pStyle w:val="BodyText1"/>
            </w:pPr>
            <w:r w:rsidRPr="00AA5CB5">
              <w:t xml:space="preserve">The </w:t>
            </w:r>
            <w:hyperlink r:id="rId84">
              <w:r w:rsidRPr="00AA5CB5">
                <w:rPr>
                  <w:rStyle w:val="Hyperlink"/>
                </w:rPr>
                <w:t>Net Zero in Government Operations Annual Progress Report</w:t>
              </w:r>
            </w:hyperlink>
            <w:r w:rsidRPr="00AA5CB5">
              <w:t xml:space="preserve">, reports </w:t>
            </w:r>
            <w:r w:rsidR="00E90152">
              <w:t>GHG</w:t>
            </w:r>
            <w:r w:rsidRPr="00AA5CB5">
              <w:t xml:space="preserve"> emissions for the whole of Australian Government and tracks progress towards net zero emissions.</w:t>
            </w:r>
          </w:p>
        </w:tc>
      </w:tr>
      <w:tr w:rsidR="00D2550D" w:rsidRPr="00AA5CB5" w14:paraId="6DDCFF1D"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28707EEC" w14:textId="77777777" w:rsidR="00D2550D" w:rsidRPr="00AA5CB5" w:rsidRDefault="00D2550D" w:rsidP="00276456">
            <w:pPr>
              <w:pStyle w:val="BodyText1"/>
              <w:rPr>
                <w:b/>
                <w:bCs/>
              </w:rPr>
            </w:pPr>
            <w:r w:rsidRPr="00AA5CB5">
              <w:rPr>
                <w:b/>
                <w:bCs/>
              </w:rPr>
              <w:t>APS Net Zero 2030 Target</w:t>
            </w:r>
            <w:r>
              <w:rPr>
                <w:b/>
                <w:bCs/>
              </w:rPr>
              <w:t xml:space="preserve"> (the Target)</w:t>
            </w:r>
          </w:p>
        </w:tc>
        <w:tc>
          <w:tcPr>
            <w:tcW w:w="7056" w:type="dxa"/>
            <w:hideMark/>
          </w:tcPr>
          <w:p w14:paraId="7EC1DA34" w14:textId="42B428A7" w:rsidR="00D2550D" w:rsidRPr="00AA5CB5" w:rsidRDefault="00D2550D" w:rsidP="00276456">
            <w:pPr>
              <w:pStyle w:val="BodyText1"/>
            </w:pPr>
            <w:r w:rsidRPr="00AA5CB5">
              <w:t xml:space="preserve">Part of Australia’s international climate commitments, including Australia’s Nationally Determined Contribution under the Paris Agreement. The Target applies to all non-corporate Commonwealth entities, excluding defence and security agencies, and covers the entirety of the department’s organisation. Corporate Commonwealth entities and Commonwealth Companies can opt into the APS Net Zero  2030 Target. The timeframe for achieving the net </w:t>
            </w:r>
            <w:r w:rsidR="00E90152">
              <w:t>GHG</w:t>
            </w:r>
            <w:r w:rsidRPr="00AA5CB5">
              <w:t xml:space="preserve"> </w:t>
            </w:r>
            <w:r w:rsidRPr="00AA5CB5">
              <w:lastRenderedPageBreak/>
              <w:t>emissions target is from 16 June 2022 to 30 June 2031.</w:t>
            </w:r>
            <w:r>
              <w:t xml:space="preserve"> Refer to </w:t>
            </w:r>
            <w:hyperlink r:id="rId85">
              <w:r w:rsidRPr="00AA5CB5">
                <w:rPr>
                  <w:rStyle w:val="Hyperlink1"/>
                </w:rPr>
                <w:t>APS Net Zero Emissions by 2030</w:t>
              </w:r>
            </w:hyperlink>
            <w:r w:rsidRPr="00AA5CB5">
              <w:t xml:space="preserve"> for further details. </w:t>
            </w:r>
          </w:p>
        </w:tc>
      </w:tr>
      <w:tr w:rsidR="00D2550D" w:rsidRPr="00AA5CB5" w14:paraId="119D1633" w14:textId="77777777" w:rsidTr="7CE0D348">
        <w:trPr>
          <w:trHeight w:val="20"/>
        </w:trPr>
        <w:tc>
          <w:tcPr>
            <w:tcW w:w="2294" w:type="dxa"/>
            <w:hideMark/>
          </w:tcPr>
          <w:p w14:paraId="5233F00C" w14:textId="77777777" w:rsidR="00D2550D" w:rsidRPr="00AA5CB5" w:rsidRDefault="00D2550D" w:rsidP="00276456">
            <w:pPr>
              <w:pStyle w:val="BodyText1"/>
              <w:rPr>
                <w:b/>
                <w:bCs/>
              </w:rPr>
            </w:pPr>
            <w:r w:rsidRPr="00AA5CB5">
              <w:rPr>
                <w:b/>
                <w:bCs/>
              </w:rPr>
              <w:lastRenderedPageBreak/>
              <w:t>Atmospheric residence time</w:t>
            </w:r>
          </w:p>
        </w:tc>
        <w:tc>
          <w:tcPr>
            <w:tcW w:w="7056" w:type="dxa"/>
            <w:hideMark/>
          </w:tcPr>
          <w:p w14:paraId="2D8CE795" w14:textId="517145A3" w:rsidR="00D2550D" w:rsidRPr="00AA5CB5" w:rsidRDefault="00D2550D" w:rsidP="00276456">
            <w:pPr>
              <w:pStyle w:val="BodyText1"/>
            </w:pPr>
            <w:r w:rsidRPr="00AA5CB5">
              <w:t xml:space="preserve">Also called residence time or atmospheric lifetime, is how long a </w:t>
            </w:r>
            <w:r w:rsidR="00E90152">
              <w:t>GHG</w:t>
            </w:r>
            <w:r w:rsidRPr="00AA5CB5">
              <w:t xml:space="preserve"> remains in the atmosphere. For example, once released into the atmosphere, methane stays for about 10 years, while nitrous oxide stays for more than 100 years. Because many greenhouse gases remain in the atmosphere for a long time, their warming effects last for decades or even centuries.</w:t>
            </w:r>
          </w:p>
        </w:tc>
      </w:tr>
      <w:tr w:rsidR="00D2550D" w:rsidRPr="00AA5CB5" w14:paraId="2420E0F2"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5269588D" w14:textId="77777777" w:rsidR="00D2550D" w:rsidRPr="00AA5CB5" w:rsidRDefault="00D2550D" w:rsidP="00276456">
            <w:pPr>
              <w:pStyle w:val="BodyText1"/>
              <w:rPr>
                <w:b/>
                <w:bCs/>
              </w:rPr>
            </w:pPr>
            <w:r w:rsidRPr="00AA5CB5">
              <w:rPr>
                <w:b/>
                <w:bCs/>
              </w:rPr>
              <w:t>Australian Accounting Standards Board (AASB)</w:t>
            </w:r>
          </w:p>
        </w:tc>
        <w:tc>
          <w:tcPr>
            <w:tcW w:w="7056" w:type="dxa"/>
            <w:hideMark/>
          </w:tcPr>
          <w:p w14:paraId="2E76F1A4" w14:textId="77777777" w:rsidR="00D2550D" w:rsidRPr="00AA5CB5" w:rsidRDefault="00D2550D" w:rsidP="00276456">
            <w:pPr>
              <w:pStyle w:val="BodyText1"/>
            </w:pPr>
            <w:r w:rsidRPr="00AA5CB5">
              <w:t>An independent non-corporate Commonwealth entity of the Australian Government that develops, issues and maintains accounting standards and develops sustainability standards applicable to entities in the private and public sectors of the Australian economy.</w:t>
            </w:r>
          </w:p>
        </w:tc>
      </w:tr>
      <w:tr w:rsidR="00D2550D" w:rsidRPr="00AA5CB5" w14:paraId="574C32C0" w14:textId="77777777" w:rsidTr="7CE0D348">
        <w:trPr>
          <w:trHeight w:val="20"/>
        </w:trPr>
        <w:tc>
          <w:tcPr>
            <w:tcW w:w="2294" w:type="dxa"/>
            <w:hideMark/>
          </w:tcPr>
          <w:p w14:paraId="1C625884" w14:textId="77777777" w:rsidR="00D2550D" w:rsidRPr="00AA5CB5" w:rsidRDefault="00D2550D" w:rsidP="00276456">
            <w:pPr>
              <w:pStyle w:val="BodyText1"/>
              <w:rPr>
                <w:b/>
                <w:bCs/>
              </w:rPr>
            </w:pPr>
            <w:r w:rsidRPr="00AA5CB5">
              <w:rPr>
                <w:b/>
                <w:bCs/>
              </w:rPr>
              <w:t>Australian Sustainability Reporting Standard (ASRS)</w:t>
            </w:r>
          </w:p>
        </w:tc>
        <w:tc>
          <w:tcPr>
            <w:tcW w:w="7056" w:type="dxa"/>
            <w:hideMark/>
          </w:tcPr>
          <w:p w14:paraId="03EA8710" w14:textId="77777777" w:rsidR="00D2550D" w:rsidRPr="00AA5CB5" w:rsidRDefault="00D2550D" w:rsidP="00276456">
            <w:pPr>
              <w:pStyle w:val="BodyText1"/>
            </w:pPr>
            <w:r w:rsidRPr="00AA5CB5">
              <w:t xml:space="preserve">Refers to the Australian Accounting Standards Board’s </w:t>
            </w:r>
            <w:hyperlink r:id="rId86" w:history="1">
              <w:r w:rsidRPr="00AA5CB5">
                <w:rPr>
                  <w:rStyle w:val="Hyperlink"/>
                  <w:rFonts w:cstheme="minorHAnsi"/>
                </w:rPr>
                <w:t>AASB S1 General Requirements for Disclosure of Sustainability-related Financial Information</w:t>
              </w:r>
            </w:hyperlink>
            <w:r w:rsidRPr="00AA5CB5">
              <w:t xml:space="preserve"> and </w:t>
            </w:r>
            <w:hyperlink r:id="rId87" w:history="1">
              <w:r w:rsidRPr="00AA5CB5">
                <w:rPr>
                  <w:rStyle w:val="Hyperlink"/>
                  <w:rFonts w:cstheme="minorHAnsi"/>
                </w:rPr>
                <w:t>AASB S2 Climate-related Disclosures</w:t>
              </w:r>
            </w:hyperlink>
            <w:r w:rsidRPr="00AA5CB5">
              <w:t xml:space="preserve"> that were released in September 2024.</w:t>
            </w:r>
          </w:p>
        </w:tc>
      </w:tr>
      <w:tr w:rsidR="00D2550D" w:rsidRPr="00AA5CB5" w14:paraId="259A1354"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2143C399" w14:textId="77777777" w:rsidR="00D2550D" w:rsidRPr="00AA5CB5" w:rsidRDefault="00D2550D" w:rsidP="00276456">
            <w:pPr>
              <w:pStyle w:val="BodyText1"/>
              <w:rPr>
                <w:b/>
                <w:bCs/>
              </w:rPr>
            </w:pPr>
            <w:r w:rsidRPr="00AA5CB5">
              <w:rPr>
                <w:b/>
                <w:bCs/>
              </w:rPr>
              <w:t>Carbon dioxide equivalent or CO</w:t>
            </w:r>
            <w:r w:rsidRPr="00AA5CB5">
              <w:rPr>
                <w:b/>
                <w:bCs/>
                <w:vertAlign w:val="subscript"/>
              </w:rPr>
              <w:t>2</w:t>
            </w:r>
            <w:r w:rsidRPr="00AA5CB5">
              <w:rPr>
                <w:b/>
                <w:bCs/>
              </w:rPr>
              <w:t xml:space="preserve"> equivalent (CO</w:t>
            </w:r>
            <w:r w:rsidRPr="00AA5CB5">
              <w:rPr>
                <w:b/>
                <w:bCs/>
                <w:vertAlign w:val="subscript"/>
              </w:rPr>
              <w:t>2</w:t>
            </w:r>
            <w:r w:rsidRPr="00AA5CB5">
              <w:rPr>
                <w:b/>
                <w:bCs/>
              </w:rPr>
              <w:t>-e)</w:t>
            </w:r>
          </w:p>
        </w:tc>
        <w:tc>
          <w:tcPr>
            <w:tcW w:w="7056" w:type="dxa"/>
            <w:hideMark/>
          </w:tcPr>
          <w:p w14:paraId="3FB381E0" w14:textId="77777777" w:rsidR="00D2550D" w:rsidRPr="00AA5CB5" w:rsidRDefault="00D2550D" w:rsidP="00276456">
            <w:pPr>
              <w:pStyle w:val="BodyText1"/>
            </w:pPr>
            <w:r w:rsidRPr="00AA5CB5">
              <w:t>A measure that allows the direct comparison between emissions of different greenhouse gases, based on their global warming potentials. </w:t>
            </w:r>
          </w:p>
          <w:p w14:paraId="648A382D" w14:textId="77777777" w:rsidR="00D2550D" w:rsidRPr="00AA5CB5" w:rsidRDefault="00D2550D" w:rsidP="00276456">
            <w:pPr>
              <w:pStyle w:val="BodyText1"/>
            </w:pPr>
            <w:r w:rsidRPr="00AA5CB5">
              <w:t>It is effectively an equivalence measure, as the different greenhouse gases absorb heat energy differently.</w:t>
            </w:r>
          </w:p>
        </w:tc>
      </w:tr>
      <w:tr w:rsidR="00D2550D" w:rsidRPr="00AA5CB5" w14:paraId="18335BA3" w14:textId="77777777" w:rsidTr="7CE0D348">
        <w:trPr>
          <w:trHeight w:val="20"/>
        </w:trPr>
        <w:tc>
          <w:tcPr>
            <w:tcW w:w="2294" w:type="dxa"/>
            <w:hideMark/>
          </w:tcPr>
          <w:p w14:paraId="22E45675" w14:textId="77777777" w:rsidR="00D2550D" w:rsidRPr="00AA5CB5" w:rsidRDefault="00D2550D" w:rsidP="00276456">
            <w:pPr>
              <w:pStyle w:val="BodyText1"/>
              <w:rPr>
                <w:b/>
                <w:bCs/>
              </w:rPr>
            </w:pPr>
            <w:r w:rsidRPr="00AA5CB5">
              <w:rPr>
                <w:b/>
                <w:bCs/>
              </w:rPr>
              <w:t>Climate Action in Government Operations Emissions Reporting Framework (</w:t>
            </w:r>
            <w:r>
              <w:rPr>
                <w:b/>
                <w:bCs/>
              </w:rPr>
              <w:t>the Framework</w:t>
            </w:r>
            <w:r w:rsidRPr="00AA5CB5">
              <w:rPr>
                <w:b/>
                <w:bCs/>
              </w:rPr>
              <w:t>)</w:t>
            </w:r>
          </w:p>
        </w:tc>
        <w:tc>
          <w:tcPr>
            <w:tcW w:w="7056" w:type="dxa"/>
            <w:hideMark/>
          </w:tcPr>
          <w:p w14:paraId="2CD59149" w14:textId="77777777" w:rsidR="00D2550D" w:rsidRPr="00AA5CB5" w:rsidRDefault="00D2550D" w:rsidP="00276456">
            <w:pPr>
              <w:pStyle w:val="BodyText1"/>
            </w:pPr>
            <w:r w:rsidRPr="00AA5CB5">
              <w:t xml:space="preserve">The </w:t>
            </w:r>
            <w:r w:rsidRPr="00972C19">
              <w:t>Framework</w:t>
            </w:r>
            <w:r w:rsidRPr="00AA5CB5">
              <w:t xml:space="preserve"> provides a consistent approach to emissions reporting across the APS. It is designed to help the Commonwealth meet its reporting obligations as outlined in Australia’s Nationally Determined Contribution under the Paris Agreement.</w:t>
            </w:r>
          </w:p>
        </w:tc>
      </w:tr>
      <w:tr w:rsidR="00D2550D" w:rsidRPr="00AA5CB5" w14:paraId="0322A44B"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054F45F3" w14:textId="77777777" w:rsidR="00D2550D" w:rsidRPr="00AA5CB5" w:rsidRDefault="00D2550D" w:rsidP="00276456">
            <w:pPr>
              <w:pStyle w:val="BodyText1"/>
              <w:rPr>
                <w:b/>
                <w:bCs/>
              </w:rPr>
            </w:pPr>
            <w:hyperlink r:id="rId88" w:history="1">
              <w:r w:rsidRPr="00AA5CB5">
                <w:rPr>
                  <w:rStyle w:val="Hyperlink"/>
                  <w:rFonts w:cstheme="minorHAnsi"/>
                  <w:b/>
                  <w:bCs/>
                </w:rPr>
                <w:t>Commonwealth Climate Disclosure</w:t>
              </w:r>
            </w:hyperlink>
            <w:r w:rsidRPr="00AA5CB5">
              <w:rPr>
                <w:b/>
                <w:bCs/>
              </w:rPr>
              <w:t xml:space="preserve"> (CCD)</w:t>
            </w:r>
          </w:p>
        </w:tc>
        <w:tc>
          <w:tcPr>
            <w:tcW w:w="7056" w:type="dxa"/>
            <w:hideMark/>
          </w:tcPr>
          <w:p w14:paraId="4D3B2490" w14:textId="77777777" w:rsidR="00D2550D" w:rsidRPr="00AA5CB5" w:rsidRDefault="00D2550D" w:rsidP="00276456">
            <w:pPr>
              <w:pStyle w:val="BodyText1"/>
            </w:pPr>
            <w:r w:rsidRPr="00AA5CB5">
              <w:t xml:space="preserve">An initiative to ensure that Commonwealth entities and companies transparently report on their exposure to climate risks and opportunities, as well as their actions to manage them. This policy aims to deliver transparent and consistent climate disclosures to the Australian public. </w:t>
            </w:r>
          </w:p>
          <w:p w14:paraId="70F6855F" w14:textId="77777777" w:rsidR="00D2550D" w:rsidRPr="00AA5CB5" w:rsidRDefault="00D2550D" w:rsidP="00276456">
            <w:pPr>
              <w:pStyle w:val="BodyText1"/>
            </w:pPr>
            <w:r w:rsidRPr="00AA5CB5">
              <w:t xml:space="preserve">The following CCD requirements are achieved by following the Framework. </w:t>
            </w:r>
          </w:p>
          <w:p w14:paraId="3C677E48" w14:textId="0ECFCE12" w:rsidR="00D2550D" w:rsidRPr="00AA5CB5" w:rsidRDefault="00D2550D" w:rsidP="00621925">
            <w:pPr>
              <w:pStyle w:val="Bodybullet1"/>
            </w:pPr>
            <w:r w:rsidRPr="00AA5CB5">
              <w:t xml:space="preserve">M3(a) </w:t>
            </w:r>
            <w:r w:rsidR="00E90152">
              <w:t>GHG</w:t>
            </w:r>
            <w:r w:rsidRPr="00AA5CB5">
              <w:t xml:space="preserve"> emissions generated in tonnes CO</w:t>
            </w:r>
            <w:r w:rsidRPr="00AA5CB5">
              <w:rPr>
                <w:vertAlign w:val="subscript"/>
              </w:rPr>
              <w:t>2</w:t>
            </w:r>
            <w:r w:rsidRPr="00AA5CB5">
              <w:t xml:space="preserve">-e </w:t>
            </w:r>
          </w:p>
          <w:p w14:paraId="696451DE" w14:textId="75E30FD1" w:rsidR="00D2550D" w:rsidRPr="00AA5CB5" w:rsidRDefault="00D2550D" w:rsidP="00621925">
            <w:pPr>
              <w:pStyle w:val="Bodybullet1"/>
            </w:pPr>
            <w:r w:rsidRPr="00AA5CB5">
              <w:t xml:space="preserve">M3(b) </w:t>
            </w:r>
            <w:r w:rsidR="00E90152">
              <w:t>GHG</w:t>
            </w:r>
            <w:r w:rsidRPr="00AA5CB5">
              <w:t xml:space="preserve"> emissions approach, inputs, assumptions and methodologies </w:t>
            </w:r>
          </w:p>
          <w:p w14:paraId="48A596F4" w14:textId="1F849B39" w:rsidR="00D2550D" w:rsidRPr="00AA5CB5" w:rsidRDefault="00D2550D" w:rsidP="00621925">
            <w:pPr>
              <w:pStyle w:val="Bodybullet1"/>
            </w:pPr>
            <w:r w:rsidRPr="00AA5CB5">
              <w:t xml:space="preserve">M3(e) Scope 2 and 3 </w:t>
            </w:r>
            <w:r w:rsidR="00E90152">
              <w:t>GHG</w:t>
            </w:r>
            <w:r w:rsidRPr="00AA5CB5">
              <w:t xml:space="preserve"> emissions using location-based and market</w:t>
            </w:r>
            <w:r w:rsidRPr="00AA5CB5">
              <w:noBreakHyphen/>
              <w:t xml:space="preserve">based for electricity-related </w:t>
            </w:r>
            <w:r w:rsidR="00E90152">
              <w:t>GHG</w:t>
            </w:r>
            <w:r w:rsidRPr="00AA5CB5">
              <w:t xml:space="preserve"> emissions</w:t>
            </w:r>
          </w:p>
          <w:p w14:paraId="139CD84C" w14:textId="77777777" w:rsidR="00D2550D" w:rsidRPr="00AA5CB5" w:rsidRDefault="00D2550D" w:rsidP="00621925">
            <w:pPr>
              <w:pStyle w:val="Bodybullet1"/>
            </w:pPr>
            <w:r w:rsidRPr="00AA5CB5">
              <w:lastRenderedPageBreak/>
              <w:t>M3(f) Confirmation of the scope 3 emissions categories included.</w:t>
            </w:r>
          </w:p>
        </w:tc>
      </w:tr>
      <w:tr w:rsidR="00D2550D" w:rsidRPr="00AA5CB5" w14:paraId="0221F76B" w14:textId="77777777" w:rsidTr="7CE0D348">
        <w:trPr>
          <w:trHeight w:val="20"/>
        </w:trPr>
        <w:tc>
          <w:tcPr>
            <w:tcW w:w="2294" w:type="dxa"/>
            <w:hideMark/>
          </w:tcPr>
          <w:p w14:paraId="63058C10" w14:textId="77777777" w:rsidR="00D2550D" w:rsidRPr="00AA5CB5" w:rsidRDefault="00D2550D" w:rsidP="00276456">
            <w:pPr>
              <w:pStyle w:val="BodyText1"/>
              <w:rPr>
                <w:b/>
                <w:bCs/>
              </w:rPr>
            </w:pPr>
            <w:r w:rsidRPr="00AA5CB5">
              <w:rPr>
                <w:b/>
                <w:bCs/>
              </w:rPr>
              <w:lastRenderedPageBreak/>
              <w:t xml:space="preserve">Commonwealth company (CC) </w:t>
            </w:r>
          </w:p>
        </w:tc>
        <w:tc>
          <w:tcPr>
            <w:tcW w:w="7056" w:type="dxa"/>
            <w:hideMark/>
          </w:tcPr>
          <w:p w14:paraId="66DB3235" w14:textId="77777777" w:rsidR="00D2550D" w:rsidRPr="00AA5CB5" w:rsidRDefault="00D2550D" w:rsidP="00276456">
            <w:pPr>
              <w:pStyle w:val="BodyText1"/>
            </w:pPr>
            <w:r w:rsidRPr="00AA5CB5">
              <w:t>A company established under the </w:t>
            </w:r>
            <w:r w:rsidRPr="00CC064B">
              <w:rPr>
                <w:i/>
              </w:rPr>
              <w:t>Corporations Act 2001</w:t>
            </w:r>
            <w:r w:rsidRPr="00AA5CB5">
              <w:t> that the Commonwealth controls. A Commonwealth company is legally and financially separate from the Commonwealth.</w:t>
            </w:r>
          </w:p>
        </w:tc>
      </w:tr>
      <w:tr w:rsidR="00D2550D" w:rsidRPr="00AA5CB5" w14:paraId="6632FCCC"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6C1D8761" w14:textId="77777777" w:rsidR="00D2550D" w:rsidRPr="00AA5CB5" w:rsidRDefault="00D2550D" w:rsidP="00276456">
            <w:pPr>
              <w:pStyle w:val="BodyText1"/>
              <w:rPr>
                <w:b/>
                <w:bCs/>
              </w:rPr>
            </w:pPr>
            <w:r w:rsidRPr="00AA5CB5">
              <w:rPr>
                <w:b/>
                <w:bCs/>
              </w:rPr>
              <w:t>Contractual instruments</w:t>
            </w:r>
          </w:p>
        </w:tc>
        <w:tc>
          <w:tcPr>
            <w:tcW w:w="7056" w:type="dxa"/>
          </w:tcPr>
          <w:p w14:paraId="43DF8755" w14:textId="77777777" w:rsidR="00D2550D" w:rsidRPr="00AA5CB5" w:rsidRDefault="00D2550D" w:rsidP="00276456">
            <w:pPr>
              <w:pStyle w:val="BodyText1"/>
            </w:pPr>
            <w:r w:rsidRPr="00AA5CB5">
              <w:t>Any type of contract between a reporting agency and another party for the sale and purchase of energy bundled with attributes about the energy generation or for unbundled energy attribute claims.</w:t>
            </w:r>
          </w:p>
          <w:p w14:paraId="7157926E" w14:textId="677D085A" w:rsidR="00D2550D" w:rsidRPr="00AA5CB5" w:rsidRDefault="00D2550D" w:rsidP="00276456">
            <w:pPr>
              <w:pStyle w:val="BodyText1"/>
            </w:pPr>
            <w:r w:rsidRPr="00AA5CB5">
              <w:t xml:space="preserve">Unbundled energy attribute claims relate to the sale and purchase of energy that is separate and distinct from the </w:t>
            </w:r>
            <w:r w:rsidR="00E90152">
              <w:t>GHG</w:t>
            </w:r>
            <w:r w:rsidRPr="00AA5CB5">
              <w:t xml:space="preserve"> attribute contractual instruments. </w:t>
            </w:r>
          </w:p>
          <w:p w14:paraId="47997BE6" w14:textId="77777777" w:rsidR="00D2550D" w:rsidRPr="00AA5CB5" w:rsidRDefault="00D2550D" w:rsidP="00276456">
            <w:pPr>
              <w:pStyle w:val="BodyText1"/>
            </w:pPr>
            <w:r w:rsidRPr="00AA5CB5">
              <w:t xml:space="preserve">Various types of contractual instruments are available in different markets. Common instruments include LGCs and Greenpower. </w:t>
            </w:r>
          </w:p>
        </w:tc>
      </w:tr>
      <w:tr w:rsidR="00D2550D" w:rsidRPr="00AA5CB5" w14:paraId="1E6B1BD8" w14:textId="77777777" w:rsidTr="7CE0D348">
        <w:trPr>
          <w:trHeight w:val="20"/>
        </w:trPr>
        <w:tc>
          <w:tcPr>
            <w:tcW w:w="2294" w:type="dxa"/>
            <w:hideMark/>
          </w:tcPr>
          <w:p w14:paraId="4D18FA92" w14:textId="77777777" w:rsidR="00D2550D" w:rsidRPr="00AA5CB5" w:rsidRDefault="00D2550D" w:rsidP="00276456">
            <w:pPr>
              <w:pStyle w:val="BodyText1"/>
              <w:rPr>
                <w:b/>
                <w:bCs/>
              </w:rPr>
            </w:pPr>
            <w:r w:rsidRPr="00AA5CB5">
              <w:rPr>
                <w:b/>
                <w:bCs/>
              </w:rPr>
              <w:t>Corporate Commonwealth entity (CCE)</w:t>
            </w:r>
          </w:p>
        </w:tc>
        <w:tc>
          <w:tcPr>
            <w:tcW w:w="7056" w:type="dxa"/>
            <w:hideMark/>
          </w:tcPr>
          <w:p w14:paraId="5251926C" w14:textId="77777777" w:rsidR="00D2550D" w:rsidRPr="00AA5CB5" w:rsidRDefault="00D2550D" w:rsidP="00276456">
            <w:pPr>
              <w:pStyle w:val="BodyText1"/>
            </w:pPr>
            <w:r>
              <w:t>A b</w:t>
            </w:r>
            <w:r w:rsidRPr="00AA5CB5">
              <w:t xml:space="preserve">ody corporate that </w:t>
            </w:r>
            <w:r>
              <w:t xml:space="preserve">has </w:t>
            </w:r>
            <w:r w:rsidRPr="00AA5CB5">
              <w:t>a separate legal personality from the Commonwealth</w:t>
            </w:r>
            <w:r>
              <w:t>,</w:t>
            </w:r>
            <w:r w:rsidRPr="00AA5CB5">
              <w:t xml:space="preserve"> and can act in </w:t>
            </w:r>
            <w:r>
              <w:t>its</w:t>
            </w:r>
            <w:r w:rsidRPr="00AA5CB5">
              <w:t xml:space="preserve"> own right exercising certain legal rights such as entering into contracts and owning property. Most CCEs are financially separate from the Commonwealth.</w:t>
            </w:r>
          </w:p>
        </w:tc>
      </w:tr>
      <w:tr w:rsidR="00D2550D" w:rsidRPr="00AA5CB5" w14:paraId="33B51AB2"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0E17E272" w14:textId="77777777" w:rsidR="00D2550D" w:rsidRPr="00AA5CB5" w:rsidRDefault="00D2550D" w:rsidP="00276456">
            <w:pPr>
              <w:pStyle w:val="BodyText1"/>
              <w:rPr>
                <w:b/>
                <w:bCs/>
              </w:rPr>
            </w:pPr>
            <w:r>
              <w:rPr>
                <w:b/>
                <w:bCs/>
              </w:rPr>
              <w:t>C</w:t>
            </w:r>
            <w:r w:rsidRPr="00D2550D">
              <w:rPr>
                <w:b/>
                <w:bCs/>
              </w:rPr>
              <w:t>radle-to-gate</w:t>
            </w:r>
          </w:p>
        </w:tc>
        <w:tc>
          <w:tcPr>
            <w:tcW w:w="7056" w:type="dxa"/>
          </w:tcPr>
          <w:p w14:paraId="4556F300" w14:textId="75BC13B7" w:rsidR="00D2550D" w:rsidRDefault="00870841" w:rsidP="00276456">
            <w:pPr>
              <w:pStyle w:val="BodyText1"/>
            </w:pPr>
            <w:r>
              <w:t>R</w:t>
            </w:r>
            <w:r w:rsidR="00C716AE" w:rsidRPr="00C716AE">
              <w:t>efers to a partial assessment of a product's environmental impact, focusing on the stages from raw material extraction ("cradle") up to the point where the product leaves the manufacturer's factory gate before it's transported to the consumer. It excludes the use and disposal phases of the product's life cycle</w:t>
            </w:r>
            <w:r>
              <w:t>.</w:t>
            </w:r>
          </w:p>
        </w:tc>
      </w:tr>
      <w:tr w:rsidR="00D2550D" w:rsidRPr="00AA5CB5" w14:paraId="7889D1CB" w14:textId="77777777" w:rsidTr="7CE0D348">
        <w:trPr>
          <w:trHeight w:val="20"/>
        </w:trPr>
        <w:tc>
          <w:tcPr>
            <w:tcW w:w="2294" w:type="dxa"/>
          </w:tcPr>
          <w:p w14:paraId="45CDF462" w14:textId="77777777" w:rsidR="00D2550D" w:rsidRPr="00AA5CB5" w:rsidRDefault="00D2550D" w:rsidP="00276456">
            <w:pPr>
              <w:pStyle w:val="BodyText1"/>
              <w:rPr>
                <w:b/>
                <w:bCs/>
              </w:rPr>
            </w:pPr>
            <w:r w:rsidRPr="00AA5CB5">
              <w:rPr>
                <w:b/>
                <w:bCs/>
              </w:rPr>
              <w:t xml:space="preserve">Data collection period </w:t>
            </w:r>
          </w:p>
          <w:p w14:paraId="092525A7" w14:textId="77777777" w:rsidR="00D2550D" w:rsidRPr="00AA5CB5" w:rsidRDefault="00D2550D" w:rsidP="00276456">
            <w:pPr>
              <w:pStyle w:val="BodyText1"/>
              <w:rPr>
                <w:b/>
                <w:bCs/>
              </w:rPr>
            </w:pPr>
          </w:p>
        </w:tc>
        <w:tc>
          <w:tcPr>
            <w:tcW w:w="7056" w:type="dxa"/>
          </w:tcPr>
          <w:p w14:paraId="7122272B" w14:textId="77777777" w:rsidR="00D2550D" w:rsidRPr="00AA5CB5" w:rsidRDefault="00D2550D" w:rsidP="00276456">
            <w:pPr>
              <w:pStyle w:val="BodyText1"/>
            </w:pPr>
            <w:r w:rsidRPr="00AA5CB5">
              <w:t xml:space="preserve">The data collection period is the time period in which reporting agencies are required to collate, review, verify and provide their emissions activity data that is reportable under the </w:t>
            </w:r>
            <w:r>
              <w:t>Framework</w:t>
            </w:r>
            <w:r w:rsidRPr="00AA5CB5">
              <w:t>, using the provided tools, to Finance. For example, the data collection period for the 2023-24 reporting period was between 1 July 2024 and 31 August 2024.</w:t>
            </w:r>
          </w:p>
          <w:p w14:paraId="4645A2F8" w14:textId="77777777" w:rsidR="00D2550D" w:rsidRPr="00AA5CB5" w:rsidRDefault="00D2550D" w:rsidP="00276456">
            <w:pPr>
              <w:pStyle w:val="BodyText1"/>
            </w:pPr>
            <w:r w:rsidRPr="00AA5CB5">
              <w:t>Where a reporting agency has requirements under the NGER Scheme, the data collection period is extended. If a reporting agency cannot meet the deadline, in special circumstances Finance may grant an extension.</w:t>
            </w:r>
          </w:p>
        </w:tc>
      </w:tr>
      <w:tr w:rsidR="00D2550D" w:rsidRPr="00AA5CB5" w14:paraId="6FF3886B"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5A424072" w14:textId="77777777" w:rsidR="00D2550D" w:rsidRPr="00AA5CB5" w:rsidRDefault="00D2550D" w:rsidP="00276456">
            <w:pPr>
              <w:pStyle w:val="BodyText1"/>
              <w:rPr>
                <w:b/>
                <w:bCs/>
              </w:rPr>
            </w:pPr>
            <w:r w:rsidRPr="00AA5CB5">
              <w:rPr>
                <w:b/>
                <w:bCs/>
              </w:rPr>
              <w:t xml:space="preserve">Direct emissions measurement </w:t>
            </w:r>
          </w:p>
        </w:tc>
        <w:tc>
          <w:tcPr>
            <w:tcW w:w="7056" w:type="dxa"/>
          </w:tcPr>
          <w:p w14:paraId="3AAF3E3D" w14:textId="77777777" w:rsidR="00D2550D" w:rsidRPr="00AA5CB5" w:rsidRDefault="00D2550D" w:rsidP="00276456">
            <w:pPr>
              <w:pStyle w:val="BodyText1"/>
            </w:pPr>
            <w:r w:rsidRPr="00AA5CB5">
              <w:t>Capturing and measuring GHG emissions at the source. If a reporting agency uses direct measurement to measure its GHG emissions, they are required to convert the GHG emissions into a CO</w:t>
            </w:r>
            <w:r w:rsidRPr="00AA5CB5">
              <w:rPr>
                <w:vertAlign w:val="subscript"/>
              </w:rPr>
              <w:t>2</w:t>
            </w:r>
            <w:r w:rsidRPr="00AA5CB5">
              <w:t xml:space="preserve">-e value using GWP values based on a 100-year horizon, using the </w:t>
            </w:r>
            <w:hyperlink r:id="rId89" w:history="1">
              <w:r w:rsidRPr="00AA5CB5">
                <w:rPr>
                  <w:rStyle w:val="Hyperlink1"/>
                </w:rPr>
                <w:t>Fifth Assessment Report</w:t>
              </w:r>
            </w:hyperlink>
            <w:r w:rsidRPr="00AA5CB5">
              <w:t xml:space="preserve">, IPCC. </w:t>
            </w:r>
          </w:p>
        </w:tc>
      </w:tr>
      <w:tr w:rsidR="00D2550D" w:rsidRPr="00AA5CB5" w14:paraId="53A82B82" w14:textId="77777777" w:rsidTr="7CE0D348">
        <w:trPr>
          <w:trHeight w:val="20"/>
        </w:trPr>
        <w:tc>
          <w:tcPr>
            <w:tcW w:w="2294" w:type="dxa"/>
          </w:tcPr>
          <w:p w14:paraId="6CC55E0A" w14:textId="77777777" w:rsidR="00D2550D" w:rsidRPr="00AA5CB5" w:rsidRDefault="00D2550D" w:rsidP="003148AD">
            <w:pPr>
              <w:pStyle w:val="BodyText1"/>
              <w:rPr>
                <w:b/>
                <w:bCs/>
              </w:rPr>
            </w:pPr>
            <w:r w:rsidRPr="00AA5CB5">
              <w:rPr>
                <w:b/>
                <w:bCs/>
              </w:rPr>
              <w:t>Double counting</w:t>
            </w:r>
          </w:p>
        </w:tc>
        <w:tc>
          <w:tcPr>
            <w:tcW w:w="7056" w:type="dxa"/>
          </w:tcPr>
          <w:p w14:paraId="6AB5987F" w14:textId="77777777" w:rsidR="00D2550D" w:rsidRPr="00AA5CB5" w:rsidRDefault="00D2550D" w:rsidP="00276456">
            <w:pPr>
              <w:pStyle w:val="BodyText1"/>
            </w:pPr>
            <w:r w:rsidRPr="00AA5CB5">
              <w:t xml:space="preserve">Double counting refers to when the same GHG emissions are counted more than once, either within a single reporting agency or across different reporting agencies. </w:t>
            </w:r>
          </w:p>
        </w:tc>
      </w:tr>
      <w:tr w:rsidR="00D2550D" w:rsidRPr="00AA5CB5" w14:paraId="00BB2B9A"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7599FF3A" w14:textId="77777777" w:rsidR="00D2550D" w:rsidRPr="00AA5CB5" w:rsidRDefault="00D2550D" w:rsidP="00276456">
            <w:pPr>
              <w:pStyle w:val="BodyText1"/>
              <w:rPr>
                <w:b/>
                <w:bCs/>
              </w:rPr>
            </w:pPr>
            <w:r w:rsidRPr="00AA5CB5">
              <w:rPr>
                <w:b/>
                <w:bCs/>
              </w:rPr>
              <w:lastRenderedPageBreak/>
              <w:t>Emissions inventory</w:t>
            </w:r>
          </w:p>
        </w:tc>
        <w:tc>
          <w:tcPr>
            <w:tcW w:w="7056" w:type="dxa"/>
            <w:hideMark/>
          </w:tcPr>
          <w:p w14:paraId="2FE14E94" w14:textId="59BBE9AD" w:rsidR="00D2550D" w:rsidRPr="00AA5CB5" w:rsidRDefault="00D2550D" w:rsidP="00276456">
            <w:pPr>
              <w:pStyle w:val="BodyText1"/>
            </w:pPr>
            <w:r w:rsidRPr="00AA5CB5">
              <w:t xml:space="preserve">An emissions inventory, or </w:t>
            </w:r>
            <w:r w:rsidR="00E90152">
              <w:t>GHG</w:t>
            </w:r>
            <w:r w:rsidRPr="00AA5CB5">
              <w:t xml:space="preserve"> inventory, comprises of estimates of </w:t>
            </w:r>
            <w:r w:rsidR="00E90152">
              <w:t>GHG</w:t>
            </w:r>
            <w:r w:rsidRPr="00AA5CB5">
              <w:t xml:space="preserve"> emissions and removals from the operations of a reporting agency for a given reporting period.</w:t>
            </w:r>
          </w:p>
          <w:p w14:paraId="71905D01" w14:textId="77777777" w:rsidR="00D2550D" w:rsidRPr="00AA5CB5" w:rsidRDefault="00D2550D" w:rsidP="00276456">
            <w:pPr>
              <w:pStyle w:val="BodyText1"/>
            </w:pPr>
            <w:r w:rsidRPr="00AA5CB5">
              <w:t xml:space="preserve">In the context of the </w:t>
            </w:r>
            <w:r>
              <w:t>Framework</w:t>
            </w:r>
            <w:r w:rsidRPr="00AA5CB5">
              <w:t xml:space="preserve">, the inventory covers the seven direct greenhouse gases under the Paris Agreement and select sources. </w:t>
            </w:r>
          </w:p>
          <w:p w14:paraId="4A4CD604" w14:textId="77777777" w:rsidR="00D2550D" w:rsidRPr="00AA5CB5" w:rsidRDefault="00D2550D" w:rsidP="00276456">
            <w:pPr>
              <w:pStyle w:val="BodyText1"/>
            </w:pPr>
            <w:r w:rsidRPr="00AA5CB5">
              <w:t xml:space="preserve">References to ‘inventory’ or ‘inventories’ mean the whole process from data collection, emissions calculations and reporting. </w:t>
            </w:r>
          </w:p>
        </w:tc>
      </w:tr>
      <w:tr w:rsidR="00D2550D" w:rsidRPr="00AA5CB5" w14:paraId="6AD60608" w14:textId="77777777" w:rsidTr="7CE0D348">
        <w:trPr>
          <w:trHeight w:val="20"/>
        </w:trPr>
        <w:tc>
          <w:tcPr>
            <w:tcW w:w="2294" w:type="dxa"/>
            <w:hideMark/>
          </w:tcPr>
          <w:p w14:paraId="278465C0" w14:textId="77777777" w:rsidR="00D2550D" w:rsidRPr="00AA5CB5" w:rsidRDefault="00D2550D" w:rsidP="00276456">
            <w:pPr>
              <w:pStyle w:val="BodyText1"/>
              <w:rPr>
                <w:b/>
                <w:bCs/>
              </w:rPr>
            </w:pPr>
            <w:r w:rsidRPr="00AA5CB5">
              <w:rPr>
                <w:b/>
                <w:bCs/>
              </w:rPr>
              <w:t>Emissions Reporting Tool (ERT)</w:t>
            </w:r>
          </w:p>
        </w:tc>
        <w:tc>
          <w:tcPr>
            <w:tcW w:w="7056" w:type="dxa"/>
            <w:hideMark/>
          </w:tcPr>
          <w:p w14:paraId="1D403013" w14:textId="77777777" w:rsidR="00D2550D" w:rsidRPr="00AA5CB5" w:rsidRDefault="00D2550D" w:rsidP="00276456">
            <w:pPr>
              <w:pStyle w:val="BodyText1"/>
            </w:pPr>
            <w:r w:rsidRPr="00AA5CB5">
              <w:t xml:space="preserve">The Emissions Reporting Tool (ERT) is provided by the Department of Finance to reporting agencies to collect activity data. It is used by Finance to calculate emissions which agencies are required to use to report their emissions against the </w:t>
            </w:r>
            <w:r>
              <w:t>Framework</w:t>
            </w:r>
            <w:r w:rsidRPr="00AA5CB5">
              <w:t xml:space="preserve">. </w:t>
            </w:r>
          </w:p>
          <w:p w14:paraId="42810628" w14:textId="77777777" w:rsidR="00D2550D" w:rsidRPr="00AA5CB5" w:rsidRDefault="00D2550D" w:rsidP="00276456">
            <w:pPr>
              <w:pStyle w:val="BodyText1"/>
            </w:pPr>
            <w:r w:rsidRPr="00AA5CB5">
              <w:t>For reporting of activity data from FY2022-23 and FY2023-24 a Microsoft Excel version of the ERT was provided to reporting agencies.</w:t>
            </w:r>
          </w:p>
        </w:tc>
      </w:tr>
      <w:tr w:rsidR="00D2550D" w:rsidRPr="00AA5CB5" w14:paraId="3DEE5F7D"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2FB24CCE" w14:textId="77777777" w:rsidR="00D2550D" w:rsidRPr="00AA5CB5" w:rsidRDefault="00D2550D" w:rsidP="00276456">
            <w:pPr>
              <w:pStyle w:val="BodyText1"/>
              <w:rPr>
                <w:b/>
                <w:bCs/>
              </w:rPr>
            </w:pPr>
            <w:r w:rsidRPr="00AA5CB5">
              <w:rPr>
                <w:b/>
                <w:bCs/>
              </w:rPr>
              <w:t>Emissions source</w:t>
            </w:r>
          </w:p>
        </w:tc>
        <w:tc>
          <w:tcPr>
            <w:tcW w:w="7056" w:type="dxa"/>
            <w:hideMark/>
          </w:tcPr>
          <w:p w14:paraId="663943E4" w14:textId="4990877E" w:rsidR="00D2550D" w:rsidRPr="00AA5CB5" w:rsidRDefault="00D2550D" w:rsidP="00276456">
            <w:pPr>
              <w:pStyle w:val="BodyText1"/>
            </w:pPr>
            <w:r w:rsidRPr="00AA5CB5">
              <w:t xml:space="preserve">Any process or activity which releases a </w:t>
            </w:r>
            <w:r w:rsidR="00E90152">
              <w:t>GHG</w:t>
            </w:r>
            <w:r w:rsidRPr="00AA5CB5">
              <w:t xml:space="preserve">, an aerosol or a precursor of a </w:t>
            </w:r>
            <w:r w:rsidR="00E90152">
              <w:t>GHG</w:t>
            </w:r>
            <w:r w:rsidRPr="00AA5CB5">
              <w:t xml:space="preserve"> into the atmosphere. Emissions sources can be categorised into direct (scope 1) and indirect emissions (scope 2 and scope 3). </w:t>
            </w:r>
          </w:p>
        </w:tc>
      </w:tr>
      <w:tr w:rsidR="00D2550D" w:rsidRPr="00AA5CB5" w14:paraId="4B93F390" w14:textId="77777777" w:rsidTr="7CE0D348">
        <w:trPr>
          <w:trHeight w:val="20"/>
        </w:trPr>
        <w:tc>
          <w:tcPr>
            <w:tcW w:w="2294" w:type="dxa"/>
            <w:hideMark/>
          </w:tcPr>
          <w:p w14:paraId="7CD21A32" w14:textId="77777777" w:rsidR="00D2550D" w:rsidRPr="00AA5CB5" w:rsidRDefault="00D2550D" w:rsidP="00276456">
            <w:pPr>
              <w:pStyle w:val="BodyText1"/>
              <w:rPr>
                <w:b/>
                <w:bCs/>
              </w:rPr>
            </w:pPr>
            <w:r w:rsidRPr="00AA5CB5">
              <w:rPr>
                <w:b/>
                <w:bCs/>
              </w:rPr>
              <w:t xml:space="preserve">Errors </w:t>
            </w:r>
          </w:p>
        </w:tc>
        <w:tc>
          <w:tcPr>
            <w:tcW w:w="7056" w:type="dxa"/>
            <w:hideMark/>
          </w:tcPr>
          <w:p w14:paraId="2343DD90" w14:textId="77777777" w:rsidR="00D2550D" w:rsidRPr="00AA5CB5" w:rsidRDefault="00D2550D" w:rsidP="00276456">
            <w:pPr>
              <w:pStyle w:val="BodyText1"/>
            </w:pPr>
            <w:r w:rsidRPr="00AA5CB5">
              <w:t>Omissions from, and misstatements in, an agency’s emissions reporting for one or more prior reporting periods. Such errors arise from a failure to use, or the misuse of, reliable activity data that:</w:t>
            </w:r>
          </w:p>
          <w:p w14:paraId="7D979847" w14:textId="77777777" w:rsidR="00D2550D" w:rsidRPr="00AA5CB5" w:rsidRDefault="00D2550D" w:rsidP="00276456">
            <w:pPr>
              <w:pStyle w:val="BodyText1"/>
            </w:pPr>
            <w:r w:rsidRPr="00AA5CB5">
              <w:t>a) was available during a data collection period; and</w:t>
            </w:r>
          </w:p>
          <w:p w14:paraId="3BB9DA1F" w14:textId="77777777" w:rsidR="00D2550D" w:rsidRPr="00AA5CB5" w:rsidRDefault="00D2550D" w:rsidP="00276456">
            <w:pPr>
              <w:pStyle w:val="BodyText1"/>
            </w:pPr>
            <w:r w:rsidRPr="00AA5CB5">
              <w:t>b) could reasonably be expected to have been obtained and considered in the preparation of annual emissions inventories.</w:t>
            </w:r>
          </w:p>
          <w:p w14:paraId="63F1BAB1" w14:textId="77777777" w:rsidR="00D2550D" w:rsidRPr="00AA5CB5" w:rsidRDefault="00D2550D" w:rsidP="00276456">
            <w:pPr>
              <w:pStyle w:val="BodyText1"/>
            </w:pPr>
            <w:r w:rsidRPr="00AA5CB5">
              <w:t xml:space="preserve">Examples of such errors include the effects of mathematical miscalculations, mistakes in applying the </w:t>
            </w:r>
            <w:r>
              <w:t>Framework</w:t>
            </w:r>
            <w:r w:rsidRPr="00AA5CB5">
              <w:t>, oversights or misinterpretations of facts and fraud. Also referred to as ‘prior period errors’ by the Australian Sustainability Reporting Standard AASB S2 Climate-related Disclosures.</w:t>
            </w:r>
          </w:p>
        </w:tc>
      </w:tr>
      <w:tr w:rsidR="00D2550D" w:rsidRPr="00AA5CB5" w14:paraId="67930A27"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05F3BE4C" w14:textId="77777777" w:rsidR="00D2550D" w:rsidRPr="00AA5CB5" w:rsidRDefault="00D2550D" w:rsidP="00276456">
            <w:pPr>
              <w:pStyle w:val="BodyText1"/>
              <w:rPr>
                <w:b/>
                <w:bCs/>
              </w:rPr>
            </w:pPr>
            <w:r w:rsidRPr="00AA5CB5">
              <w:rPr>
                <w:b/>
                <w:bCs/>
              </w:rPr>
              <w:t>Estimated data</w:t>
            </w:r>
          </w:p>
        </w:tc>
        <w:tc>
          <w:tcPr>
            <w:tcW w:w="7056" w:type="dxa"/>
          </w:tcPr>
          <w:p w14:paraId="72D81B0F" w14:textId="77777777" w:rsidR="00D2550D" w:rsidRPr="00AA5CB5" w:rsidRDefault="00D2550D" w:rsidP="00276456">
            <w:pPr>
              <w:pStyle w:val="BodyText1"/>
            </w:pPr>
            <w:r w:rsidRPr="00AA5CB5">
              <w:t>Estimated data is where actual data from another source is used to estimate the activity data for a related emissions source. For example, the amount of fuel used by a delivery van might not be known, but the distance travelled is known.</w:t>
            </w:r>
          </w:p>
        </w:tc>
      </w:tr>
      <w:tr w:rsidR="00D2550D" w:rsidRPr="00AA5CB5" w14:paraId="4F879A96" w14:textId="77777777" w:rsidTr="7CE0D348">
        <w:trPr>
          <w:trHeight w:val="20"/>
        </w:trPr>
        <w:tc>
          <w:tcPr>
            <w:tcW w:w="2294" w:type="dxa"/>
          </w:tcPr>
          <w:p w14:paraId="0EF9762D" w14:textId="77777777" w:rsidR="00D2550D" w:rsidRPr="00AA5CB5" w:rsidRDefault="00D2550D" w:rsidP="00276456">
            <w:pPr>
              <w:pStyle w:val="BodyText1"/>
              <w:rPr>
                <w:b/>
                <w:bCs/>
              </w:rPr>
            </w:pPr>
            <w:r w:rsidRPr="00AA5CB5">
              <w:rPr>
                <w:b/>
                <w:bCs/>
              </w:rPr>
              <w:t xml:space="preserve">External territories </w:t>
            </w:r>
          </w:p>
        </w:tc>
        <w:tc>
          <w:tcPr>
            <w:tcW w:w="7056" w:type="dxa"/>
          </w:tcPr>
          <w:p w14:paraId="1337676E" w14:textId="77777777" w:rsidR="00D2550D" w:rsidRPr="00AA5CB5" w:rsidRDefault="00D2550D" w:rsidP="004F1014">
            <w:pPr>
              <w:pStyle w:val="BodyText1"/>
              <w:rPr>
                <w:b/>
                <w:bCs/>
              </w:rPr>
            </w:pPr>
            <w:r w:rsidRPr="00AA5CB5">
              <w:t>Regions that are not part of the mainland of Australia but are under the jurisdiction of the Australian Government. Includes several external territories including Christmas Island, the Cocos (Keeling) Islands, Norfolk Island, Heard and McDonald Islands.</w:t>
            </w:r>
          </w:p>
        </w:tc>
      </w:tr>
      <w:tr w:rsidR="00D2550D" w:rsidRPr="00AA5CB5" w14:paraId="65636031"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20424C1A" w14:textId="77777777" w:rsidR="00D2550D" w:rsidRPr="00AA5CB5" w:rsidRDefault="00D2550D" w:rsidP="00276456">
            <w:pPr>
              <w:pStyle w:val="BodyText1"/>
              <w:rPr>
                <w:b/>
                <w:bCs/>
              </w:rPr>
            </w:pPr>
            <w:r w:rsidRPr="00AA5CB5">
              <w:rPr>
                <w:b/>
                <w:bCs/>
              </w:rPr>
              <w:t>Extrapolated data</w:t>
            </w:r>
          </w:p>
        </w:tc>
        <w:tc>
          <w:tcPr>
            <w:tcW w:w="7056" w:type="dxa"/>
          </w:tcPr>
          <w:p w14:paraId="2A6E5298" w14:textId="77777777" w:rsidR="00D2550D" w:rsidRPr="00AA5CB5" w:rsidRDefault="00D2550D" w:rsidP="00276456">
            <w:pPr>
              <w:pStyle w:val="BodyText1"/>
            </w:pPr>
            <w:r w:rsidRPr="00AA5CB5">
              <w:t xml:space="preserve">Extrapolated data is where partial year data or a representative sample survey data, is modelled to create a full data set. </w:t>
            </w:r>
          </w:p>
        </w:tc>
      </w:tr>
      <w:tr w:rsidR="00D2550D" w:rsidRPr="00AA5CB5" w14:paraId="0FE59D7F" w14:textId="77777777" w:rsidTr="7CE0D348">
        <w:trPr>
          <w:trHeight w:val="20"/>
        </w:trPr>
        <w:tc>
          <w:tcPr>
            <w:tcW w:w="2294" w:type="dxa"/>
          </w:tcPr>
          <w:p w14:paraId="306E22E0" w14:textId="77777777" w:rsidR="00D2550D" w:rsidRPr="00AA5CB5" w:rsidRDefault="00D2550D" w:rsidP="00276456">
            <w:pPr>
              <w:pStyle w:val="BodyText1"/>
              <w:rPr>
                <w:b/>
                <w:bCs/>
              </w:rPr>
            </w:pPr>
            <w:r w:rsidRPr="00AA5CB5">
              <w:rPr>
                <w:b/>
                <w:bCs/>
              </w:rPr>
              <w:lastRenderedPageBreak/>
              <w:t xml:space="preserve">Financial control </w:t>
            </w:r>
          </w:p>
        </w:tc>
        <w:tc>
          <w:tcPr>
            <w:tcW w:w="7056" w:type="dxa"/>
          </w:tcPr>
          <w:p w14:paraId="0C3CB482" w14:textId="77777777" w:rsidR="00D2550D" w:rsidRPr="00AA5CB5" w:rsidRDefault="00D2550D" w:rsidP="00276456">
            <w:pPr>
              <w:pStyle w:val="BodyText1"/>
            </w:pPr>
            <w:r w:rsidRPr="00AA5CB5">
              <w:t xml:space="preserve">Where the reporting agency has the ability to control the financial and operational policies of its activities, for the purpose of gaining economic benefits. This approach is not used in the </w:t>
            </w:r>
            <w:r>
              <w:t xml:space="preserve">Framework </w:t>
            </w:r>
            <w:r w:rsidRPr="00AA5CB5">
              <w:t>in determining the organisational boundary.</w:t>
            </w:r>
          </w:p>
        </w:tc>
      </w:tr>
      <w:tr w:rsidR="00D2550D" w:rsidRPr="00AA5CB5" w14:paraId="358ED664"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76D7C270" w14:textId="77777777" w:rsidR="00D2550D" w:rsidRPr="00AA5CB5" w:rsidRDefault="00D2550D" w:rsidP="00276456">
            <w:pPr>
              <w:pStyle w:val="BodyText1"/>
              <w:rPr>
                <w:b/>
                <w:bCs/>
              </w:rPr>
            </w:pPr>
            <w:r w:rsidRPr="00AA5CB5">
              <w:rPr>
                <w:b/>
                <w:bCs/>
              </w:rPr>
              <w:t>Financial Year (FY)</w:t>
            </w:r>
          </w:p>
        </w:tc>
        <w:tc>
          <w:tcPr>
            <w:tcW w:w="7056" w:type="dxa"/>
          </w:tcPr>
          <w:p w14:paraId="4E4B3075" w14:textId="77777777" w:rsidR="00D2550D" w:rsidRPr="00AA5CB5" w:rsidRDefault="00D2550D" w:rsidP="00276456">
            <w:pPr>
              <w:pStyle w:val="BodyText1"/>
            </w:pPr>
            <w:r w:rsidRPr="00AA5CB5">
              <w:t>A period of twelve months from 1 July of one year to 30 June of the following year.</w:t>
            </w:r>
          </w:p>
        </w:tc>
      </w:tr>
      <w:tr w:rsidR="00D2550D" w:rsidRPr="00AA5CB5" w14:paraId="6D7CDE77" w14:textId="77777777" w:rsidTr="7CE0D348">
        <w:trPr>
          <w:trHeight w:val="20"/>
        </w:trPr>
        <w:tc>
          <w:tcPr>
            <w:tcW w:w="2294" w:type="dxa"/>
            <w:hideMark/>
          </w:tcPr>
          <w:p w14:paraId="43C384A8" w14:textId="77777777" w:rsidR="00D2550D" w:rsidRPr="00AA5CB5" w:rsidRDefault="00D2550D" w:rsidP="00276456">
            <w:pPr>
              <w:pStyle w:val="BodyText1"/>
              <w:rPr>
                <w:b/>
                <w:bCs/>
              </w:rPr>
            </w:pPr>
            <w:r w:rsidRPr="00AA5CB5">
              <w:rPr>
                <w:b/>
                <w:bCs/>
              </w:rPr>
              <w:t>Global warming potential (GWP)</w:t>
            </w:r>
          </w:p>
        </w:tc>
        <w:tc>
          <w:tcPr>
            <w:tcW w:w="7056" w:type="dxa"/>
            <w:hideMark/>
          </w:tcPr>
          <w:p w14:paraId="3EC50210" w14:textId="5D5E0681" w:rsidR="00D2550D" w:rsidRPr="00AA5CB5" w:rsidRDefault="00D2550D" w:rsidP="00276456">
            <w:pPr>
              <w:pStyle w:val="BodyText1"/>
            </w:pPr>
            <w:r w:rsidRPr="00AA5CB5">
              <w:t xml:space="preserve">A factor describing the radiative forcing impact (degree of harm to the atmosphere) of one unit of a given </w:t>
            </w:r>
            <w:r w:rsidR="00E90152">
              <w:t>GHG</w:t>
            </w:r>
            <w:r w:rsidRPr="00AA5CB5">
              <w:t xml:space="preserve"> relative to one unit of CO</w:t>
            </w:r>
            <w:r w:rsidRPr="00AA5CB5">
              <w:rPr>
                <w:vertAlign w:val="subscript"/>
              </w:rPr>
              <w:t>2</w:t>
            </w:r>
            <w:r w:rsidRPr="00AA5CB5">
              <w:t>. The Framework uses GWPs aligned with the Paris Agreement as per IPCC Fifth Assessment Report.</w:t>
            </w:r>
          </w:p>
          <w:p w14:paraId="26ED0245" w14:textId="77777777" w:rsidR="00D2550D" w:rsidRPr="00AA5CB5" w:rsidRDefault="00D2550D" w:rsidP="00276456">
            <w:pPr>
              <w:pStyle w:val="BodyText1"/>
            </w:pPr>
            <w:r w:rsidRPr="00AA5CB5">
              <w:t xml:space="preserve">For more details of Global Warming Potentials </w:t>
            </w:r>
            <w:r>
              <w:t>refer to</w:t>
            </w:r>
            <w:r w:rsidRPr="00AA5CB5">
              <w:t xml:space="preserve"> </w:t>
            </w:r>
            <w:hyperlink r:id="rId90" w:history="1">
              <w:r w:rsidRPr="00AA5CB5">
                <w:rPr>
                  <w:rStyle w:val="Hyperlink1"/>
                </w:rPr>
                <w:t>Chapter 8, Anthropogenic and Natural Radiative Forcing, Appendix 8.A, Table 8.A.1 (page 731)</w:t>
              </w:r>
            </w:hyperlink>
            <w:r w:rsidRPr="00AA5CB5">
              <w:t xml:space="preserve"> of the IPCC 5th Assessment Report. </w:t>
            </w:r>
          </w:p>
        </w:tc>
      </w:tr>
      <w:tr w:rsidR="00D2550D" w:rsidRPr="00AA5CB5" w14:paraId="6ADF1078"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6A6F6D6B" w14:textId="77777777" w:rsidR="00D2550D" w:rsidRPr="00AA5CB5" w:rsidRDefault="00D2550D" w:rsidP="00276456">
            <w:pPr>
              <w:pStyle w:val="BodyText1"/>
              <w:rPr>
                <w:b/>
                <w:bCs/>
              </w:rPr>
            </w:pPr>
            <w:r w:rsidRPr="00AA5CB5">
              <w:rPr>
                <w:b/>
                <w:bCs/>
              </w:rPr>
              <w:t>Greenhouse gas (GHG)</w:t>
            </w:r>
          </w:p>
        </w:tc>
        <w:tc>
          <w:tcPr>
            <w:tcW w:w="7056" w:type="dxa"/>
            <w:hideMark/>
          </w:tcPr>
          <w:p w14:paraId="4FC59B2E" w14:textId="77777777" w:rsidR="00D2550D" w:rsidRPr="00AA5CB5" w:rsidRDefault="00D2550D" w:rsidP="00276456">
            <w:pPr>
              <w:pStyle w:val="BodyText1"/>
            </w:pPr>
            <w:r w:rsidRPr="00AA5CB5">
              <w:t xml:space="preserve">Any gas (natural or produced by human activities) that absorbs infrared radiation in the atmosphere, leading to warming effects. </w:t>
            </w:r>
          </w:p>
        </w:tc>
      </w:tr>
      <w:tr w:rsidR="00D2550D" w:rsidRPr="00AA5CB5" w14:paraId="76F8BF21" w14:textId="77777777" w:rsidTr="7CE0D348">
        <w:trPr>
          <w:trHeight w:val="20"/>
        </w:trPr>
        <w:tc>
          <w:tcPr>
            <w:tcW w:w="2294" w:type="dxa"/>
            <w:hideMark/>
          </w:tcPr>
          <w:p w14:paraId="0A87C6DB" w14:textId="77777777" w:rsidR="00D2550D" w:rsidRPr="00AA5CB5" w:rsidRDefault="00D2550D" w:rsidP="00276456">
            <w:pPr>
              <w:pStyle w:val="BodyText1"/>
              <w:rPr>
                <w:b/>
                <w:bCs/>
              </w:rPr>
            </w:pPr>
            <w:r w:rsidRPr="00AA5CB5">
              <w:rPr>
                <w:b/>
                <w:bCs/>
              </w:rPr>
              <w:t>Greenhouse Gas Protocol Corporate Accounting and Reporting Standard (GHG Protocol)</w:t>
            </w:r>
          </w:p>
        </w:tc>
        <w:tc>
          <w:tcPr>
            <w:tcW w:w="7056" w:type="dxa"/>
            <w:hideMark/>
          </w:tcPr>
          <w:p w14:paraId="15E46B65" w14:textId="54811400" w:rsidR="00D2550D" w:rsidRPr="00AA5CB5" w:rsidRDefault="00D2550D" w:rsidP="00276456">
            <w:pPr>
              <w:pStyle w:val="BodyText1"/>
            </w:pPr>
            <w:r w:rsidRPr="00AA5CB5">
              <w:t xml:space="preserve">Provides requirements and guidance for organisations preparing a corporate-level </w:t>
            </w:r>
            <w:r w:rsidR="00E90152">
              <w:t>GHG</w:t>
            </w:r>
            <w:r w:rsidRPr="00AA5CB5">
              <w:t xml:space="preserve"> emissions inventory. It is a widely used international accounting tool that helps governments and businesses understand, quantify, and manage </w:t>
            </w:r>
            <w:r w:rsidR="00E90152">
              <w:t>GHG</w:t>
            </w:r>
            <w:r w:rsidRPr="00AA5CB5">
              <w:t xml:space="preserve"> emissions. It provides standards and guidance for measuring and managing emissions from operations, value chains, and mitigation actions. </w:t>
            </w:r>
          </w:p>
        </w:tc>
      </w:tr>
      <w:tr w:rsidR="00D2550D" w:rsidRPr="00AA5CB5" w14:paraId="554E5492"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3FC95318" w14:textId="77777777" w:rsidR="00D2550D" w:rsidRPr="00AA5CB5" w:rsidRDefault="00D2550D" w:rsidP="00276456">
            <w:pPr>
              <w:pStyle w:val="BodyText1"/>
              <w:rPr>
                <w:b/>
                <w:bCs/>
              </w:rPr>
            </w:pPr>
            <w:r w:rsidRPr="00AA5CB5">
              <w:rPr>
                <w:b/>
                <w:bCs/>
              </w:rPr>
              <w:t>Gross calorific value</w:t>
            </w:r>
          </w:p>
        </w:tc>
        <w:tc>
          <w:tcPr>
            <w:tcW w:w="7056" w:type="dxa"/>
            <w:hideMark/>
          </w:tcPr>
          <w:p w14:paraId="29858E2C" w14:textId="77777777" w:rsidR="00D2550D" w:rsidRPr="00AA5CB5" w:rsidRDefault="00D2550D" w:rsidP="00276456">
            <w:pPr>
              <w:pStyle w:val="BodyText1"/>
            </w:pPr>
            <w:r w:rsidRPr="00AA5CB5">
              <w:t>The calorific value of a fuel measures its heating ability. It is the heat released from a unit of fuel during complete combustion. There are two types:</w:t>
            </w:r>
          </w:p>
          <w:p w14:paraId="03ABE848" w14:textId="77777777" w:rsidR="00D2550D" w:rsidRPr="00AA5CB5" w:rsidRDefault="00D2550D" w:rsidP="00621925">
            <w:pPr>
              <w:pStyle w:val="Bodybullet1"/>
            </w:pPr>
            <w:r w:rsidRPr="00AA5CB5">
              <w:t>Gross Calorific Value (GCV): Total heat released, including the condensation of water.</w:t>
            </w:r>
          </w:p>
          <w:p w14:paraId="74FAD1C4" w14:textId="77777777" w:rsidR="00D2550D" w:rsidRPr="00AA5CB5" w:rsidRDefault="00D2550D" w:rsidP="00621925">
            <w:pPr>
              <w:pStyle w:val="Bodybullet1"/>
            </w:pPr>
            <w:r w:rsidRPr="00AA5CB5">
              <w:t>Net Calorific Value (NCV): Heat released without the condensation of water.</w:t>
            </w:r>
          </w:p>
        </w:tc>
      </w:tr>
      <w:tr w:rsidR="00D2550D" w:rsidRPr="00AA5CB5" w14:paraId="6D9C1FBB" w14:textId="77777777" w:rsidTr="7CE0D348">
        <w:trPr>
          <w:trHeight w:val="20"/>
        </w:trPr>
        <w:tc>
          <w:tcPr>
            <w:tcW w:w="2294" w:type="dxa"/>
            <w:hideMark/>
          </w:tcPr>
          <w:p w14:paraId="390F555B" w14:textId="77777777" w:rsidR="00D2550D" w:rsidRPr="00AA5CB5" w:rsidRDefault="00D2550D" w:rsidP="00276456">
            <w:pPr>
              <w:pStyle w:val="BodyText1"/>
              <w:rPr>
                <w:b/>
                <w:bCs/>
              </w:rPr>
            </w:pPr>
            <w:r w:rsidRPr="00AA5CB5">
              <w:rPr>
                <w:b/>
                <w:bCs/>
              </w:rPr>
              <w:t>Gross greenhouse gas emissions target</w:t>
            </w:r>
          </w:p>
        </w:tc>
        <w:tc>
          <w:tcPr>
            <w:tcW w:w="7056" w:type="dxa"/>
            <w:hideMark/>
          </w:tcPr>
          <w:p w14:paraId="1C4A689D" w14:textId="09BA26C5" w:rsidR="00D2550D" w:rsidRPr="00AA5CB5" w:rsidRDefault="00D2550D" w:rsidP="00276456">
            <w:pPr>
              <w:pStyle w:val="BodyText1"/>
            </w:pPr>
            <w:r w:rsidRPr="00AA5CB5">
              <w:t xml:space="preserve">A gross </w:t>
            </w:r>
            <w:r w:rsidR="00E90152">
              <w:t>GHG</w:t>
            </w:r>
            <w:r w:rsidRPr="00AA5CB5">
              <w:t xml:space="preserve"> emissions target explains the total reduction in the amount of </w:t>
            </w:r>
            <w:r w:rsidR="00E90152">
              <w:t>GHG</w:t>
            </w:r>
            <w:r w:rsidRPr="00AA5CB5">
              <w:t xml:space="preserve"> emissions being achieved by an entity (or country) without the use of offsetting or other removals. The scope of the gross </w:t>
            </w:r>
            <w:r w:rsidR="00E90152">
              <w:t>GHG</w:t>
            </w:r>
            <w:r w:rsidRPr="00AA5CB5">
              <w:t xml:space="preserve"> emissions target is defined by the reporting agency.</w:t>
            </w:r>
          </w:p>
        </w:tc>
      </w:tr>
      <w:tr w:rsidR="00D2550D" w:rsidRPr="00AA5CB5" w14:paraId="186ACF3E"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197A3AD4" w14:textId="77777777" w:rsidR="00D2550D" w:rsidRPr="00AA5CB5" w:rsidRDefault="00D2550D" w:rsidP="00276456">
            <w:pPr>
              <w:pStyle w:val="BodyText1"/>
              <w:rPr>
                <w:b/>
                <w:bCs/>
              </w:rPr>
            </w:pPr>
            <w:r w:rsidRPr="00AA5CB5">
              <w:rPr>
                <w:b/>
                <w:bCs/>
              </w:rPr>
              <w:t>Intergovernmental Panel on Climate Change (IPCC)</w:t>
            </w:r>
          </w:p>
        </w:tc>
        <w:tc>
          <w:tcPr>
            <w:tcW w:w="7056" w:type="dxa"/>
          </w:tcPr>
          <w:p w14:paraId="012F8E18" w14:textId="77777777" w:rsidR="00D2550D" w:rsidRPr="00AA5CB5" w:rsidRDefault="00D2550D" w:rsidP="00276456">
            <w:pPr>
              <w:pStyle w:val="BodyText1"/>
            </w:pPr>
            <w:r w:rsidRPr="00AA5CB5">
              <w:t>The IPCC is a United Nations body dedicated to assessing the science related to climate change. It provides scientific information and technical guidance to the United Nations Framework Convention on Climate Change (UNFCCC) and Paris Agreement.</w:t>
            </w:r>
          </w:p>
        </w:tc>
      </w:tr>
      <w:tr w:rsidR="00D2550D" w:rsidRPr="00AA5CB5" w14:paraId="577EAF63" w14:textId="77777777" w:rsidTr="7CE0D348">
        <w:trPr>
          <w:trHeight w:val="20"/>
        </w:trPr>
        <w:tc>
          <w:tcPr>
            <w:tcW w:w="2294" w:type="dxa"/>
            <w:hideMark/>
          </w:tcPr>
          <w:p w14:paraId="549D2A8E" w14:textId="77777777" w:rsidR="00D2550D" w:rsidRPr="00AA5CB5" w:rsidRDefault="00D2550D" w:rsidP="00276456">
            <w:pPr>
              <w:pStyle w:val="BodyText1"/>
              <w:rPr>
                <w:b/>
                <w:bCs/>
              </w:rPr>
            </w:pPr>
            <w:r w:rsidRPr="00AA5CB5">
              <w:rPr>
                <w:b/>
                <w:bCs/>
              </w:rPr>
              <w:t xml:space="preserve">International Organization for </w:t>
            </w:r>
            <w:r w:rsidRPr="00AA5CB5">
              <w:rPr>
                <w:b/>
                <w:bCs/>
              </w:rPr>
              <w:lastRenderedPageBreak/>
              <w:t>Standardization (ISO)</w:t>
            </w:r>
          </w:p>
        </w:tc>
        <w:tc>
          <w:tcPr>
            <w:tcW w:w="7056" w:type="dxa"/>
            <w:hideMark/>
          </w:tcPr>
          <w:p w14:paraId="2C76754C" w14:textId="77777777" w:rsidR="00D2550D" w:rsidRPr="00AA5CB5" w:rsidRDefault="00D2550D" w:rsidP="00276456">
            <w:pPr>
              <w:pStyle w:val="BodyText1"/>
            </w:pPr>
            <w:r w:rsidRPr="00AA5CB5">
              <w:lastRenderedPageBreak/>
              <w:t xml:space="preserve">An independent, non-governmental international organisation that develops and publishes standards to ensure the quality, safety, efficiency, and interoperability of products, services, and systems. </w:t>
            </w:r>
          </w:p>
        </w:tc>
      </w:tr>
      <w:tr w:rsidR="00D2550D" w:rsidRPr="00AA5CB5" w14:paraId="564ED317"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321B4D72" w14:textId="77777777" w:rsidR="00D2550D" w:rsidRPr="00AA5CB5" w:rsidRDefault="00D2550D" w:rsidP="00276456">
            <w:pPr>
              <w:pStyle w:val="BodyText1"/>
              <w:rPr>
                <w:b/>
                <w:bCs/>
              </w:rPr>
            </w:pPr>
            <w:r w:rsidRPr="00AA5CB5">
              <w:rPr>
                <w:b/>
                <w:bCs/>
              </w:rPr>
              <w:t>IPCC Guidelines for National Greenhouse Gas Inventories</w:t>
            </w:r>
          </w:p>
        </w:tc>
        <w:tc>
          <w:tcPr>
            <w:tcW w:w="7056" w:type="dxa"/>
            <w:hideMark/>
          </w:tcPr>
          <w:p w14:paraId="5C76D824" w14:textId="2B7826FE" w:rsidR="00D2550D" w:rsidRPr="00AA5CB5" w:rsidRDefault="00D2550D" w:rsidP="00276456">
            <w:pPr>
              <w:pStyle w:val="BodyText1"/>
            </w:pPr>
            <w:r w:rsidRPr="00AA5CB5">
              <w:t xml:space="preserve">Developed by the IPCC, these guidelines are a comprehensive tool for parties to estimate and report their country’s </w:t>
            </w:r>
            <w:r w:rsidR="00E90152">
              <w:t>GHG</w:t>
            </w:r>
            <w:r w:rsidRPr="00AA5CB5">
              <w:t xml:space="preserve"> emissions. </w:t>
            </w:r>
          </w:p>
        </w:tc>
      </w:tr>
      <w:tr w:rsidR="00D2550D" w:rsidRPr="00AA5CB5" w14:paraId="2465326F" w14:textId="77777777" w:rsidTr="7CE0D348">
        <w:trPr>
          <w:trHeight w:val="20"/>
        </w:trPr>
        <w:tc>
          <w:tcPr>
            <w:tcW w:w="2294" w:type="dxa"/>
            <w:hideMark/>
          </w:tcPr>
          <w:p w14:paraId="2904F66B" w14:textId="77777777" w:rsidR="00D2550D" w:rsidRPr="00AA5CB5" w:rsidRDefault="00D2550D" w:rsidP="00276456">
            <w:pPr>
              <w:pStyle w:val="BodyText1"/>
              <w:rPr>
                <w:b/>
                <w:bCs/>
              </w:rPr>
            </w:pPr>
            <w:r w:rsidRPr="00AA5CB5">
              <w:rPr>
                <w:b/>
                <w:bCs/>
              </w:rPr>
              <w:t>Land Use, Land Use Change, and Forestry (LULUCF)</w:t>
            </w:r>
          </w:p>
        </w:tc>
        <w:tc>
          <w:tcPr>
            <w:tcW w:w="7056" w:type="dxa"/>
            <w:hideMark/>
          </w:tcPr>
          <w:p w14:paraId="3E6E3146" w14:textId="3AB00235" w:rsidR="00D2550D" w:rsidRPr="00AA5CB5" w:rsidRDefault="00D2550D" w:rsidP="00276456">
            <w:pPr>
              <w:pStyle w:val="BodyText1"/>
            </w:pPr>
            <w:r w:rsidRPr="00AA5CB5">
              <w:t xml:space="preserve">The </w:t>
            </w:r>
            <w:r w:rsidR="00E90152">
              <w:t>GHG</w:t>
            </w:r>
            <w:r w:rsidRPr="00AA5CB5">
              <w:t xml:space="preserve"> inventory sector covering emissions and removals from land and forests caused by human activities such as settlements, commercial uses, land-use change, and forestry activities. This sector does not include emissions from livestock or fertilisers applied to croplands, which are covered by emissions reported for the agriculture sector.</w:t>
            </w:r>
          </w:p>
        </w:tc>
      </w:tr>
      <w:tr w:rsidR="00D2550D" w:rsidRPr="00AA5CB5" w14:paraId="20B30F46"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594C844B" w14:textId="77777777" w:rsidR="00D2550D" w:rsidRPr="00AA5CB5" w:rsidRDefault="00D2550D" w:rsidP="00276456">
            <w:pPr>
              <w:pStyle w:val="BodyText1"/>
              <w:rPr>
                <w:b/>
                <w:bCs/>
              </w:rPr>
            </w:pPr>
            <w:r w:rsidRPr="00AA5CB5">
              <w:rPr>
                <w:b/>
                <w:bCs/>
              </w:rPr>
              <w:t>Large-Scale Generation Certificates (LGCs)</w:t>
            </w:r>
          </w:p>
        </w:tc>
        <w:tc>
          <w:tcPr>
            <w:tcW w:w="7056" w:type="dxa"/>
            <w:hideMark/>
          </w:tcPr>
          <w:p w14:paraId="677C2562" w14:textId="77777777" w:rsidR="00D2550D" w:rsidRPr="00AA5CB5" w:rsidRDefault="00D2550D" w:rsidP="00276456">
            <w:pPr>
              <w:pStyle w:val="BodyText1"/>
            </w:pPr>
            <w:r w:rsidRPr="00AA5CB5">
              <w:t xml:space="preserve">Tradable certificates created for eligible large-scale renewable energy power stations. </w:t>
            </w:r>
            <w:r>
              <w:t>Refer to</w:t>
            </w:r>
            <w:r w:rsidRPr="00AA5CB5">
              <w:t xml:space="preserve"> </w:t>
            </w:r>
            <w:hyperlink r:id="rId91">
              <w:r w:rsidRPr="00AA5CB5">
                <w:rPr>
                  <w:rStyle w:val="Hyperlink1"/>
                </w:rPr>
                <w:t>Clean Energy Regulator - LGCs.</w:t>
              </w:r>
            </w:hyperlink>
            <w:r w:rsidRPr="00AA5CB5">
              <w:t xml:space="preserve">  </w:t>
            </w:r>
          </w:p>
        </w:tc>
      </w:tr>
      <w:tr w:rsidR="00D2550D" w:rsidRPr="00AA5CB5" w14:paraId="1BD9335A" w14:textId="77777777" w:rsidTr="7CE0D348">
        <w:trPr>
          <w:trHeight w:val="20"/>
        </w:trPr>
        <w:tc>
          <w:tcPr>
            <w:tcW w:w="2294" w:type="dxa"/>
            <w:hideMark/>
          </w:tcPr>
          <w:p w14:paraId="105DAEC6" w14:textId="77777777" w:rsidR="00D2550D" w:rsidRPr="00AA5CB5" w:rsidRDefault="00D2550D" w:rsidP="00276456">
            <w:pPr>
              <w:pStyle w:val="BodyText1"/>
              <w:rPr>
                <w:b/>
                <w:bCs/>
              </w:rPr>
            </w:pPr>
            <w:r w:rsidRPr="00AA5CB5">
              <w:rPr>
                <w:b/>
                <w:bCs/>
              </w:rPr>
              <w:t>Location-based and market-based emissions</w:t>
            </w:r>
          </w:p>
        </w:tc>
        <w:tc>
          <w:tcPr>
            <w:tcW w:w="7056" w:type="dxa"/>
            <w:hideMark/>
          </w:tcPr>
          <w:p w14:paraId="75069A33" w14:textId="77777777" w:rsidR="00D2550D" w:rsidRPr="00AA5CB5" w:rsidRDefault="00D2550D" w:rsidP="00276456">
            <w:pPr>
              <w:pStyle w:val="BodyText1"/>
            </w:pPr>
            <w:r w:rsidRPr="00AA5CB5">
              <w:t xml:space="preserve">The location-based method looks at the average emissions from the grid where the electricity is consumed. It does not distinguish between different energy sources (like renewable energy or fossil fuels) but instead uses the overall emissions figures from the local grid's energy mix to estimate emissions from electricity use. </w:t>
            </w:r>
          </w:p>
          <w:p w14:paraId="1956802E" w14:textId="77777777" w:rsidR="00D2550D" w:rsidRPr="00AA5CB5" w:rsidRDefault="00D2550D" w:rsidP="00276456">
            <w:pPr>
              <w:pStyle w:val="BodyText1"/>
            </w:pPr>
            <w:r w:rsidRPr="00AA5CB5">
              <w:t xml:space="preserve">The </w:t>
            </w:r>
            <w:r>
              <w:t>m</w:t>
            </w:r>
            <w:r w:rsidRPr="00AA5CB5">
              <w:t>arket-based method shows a business’s electricity emissions in the context of its investments in different electricity products and markets. This includes from voluntary purchases of renewable electricity and mandatory schemes like the Large-scale Renewable Energy Target. The Market-based method assigns an emissions factor of zero for a business’s sourcing of renewable electricity and uses a Residual Mix Factor to calculate emissions from any remaining electricity consumption.</w:t>
            </w:r>
          </w:p>
          <w:p w14:paraId="26801CAF" w14:textId="77777777" w:rsidR="00D2550D" w:rsidRPr="00AA5CB5" w:rsidRDefault="00D2550D" w:rsidP="00276456">
            <w:pPr>
              <w:pStyle w:val="BodyText1"/>
            </w:pPr>
            <w:r w:rsidRPr="00AA5CB5">
              <w:t>Both location-based and market-based emissions reporting apply to scope 2 and scope 3 emission categories.</w:t>
            </w:r>
          </w:p>
        </w:tc>
      </w:tr>
      <w:tr w:rsidR="00D2550D" w:rsidRPr="00AA5CB5" w14:paraId="4455D806"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7693CC00" w14:textId="77777777" w:rsidR="00D2550D" w:rsidRPr="00AA5CB5" w:rsidRDefault="00D2550D" w:rsidP="00276456">
            <w:pPr>
              <w:pStyle w:val="BodyText1"/>
              <w:rPr>
                <w:b/>
                <w:bCs/>
              </w:rPr>
            </w:pPr>
            <w:r w:rsidRPr="00865EDA">
              <w:rPr>
                <w:b/>
                <w:bCs/>
              </w:rPr>
              <w:t>Management Representation Letter</w:t>
            </w:r>
          </w:p>
        </w:tc>
        <w:tc>
          <w:tcPr>
            <w:tcW w:w="7056" w:type="dxa"/>
          </w:tcPr>
          <w:p w14:paraId="1F0600B5" w14:textId="77777777" w:rsidR="00D2550D" w:rsidRPr="00AA5CB5" w:rsidRDefault="00D2550D" w:rsidP="00276456">
            <w:pPr>
              <w:pStyle w:val="BodyText1"/>
            </w:pPr>
            <w:r w:rsidRPr="00865EDA">
              <w:t>Written statements provided by members of management to assurance practitioners confirming, amongst other things, that the information provided to the assurance practitioner is complete and accurate to the best of their knowledge and belief. Representations by management will vary from one entity to another and from one period to the next. The auditor and/or the relevant assurance standard, (e.g. ASSA 5000), will specify the representations that must be included in the Management Representation Letter.</w:t>
            </w:r>
          </w:p>
        </w:tc>
      </w:tr>
      <w:tr w:rsidR="00D2550D" w:rsidRPr="00AA5CB5" w14:paraId="699580BA" w14:textId="77777777" w:rsidTr="7CE0D348">
        <w:trPr>
          <w:trHeight w:val="20"/>
        </w:trPr>
        <w:tc>
          <w:tcPr>
            <w:tcW w:w="2294" w:type="dxa"/>
            <w:hideMark/>
          </w:tcPr>
          <w:p w14:paraId="2C4D47D5" w14:textId="77777777" w:rsidR="00D2550D" w:rsidRPr="00AA5CB5" w:rsidRDefault="00D2550D" w:rsidP="00276456">
            <w:pPr>
              <w:pStyle w:val="BodyText1"/>
              <w:rPr>
                <w:b/>
                <w:bCs/>
              </w:rPr>
            </w:pPr>
            <w:r w:rsidRPr="00AA5CB5">
              <w:rPr>
                <w:b/>
                <w:bCs/>
              </w:rPr>
              <w:t xml:space="preserve">National Greenhouse and </w:t>
            </w:r>
            <w:r w:rsidRPr="00AA5CB5">
              <w:rPr>
                <w:b/>
                <w:bCs/>
              </w:rPr>
              <w:lastRenderedPageBreak/>
              <w:t>Energy Reporting</w:t>
            </w:r>
            <w:r w:rsidRPr="00AA5CB5">
              <w:t xml:space="preserve"> (</w:t>
            </w:r>
            <w:r w:rsidRPr="00AA5CB5">
              <w:rPr>
                <w:b/>
                <w:bCs/>
              </w:rPr>
              <w:t>NGER) Scheme</w:t>
            </w:r>
          </w:p>
        </w:tc>
        <w:tc>
          <w:tcPr>
            <w:tcW w:w="7056" w:type="dxa"/>
            <w:hideMark/>
          </w:tcPr>
          <w:p w14:paraId="2BC96E34" w14:textId="0B5A7C2C" w:rsidR="00D2550D" w:rsidRPr="00AA5CB5" w:rsidRDefault="00D2550D" w:rsidP="00276456">
            <w:pPr>
              <w:pStyle w:val="BodyText1"/>
            </w:pPr>
            <w:r w:rsidRPr="00AA5CB5">
              <w:lastRenderedPageBreak/>
              <w:t xml:space="preserve">The NGER scheme is established by the National Greenhouse and Energy Reporting Act 2007 (NGER Act) and is a single national framework for reporting and disseminating company information about </w:t>
            </w:r>
            <w:r w:rsidR="00E90152">
              <w:t>GHG</w:t>
            </w:r>
            <w:r w:rsidRPr="00AA5CB5">
              <w:t xml:space="preserve"> emissions, energy production, energy consumption and other </w:t>
            </w:r>
            <w:r w:rsidRPr="00AA5CB5">
              <w:lastRenderedPageBreak/>
              <w:t>information specified under NGER scheme legislation. NGER scheme data are a key input into calculating Australia’s emissions from the energy, industrial processes and product use and waste sectors.</w:t>
            </w:r>
          </w:p>
        </w:tc>
      </w:tr>
      <w:tr w:rsidR="00D2550D" w:rsidRPr="00AA5CB5" w14:paraId="1AABA2E5"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2778567C" w14:textId="77777777" w:rsidR="00D2550D" w:rsidRPr="00AA5CB5" w:rsidRDefault="00D2550D" w:rsidP="00276456">
            <w:pPr>
              <w:pStyle w:val="BodyText1"/>
              <w:rPr>
                <w:b/>
                <w:bCs/>
              </w:rPr>
            </w:pPr>
            <w:r w:rsidRPr="00AA5CB5">
              <w:rPr>
                <w:b/>
                <w:bCs/>
              </w:rPr>
              <w:lastRenderedPageBreak/>
              <w:t>Nationally Determined Contribution (NDC)</w:t>
            </w:r>
          </w:p>
        </w:tc>
        <w:tc>
          <w:tcPr>
            <w:tcW w:w="7056" w:type="dxa"/>
            <w:hideMark/>
          </w:tcPr>
          <w:p w14:paraId="4E9A90A3" w14:textId="77777777" w:rsidR="00D2550D" w:rsidRPr="00AA5CB5" w:rsidRDefault="00D2550D" w:rsidP="00276456">
            <w:pPr>
              <w:pStyle w:val="BodyText1"/>
            </w:pPr>
            <w:r w:rsidRPr="00AA5CB5">
              <w:t>Under the Paris Agreement, Parties are required to submit Nationally Determined Contributions every five years. NDCs are the vehicle for Parties’ mitigation commitments. Developed countries are required to submit economy-wide emissions reduction commitments, with developing countries to move towards these over time.</w:t>
            </w:r>
          </w:p>
        </w:tc>
      </w:tr>
      <w:tr w:rsidR="00D2550D" w:rsidRPr="00AA5CB5" w14:paraId="1B2D9EEA" w14:textId="77777777" w:rsidTr="7CE0D348">
        <w:trPr>
          <w:trHeight w:val="20"/>
        </w:trPr>
        <w:tc>
          <w:tcPr>
            <w:tcW w:w="2294" w:type="dxa"/>
            <w:hideMark/>
          </w:tcPr>
          <w:p w14:paraId="4594F153" w14:textId="77777777" w:rsidR="00D2550D" w:rsidRPr="00AA5CB5" w:rsidRDefault="00D2550D" w:rsidP="00276456">
            <w:pPr>
              <w:pStyle w:val="BodyText1"/>
              <w:rPr>
                <w:b/>
                <w:bCs/>
              </w:rPr>
            </w:pPr>
            <w:r w:rsidRPr="00AA5CB5">
              <w:rPr>
                <w:b/>
                <w:bCs/>
              </w:rPr>
              <w:t>Net greenhouse gas emissions target</w:t>
            </w:r>
          </w:p>
        </w:tc>
        <w:tc>
          <w:tcPr>
            <w:tcW w:w="7056" w:type="dxa"/>
            <w:hideMark/>
          </w:tcPr>
          <w:p w14:paraId="7DFAD796" w14:textId="07BDB3DB" w:rsidR="00D2550D" w:rsidRPr="00AA5CB5" w:rsidRDefault="00D2550D" w:rsidP="00276456">
            <w:pPr>
              <w:pStyle w:val="BodyText1"/>
            </w:pPr>
            <w:r w:rsidRPr="00AA5CB5">
              <w:t xml:space="preserve">An entity’s targeted gross </w:t>
            </w:r>
            <w:r w:rsidR="00E90152">
              <w:t>GHG</w:t>
            </w:r>
            <w:r w:rsidRPr="00AA5CB5">
              <w:t xml:space="preserve"> emissions minus any planned offsetting efforts.</w:t>
            </w:r>
          </w:p>
        </w:tc>
      </w:tr>
      <w:tr w:rsidR="00D2550D" w:rsidRPr="00AA5CB5" w14:paraId="26F194CD"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40362F94" w14:textId="77777777" w:rsidR="00D2550D" w:rsidRPr="00AA5CB5" w:rsidRDefault="00D2550D" w:rsidP="00276456">
            <w:pPr>
              <w:pStyle w:val="BodyText1"/>
              <w:rPr>
                <w:b/>
                <w:bCs/>
              </w:rPr>
            </w:pPr>
            <w:hyperlink r:id="rId92" w:history="1">
              <w:r w:rsidRPr="00AA5CB5">
                <w:rPr>
                  <w:rStyle w:val="Hyperlink"/>
                  <w:rFonts w:cstheme="minorHAnsi"/>
                  <w:b/>
                  <w:bCs/>
                </w:rPr>
                <w:t>Net Zero in Government Operations Strategy</w:t>
              </w:r>
            </w:hyperlink>
          </w:p>
        </w:tc>
        <w:tc>
          <w:tcPr>
            <w:tcW w:w="7056" w:type="dxa"/>
            <w:hideMark/>
          </w:tcPr>
          <w:p w14:paraId="79CC1FEC" w14:textId="77777777" w:rsidR="00D2550D" w:rsidRPr="00AA5CB5" w:rsidRDefault="00D2550D" w:rsidP="00276456">
            <w:pPr>
              <w:pStyle w:val="BodyText1"/>
            </w:pPr>
            <w:r w:rsidRPr="00AA5CB5">
              <w:t xml:space="preserve">The approach for implementing the Australian Government’s commitment to achieve net zero emissions in government operations by 2030. It sets out the activities, emissions sources and Commonwealth entities that are included in the APS Net Zero 2030 target and reporting, and action required by entities. </w:t>
            </w:r>
          </w:p>
        </w:tc>
      </w:tr>
      <w:tr w:rsidR="00D2550D" w:rsidRPr="00AA5CB5" w14:paraId="1C6C8955" w14:textId="77777777" w:rsidTr="7CE0D348">
        <w:trPr>
          <w:trHeight w:val="20"/>
        </w:trPr>
        <w:tc>
          <w:tcPr>
            <w:tcW w:w="2294" w:type="dxa"/>
            <w:hideMark/>
          </w:tcPr>
          <w:p w14:paraId="1CE63DE3" w14:textId="77777777" w:rsidR="00D2550D" w:rsidRPr="00AA5CB5" w:rsidRDefault="00D2550D" w:rsidP="00276456">
            <w:pPr>
              <w:pStyle w:val="BodyText1"/>
              <w:rPr>
                <w:b/>
                <w:bCs/>
              </w:rPr>
            </w:pPr>
            <w:r w:rsidRPr="00AA5CB5">
              <w:rPr>
                <w:b/>
                <w:bCs/>
              </w:rPr>
              <w:t>Non-corporate Commonwealth entity (NCE)</w:t>
            </w:r>
          </w:p>
        </w:tc>
        <w:tc>
          <w:tcPr>
            <w:tcW w:w="7056" w:type="dxa"/>
            <w:hideMark/>
          </w:tcPr>
          <w:p w14:paraId="47E0F6E5" w14:textId="77777777" w:rsidR="00D2550D" w:rsidRPr="00AA5CB5" w:rsidRDefault="00D2550D" w:rsidP="00276456">
            <w:pPr>
              <w:pStyle w:val="BodyText1"/>
            </w:pPr>
            <w:r w:rsidRPr="00AA5CB5">
              <w:t>Non-corporate Commonwealth entities (NCEs) are legally and financially part of the Commonwealth. Examples of NCEs include departments of state, parliamentary departments or listed entities.</w:t>
            </w:r>
          </w:p>
        </w:tc>
      </w:tr>
      <w:tr w:rsidR="00D2550D" w:rsidRPr="00AA5CB5" w14:paraId="0E236992"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0ADD4910" w14:textId="77777777" w:rsidR="00D2550D" w:rsidRPr="00AA5CB5" w:rsidRDefault="00D2550D" w:rsidP="00276456">
            <w:pPr>
              <w:pStyle w:val="BodyText1"/>
              <w:rPr>
                <w:b/>
                <w:bCs/>
              </w:rPr>
            </w:pPr>
            <w:r w:rsidRPr="00AA5CB5">
              <w:rPr>
                <w:b/>
                <w:bCs/>
              </w:rPr>
              <w:t xml:space="preserve">Operational control </w:t>
            </w:r>
          </w:p>
        </w:tc>
        <w:tc>
          <w:tcPr>
            <w:tcW w:w="7056" w:type="dxa"/>
          </w:tcPr>
          <w:p w14:paraId="6648B3B7" w14:textId="77777777" w:rsidR="00D2550D" w:rsidRPr="00AA5CB5" w:rsidRDefault="00D2550D" w:rsidP="00276456">
            <w:pPr>
              <w:pStyle w:val="BodyText1"/>
            </w:pPr>
            <w:r w:rsidRPr="00AA5CB5">
              <w:t xml:space="preserve">Where the reporting agency has full authority to introduce and implement operating policies, and/or has the ability to influence the number of emissions resulting from its daily operations. For the </w:t>
            </w:r>
            <w:r>
              <w:t>Framework</w:t>
            </w:r>
            <w:r w:rsidRPr="00AA5CB5">
              <w:t xml:space="preserve">, </w:t>
            </w:r>
            <w:r>
              <w:t xml:space="preserve">the </w:t>
            </w:r>
            <w:r w:rsidRPr="00AA5CB5">
              <w:t xml:space="preserve">organisational boundary is to be determined based on operational control. </w:t>
            </w:r>
          </w:p>
        </w:tc>
      </w:tr>
      <w:tr w:rsidR="00D2550D" w:rsidRPr="00AA5CB5" w14:paraId="1F3DEACC" w14:textId="77777777" w:rsidTr="7CE0D348">
        <w:trPr>
          <w:trHeight w:val="20"/>
        </w:trPr>
        <w:tc>
          <w:tcPr>
            <w:tcW w:w="2294" w:type="dxa"/>
            <w:hideMark/>
          </w:tcPr>
          <w:p w14:paraId="7F95C3B4" w14:textId="77777777" w:rsidR="00D2550D" w:rsidRPr="00AA5CB5" w:rsidRDefault="00D2550D" w:rsidP="00276456">
            <w:pPr>
              <w:pStyle w:val="BodyText1"/>
              <w:rPr>
                <w:b/>
                <w:bCs/>
              </w:rPr>
            </w:pPr>
            <w:r w:rsidRPr="00AA5CB5">
              <w:rPr>
                <w:b/>
                <w:bCs/>
              </w:rPr>
              <w:t>Organisational boundary</w:t>
            </w:r>
          </w:p>
        </w:tc>
        <w:tc>
          <w:tcPr>
            <w:tcW w:w="7056" w:type="dxa"/>
            <w:hideMark/>
          </w:tcPr>
          <w:p w14:paraId="2F81BD0A" w14:textId="77777777" w:rsidR="00D2550D" w:rsidRPr="00AA5CB5" w:rsidRDefault="00D2550D" w:rsidP="00276456">
            <w:pPr>
              <w:pStyle w:val="BodyText1"/>
            </w:pPr>
            <w:r w:rsidRPr="00AA5CB5">
              <w:t>A boundary that determines all emissions that need to be reported.</w:t>
            </w:r>
          </w:p>
        </w:tc>
      </w:tr>
      <w:tr w:rsidR="00D2550D" w:rsidRPr="00AA5CB5" w14:paraId="07D9CFE5"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2565567F" w14:textId="77777777" w:rsidR="00D2550D" w:rsidRPr="00AA5CB5" w:rsidRDefault="00D2550D" w:rsidP="00276456">
            <w:pPr>
              <w:pStyle w:val="BodyText1"/>
              <w:rPr>
                <w:b/>
                <w:bCs/>
              </w:rPr>
            </w:pPr>
            <w:r w:rsidRPr="00AA5CB5">
              <w:rPr>
                <w:b/>
                <w:bCs/>
              </w:rPr>
              <w:t xml:space="preserve">Primary data </w:t>
            </w:r>
          </w:p>
        </w:tc>
        <w:tc>
          <w:tcPr>
            <w:tcW w:w="7056" w:type="dxa"/>
          </w:tcPr>
          <w:p w14:paraId="3BB41D6E" w14:textId="77777777" w:rsidR="00D2550D" w:rsidRPr="00AA5CB5" w:rsidRDefault="00D2550D" w:rsidP="006D3CC9">
            <w:pPr>
              <w:pStyle w:val="BodyText1"/>
            </w:pPr>
            <w:r w:rsidRPr="00AA5CB5">
              <w:t xml:space="preserve">Data from the reporting agency’s operations sourced for the purpose of emissions reporting. Considered to more accurate and reliable than secondary data sources. </w:t>
            </w:r>
          </w:p>
        </w:tc>
      </w:tr>
      <w:tr w:rsidR="00D2550D" w:rsidRPr="00AA5CB5" w14:paraId="02F044A3" w14:textId="77777777" w:rsidTr="7CE0D348">
        <w:trPr>
          <w:trHeight w:val="20"/>
        </w:trPr>
        <w:tc>
          <w:tcPr>
            <w:tcW w:w="2294" w:type="dxa"/>
            <w:hideMark/>
          </w:tcPr>
          <w:p w14:paraId="4A0929E1" w14:textId="77777777" w:rsidR="00D2550D" w:rsidRPr="00AA5CB5" w:rsidRDefault="00D2550D" w:rsidP="00276456">
            <w:pPr>
              <w:pStyle w:val="BodyText1"/>
              <w:rPr>
                <w:b/>
                <w:bCs/>
              </w:rPr>
            </w:pPr>
            <w:r w:rsidRPr="00AA5CB5">
              <w:rPr>
                <w:b/>
                <w:bCs/>
              </w:rPr>
              <w:t xml:space="preserve">Radiative forcing </w:t>
            </w:r>
          </w:p>
        </w:tc>
        <w:tc>
          <w:tcPr>
            <w:tcW w:w="7056" w:type="dxa"/>
          </w:tcPr>
          <w:p w14:paraId="5C988496" w14:textId="77777777" w:rsidR="00D2550D" w:rsidRPr="00AA5CB5" w:rsidRDefault="00D2550D" w:rsidP="00276456">
            <w:pPr>
              <w:pStyle w:val="BodyText1"/>
            </w:pPr>
            <w:r w:rsidRPr="00AA5CB5">
              <w:t xml:space="preserve">Radiative forcing, also called climate forcing, is a measure of the amount of warming or cooling produced by a change in the earth's Energy Balance. Changes that have a warming effect are called 'positive' forcing, while changes that have a cooling effect are called 'negative' forcing. When positive and negative forces are out of balance the result is a change in the earth's average surface temperature. </w:t>
            </w:r>
          </w:p>
          <w:p w14:paraId="62236540" w14:textId="77777777" w:rsidR="00D2550D" w:rsidRPr="00AA5CB5" w:rsidRDefault="00D2550D" w:rsidP="00276456">
            <w:pPr>
              <w:pStyle w:val="BodyText1"/>
            </w:pPr>
            <w:r w:rsidRPr="00AA5CB5">
              <w:t xml:space="preserve">Greenhouse gases absorb heat from the earth's surface and re-emit the heat back towards the surface, which results in a 'positive' radiative forcing. The larger the radiative forcing value, the bigger </w:t>
            </w:r>
            <w:r w:rsidRPr="00AA5CB5">
              <w:lastRenderedPageBreak/>
              <w:t>the change in the average global temperature. Radiative forcing is measured in watts per square meter (Wm</w:t>
            </w:r>
            <w:r w:rsidRPr="00AA5CB5">
              <w:rPr>
                <w:vertAlign w:val="superscript"/>
              </w:rPr>
              <w:t>-2</w:t>
            </w:r>
            <w:r w:rsidRPr="00AA5CB5">
              <w:t>).</w:t>
            </w:r>
          </w:p>
        </w:tc>
      </w:tr>
      <w:tr w:rsidR="00D2550D" w:rsidRPr="00AA5CB5" w14:paraId="1CE16288"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5685C268" w14:textId="77777777" w:rsidR="00D2550D" w:rsidRPr="00AA5CB5" w:rsidRDefault="00D2550D" w:rsidP="00276456">
            <w:pPr>
              <w:pStyle w:val="BodyText1"/>
              <w:rPr>
                <w:b/>
                <w:bCs/>
              </w:rPr>
            </w:pPr>
            <w:r w:rsidRPr="00AA5CB5">
              <w:rPr>
                <w:b/>
                <w:bCs/>
              </w:rPr>
              <w:lastRenderedPageBreak/>
              <w:t>Reconciliation</w:t>
            </w:r>
          </w:p>
        </w:tc>
        <w:tc>
          <w:tcPr>
            <w:tcW w:w="7056" w:type="dxa"/>
            <w:hideMark/>
          </w:tcPr>
          <w:p w14:paraId="647FFB87" w14:textId="77777777" w:rsidR="00D2550D" w:rsidRPr="00AA5CB5" w:rsidRDefault="00D2550D" w:rsidP="00276456">
            <w:pPr>
              <w:pStyle w:val="BodyText1"/>
            </w:pPr>
            <w:r w:rsidRPr="00AA5CB5">
              <w:t>The correction of activity data reported for a reporting period during the data’s collection period to the actual activity data usage over the reporting period. Reconciliations can occur due to billing periods differing from the reporting period.</w:t>
            </w:r>
          </w:p>
        </w:tc>
      </w:tr>
      <w:tr w:rsidR="00D2550D" w:rsidRPr="00AA5CB5" w14:paraId="058B487E" w14:textId="77777777" w:rsidTr="7CE0D348">
        <w:trPr>
          <w:trHeight w:val="20"/>
        </w:trPr>
        <w:tc>
          <w:tcPr>
            <w:tcW w:w="2294" w:type="dxa"/>
            <w:hideMark/>
          </w:tcPr>
          <w:p w14:paraId="0D8DB1E2" w14:textId="77777777" w:rsidR="00D2550D" w:rsidRPr="00AA5CB5" w:rsidRDefault="00D2550D" w:rsidP="00276456">
            <w:pPr>
              <w:pStyle w:val="BodyText1"/>
              <w:rPr>
                <w:b/>
                <w:bCs/>
              </w:rPr>
            </w:pPr>
            <w:r w:rsidRPr="00AA5CB5">
              <w:rPr>
                <w:b/>
                <w:bCs/>
              </w:rPr>
              <w:t>Renewable Energy Certificate (REC)</w:t>
            </w:r>
          </w:p>
        </w:tc>
        <w:tc>
          <w:tcPr>
            <w:tcW w:w="7056" w:type="dxa"/>
            <w:hideMark/>
          </w:tcPr>
          <w:p w14:paraId="0FEDE09B" w14:textId="77777777" w:rsidR="00D2550D" w:rsidRPr="00AA5CB5" w:rsidRDefault="00D2550D" w:rsidP="00276456">
            <w:pPr>
              <w:pStyle w:val="BodyText1"/>
            </w:pPr>
            <w:r w:rsidRPr="00AA5CB5">
              <w:t>A tradable certificate that represents 1 megawatt-hour (MWh) of electricity generated from renewable sources like solar, wind, or hydro.</w:t>
            </w:r>
          </w:p>
          <w:p w14:paraId="33CE41F2" w14:textId="77777777" w:rsidR="00D2550D" w:rsidRPr="00AA5CB5" w:rsidRDefault="00D2550D" w:rsidP="00276456">
            <w:pPr>
              <w:pStyle w:val="BodyText1"/>
            </w:pPr>
            <w:r w:rsidRPr="00AA5CB5">
              <w:t>An eligible REC is:</w:t>
            </w:r>
          </w:p>
          <w:p w14:paraId="0AC4BE21" w14:textId="77777777" w:rsidR="00D2550D" w:rsidRPr="00CB519E" w:rsidRDefault="00D2550D" w:rsidP="005E1D9F">
            <w:pPr>
              <w:pStyle w:val="Tablebullet1"/>
              <w:rPr>
                <w:sz w:val="22"/>
                <w:szCs w:val="22"/>
              </w:rPr>
            </w:pPr>
            <w:r w:rsidRPr="00CB519E">
              <w:rPr>
                <w:sz w:val="22"/>
                <w:szCs w:val="22"/>
              </w:rPr>
              <w:t>a Large-scale Generation Certificate (LGC) that is voluntarily surrendered through the Renewable Energy Certificate Registry in the reporting year with a generation date of less than 36 months prior to the end of the reporting year; or</w:t>
            </w:r>
          </w:p>
          <w:p w14:paraId="38BEA9F7" w14:textId="77777777" w:rsidR="00D2550D" w:rsidRPr="00AA5CB5" w:rsidRDefault="00D2550D" w:rsidP="005E1D9F">
            <w:pPr>
              <w:pStyle w:val="Tablebullet1"/>
            </w:pPr>
            <w:r w:rsidRPr="00CB519E">
              <w:rPr>
                <w:sz w:val="22"/>
                <w:szCs w:val="22"/>
              </w:rPr>
              <w:t>a purchase of GreenPower electricity from an accredited GreenPower Provider.</w:t>
            </w:r>
          </w:p>
        </w:tc>
      </w:tr>
      <w:tr w:rsidR="00D2550D" w:rsidRPr="00AA5CB5" w14:paraId="78CA5878"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4B68C27E" w14:textId="77777777" w:rsidR="00D2550D" w:rsidRPr="00AA5CB5" w:rsidRDefault="00D2550D" w:rsidP="00276456">
            <w:pPr>
              <w:pStyle w:val="BodyText1"/>
              <w:rPr>
                <w:b/>
                <w:bCs/>
              </w:rPr>
            </w:pPr>
            <w:r w:rsidRPr="00AA5CB5">
              <w:rPr>
                <w:b/>
                <w:bCs/>
              </w:rPr>
              <w:t>Reporting agency</w:t>
            </w:r>
          </w:p>
        </w:tc>
        <w:tc>
          <w:tcPr>
            <w:tcW w:w="7056" w:type="dxa"/>
            <w:hideMark/>
          </w:tcPr>
          <w:p w14:paraId="0CFA48DF" w14:textId="77777777" w:rsidR="00D2550D" w:rsidRPr="00984187" w:rsidRDefault="00D2550D" w:rsidP="00276456">
            <w:pPr>
              <w:pStyle w:val="BodyText1"/>
            </w:pPr>
            <w:r w:rsidRPr="003A5190">
              <w:t xml:space="preserve">All non-corporate and corporate Commonwealth entities and </w:t>
            </w:r>
            <w:r>
              <w:t xml:space="preserve">Commonwealth </w:t>
            </w:r>
            <w:r w:rsidRPr="003A5190">
              <w:t xml:space="preserve">companies that are subject to the Public Governance, Performance and Accountability Act 2013, are collectively referred to as ‘reporting agencies’. </w:t>
            </w:r>
            <w:r w:rsidRPr="00984187">
              <w:t xml:space="preserve">The </w:t>
            </w:r>
            <w:hyperlink r:id="rId93" w:history="1">
              <w:r w:rsidRPr="00984187">
                <w:rPr>
                  <w:rStyle w:val="Hyperlink"/>
                  <w:rFonts w:cstheme="minorHAnsi"/>
                </w:rPr>
                <w:t>PGPA Act Flipchart</w:t>
              </w:r>
            </w:hyperlink>
            <w:r w:rsidRPr="00984187">
              <w:t xml:space="preserve"> serves as a reference for the list of all non-corporate and corporate Commonwealth entities and Commonwealth companies.</w:t>
            </w:r>
          </w:p>
        </w:tc>
      </w:tr>
      <w:tr w:rsidR="00D2550D" w:rsidRPr="00AA5CB5" w14:paraId="48D61C6B" w14:textId="77777777" w:rsidTr="7CE0D348">
        <w:trPr>
          <w:trHeight w:val="20"/>
        </w:trPr>
        <w:tc>
          <w:tcPr>
            <w:tcW w:w="2294" w:type="dxa"/>
            <w:hideMark/>
          </w:tcPr>
          <w:p w14:paraId="05B0DC0C" w14:textId="77777777" w:rsidR="00D2550D" w:rsidRPr="00AA5CB5" w:rsidRDefault="00D2550D" w:rsidP="00276456">
            <w:pPr>
              <w:pStyle w:val="BodyText1"/>
              <w:rPr>
                <w:b/>
                <w:bCs/>
              </w:rPr>
            </w:pPr>
            <w:r w:rsidRPr="00AA5CB5">
              <w:rPr>
                <w:b/>
                <w:bCs/>
              </w:rPr>
              <w:t>Reporting period</w:t>
            </w:r>
          </w:p>
        </w:tc>
        <w:tc>
          <w:tcPr>
            <w:tcW w:w="7056" w:type="dxa"/>
            <w:hideMark/>
          </w:tcPr>
          <w:p w14:paraId="6CF673ED" w14:textId="77777777" w:rsidR="00D2550D" w:rsidRPr="00AA5CB5" w:rsidRDefault="00D2550D" w:rsidP="00276456">
            <w:pPr>
              <w:pStyle w:val="BodyText1"/>
            </w:pPr>
            <w:r w:rsidRPr="00AA5CB5">
              <w:t xml:space="preserve">The period of time in which a reporting agency </w:t>
            </w:r>
            <w:r>
              <w:t>is</w:t>
            </w:r>
            <w:r w:rsidRPr="00AA5CB5">
              <w:t xml:space="preserve"> required to report activity data from their operations. For the </w:t>
            </w:r>
            <w:r>
              <w:t>Framework</w:t>
            </w:r>
            <w:r w:rsidRPr="00AA5CB5">
              <w:t xml:space="preserve">, the reporting period is based on the financial year. </w:t>
            </w:r>
          </w:p>
          <w:p w14:paraId="45CA3472" w14:textId="77777777" w:rsidR="00D2550D" w:rsidRPr="00AA5CB5" w:rsidRDefault="00D2550D" w:rsidP="00276456">
            <w:pPr>
              <w:pStyle w:val="BodyText1"/>
            </w:pPr>
            <w:r w:rsidRPr="00AA5CB5">
              <w:t xml:space="preserve">For example, the 2023-24 reporting period was between 1 July 2023 and 30 June 2024. </w:t>
            </w:r>
          </w:p>
          <w:p w14:paraId="794AE23C" w14:textId="77777777" w:rsidR="00D2550D" w:rsidRPr="00AA5CB5" w:rsidRDefault="00D2550D" w:rsidP="00276456">
            <w:pPr>
              <w:pStyle w:val="BodyText1"/>
            </w:pPr>
            <w:r w:rsidRPr="00AA5CB5">
              <w:t>Where a reporting agency has a different timeframe for their Annual Reports, alternative approaches may be considered in consultation with Finance.</w:t>
            </w:r>
          </w:p>
        </w:tc>
      </w:tr>
      <w:tr w:rsidR="00D2550D" w:rsidRPr="00AA5CB5" w14:paraId="6C3F0358"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590D2231" w14:textId="77777777" w:rsidR="00D2550D" w:rsidRPr="00AA5CB5" w:rsidRDefault="00D2550D" w:rsidP="00276456">
            <w:pPr>
              <w:pStyle w:val="BodyText1"/>
              <w:rPr>
                <w:b/>
                <w:bCs/>
              </w:rPr>
            </w:pPr>
            <w:r w:rsidRPr="00AA5CB5">
              <w:rPr>
                <w:b/>
                <w:bCs/>
              </w:rPr>
              <w:t>Resource management Guides (RMGs)</w:t>
            </w:r>
          </w:p>
        </w:tc>
        <w:tc>
          <w:tcPr>
            <w:tcW w:w="7056" w:type="dxa"/>
            <w:hideMark/>
          </w:tcPr>
          <w:p w14:paraId="67E58C2A" w14:textId="77777777" w:rsidR="00D2550D" w:rsidRPr="00AA5CB5" w:rsidRDefault="00D2550D" w:rsidP="00276456">
            <w:pPr>
              <w:pStyle w:val="BodyText1"/>
            </w:pPr>
            <w:r w:rsidRPr="00AA5CB5">
              <w:t>Guidance documents which support PGPA Act entities and companies in meeting the requirements of the PGPA framework. As guides, RMGs explain the legislation and policy requirements in plain English. RMGs support accountable authorities and officials to apply the intent of the PGPA Framework. It is an official’s responsibility to ensure that RMG guidance is monitored regularly for updates, including changes in policy/requirements. </w:t>
            </w:r>
          </w:p>
        </w:tc>
      </w:tr>
      <w:tr w:rsidR="00D2550D" w:rsidRPr="00AA5CB5" w14:paraId="6C782C57" w14:textId="77777777" w:rsidTr="7CE0D348">
        <w:trPr>
          <w:trHeight w:val="20"/>
        </w:trPr>
        <w:tc>
          <w:tcPr>
            <w:tcW w:w="2294" w:type="dxa"/>
            <w:hideMark/>
          </w:tcPr>
          <w:p w14:paraId="487029E0" w14:textId="77777777" w:rsidR="00D2550D" w:rsidRPr="00AA5CB5" w:rsidRDefault="00D2550D" w:rsidP="00276456">
            <w:pPr>
              <w:pStyle w:val="BodyText1"/>
              <w:rPr>
                <w:b/>
                <w:bCs/>
              </w:rPr>
            </w:pPr>
            <w:r w:rsidRPr="00AA5CB5">
              <w:rPr>
                <w:b/>
                <w:bCs/>
              </w:rPr>
              <w:t>Scope 1, 2 and 3 (emissions)</w:t>
            </w:r>
          </w:p>
        </w:tc>
        <w:tc>
          <w:tcPr>
            <w:tcW w:w="7056" w:type="dxa"/>
            <w:hideMark/>
          </w:tcPr>
          <w:p w14:paraId="1203473A" w14:textId="77777777" w:rsidR="00D2550D" w:rsidRPr="00AA5CB5" w:rsidRDefault="00D2550D" w:rsidP="00276456">
            <w:pPr>
              <w:pStyle w:val="BodyText1"/>
            </w:pPr>
            <w:r w:rsidRPr="00AA5CB5">
              <w:t xml:space="preserve">Scope 1 emissions reflect emissions from sources owned or controlled by Government, including the stationary combustion of fuels (boilers, generators) and transportation (vehicle fleet). </w:t>
            </w:r>
          </w:p>
          <w:p w14:paraId="22D02F2C" w14:textId="77777777" w:rsidR="00D2550D" w:rsidRPr="00AA5CB5" w:rsidRDefault="00D2550D" w:rsidP="00276456">
            <w:pPr>
              <w:pStyle w:val="BodyText1"/>
            </w:pPr>
            <w:r w:rsidRPr="00AA5CB5">
              <w:lastRenderedPageBreak/>
              <w:t xml:space="preserve">Scope 2 emissions are indirect emissions which occur because of the activities that generate electricity, which is consumed by an entity, but is generated outside that entity’s boundaries. They are physically produced by the burning of fossil fuels by the generator of the electricity. </w:t>
            </w:r>
          </w:p>
          <w:p w14:paraId="27AE802E" w14:textId="77777777" w:rsidR="00D2550D" w:rsidRPr="00AA5CB5" w:rsidRDefault="00D2550D" w:rsidP="00276456">
            <w:pPr>
              <w:pStyle w:val="BodyText1"/>
            </w:pPr>
            <w:r w:rsidRPr="00AA5CB5">
              <w:t>Scope 3 emissions reflect other indirect emissions produced through Government activities.</w:t>
            </w:r>
          </w:p>
        </w:tc>
      </w:tr>
      <w:tr w:rsidR="00D2550D" w:rsidRPr="00AA5CB5" w14:paraId="6E2E5AF3"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5949F852" w14:textId="77777777" w:rsidR="00D2550D" w:rsidRPr="00AA5CB5" w:rsidRDefault="00D2550D" w:rsidP="00276456">
            <w:pPr>
              <w:pStyle w:val="BodyText1"/>
              <w:rPr>
                <w:b/>
                <w:bCs/>
              </w:rPr>
            </w:pPr>
            <w:r w:rsidRPr="00AA5CB5">
              <w:rPr>
                <w:b/>
                <w:bCs/>
              </w:rPr>
              <w:lastRenderedPageBreak/>
              <w:t>Significance</w:t>
            </w:r>
          </w:p>
        </w:tc>
        <w:tc>
          <w:tcPr>
            <w:tcW w:w="7056" w:type="dxa"/>
            <w:hideMark/>
          </w:tcPr>
          <w:p w14:paraId="05C83F3B" w14:textId="77777777" w:rsidR="00D2550D" w:rsidRPr="00AA5CB5" w:rsidRDefault="00D2550D" w:rsidP="00276456">
            <w:pPr>
              <w:pStyle w:val="BodyText1"/>
            </w:pPr>
            <w:r w:rsidRPr="00AA5CB5">
              <w:t xml:space="preserve">Taking into account the emissions from operations, ‘significant’ and ‘significance’ is determined by each reporting agency, on a case-to-case basis. </w:t>
            </w:r>
          </w:p>
        </w:tc>
      </w:tr>
      <w:tr w:rsidR="00D2550D" w:rsidRPr="00AA5CB5" w14:paraId="039605BA" w14:textId="77777777" w:rsidTr="00634C23">
        <w:trPr>
          <w:trHeight w:val="745"/>
        </w:trPr>
        <w:tc>
          <w:tcPr>
            <w:tcW w:w="2294" w:type="dxa"/>
          </w:tcPr>
          <w:p w14:paraId="0364160A" w14:textId="77777777" w:rsidR="00D2550D" w:rsidRPr="00AA5CB5" w:rsidRDefault="00D2550D" w:rsidP="00276456">
            <w:pPr>
              <w:pStyle w:val="BodyText1"/>
              <w:rPr>
                <w:b/>
                <w:bCs/>
              </w:rPr>
            </w:pPr>
            <w:r w:rsidRPr="00112430">
              <w:rPr>
                <w:b/>
                <w:bCs/>
              </w:rPr>
              <w:t>Sink</w:t>
            </w:r>
          </w:p>
        </w:tc>
        <w:tc>
          <w:tcPr>
            <w:tcW w:w="7056" w:type="dxa"/>
          </w:tcPr>
          <w:p w14:paraId="31AE378E" w14:textId="6B7C3AC8" w:rsidR="00D2550D" w:rsidRPr="00AA5CB5" w:rsidRDefault="00D2550D" w:rsidP="00276456">
            <w:pPr>
              <w:pStyle w:val="BodyText1"/>
            </w:pPr>
            <w:r>
              <w:t>A</w:t>
            </w:r>
            <w:r w:rsidRPr="00112430">
              <w:t xml:space="preserve">ny process, activity or mechanism which can absorb and store greenhouse gases, an aerosol or a precursor of a </w:t>
            </w:r>
            <w:r w:rsidR="00E90152">
              <w:t>GHG</w:t>
            </w:r>
            <w:r w:rsidRPr="00112430">
              <w:t xml:space="preserve"> from the atmosphere. Examples of sinks include soil, vegetation or the ocean are carbon sinks</w:t>
            </w:r>
            <w:r>
              <w:t>.</w:t>
            </w:r>
          </w:p>
        </w:tc>
      </w:tr>
      <w:tr w:rsidR="00D2550D" w:rsidRPr="00AA5CB5" w14:paraId="50D5044A"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tcPr>
          <w:p w14:paraId="2D665A75" w14:textId="77777777" w:rsidR="00D2550D" w:rsidRPr="00AA5CB5" w:rsidRDefault="00D2550D" w:rsidP="00276456">
            <w:pPr>
              <w:pStyle w:val="BodyText1"/>
              <w:rPr>
                <w:b/>
                <w:bCs/>
              </w:rPr>
            </w:pPr>
            <w:r w:rsidRPr="00112430">
              <w:rPr>
                <w:b/>
                <w:bCs/>
              </w:rPr>
              <w:t>Source</w:t>
            </w:r>
          </w:p>
        </w:tc>
        <w:tc>
          <w:tcPr>
            <w:tcW w:w="7056" w:type="dxa"/>
          </w:tcPr>
          <w:p w14:paraId="4AA90296" w14:textId="0F1A3070" w:rsidR="00D2550D" w:rsidRPr="00AA5CB5" w:rsidRDefault="00D2550D" w:rsidP="00112430">
            <w:pPr>
              <w:pStyle w:val="BodyText1"/>
            </w:pPr>
            <w:r>
              <w:t>A</w:t>
            </w:r>
            <w:r w:rsidRPr="00112430">
              <w:t xml:space="preserve">ctivities or processes that release a </w:t>
            </w:r>
            <w:r w:rsidR="00E90152">
              <w:t>GHG</w:t>
            </w:r>
            <w:r w:rsidRPr="00112430">
              <w:t xml:space="preserve">, an aerosol or a precursor of a </w:t>
            </w:r>
            <w:r w:rsidR="00E90152">
              <w:t>GHG</w:t>
            </w:r>
            <w:r w:rsidRPr="00112430">
              <w:t xml:space="preserve"> into the atmosphere. Examples of sources include emissions from volcanic activity, wildfires, burning of fossil fuels, some agricultural practices and mining. </w:t>
            </w:r>
          </w:p>
        </w:tc>
      </w:tr>
      <w:tr w:rsidR="00D2550D" w:rsidRPr="00AA5CB5" w14:paraId="6FA5F016" w14:textId="77777777" w:rsidTr="7CE0D348">
        <w:trPr>
          <w:trHeight w:val="20"/>
        </w:trPr>
        <w:tc>
          <w:tcPr>
            <w:tcW w:w="2294" w:type="dxa"/>
            <w:hideMark/>
          </w:tcPr>
          <w:p w14:paraId="171275E2" w14:textId="77777777" w:rsidR="00D2550D" w:rsidRPr="00AA5CB5" w:rsidRDefault="00D2550D" w:rsidP="00276456">
            <w:pPr>
              <w:pStyle w:val="BodyText1"/>
              <w:rPr>
                <w:b/>
                <w:bCs/>
              </w:rPr>
            </w:pPr>
            <w:r w:rsidRPr="00AA5CB5">
              <w:rPr>
                <w:b/>
                <w:bCs/>
              </w:rPr>
              <w:t>United Nations Framework Convention on Climate Change (UNFCCC)</w:t>
            </w:r>
          </w:p>
        </w:tc>
        <w:tc>
          <w:tcPr>
            <w:tcW w:w="7056" w:type="dxa"/>
            <w:hideMark/>
          </w:tcPr>
          <w:p w14:paraId="3A412144" w14:textId="77777777" w:rsidR="00D2550D" w:rsidRPr="00AA5CB5" w:rsidRDefault="00D2550D" w:rsidP="00276456">
            <w:pPr>
              <w:pStyle w:val="BodyText1"/>
            </w:pPr>
            <w:r w:rsidRPr="00AA5CB5">
              <w:t>The UNFCCC is a Rio Convention, one of two opened for signature at the Rio Earth Summit in 1992. The Convention supports the global response to climate change, with the ultimate aim of preventing dangerous human interference with the climate system. It has near-universal membership, with the 198 countries that have ratified the Convention called Parties to the Convention.</w:t>
            </w:r>
          </w:p>
        </w:tc>
      </w:tr>
      <w:tr w:rsidR="00D2550D" w:rsidRPr="00AA5CB5" w14:paraId="6D95C9B8" w14:textId="77777777" w:rsidTr="7CE0D348">
        <w:trPr>
          <w:cnfStyle w:val="000000100000" w:firstRow="0" w:lastRow="0" w:firstColumn="0" w:lastColumn="0" w:oddVBand="0" w:evenVBand="0" w:oddHBand="1" w:evenHBand="0" w:firstRowFirstColumn="0" w:firstRowLastColumn="0" w:lastRowFirstColumn="0" w:lastRowLastColumn="0"/>
          <w:trHeight w:val="20"/>
        </w:trPr>
        <w:tc>
          <w:tcPr>
            <w:tcW w:w="2294" w:type="dxa"/>
            <w:hideMark/>
          </w:tcPr>
          <w:p w14:paraId="4BF879A6" w14:textId="77777777" w:rsidR="00D2550D" w:rsidRPr="00AA5CB5" w:rsidRDefault="00D2550D" w:rsidP="00276456">
            <w:pPr>
              <w:pStyle w:val="BodyText1"/>
              <w:rPr>
                <w:b/>
                <w:bCs/>
              </w:rPr>
            </w:pPr>
            <w:r w:rsidRPr="00AA5CB5">
              <w:rPr>
                <w:b/>
                <w:bCs/>
              </w:rPr>
              <w:t>Well-to-Tank (WTT)</w:t>
            </w:r>
          </w:p>
        </w:tc>
        <w:tc>
          <w:tcPr>
            <w:tcW w:w="7056" w:type="dxa"/>
            <w:hideMark/>
          </w:tcPr>
          <w:p w14:paraId="165FA050" w14:textId="7CE6BD79" w:rsidR="00D2550D" w:rsidRPr="00AA5CB5" w:rsidRDefault="00E90152" w:rsidP="00276456">
            <w:pPr>
              <w:pStyle w:val="BodyText1"/>
            </w:pPr>
            <w:r>
              <w:t>R</w:t>
            </w:r>
            <w:r w:rsidR="00D2550D" w:rsidRPr="00AA5CB5">
              <w:t>efers to the GHG emissions that occur during the entire upstream process of fuel production, processing, and transportation until the fuel is ready for use in a vehicle or facility.</w:t>
            </w:r>
          </w:p>
        </w:tc>
      </w:tr>
      <w:tr w:rsidR="00D2550D" w:rsidRPr="00AA5CB5" w14:paraId="32A67BB7" w14:textId="77777777" w:rsidTr="7CE0D348">
        <w:trPr>
          <w:trHeight w:val="20"/>
        </w:trPr>
        <w:tc>
          <w:tcPr>
            <w:tcW w:w="2294" w:type="dxa"/>
            <w:hideMark/>
          </w:tcPr>
          <w:p w14:paraId="26687B93" w14:textId="77777777" w:rsidR="00D2550D" w:rsidRPr="00AA5CB5" w:rsidRDefault="00D2550D" w:rsidP="00276456">
            <w:pPr>
              <w:pStyle w:val="BodyText1"/>
              <w:rPr>
                <w:b/>
                <w:bCs/>
              </w:rPr>
            </w:pPr>
            <w:r w:rsidRPr="00AA5CB5">
              <w:rPr>
                <w:b/>
                <w:bCs/>
              </w:rPr>
              <w:t xml:space="preserve">Whole-of-Australian Government Emissions Inventory </w:t>
            </w:r>
          </w:p>
        </w:tc>
        <w:tc>
          <w:tcPr>
            <w:tcW w:w="7056" w:type="dxa"/>
            <w:hideMark/>
          </w:tcPr>
          <w:p w14:paraId="11598741" w14:textId="003ECB5F" w:rsidR="00D2550D" w:rsidRPr="00AA5CB5" w:rsidRDefault="00D2550D" w:rsidP="00276456">
            <w:pPr>
              <w:pStyle w:val="BodyText1"/>
            </w:pPr>
            <w:r w:rsidRPr="00AA5CB5">
              <w:t xml:space="preserve">The Whole-of-Australian Government Emissions Inventory aggregates </w:t>
            </w:r>
            <w:r w:rsidR="00E90152">
              <w:t>GHG</w:t>
            </w:r>
            <w:r w:rsidRPr="00AA5CB5">
              <w:t xml:space="preserve"> emissions data from reporting agencies. It includes emissions from different sources such as electricity consumption, natural gas, solid waste, refrigerants, fleet and other vehicles, domestic commercial flights, and more. The data is presented in terms of Carbon Dioxide Equivalent (CO</w:t>
            </w:r>
            <w:r w:rsidRPr="00AA5CB5">
              <w:rPr>
                <w:vertAlign w:val="subscript"/>
              </w:rPr>
              <w:t>2</w:t>
            </w:r>
            <w:r w:rsidRPr="00AA5CB5">
              <w:t xml:space="preserve">e) emissions and is calculated using both the location-based and market-based methods. </w:t>
            </w:r>
          </w:p>
        </w:tc>
      </w:tr>
    </w:tbl>
    <w:p w14:paraId="148B0399" w14:textId="77777777" w:rsidR="006A5A25" w:rsidRPr="00AA5CB5" w:rsidRDefault="006A5A25" w:rsidP="007C1DD0">
      <w:pPr>
        <w:pStyle w:val="FootnoteText1"/>
        <w:sectPr w:rsidR="006A5A25" w:rsidRPr="00AA5CB5" w:rsidSect="00D64E42">
          <w:headerReference w:type="even" r:id="rId94"/>
          <w:headerReference w:type="default" r:id="rId95"/>
          <w:headerReference w:type="first" r:id="rId96"/>
          <w:pgSz w:w="11906" w:h="16838"/>
          <w:pgMar w:top="1701" w:right="1247" w:bottom="851" w:left="1247" w:header="737" w:footer="709" w:gutter="0"/>
          <w:cols w:space="708"/>
          <w:docGrid w:linePitch="360"/>
        </w:sectPr>
      </w:pPr>
    </w:p>
    <w:p w14:paraId="29B36BE6" w14:textId="767BA643" w:rsidR="00294000" w:rsidRPr="00AA5CB5" w:rsidRDefault="00294000" w:rsidP="00294000">
      <w:pPr>
        <w:pStyle w:val="Contactus"/>
      </w:pPr>
      <w:bookmarkStart w:id="224" w:name="_Chapter_1"/>
      <w:bookmarkEnd w:id="224"/>
      <w:r w:rsidRPr="00AA5CB5">
        <w:rPr>
          <w:noProof/>
        </w:rPr>
        <w:lastRenderedPageBreak/>
        <w:drawing>
          <wp:anchor distT="0" distB="0" distL="114300" distR="114300" simplePos="0" relativeHeight="251658241" behindDoc="1" locked="0" layoutInCell="1" allowOverlap="1" wp14:anchorId="72024BC8" wp14:editId="50FE78CB">
            <wp:simplePos x="0" y="0"/>
            <wp:positionH relativeFrom="column">
              <wp:posOffset>-780415</wp:posOffset>
            </wp:positionH>
            <wp:positionV relativeFrom="paragraph">
              <wp:posOffset>-1064895</wp:posOffset>
            </wp:positionV>
            <wp:extent cx="7560000" cy="106920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AA5CB5">
        <w:t>Contact us</w:t>
      </w:r>
    </w:p>
    <w:p w14:paraId="633F0DC6" w14:textId="52C9B882" w:rsidR="00294000" w:rsidRPr="00AA5CB5" w:rsidRDefault="008041A6" w:rsidP="00294000">
      <w:pPr>
        <w:pStyle w:val="backcoverdetails"/>
        <w:spacing w:before="240"/>
        <w:rPr>
          <w:color w:val="359D9A" w:themeColor="accent2"/>
          <w:sz w:val="24"/>
          <w:szCs w:val="24"/>
        </w:rPr>
      </w:pPr>
      <w:r w:rsidRPr="00AA5CB5">
        <w:rPr>
          <w:color w:val="359D9A" w:themeColor="accent2"/>
          <w:sz w:val="24"/>
          <w:szCs w:val="24"/>
        </w:rPr>
        <w:t xml:space="preserve">Emissions Accounting </w:t>
      </w:r>
    </w:p>
    <w:p w14:paraId="7A7403AF" w14:textId="1FA08CC0" w:rsidR="00294000" w:rsidRPr="00AA5CB5" w:rsidRDefault="00294000" w:rsidP="00294000">
      <w:pPr>
        <w:pStyle w:val="backcoverdetails"/>
        <w:rPr>
          <w:b w:val="0"/>
          <w:bCs/>
          <w:sz w:val="24"/>
          <w:szCs w:val="24"/>
        </w:rPr>
      </w:pPr>
      <w:r w:rsidRPr="00AA5CB5">
        <w:rPr>
          <w:b w:val="0"/>
          <w:bCs/>
          <w:sz w:val="24"/>
          <w:szCs w:val="24"/>
        </w:rPr>
        <w:t>+ 61 (0</w:t>
      </w:r>
      <w:r w:rsidR="008041A6" w:rsidRPr="00AA5CB5">
        <w:rPr>
          <w:b w:val="0"/>
          <w:bCs/>
          <w:sz w:val="24"/>
          <w:szCs w:val="24"/>
        </w:rPr>
        <w:t>2</w:t>
      </w:r>
      <w:r w:rsidRPr="00AA5CB5">
        <w:rPr>
          <w:b w:val="0"/>
          <w:bCs/>
          <w:sz w:val="24"/>
          <w:szCs w:val="24"/>
        </w:rPr>
        <w:t xml:space="preserve">) </w:t>
      </w:r>
      <w:r w:rsidR="008041A6" w:rsidRPr="00AA5CB5">
        <w:rPr>
          <w:b w:val="0"/>
          <w:bCs/>
          <w:sz w:val="24"/>
          <w:szCs w:val="24"/>
        </w:rPr>
        <w:t>62</w:t>
      </w:r>
      <w:r w:rsidRPr="00AA5CB5">
        <w:rPr>
          <w:b w:val="0"/>
          <w:bCs/>
          <w:sz w:val="24"/>
          <w:szCs w:val="24"/>
        </w:rPr>
        <w:t xml:space="preserve"> </w:t>
      </w:r>
      <w:r w:rsidR="007A07B3" w:rsidRPr="00AA5CB5">
        <w:rPr>
          <w:b w:val="0"/>
          <w:bCs/>
          <w:sz w:val="24"/>
          <w:szCs w:val="24"/>
        </w:rPr>
        <w:t>151 999</w:t>
      </w:r>
      <w:r w:rsidRPr="00AA5CB5">
        <w:rPr>
          <w:b w:val="0"/>
          <w:bCs/>
          <w:sz w:val="24"/>
          <w:szCs w:val="24"/>
        </w:rPr>
        <w:t xml:space="preserve"> </w:t>
      </w:r>
    </w:p>
    <w:p w14:paraId="543EC7D4" w14:textId="3F628B1C" w:rsidR="00294000" w:rsidRPr="00AA5CB5" w:rsidRDefault="007A07B3" w:rsidP="00294000">
      <w:pPr>
        <w:pStyle w:val="backcoverdetails"/>
        <w:rPr>
          <w:b w:val="0"/>
          <w:bCs/>
          <w:sz w:val="24"/>
          <w:szCs w:val="24"/>
        </w:rPr>
      </w:pPr>
      <w:hyperlink r:id="rId98" w:history="1">
        <w:r w:rsidRPr="00347347">
          <w:rPr>
            <w:b w:val="0"/>
            <w:sz w:val="24"/>
            <w:szCs w:val="24"/>
          </w:rPr>
          <w:t>EmissionsAccounting@finance.gov.au</w:t>
        </w:r>
      </w:hyperlink>
    </w:p>
    <w:p w14:paraId="345EE2B7" w14:textId="77777777" w:rsidR="007A07B3" w:rsidRPr="00AA5CB5" w:rsidRDefault="007A07B3" w:rsidP="00294000">
      <w:pPr>
        <w:pStyle w:val="backcoverdetails"/>
        <w:rPr>
          <w:sz w:val="24"/>
          <w:szCs w:val="24"/>
        </w:rPr>
      </w:pPr>
    </w:p>
    <w:p w14:paraId="0F0A59B3" w14:textId="77777777" w:rsidR="002065EA" w:rsidRPr="00AA5CB5" w:rsidRDefault="002065EA" w:rsidP="00294000">
      <w:pPr>
        <w:pStyle w:val="backcoverdetails"/>
        <w:rPr>
          <w:b w:val="0"/>
          <w:bCs/>
          <w:sz w:val="24"/>
          <w:szCs w:val="24"/>
        </w:rPr>
      </w:pPr>
    </w:p>
    <w:p w14:paraId="35A83D53" w14:textId="2ECEA8C0" w:rsidR="002065EA" w:rsidRPr="00AA5CB5" w:rsidRDefault="000E5054" w:rsidP="00294000">
      <w:pPr>
        <w:pStyle w:val="backcoverdetails"/>
        <w:rPr>
          <w:rStyle w:val="Hyperlink"/>
        </w:rPr>
      </w:pPr>
      <w:hyperlink r:id="rId99" w:history="1">
        <w:r w:rsidRPr="00AA5CB5">
          <w:rPr>
            <w:rStyle w:val="Hyperlink"/>
          </w:rPr>
          <w:t>www.finance.gov.au/government/climate-action-government-operations</w:t>
        </w:r>
      </w:hyperlink>
    </w:p>
    <w:p w14:paraId="6AA13B7C" w14:textId="3B4F9108" w:rsidR="00390ED0" w:rsidRPr="00AA5CB5" w:rsidRDefault="00390ED0"/>
    <w:sectPr w:rsidR="00390ED0" w:rsidRPr="00AA5CB5" w:rsidSect="003652D7">
      <w:headerReference w:type="even" r:id="rId100"/>
      <w:headerReference w:type="default" r:id="rId101"/>
      <w:footerReference w:type="default" r:id="rId102"/>
      <w:headerReference w:type="first" r:id="rId103"/>
      <w:pgSz w:w="11906" w:h="16838"/>
      <w:pgMar w:top="1701" w:right="1247" w:bottom="85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4564A" w14:textId="77777777" w:rsidR="00AC5F38" w:rsidRPr="0007645E" w:rsidRDefault="00AC5F38" w:rsidP="0030644C">
      <w:pPr>
        <w:spacing w:after="0"/>
      </w:pPr>
      <w:r w:rsidRPr="0007645E">
        <w:separator/>
      </w:r>
    </w:p>
  </w:endnote>
  <w:endnote w:type="continuationSeparator" w:id="0">
    <w:p w14:paraId="56400F4B" w14:textId="77777777" w:rsidR="00AC5F38" w:rsidRPr="0007645E" w:rsidRDefault="00AC5F38" w:rsidP="0030644C">
      <w:pPr>
        <w:spacing w:after="0"/>
      </w:pPr>
      <w:r w:rsidRPr="0007645E">
        <w:continuationSeparator/>
      </w:r>
    </w:p>
  </w:endnote>
  <w:endnote w:type="continuationNotice" w:id="1">
    <w:p w14:paraId="3A2364F8" w14:textId="77777777" w:rsidR="00AC5F38" w:rsidRPr="0007645E" w:rsidRDefault="00AC5F3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B691" w14:textId="1BE7E212" w:rsidR="00185DCF" w:rsidRDefault="00032994">
    <w:pPr>
      <w:pStyle w:val="Footer"/>
    </w:pPr>
    <w:r>
      <w:rPr>
        <w:noProof/>
      </w:rPr>
      <mc:AlternateContent>
        <mc:Choice Requires="wps">
          <w:drawing>
            <wp:anchor distT="0" distB="0" distL="114300" distR="114300" simplePos="1" relativeHeight="251658264" behindDoc="0" locked="0" layoutInCell="1" allowOverlap="1" wp14:anchorId="29D89958" wp14:editId="60C0CD0B">
              <wp:simplePos x="0" y="0"/>
              <wp:positionH relativeFrom="column">
                <wp:posOffset>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461407933" name="Text Box 6"/>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5978C049"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D89958" id="_x0000_t202" coordsize="21600,21600" o:spt="202" path="m,l,21600r21600,l21600,xe">
              <v:stroke joinstyle="miter"/>
              <v:path gradientshapeok="t" o:connecttype="rect"/>
            </v:shapetype>
            <v:shape id="Text Box 6" o:spid="_x0000_s1030" type="#_x0000_t202" style="position:absolute;margin-left:0;margin-top:0;width:110pt;height:36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" filled="f" strokeweight=".5pt">
              <v:textbox>
                <w:txbxContent>
                  <w:p w14:paraId="5978C049"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47" behindDoc="0" locked="1" layoutInCell="0" allowOverlap="1" wp14:anchorId="3F62B18A" wp14:editId="35131A3C">
              <wp:simplePos x="0" y="0"/>
              <wp:positionH relativeFrom="margin">
                <wp:align>center</wp:align>
              </wp:positionH>
              <wp:positionV relativeFrom="bottomMargin">
                <wp:align>center</wp:align>
              </wp:positionV>
              <wp:extent cx="1612265" cy="273050"/>
              <wp:effectExtent l="0" t="0" r="0" b="0"/>
              <wp:wrapNone/>
              <wp:docPr id="481804719" name="janusSEAL SC F_EvenPage"/>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338A44" w14:textId="5B6C4CAE"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PM_ProtectiveMarkingValue_Footer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62B18A" id="janusSEAL SC F_EvenPage" o:spid="_x0000_s1031" type="#_x0000_t202" style="position:absolute;margin-left:0;margin-top:0;width:126.95pt;height:21.5pt;z-index:251658247;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CrvVUYGAIAADEEAAAOAAAAAAAAAAAAAAAAAC4CAABkcnMvZTJvRG9jLnhtbFBLAQItABQABgAI&#10;AAAAIQC9fPS/3AAAAAQBAAAPAAAAAAAAAAAAAAAAAHIEAABkcnMvZG93bnJldi54bWxQSwUGAAAA&#10;AAQABADzAAAAewUAAAAA&#10;" o:allowincell="f" filled="f" stroked="f" strokeweight=".5pt">
              <v:textbox style="mso-fit-shape-to-text:t">
                <w:txbxContent>
                  <w:p w14:paraId="4B338A44" w14:textId="5B6C4CAE"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PM_ProtectiveMarkingValue_Footer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4B39CA9D" w:rsidRPr="0007645E" w14:paraId="45C812AE" w14:textId="77777777" w:rsidTr="4B39CA9D">
      <w:trPr>
        <w:trHeight w:val="300"/>
      </w:trPr>
      <w:tc>
        <w:tcPr>
          <w:tcW w:w="3135" w:type="dxa"/>
        </w:tcPr>
        <w:p w14:paraId="4577B005" w14:textId="188754C3" w:rsidR="4B39CA9D" w:rsidRPr="0007645E" w:rsidRDefault="00032994" w:rsidP="4B39CA9D">
          <w:pPr>
            <w:pStyle w:val="Header"/>
            <w:ind w:left="-115"/>
          </w:pPr>
          <w:r>
            <w:rPr>
              <w:noProof/>
            </w:rPr>
            <mc:AlternateContent>
              <mc:Choice Requires="wps">
                <w:drawing>
                  <wp:anchor distT="0" distB="0" distL="114300" distR="114300" simplePos="0" relativeHeight="251658262" behindDoc="0" locked="0" layoutInCell="1" allowOverlap="1" wp14:anchorId="1ACB70EB" wp14:editId="53ADD164">
                    <wp:simplePos x="0" y="0"/>
                    <wp:positionH relativeFrom="column">
                      <wp:posOffset>-68580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1086175759" name="Text Box 4"/>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450B36CE"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CB70EB" id="_x0000_t202" coordsize="21600,21600" o:spt="202" path="m,l,21600r21600,l21600,xe">
                    <v:stroke joinstyle="miter"/>
                    <v:path gradientshapeok="t" o:connecttype="rect"/>
                  </v:shapetype>
                  <v:shape id="Text Box 4" o:spid="_x0000_s1032" type="#_x0000_t202" style="position:absolute;left:0;text-align:left;margin-left:-5.4pt;margin-top:0;width:110pt;height:36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" filled="f" strokeweight=".5pt">
                    <v:textbox>
                      <w:txbxContent>
                        <w:p w14:paraId="450B36CE"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45" behindDoc="0" locked="1" layoutInCell="0" allowOverlap="1" wp14:anchorId="4208BFBE" wp14:editId="24BC5458">
                    <wp:simplePos x="0" y="0"/>
                    <wp:positionH relativeFrom="margin">
                      <wp:align>center</wp:align>
                    </wp:positionH>
                    <wp:positionV relativeFrom="bottomMargin">
                      <wp:align>center</wp:align>
                    </wp:positionV>
                    <wp:extent cx="1612265" cy="273050"/>
                    <wp:effectExtent l="0" t="0" r="0" b="0"/>
                    <wp:wrapNone/>
                    <wp:docPr id="1519486422" name="janusSEAL SC Footer"/>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7AB70" w14:textId="59419046"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PM_ProtectiveMarkingValue_Footer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08BFBE" id="janusSEAL SC Footer" o:spid="_x0000_s1033" type="#_x0000_t202" style="position:absolute;left:0;text-align:left;margin-left:0;margin-top:0;width:126.95pt;height:21.5pt;z-index:251658245;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CS8ev6GAIAADEEAAAOAAAAAAAAAAAAAAAAAC4CAABkcnMvZTJvRG9jLnhtbFBLAQItABQABgAI&#10;AAAAIQC9fPS/3AAAAAQBAAAPAAAAAAAAAAAAAAAAAHIEAABkcnMvZG93bnJldi54bWxQSwUGAAAA&#10;AAQABADzAAAAewUAAAAA&#10;" o:allowincell="f" filled="f" stroked="f" strokeweight=".5pt">
                    <v:textbox style="mso-fit-shape-to-text:t">
                      <w:txbxContent>
                        <w:p w14:paraId="7D27AB70" w14:textId="59419046"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PM_ProtectiveMarkingValue_Footer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tc>
      <w:tc>
        <w:tcPr>
          <w:tcW w:w="3135" w:type="dxa"/>
        </w:tcPr>
        <w:p w14:paraId="1F87B22B" w14:textId="70EE884A" w:rsidR="4B39CA9D" w:rsidRPr="0007645E" w:rsidRDefault="4B39CA9D" w:rsidP="4B39CA9D">
          <w:pPr>
            <w:pStyle w:val="Header"/>
            <w:jc w:val="center"/>
          </w:pPr>
        </w:p>
      </w:tc>
      <w:tc>
        <w:tcPr>
          <w:tcW w:w="3135" w:type="dxa"/>
        </w:tcPr>
        <w:p w14:paraId="3D1A4AC0" w14:textId="25B1206B" w:rsidR="4B39CA9D" w:rsidRPr="0007645E" w:rsidRDefault="4B39CA9D" w:rsidP="4B39CA9D">
          <w:pPr>
            <w:pStyle w:val="Header"/>
            <w:ind w:right="-115"/>
            <w:jc w:val="right"/>
          </w:pPr>
        </w:p>
      </w:tc>
    </w:tr>
  </w:tbl>
  <w:p w14:paraId="59668C76" w14:textId="3FF18741" w:rsidR="4B39CA9D" w:rsidRPr="0007645E" w:rsidRDefault="4B39CA9D" w:rsidP="4B39CA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8CB21" w14:textId="0CD0EDC0" w:rsidR="00185DCF" w:rsidRDefault="00032994">
    <w:pPr>
      <w:pStyle w:val="Footer"/>
    </w:pPr>
    <w:r>
      <w:rPr>
        <w:noProof/>
      </w:rPr>
      <mc:AlternateContent>
        <mc:Choice Requires="wps">
          <w:drawing>
            <wp:anchor distT="0" distB="0" distL="114300" distR="114300" simplePos="1" relativeHeight="251658263" behindDoc="0" locked="0" layoutInCell="1" allowOverlap="1" wp14:anchorId="463DA808" wp14:editId="275DDCDC">
              <wp:simplePos x="0" y="0"/>
              <wp:positionH relativeFrom="column">
                <wp:posOffset>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234858551" name="Text Box 5"/>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4D2B91BD"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3DA808" id="_x0000_t202" coordsize="21600,21600" o:spt="202" path="m,l,21600r21600,l21600,xe">
              <v:stroke joinstyle="miter"/>
              <v:path gradientshapeok="t" o:connecttype="rect"/>
            </v:shapetype>
            <v:shape id="Text Box 5" o:spid="_x0000_s1036" type="#_x0000_t202" style="position:absolute;margin-left:0;margin-top:0;width:110pt;height:36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" filled="f" strokeweight=".5pt">
              <v:textbox>
                <w:txbxContent>
                  <w:p w14:paraId="4D2B91BD"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46" behindDoc="0" locked="1" layoutInCell="0" allowOverlap="1" wp14:anchorId="253B79F6" wp14:editId="4348B9DA">
              <wp:simplePos x="0" y="0"/>
              <wp:positionH relativeFrom="margin">
                <wp:align>center</wp:align>
              </wp:positionH>
              <wp:positionV relativeFrom="bottomMargin">
                <wp:align>center</wp:align>
              </wp:positionV>
              <wp:extent cx="1612265" cy="273050"/>
              <wp:effectExtent l="0" t="0" r="0" b="0"/>
              <wp:wrapNone/>
              <wp:docPr id="1650588114" name="janusSEAL SC F_FirstPage"/>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31DC91" w14:textId="470F67EF"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PM_ProtectiveMarkingValue_Footer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3B79F6" id="janusSEAL SC F_FirstPage" o:spid="_x0000_s1037" type="#_x0000_t202" style="position:absolute;margin-left:0;margin-top:0;width:126.95pt;height:21.5pt;z-index:251658246;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" o:allowincell="f" filled="f" stroked="f" strokeweight=".5pt">
              <v:textbox style="mso-fit-shape-to-text:t">
                <w:txbxContent>
                  <w:p w14:paraId="7431DC91" w14:textId="470F67EF"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PM_ProtectiveMarkingValue_Footer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77320" w14:textId="17B148B5" w:rsidR="009E21F5" w:rsidRPr="0007645E" w:rsidRDefault="00F70246" w:rsidP="00D74C93">
    <w:pPr>
      <w:pStyle w:val="Footer"/>
      <w:rPr>
        <w:rFonts w:ascii="Arial" w:hAnsi="Arial"/>
      </w:rPr>
    </w:pPr>
    <w:r>
      <w:rPr>
        <w:noProof/>
      </w:rPr>
      <mc:AlternateContent>
        <mc:Choice Requires="wps">
          <w:drawing>
            <wp:anchor distT="0" distB="0" distL="114300" distR="114300" simplePos="0" relativeHeight="251663360" behindDoc="0" locked="1" layoutInCell="0" allowOverlap="1" wp14:anchorId="1B00DC0E" wp14:editId="5FF39163">
              <wp:simplePos x="0" y="0"/>
              <wp:positionH relativeFrom="margin">
                <wp:align>center</wp:align>
              </wp:positionH>
              <wp:positionV relativeFrom="bottomMargin">
                <wp:align>center</wp:align>
              </wp:positionV>
              <wp:extent cx="1612265" cy="448310"/>
              <wp:effectExtent l="0" t="0" r="0" b="0"/>
              <wp:wrapNone/>
              <wp:docPr id="1566828606" name="janusSEAL SC Footer"/>
              <wp:cNvGraphicFramePr/>
              <a:graphic xmlns:a="http://schemas.openxmlformats.org/drawingml/2006/main">
                <a:graphicData uri="http://schemas.microsoft.com/office/word/2010/wordprocessingShape">
                  <wps:wsp>
                    <wps:cNvSpPr txBox="1"/>
                    <wps:spPr>
                      <a:xfrm>
                        <a:off x="0" y="0"/>
                        <a:ext cx="1612265" cy="44831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0D161F" w14:textId="6963FDA7"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PM_ProtectiveMarkingValue_Footer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B00DC0E" id="_x0000_t202" coordsize="21600,21600" o:spt="202" path="m,l,21600r21600,l21600,xe">
              <v:stroke joinstyle="miter"/>
              <v:path gradientshapeok="t" o:connecttype="rect"/>
            </v:shapetype>
            <v:shape id="_x0000_s1041" type="#_x0000_t202" style="position:absolute;margin-left:0;margin-top:0;width:126.95pt;height:35.3pt;z-index:251663360;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" o:allowincell="f" filled="f" stroked="f" strokeweight=".5pt">
              <v:textbox style="mso-fit-shape-to-text:t">
                <w:txbxContent>
                  <w:p w14:paraId="750D161F" w14:textId="6963FDA7"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PM_ProtectiveMarkingValue_Footer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sdt>
      <w:sdtPr>
        <w:id w:val="-785038404"/>
        <w:docPartObj>
          <w:docPartGallery w:val="Page Numbers (Bottom of Page)"/>
          <w:docPartUnique/>
        </w:docPartObj>
      </w:sdtPr>
      <w:sdtEndPr>
        <w:rPr>
          <w:rStyle w:val="FooterChar"/>
        </w:rPr>
      </w:sdtEndPr>
      <w:sdtContent>
        <w:r w:rsidR="00D74C93" w:rsidRPr="0007645E">
          <w:rPr>
            <w:rStyle w:val="FooterChar"/>
          </w:rPr>
          <w:fldChar w:fldCharType="begin"/>
        </w:r>
        <w:r w:rsidR="00D74C93" w:rsidRPr="0007645E">
          <w:rPr>
            <w:rStyle w:val="FooterChar"/>
          </w:rPr>
          <w:instrText xml:space="preserve"> PAGE   \* MERGEFORMAT </w:instrText>
        </w:r>
        <w:r w:rsidR="00D74C93" w:rsidRPr="0007645E">
          <w:rPr>
            <w:rStyle w:val="FooterChar"/>
          </w:rPr>
          <w:fldChar w:fldCharType="separate"/>
        </w:r>
        <w:r w:rsidR="00D74C93" w:rsidRPr="0007645E">
          <w:rPr>
            <w:rStyle w:val="FooterChar"/>
          </w:rPr>
          <w:t>1</w:t>
        </w:r>
        <w:r w:rsidR="00D74C93" w:rsidRPr="0007645E">
          <w:rPr>
            <w:rStyle w:val="FooterChar"/>
          </w:rPr>
          <w:fldChar w:fldCharType="end"/>
        </w:r>
        <w:r w:rsidR="00D74C93" w:rsidRPr="0007645E">
          <w:rPr>
            <w:rStyle w:val="FooterChar"/>
          </w:rPr>
          <w:t xml:space="preserve"> | </w:t>
        </w:r>
        <w:sdt>
          <w:sdtPr>
            <w:id w:val="-971745910"/>
            <w:docPartObj>
              <w:docPartGallery w:val="Page Numbers (Bottom of Page)"/>
              <w:docPartUnique/>
            </w:docPartObj>
          </w:sdtPr>
          <w:sdtContent>
            <w:sdt>
              <w:sdtPr>
                <w:id w:val="-414775190"/>
                <w:docPartObj>
                  <w:docPartGallery w:val="Page Numbers (Bottom of Page)"/>
                  <w:docPartUnique/>
                </w:docPartObj>
              </w:sdtPr>
              <w:sdtContent>
                <w:r w:rsidR="00D74C93" w:rsidRPr="0007645E">
                  <w:rPr>
                    <w:rStyle w:val="FooterChar"/>
                  </w:rPr>
                  <w:t>CLIMATE ACTION IN GOVERNMENT OPERATIONS | Emissions Reporting Framework</w:t>
                </w:r>
              </w:sdtContent>
            </w:sdt>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FEA74" w14:textId="7479666E" w:rsidR="00390ED0" w:rsidRPr="0007645E" w:rsidRDefault="00032994" w:rsidP="000C6069">
    <w:pPr>
      <w:pStyle w:val="BodyText1"/>
    </w:pPr>
    <w:r>
      <w:rPr>
        <w:noProof/>
      </w:rPr>
      <mc:AlternateContent>
        <mc:Choice Requires="wps">
          <w:drawing>
            <wp:anchor distT="0" distB="0" distL="114300" distR="114300" simplePos="0" relativeHeight="251658272" behindDoc="0" locked="0" layoutInCell="1" allowOverlap="1" wp14:anchorId="705B884A" wp14:editId="15AF3C1B">
              <wp:simplePos x="0" y="0"/>
              <wp:positionH relativeFrom="column">
                <wp:posOffset>-791845</wp:posOffset>
              </wp:positionH>
              <wp:positionV relativeFrom="paragraph">
                <wp:posOffset>-9904730</wp:posOffset>
              </wp:positionV>
              <wp:extent cx="1397000" cy="457200"/>
              <wp:effectExtent l="0" t="0" r="12700" b="19050"/>
              <wp:wrapThrough wrapText="bothSides">
                <wp:wrapPolygon edited="0">
                  <wp:start x="0" y="0"/>
                  <wp:lineTo x="0" y="21600"/>
                  <wp:lineTo x="21502" y="21600"/>
                  <wp:lineTo x="21502" y="0"/>
                  <wp:lineTo x="0" y="0"/>
                </wp:wrapPolygon>
              </wp:wrapThrough>
              <wp:docPr id="1225566386" name="Text Box 17"/>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6EA19D01"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5B884A" id="_x0000_t202" coordsize="21600,21600" o:spt="202" path="m,l,21600r21600,l21600,xe">
              <v:stroke joinstyle="miter"/>
              <v:path gradientshapeok="t" o:connecttype="rect"/>
            </v:shapetype>
            <v:shape id="Text Box 17" o:spid="_x0000_s1053" type="#_x0000_t202" style="position:absolute;margin-left:-62.35pt;margin-top:-779.9pt;width:110pt;height:36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" filled="f" strokeweight=".5pt">
              <v:textbox>
                <w:txbxContent>
                  <w:p w14:paraId="6EA19D01"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58" behindDoc="0" locked="1" layoutInCell="0" allowOverlap="1" wp14:anchorId="0A1FCD84" wp14:editId="650EA794">
              <wp:simplePos x="0" y="0"/>
              <wp:positionH relativeFrom="margin">
                <wp:align>center</wp:align>
              </wp:positionH>
              <wp:positionV relativeFrom="bottomMargin">
                <wp:align>center</wp:align>
              </wp:positionV>
              <wp:extent cx="1612265" cy="273050"/>
              <wp:effectExtent l="0" t="0" r="0" b="0"/>
              <wp:wrapNone/>
              <wp:docPr id="3697615" name="janusSEAL SC Footer"/>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6BA02" w14:textId="702ECDE3"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PM_ProtectiveMarkingValue_Footer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1FCD84" id="_x0000_s1054" type="#_x0000_t202" style="position:absolute;margin-left:0;margin-top:0;width:126.95pt;height:21.5pt;z-index:251658258;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AU26KvGAIAADIEAAAOAAAAAAAAAAAAAAAAAC4CAABkcnMvZTJvRG9jLnhtbFBLAQItABQABgAI&#10;AAAAIQC9fPS/3AAAAAQBAAAPAAAAAAAAAAAAAAAAAHIEAABkcnMvZG93bnJldi54bWxQSwUGAAAA&#10;AAQABADzAAAAewUAAAAA&#10;" o:allowincell="f" filled="f" stroked="f" strokeweight=".5pt">
              <v:textbox style="mso-fit-shape-to-text:t">
                <w:txbxContent>
                  <w:p w14:paraId="7B96BA02" w14:textId="702ECDE3"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PM_ProtectiveMarkingValue_Footer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1D0DC" w14:textId="77777777" w:rsidR="00AC5F38" w:rsidRPr="0007645E" w:rsidRDefault="00AC5F38" w:rsidP="000C6069">
      <w:pPr>
        <w:pStyle w:val="Footer"/>
      </w:pPr>
    </w:p>
  </w:footnote>
  <w:footnote w:type="continuationSeparator" w:id="0">
    <w:p w14:paraId="218D6AA2" w14:textId="77777777" w:rsidR="00AC5F38" w:rsidRPr="0007645E" w:rsidRDefault="00AC5F38" w:rsidP="0030644C">
      <w:pPr>
        <w:spacing w:after="0"/>
      </w:pPr>
      <w:r w:rsidRPr="0007645E">
        <w:continuationSeparator/>
      </w:r>
    </w:p>
  </w:footnote>
  <w:footnote w:type="continuationNotice" w:id="1">
    <w:p w14:paraId="4E32C30B" w14:textId="77777777" w:rsidR="00AC5F38" w:rsidRPr="0007645E" w:rsidRDefault="00AC5F3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70D2" w14:textId="0569E75C" w:rsidR="00185DCF" w:rsidRDefault="00032994">
    <w:pPr>
      <w:pStyle w:val="Header"/>
    </w:pPr>
    <w:r>
      <w:rPr>
        <w:noProof/>
      </w:rPr>
      <mc:AlternateContent>
        <mc:Choice Requires="wps">
          <w:drawing>
            <wp:anchor distT="0" distB="0" distL="114300" distR="114300" simplePos="1" relativeHeight="251658261" behindDoc="0" locked="0" layoutInCell="1" allowOverlap="1" wp14:anchorId="4ADD72C3" wp14:editId="591BE41A">
              <wp:simplePos x="0" y="0"/>
              <wp:positionH relativeFrom="column">
                <wp:posOffset>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468724106" name="Text Box 3"/>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0E77607F"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DD72C3" id="_x0000_t202" coordsize="21600,21600" o:spt="202" path="m,l,21600r21600,l21600,xe">
              <v:stroke joinstyle="miter"/>
              <v:path gradientshapeok="t" o:connecttype="rect"/>
            </v:shapetype>
            <v:shape id="Text Box 3" o:spid="_x0000_s1026" type="#_x0000_t202" style="position:absolute;margin-left:0;margin-top:0;width:110pt;height:36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" filled="f" strokeweight=".5pt">
              <v:textbox>
                <w:txbxContent>
                  <w:p w14:paraId="0E77607F"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44" behindDoc="0" locked="1" layoutInCell="0" allowOverlap="1" wp14:anchorId="1FFFE1C7" wp14:editId="096A75FF">
              <wp:simplePos x="0" y="0"/>
              <wp:positionH relativeFrom="margin">
                <wp:align>center</wp:align>
              </wp:positionH>
              <wp:positionV relativeFrom="topMargin">
                <wp:align>center</wp:align>
              </wp:positionV>
              <wp:extent cx="1612265" cy="273050"/>
              <wp:effectExtent l="0" t="0" r="0" b="0"/>
              <wp:wrapNone/>
              <wp:docPr id="359565939" name="janusSEAL SC H_EvenPage"/>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18A957" w14:textId="51577F52"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FFE1C7" id="janusSEAL SC H_EvenPage" o:spid="_x0000_s1027" type="#_x0000_t202" style="position:absolute;margin-left:0;margin-top:0;width:126.95pt;height:21.5pt;z-index:25165824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" o:allowincell="f" filled="f" stroked="f" strokeweight=".5pt">
              <v:textbox style="mso-fit-shape-to-text:t">
                <w:txbxContent>
                  <w:p w14:paraId="4218A957" w14:textId="51577F52"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5F1A" w14:textId="3881DDEF" w:rsidR="000622A0" w:rsidRDefault="00032994">
    <w:pPr>
      <w:pStyle w:val="Header"/>
    </w:pPr>
    <w:r>
      <w:rPr>
        <w:noProof/>
      </w:rPr>
      <mc:AlternateContent>
        <mc:Choice Requires="wps">
          <w:drawing>
            <wp:anchor distT="0" distB="0" distL="114300" distR="114300" simplePos="1" relativeHeight="251658271" behindDoc="0" locked="0" layoutInCell="1" allowOverlap="1" wp14:anchorId="692BE127" wp14:editId="75648DB2">
              <wp:simplePos x="0" y="0"/>
              <wp:positionH relativeFrom="column">
                <wp:posOffset>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906732106" name="Text Box 16"/>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58E26BD6"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2BE127" id="_x0000_t202" coordsize="21600,21600" o:spt="202" path="m,l,21600r21600,l21600,xe">
              <v:stroke joinstyle="miter"/>
              <v:path gradientshapeok="t" o:connecttype="rect"/>
            </v:shapetype>
            <v:shape id="Text Box 16" o:spid="_x0000_s1049" type="#_x0000_t202" style="position:absolute;margin-left:0;margin-top:0;width:110pt;height:36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" filled="f" strokeweight=".5pt">
              <v:textbox>
                <w:txbxContent>
                  <w:p w14:paraId="58E26BD6"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57" behindDoc="0" locked="1" layoutInCell="0" allowOverlap="1" wp14:anchorId="671BD5BB" wp14:editId="3CE4D79D">
              <wp:simplePos x="0" y="0"/>
              <wp:positionH relativeFrom="margin">
                <wp:align>center</wp:align>
              </wp:positionH>
              <wp:positionV relativeFrom="topMargin">
                <wp:align>center</wp:align>
              </wp:positionV>
              <wp:extent cx="1612265" cy="273050"/>
              <wp:effectExtent l="0" t="0" r="0" b="0"/>
              <wp:wrapNone/>
              <wp:docPr id="1404970940" name="janusSEAL SC H_EvenPage"/>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E0158" w14:textId="0A186606"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1BD5BB" id="_x0000_s1050" type="#_x0000_t202" style="position:absolute;margin-left:0;margin-top:0;width:126.95pt;height:21.5pt;z-index:251658257;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BBebSNGAIAADIEAAAOAAAAAAAAAAAAAAAAAC4CAABkcnMvZTJvRG9jLnhtbFBLAQItABQABgAI&#10;AAAAIQC9fPS/3AAAAAQBAAAPAAAAAAAAAAAAAAAAAHIEAABkcnMvZG93bnJldi54bWxQSwUGAAAA&#10;AAQABADzAAAAewUAAAAA&#10;" o:allowincell="f" filled="f" stroked="f" strokeweight=".5pt">
              <v:textbox style="mso-fit-shape-to-text:t">
                <w:txbxContent>
                  <w:p w14:paraId="2E9E0158" w14:textId="0A186606"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F8511" w14:textId="2DAA4E93" w:rsidR="00390ED0" w:rsidRPr="0007645E" w:rsidRDefault="00032994" w:rsidP="000C6069">
    <w:pPr>
      <w:pStyle w:val="BodyText1"/>
    </w:pPr>
    <w:r>
      <w:rPr>
        <w:noProof/>
      </w:rPr>
      <mc:AlternateContent>
        <mc:Choice Requires="wps">
          <w:drawing>
            <wp:anchor distT="0" distB="0" distL="114300" distR="114300" simplePos="0" relativeHeight="251658269" behindDoc="0" locked="0" layoutInCell="1" allowOverlap="1" wp14:anchorId="79952DB9" wp14:editId="5E1FA141">
              <wp:simplePos x="0" y="0"/>
              <wp:positionH relativeFrom="column">
                <wp:posOffset>-791845</wp:posOffset>
              </wp:positionH>
              <wp:positionV relativeFrom="paragraph">
                <wp:posOffset>-450215</wp:posOffset>
              </wp:positionV>
              <wp:extent cx="1397000" cy="457200"/>
              <wp:effectExtent l="0" t="0" r="12700" b="19050"/>
              <wp:wrapThrough wrapText="bothSides">
                <wp:wrapPolygon edited="0">
                  <wp:start x="0" y="0"/>
                  <wp:lineTo x="0" y="21600"/>
                  <wp:lineTo x="21502" y="21600"/>
                  <wp:lineTo x="21502" y="0"/>
                  <wp:lineTo x="0" y="0"/>
                </wp:wrapPolygon>
              </wp:wrapThrough>
              <wp:docPr id="434977853" name="Text Box 14"/>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1680D602"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952DB9" id="_x0000_t202" coordsize="21600,21600" o:spt="202" path="m,l,21600r21600,l21600,xe">
              <v:stroke joinstyle="miter"/>
              <v:path gradientshapeok="t" o:connecttype="rect"/>
            </v:shapetype>
            <v:shape id="Text Box 14" o:spid="_x0000_s1051" type="#_x0000_t202" style="position:absolute;margin-left:-62.35pt;margin-top:-35.45pt;width:110pt;height:36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" filled="f" strokeweight=".5pt">
              <v:textbox>
                <w:txbxContent>
                  <w:p w14:paraId="1680D602"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55" behindDoc="0" locked="1" layoutInCell="0" allowOverlap="1" wp14:anchorId="73B20155" wp14:editId="5987D2F3">
              <wp:simplePos x="0" y="0"/>
              <wp:positionH relativeFrom="margin">
                <wp:align>center</wp:align>
              </wp:positionH>
              <wp:positionV relativeFrom="topMargin">
                <wp:align>center</wp:align>
              </wp:positionV>
              <wp:extent cx="1612265" cy="273050"/>
              <wp:effectExtent l="0" t="0" r="0" b="0"/>
              <wp:wrapNone/>
              <wp:docPr id="2118289620" name="janusSEAL SC Header"/>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8665E4" w14:textId="0B470BE0"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B20155" id="_x0000_s1052" type="#_x0000_t202" style="position:absolute;margin-left:0;margin-top:0;width:126.95pt;height:21.5pt;z-index:251658255;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B4NQpvGAIAADIEAAAOAAAAAAAAAAAAAAAAAC4CAABkcnMvZTJvRG9jLnhtbFBLAQItABQABgAI&#10;AAAAIQC9fPS/3AAAAAQBAAAPAAAAAAAAAAAAAAAAAHIEAABkcnMvZG93bnJldi54bWxQSwUGAAAA&#10;AAQABADzAAAAewUAAAAA&#10;" o:allowincell="f" filled="f" stroked="f" strokeweight=".5pt">
              <v:textbox style="mso-fit-shape-to-text:t">
                <w:txbxContent>
                  <w:p w14:paraId="3B8665E4" w14:textId="0B470BE0"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r w:rsidR="00A64CF8" w:rsidRPr="0007645E">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5B32" w14:textId="2F71D528" w:rsidR="000622A0" w:rsidRDefault="00032994">
    <w:pPr>
      <w:pStyle w:val="Header"/>
    </w:pPr>
    <w:r>
      <w:rPr>
        <w:noProof/>
      </w:rPr>
      <mc:AlternateContent>
        <mc:Choice Requires="wps">
          <w:drawing>
            <wp:anchor distT="0" distB="0" distL="114300" distR="114300" simplePos="1" relativeHeight="251658270" behindDoc="0" locked="0" layoutInCell="1" allowOverlap="1" wp14:anchorId="3D0B1ACD" wp14:editId="0B644D9A">
              <wp:simplePos x="0" y="0"/>
              <wp:positionH relativeFrom="column">
                <wp:posOffset>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765082818" name="Text Box 15"/>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47E4BFCD"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0B1ACD" id="_x0000_t202" coordsize="21600,21600" o:spt="202" path="m,l,21600r21600,l21600,xe">
              <v:stroke joinstyle="miter"/>
              <v:path gradientshapeok="t" o:connecttype="rect"/>
            </v:shapetype>
            <v:shape id="Text Box 15" o:spid="_x0000_s1055" type="#_x0000_t202" style="position:absolute;margin-left:0;margin-top:0;width:110pt;height:36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" filled="f" strokeweight=".5pt">
              <v:textbox>
                <w:txbxContent>
                  <w:p w14:paraId="47E4BFCD"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56" behindDoc="0" locked="1" layoutInCell="0" allowOverlap="1" wp14:anchorId="179F1CCC" wp14:editId="3F9F52E9">
              <wp:simplePos x="0" y="0"/>
              <wp:positionH relativeFrom="margin">
                <wp:align>center</wp:align>
              </wp:positionH>
              <wp:positionV relativeFrom="topMargin">
                <wp:align>center</wp:align>
              </wp:positionV>
              <wp:extent cx="1612265" cy="273050"/>
              <wp:effectExtent l="0" t="0" r="0" b="0"/>
              <wp:wrapNone/>
              <wp:docPr id="846425575" name="janusSEAL SC H_FirstPage"/>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B47F73" w14:textId="55E7E90F"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9F1CCC" id="_x0000_s1056" type="#_x0000_t202" style="position:absolute;margin-left:0;margin-top:0;width:126.95pt;height:21.5pt;z-index:251658256;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" o:allowincell="f" filled="f" stroked="f" strokeweight=".5pt">
              <v:textbox style="mso-fit-shape-to-text:t">
                <w:txbxContent>
                  <w:p w14:paraId="1CB47F73" w14:textId="55E7E90F"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35"/>
      <w:gridCol w:w="3135"/>
      <w:gridCol w:w="3135"/>
    </w:tblGrid>
    <w:tr w:rsidR="4B39CA9D" w:rsidRPr="0007645E" w14:paraId="4FF27851" w14:textId="77777777" w:rsidTr="4B39CA9D">
      <w:trPr>
        <w:trHeight w:val="300"/>
      </w:trPr>
      <w:tc>
        <w:tcPr>
          <w:tcW w:w="3135" w:type="dxa"/>
        </w:tcPr>
        <w:p w14:paraId="6DA7C99A" w14:textId="0BABAC5F" w:rsidR="4B39CA9D" w:rsidRPr="0007645E" w:rsidRDefault="00032994" w:rsidP="4B39CA9D">
          <w:pPr>
            <w:pStyle w:val="Header"/>
            <w:ind w:left="-115"/>
          </w:pPr>
          <w:r>
            <w:rPr>
              <w:noProof/>
            </w:rPr>
            <mc:AlternateContent>
              <mc:Choice Requires="wps">
                <w:drawing>
                  <wp:anchor distT="0" distB="0" distL="114300" distR="114300" simplePos="0" relativeHeight="251658259" behindDoc="0" locked="0" layoutInCell="1" allowOverlap="1" wp14:anchorId="540075CD" wp14:editId="4BD478F5">
                    <wp:simplePos x="0" y="0"/>
                    <wp:positionH relativeFrom="column">
                      <wp:posOffset>-68580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1656265253" name="Text Box 1"/>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5C210A1A"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0075CD" id="_x0000_t202" coordsize="21600,21600" o:spt="202" path="m,l,21600r21600,l21600,xe">
                    <v:stroke joinstyle="miter"/>
                    <v:path gradientshapeok="t" o:connecttype="rect"/>
                  </v:shapetype>
                  <v:shape id="Text Box 1" o:spid="_x0000_s1028" type="#_x0000_t202" style="position:absolute;left:0;text-align:left;margin-left:-5.4pt;margin-top:0;width:110pt;height:36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" filled="f" strokeweight=".5pt">
                    <v:textbox>
                      <w:txbxContent>
                        <w:p w14:paraId="5C210A1A"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42" behindDoc="0" locked="1" layoutInCell="0" allowOverlap="1" wp14:anchorId="24ED4DB7" wp14:editId="0B3F6438">
                    <wp:simplePos x="0" y="0"/>
                    <wp:positionH relativeFrom="margin">
                      <wp:align>center</wp:align>
                    </wp:positionH>
                    <wp:positionV relativeFrom="topMargin">
                      <wp:align>center</wp:align>
                    </wp:positionV>
                    <wp:extent cx="1612265" cy="273050"/>
                    <wp:effectExtent l="0" t="0" r="0" b="0"/>
                    <wp:wrapNone/>
                    <wp:docPr id="129402537" name="janusSEAL SC Header"/>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5D3182" w14:textId="4F945793"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ED4DB7" id="janusSEAL SC Header" o:spid="_x0000_s1029" type="#_x0000_t202" style="position:absolute;left:0;text-align:left;margin-left:0;margin-top:0;width:126.95pt;height:21.5pt;z-index:251658242;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Chb+bkGAIAADEEAAAOAAAAAAAAAAAAAAAAAC4CAABkcnMvZTJvRG9jLnhtbFBLAQItABQABgAI&#10;AAAAIQC9fPS/3AAAAAQBAAAPAAAAAAAAAAAAAAAAAHIEAABkcnMvZG93bnJldi54bWxQSwUGAAAA&#10;AAQABADzAAAAewUAAAAA&#10;" o:allowincell="f" filled="f" stroked="f" strokeweight=".5pt">
                    <v:textbox style="mso-fit-shape-to-text:t">
                      <w:txbxContent>
                        <w:p w14:paraId="755D3182" w14:textId="4F945793"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tc>
      <w:tc>
        <w:tcPr>
          <w:tcW w:w="3135" w:type="dxa"/>
        </w:tcPr>
        <w:p w14:paraId="750B6553" w14:textId="72C9E81F" w:rsidR="4B39CA9D" w:rsidRPr="0007645E" w:rsidRDefault="4B39CA9D" w:rsidP="4B39CA9D">
          <w:pPr>
            <w:pStyle w:val="Header"/>
            <w:jc w:val="center"/>
          </w:pPr>
        </w:p>
      </w:tc>
      <w:tc>
        <w:tcPr>
          <w:tcW w:w="3135" w:type="dxa"/>
        </w:tcPr>
        <w:p w14:paraId="26811E65" w14:textId="7D427E7B" w:rsidR="4B39CA9D" w:rsidRPr="0007645E" w:rsidRDefault="4B39CA9D" w:rsidP="4B39CA9D">
          <w:pPr>
            <w:pStyle w:val="Header"/>
            <w:ind w:right="-115"/>
            <w:jc w:val="right"/>
          </w:pPr>
        </w:p>
      </w:tc>
    </w:tr>
  </w:tbl>
  <w:p w14:paraId="0EE36457" w14:textId="747634C9" w:rsidR="4B39CA9D" w:rsidRPr="0007645E" w:rsidRDefault="4B39CA9D" w:rsidP="4B39CA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F4C5" w14:textId="45D639B1" w:rsidR="00185DCF" w:rsidRDefault="00032994">
    <w:pPr>
      <w:pStyle w:val="Header"/>
    </w:pPr>
    <w:r>
      <w:rPr>
        <w:noProof/>
      </w:rPr>
      <mc:AlternateContent>
        <mc:Choice Requires="wps">
          <w:drawing>
            <wp:anchor distT="0" distB="0" distL="114300" distR="114300" simplePos="1" relativeHeight="251658260" behindDoc="0" locked="0" layoutInCell="1" allowOverlap="1" wp14:anchorId="46701FC8" wp14:editId="0F28EEB3">
              <wp:simplePos x="0" y="0"/>
              <wp:positionH relativeFrom="column">
                <wp:posOffset>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1413437707" name="Text Box 2"/>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37E24219"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701FC8" id="_x0000_t202" coordsize="21600,21600" o:spt="202" path="m,l,21600r21600,l21600,xe">
              <v:stroke joinstyle="miter"/>
              <v:path gradientshapeok="t" o:connecttype="rect"/>
            </v:shapetype>
            <v:shape id="Text Box 2" o:spid="_x0000_s1034" type="#_x0000_t202" style="position:absolute;margin-left:0;margin-top:0;width:110pt;height:36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" filled="f" strokeweight=".5pt">
              <v:textbox>
                <w:txbxContent>
                  <w:p w14:paraId="37E24219"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43" behindDoc="0" locked="1" layoutInCell="0" allowOverlap="1" wp14:anchorId="3ED1F02B" wp14:editId="08F0811E">
              <wp:simplePos x="0" y="0"/>
              <wp:positionH relativeFrom="margin">
                <wp:align>center</wp:align>
              </wp:positionH>
              <wp:positionV relativeFrom="topMargin">
                <wp:align>center</wp:align>
              </wp:positionV>
              <wp:extent cx="1612265" cy="273050"/>
              <wp:effectExtent l="0" t="0" r="0" b="0"/>
              <wp:wrapNone/>
              <wp:docPr id="2026678666" name="janusSEAL SC H_FirstPage"/>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2CC21C" w14:textId="4E82C272"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D1F02B" id="janusSEAL SC H_FirstPage" o:spid="_x0000_s1035" type="#_x0000_t202" style="position:absolute;margin-left:0;margin-top:0;width:126.95pt;height:21.5pt;z-index:251658243;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D+H0M6GAIAADEEAAAOAAAAAAAAAAAAAAAAAC4CAABkcnMvZTJvRG9jLnhtbFBLAQItABQABgAI&#10;AAAAIQC9fPS/3AAAAAQBAAAPAAAAAAAAAAAAAAAAAHIEAABkcnMvZG93bnJldi54bWxQSwUGAAAA&#10;AAQABADzAAAAewUAAAAA&#10;" o:allowincell="f" filled="f" stroked="f" strokeweight=".5pt">
              <v:textbox style="mso-fit-shape-to-text:t">
                <w:txbxContent>
                  <w:p w14:paraId="562CC21C" w14:textId="4E82C272"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F5AF" w14:textId="1E56740E" w:rsidR="000622A0" w:rsidRDefault="00032994">
    <w:pPr>
      <w:pStyle w:val="Header"/>
    </w:pPr>
    <w:r>
      <w:rPr>
        <w:noProof/>
      </w:rPr>
      <mc:AlternateContent>
        <mc:Choice Requires="wps">
          <w:drawing>
            <wp:anchor distT="0" distB="0" distL="114300" distR="114300" simplePos="1" relativeHeight="251671552" behindDoc="0" locked="0" layoutInCell="1" allowOverlap="1" wp14:anchorId="75AEFCFF" wp14:editId="4443A9C5">
              <wp:simplePos x="0" y="0"/>
              <wp:positionH relativeFrom="column">
                <wp:posOffset>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1687799768" name="Text Box 9"/>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17EE5E3A"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AEFCFF" id="_x0000_t202" coordsize="21600,21600" o:spt="202" path="m,l,21600r21600,l21600,xe">
              <v:stroke joinstyle="miter"/>
              <v:path gradientshapeok="t" o:connecttype="rect"/>
            </v:shapetype>
            <v:shape id="Text Box 9" o:spid="_x0000_s1038" type="#_x0000_t202" style="position:absolute;margin-left:0;margin-top:0;width:110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" filled="f" strokeweight=".5pt">
              <v:textbox>
                <w:txbxContent>
                  <w:p w14:paraId="17EE5E3A"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9264" behindDoc="0" locked="1" layoutInCell="0" allowOverlap="1" wp14:anchorId="425C9C6A" wp14:editId="4E9D71AE">
              <wp:simplePos x="0" y="0"/>
              <wp:positionH relativeFrom="margin">
                <wp:align>center</wp:align>
              </wp:positionH>
              <wp:positionV relativeFrom="topMargin">
                <wp:align>center</wp:align>
              </wp:positionV>
              <wp:extent cx="1612265" cy="273050"/>
              <wp:effectExtent l="0" t="0" r="0" b="0"/>
              <wp:wrapNone/>
              <wp:docPr id="1676998007" name="janusSEAL SC H_EvenPage"/>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00D197" w14:textId="02D92881"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5C9C6A" id="_x0000_s1039" type="#_x0000_t202" style="position:absolute;margin-left:0;margin-top:0;width:126.95pt;height:21.5pt;z-index:25165926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ARo/SdGAIAADIEAAAOAAAAAAAAAAAAAAAAAC4CAABkcnMvZTJvRG9jLnhtbFBLAQItABQABgAI&#10;AAAAIQC9fPS/3AAAAAQBAAAPAAAAAAAAAAAAAAAAAHIEAABkcnMvZG93bnJldi54bWxQSwUGAAAA&#10;AAQABADzAAAAewUAAAAA&#10;" o:allowincell="f" filled="f" stroked="f" strokeweight=".5pt">
              <v:textbox style="mso-fit-shape-to-text:t">
                <w:txbxContent>
                  <w:p w14:paraId="3E00D197" w14:textId="02D92881"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267" w14:textId="287F0FFC" w:rsidR="009E21F5" w:rsidRPr="0007645E" w:rsidRDefault="007F53A3" w:rsidP="000C6069">
    <w:pPr>
      <w:pStyle w:val="BodyText1"/>
    </w:pPr>
    <w:r w:rsidRPr="0007645E">
      <w:rPr>
        <w:noProof/>
      </w:rPr>
      <w:drawing>
        <wp:anchor distT="0" distB="0" distL="114300" distR="114300" simplePos="0" relativeHeight="251646976" behindDoc="0" locked="0" layoutInCell="1" allowOverlap="1" wp14:anchorId="4B3A080A" wp14:editId="1B7BCA7C">
          <wp:simplePos x="0" y="0"/>
          <wp:positionH relativeFrom="column">
            <wp:posOffset>-400050</wp:posOffset>
          </wp:positionH>
          <wp:positionV relativeFrom="paragraph">
            <wp:posOffset>-418465</wp:posOffset>
          </wp:positionV>
          <wp:extent cx="1539240" cy="663575"/>
          <wp:effectExtent l="0" t="0" r="0" b="0"/>
          <wp:wrapSquare wrapText="bothSides"/>
          <wp:docPr id="1649609386" name="Picture 1649609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52248" name="Picture 47885224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246">
      <w:rPr>
        <w:noProof/>
      </w:rPr>
      <mc:AlternateContent>
        <mc:Choice Requires="wps">
          <w:drawing>
            <wp:anchor distT="0" distB="0" distL="114300" distR="114300" simplePos="0" relativeHeight="251651072" behindDoc="0" locked="1" layoutInCell="0" allowOverlap="1" wp14:anchorId="645E108D" wp14:editId="6B092A49">
              <wp:simplePos x="0" y="0"/>
              <wp:positionH relativeFrom="margin">
                <wp:align>center</wp:align>
              </wp:positionH>
              <wp:positionV relativeFrom="topMargin">
                <wp:align>center</wp:align>
              </wp:positionV>
              <wp:extent cx="1612265" cy="273050"/>
              <wp:effectExtent l="0" t="0" r="0" b="0"/>
              <wp:wrapNone/>
              <wp:docPr id="841447513" name="janusSEAL SC Header"/>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EF64C8" w14:textId="217E59AF" w:rsidR="00F70246" w:rsidRPr="00F70246" w:rsidRDefault="002B2058" w:rsidP="00B06404">
                          <w:pPr>
                            <w:spacing w:before="0" w:after="0"/>
                            <w:jc w:val="center"/>
                            <w:rPr>
                              <w:b/>
                              <w:color w:val="FF0000"/>
                              <w:sz w:val="24"/>
                            </w:rPr>
                          </w:pPr>
                          <w:r>
                            <w:rPr>
                              <w:b/>
                              <w:color w:val="FF0000"/>
                              <w:sz w:val="24"/>
                            </w:rPr>
                            <w:fldChar w:fldCharType="begin"/>
                          </w:r>
                          <w:r>
                            <w:rPr>
                              <w:b/>
                              <w:color w:val="FF0000"/>
                              <w:sz w:val="24"/>
                            </w:rPr>
                            <w:instrText xml:space="preserve"> DOCPROPERTY PM_ProtectiveMarkingValue_Header \* MERGEFORMAT </w:instrText>
                          </w:r>
                          <w:r>
                            <w:rPr>
                              <w:b/>
                              <w:color w:val="FF0000"/>
                              <w:sz w:val="24"/>
                            </w:rPr>
                            <w:fldChar w:fldCharType="separate"/>
                          </w:r>
                          <w:r w:rsidR="00B06404">
                            <w:rPr>
                              <w:b/>
                              <w:color w:val="FF0000"/>
                              <w:sz w:val="24"/>
                            </w:rPr>
                            <w:t>OFFICIAL</w:t>
                          </w:r>
                          <w:r>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45E108D" id="_x0000_t202" coordsize="21600,21600" o:spt="202" path="m,l,21600r21600,l21600,xe">
              <v:stroke joinstyle="miter"/>
              <v:path gradientshapeok="t" o:connecttype="rect"/>
            </v:shapetype>
            <v:shape id="_x0000_s1040" type="#_x0000_t202" style="position:absolute;margin-left:0;margin-top:0;width:126.95pt;height:21.5pt;z-index:251651072;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An1KD9GAIAADIEAAAOAAAAAAAAAAAAAAAAAC4CAABkcnMvZTJvRG9jLnhtbFBLAQItABQABgAI&#10;AAAAIQC9fPS/3AAAAAQBAAAPAAAAAAAAAAAAAAAAAHIEAABkcnMvZG93bnJldi54bWxQSwUGAAAA&#10;AAQABADzAAAAewUAAAAA&#10;" o:allowincell="f" filled="f" stroked="f" strokeweight=".5pt">
              <v:textbox style="mso-fit-shape-to-text:t">
                <w:txbxContent>
                  <w:p w14:paraId="1BEF64C8" w14:textId="217E59AF" w:rsidR="00F70246" w:rsidRPr="00F70246" w:rsidRDefault="002B2058" w:rsidP="00B06404">
                    <w:pPr>
                      <w:spacing w:before="0" w:after="0"/>
                      <w:jc w:val="center"/>
                      <w:rPr>
                        <w:b/>
                        <w:color w:val="FF0000"/>
                        <w:sz w:val="24"/>
                      </w:rPr>
                    </w:pPr>
                    <w:r>
                      <w:rPr>
                        <w:b/>
                        <w:color w:val="FF0000"/>
                        <w:sz w:val="24"/>
                      </w:rPr>
                      <w:fldChar w:fldCharType="begin"/>
                    </w:r>
                    <w:r>
                      <w:rPr>
                        <w:b/>
                        <w:color w:val="FF0000"/>
                        <w:sz w:val="24"/>
                      </w:rPr>
                      <w:instrText xml:space="preserve"> DOCPROPERTY PM_ProtectiveMarkingValue_Header \* MERGEFORMAT </w:instrText>
                    </w:r>
                    <w:r>
                      <w:rPr>
                        <w:b/>
                        <w:color w:val="FF0000"/>
                        <w:sz w:val="24"/>
                      </w:rPr>
                      <w:fldChar w:fldCharType="separate"/>
                    </w:r>
                    <w:r w:rsidR="00B06404">
                      <w:rPr>
                        <w:b/>
                        <w:color w:val="FF0000"/>
                        <w:sz w:val="24"/>
                      </w:rPr>
                      <w:t>OFFICIAL</w:t>
                    </w:r>
                    <w:r>
                      <w:rPr>
                        <w:b/>
                        <w:color w:val="FF0000"/>
                        <w:sz w:val="24"/>
                      </w:rPr>
                      <w:fldChar w:fldCharType="end"/>
                    </w:r>
                  </w:p>
                </w:txbxContent>
              </v:textbox>
              <w10:wrap anchorx="margin" anchory="margin"/>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7B91" w14:textId="47A56582" w:rsidR="000622A0" w:rsidRDefault="00032994">
    <w:pPr>
      <w:pStyle w:val="Header"/>
    </w:pPr>
    <w:r>
      <w:rPr>
        <w:noProof/>
      </w:rPr>
      <mc:AlternateContent>
        <mc:Choice Requires="wps">
          <w:drawing>
            <wp:anchor distT="0" distB="0" distL="114300" distR="114300" simplePos="1" relativeHeight="251667456" behindDoc="0" locked="0" layoutInCell="1" allowOverlap="1" wp14:anchorId="2F33F73B" wp14:editId="10EA2187">
              <wp:simplePos x="0" y="0"/>
              <wp:positionH relativeFrom="column">
                <wp:posOffset>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1363293862" name="Text Box 8"/>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25EB99DC"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33F73B" id="_x0000_t202" coordsize="21600,21600" o:spt="202" path="m,l,21600r21600,l21600,xe">
              <v:stroke joinstyle="miter"/>
              <v:path gradientshapeok="t" o:connecttype="rect"/>
            </v:shapetype>
            <v:shape id="Text Box 8" o:spid="_x0000_s1042" type="#_x0000_t202" style="position:absolute;margin-left:0;margin-top:0;width:110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" filled="f" strokeweight=".5pt">
              <v:textbox>
                <w:txbxContent>
                  <w:p w14:paraId="25EB99DC"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5168" behindDoc="0" locked="1" layoutInCell="0" allowOverlap="1" wp14:anchorId="55AA2536" wp14:editId="07435C0E">
              <wp:simplePos x="0" y="0"/>
              <wp:positionH relativeFrom="margin">
                <wp:align>center</wp:align>
              </wp:positionH>
              <wp:positionV relativeFrom="topMargin">
                <wp:align>center</wp:align>
              </wp:positionV>
              <wp:extent cx="1612265" cy="273050"/>
              <wp:effectExtent l="0" t="0" r="0" b="0"/>
              <wp:wrapNone/>
              <wp:docPr id="1356508049" name="janusSEAL SC H_FirstPage"/>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FD384E" w14:textId="338B8A24"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AA2536" id="_x0000_s1043" type="#_x0000_t202" style="position:absolute;margin-left:0;margin-top:0;width:126.95pt;height:21.5pt;z-index:25165516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AiPfmDGAIAADIEAAAOAAAAAAAAAAAAAAAAAC4CAABkcnMvZTJvRG9jLnhtbFBLAQItABQABgAI&#10;AAAAIQC9fPS/3AAAAAQBAAAPAAAAAAAAAAAAAAAAAHIEAABkcnMvZG93bnJldi54bWxQSwUGAAAA&#10;AAQABADzAAAAewUAAAAA&#10;" o:allowincell="f" filled="f" stroked="f" strokeweight=".5pt">
              <v:textbox style="mso-fit-shape-to-text:t">
                <w:txbxContent>
                  <w:p w14:paraId="10FD384E" w14:textId="338B8A24"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EF34" w14:textId="1C4E3C0C" w:rsidR="000622A0" w:rsidRDefault="00032994">
    <w:pPr>
      <w:pStyle w:val="Header"/>
    </w:pPr>
    <w:r>
      <w:rPr>
        <w:noProof/>
      </w:rPr>
      <mc:AlternateContent>
        <mc:Choice Requires="wps">
          <w:drawing>
            <wp:anchor distT="0" distB="0" distL="114300" distR="114300" simplePos="1" relativeHeight="251658268" behindDoc="0" locked="0" layoutInCell="1" allowOverlap="1" wp14:anchorId="00625548" wp14:editId="0EAB0A8A">
              <wp:simplePos x="0" y="0"/>
              <wp:positionH relativeFrom="column">
                <wp:posOffset>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1691730173" name="Text Box 13"/>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4C496EB7"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625548" id="_x0000_t202" coordsize="21600,21600" o:spt="202" path="m,l,21600r21600,l21600,xe">
              <v:stroke joinstyle="miter"/>
              <v:path gradientshapeok="t" o:connecttype="rect"/>
            </v:shapetype>
            <v:shape id="Text Box 13" o:spid="_x0000_s1044" type="#_x0000_t202" style="position:absolute;margin-left:0;margin-top:0;width:110pt;height:36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" filled="f" strokeweight=".5pt">
              <v:textbox>
                <w:txbxContent>
                  <w:p w14:paraId="4C496EB7"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54" behindDoc="0" locked="1" layoutInCell="0" allowOverlap="1" wp14:anchorId="7454D825" wp14:editId="007A91B0">
              <wp:simplePos x="0" y="0"/>
              <wp:positionH relativeFrom="margin">
                <wp:align>center</wp:align>
              </wp:positionH>
              <wp:positionV relativeFrom="topMargin">
                <wp:align>center</wp:align>
              </wp:positionV>
              <wp:extent cx="1612265" cy="273050"/>
              <wp:effectExtent l="0" t="0" r="0" b="0"/>
              <wp:wrapNone/>
              <wp:docPr id="1598656729" name="janusSEAL SC H_EvenPage"/>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C6EA34" w14:textId="517D9346"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54D825" id="_x0000_s1045" type="#_x0000_t202" style="position:absolute;margin-left:0;margin-top:0;width:126.95pt;height:21.5pt;z-index:25165825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BO01FDGAIAADIEAAAOAAAAAAAAAAAAAAAAAC4CAABkcnMvZTJvRG9jLnhtbFBLAQItABQABgAI&#10;AAAAIQC9fPS/3AAAAAQBAAAPAAAAAAAAAAAAAAAAAHIEAABkcnMvZG93bnJldi54bWxQSwUGAAAA&#10;AAQABADzAAAAewUAAAAA&#10;" o:allowincell="f" filled="f" stroked="f" strokeweight=".5pt">
              <v:textbox style="mso-fit-shape-to-text:t">
                <w:txbxContent>
                  <w:p w14:paraId="53C6EA34" w14:textId="517D9346"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2203A" w14:textId="405CE037" w:rsidR="002911DC" w:rsidRPr="0007645E" w:rsidRDefault="00F70246" w:rsidP="000C6069">
    <w:pPr>
      <w:pStyle w:val="BodyText1"/>
    </w:pPr>
    <w:r>
      <w:rPr>
        <w:noProof/>
      </w:rPr>
      <mc:AlternateContent>
        <mc:Choice Requires="wps">
          <w:drawing>
            <wp:anchor distT="0" distB="0" distL="114300" distR="114300" simplePos="0" relativeHeight="251658252" behindDoc="0" locked="1" layoutInCell="0" allowOverlap="1" wp14:anchorId="2971B519" wp14:editId="64C6944A">
              <wp:simplePos x="0" y="0"/>
              <wp:positionH relativeFrom="margin">
                <wp:align>center</wp:align>
              </wp:positionH>
              <wp:positionV relativeFrom="topMargin">
                <wp:align>center</wp:align>
              </wp:positionV>
              <wp:extent cx="1612265" cy="273050"/>
              <wp:effectExtent l="0" t="0" r="0" b="0"/>
              <wp:wrapNone/>
              <wp:docPr id="1193535183" name="janusSEAL SC Header"/>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B59D62" w14:textId="27D9CCAF"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71B519" id="_x0000_t202" coordsize="21600,21600" o:spt="202" path="m,l,21600r21600,l21600,xe">
              <v:stroke joinstyle="miter"/>
              <v:path gradientshapeok="t" o:connecttype="rect"/>
            </v:shapetype>
            <v:shape id="_x0000_s1046" type="#_x0000_t202" style="position:absolute;margin-left:0;margin-top:0;width:126.95pt;height:21.5pt;z-index:251658252;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" o:allowincell="f" filled="f" stroked="f" strokeweight=".5pt">
              <v:textbox style="mso-fit-shape-to-text:t">
                <w:txbxContent>
                  <w:p w14:paraId="5EB59D62" w14:textId="27D9CCAF"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r w:rsidR="00294000" w:rsidRPr="0007645E">
      <w:rPr>
        <w:noProof/>
      </w:rPr>
      <w:drawing>
        <wp:anchor distT="0" distB="0" distL="114300" distR="114300" simplePos="0" relativeHeight="251658241" behindDoc="0" locked="0" layoutInCell="1" allowOverlap="1" wp14:anchorId="721A4B72" wp14:editId="77C307F4">
          <wp:simplePos x="0" y="0"/>
          <wp:positionH relativeFrom="column">
            <wp:posOffset>0</wp:posOffset>
          </wp:positionH>
          <wp:positionV relativeFrom="paragraph">
            <wp:posOffset>-441416</wp:posOffset>
          </wp:positionV>
          <wp:extent cx="1539240" cy="66357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3A3F3" w14:textId="291251D9" w:rsidR="000622A0" w:rsidRDefault="00032994">
    <w:pPr>
      <w:pStyle w:val="Header"/>
    </w:pPr>
    <w:r>
      <w:rPr>
        <w:noProof/>
      </w:rPr>
      <mc:AlternateContent>
        <mc:Choice Requires="wps">
          <w:drawing>
            <wp:anchor distT="0" distB="0" distL="114300" distR="114300" simplePos="1" relativeHeight="251658267" behindDoc="0" locked="0" layoutInCell="1" allowOverlap="1" wp14:anchorId="3EDACA06" wp14:editId="614028A5">
              <wp:simplePos x="0" y="0"/>
              <wp:positionH relativeFrom="column">
                <wp:posOffset>0</wp:posOffset>
              </wp:positionH>
              <wp:positionV relativeFrom="paragraph">
                <wp:posOffset>0</wp:posOffset>
              </wp:positionV>
              <wp:extent cx="1397000" cy="457200"/>
              <wp:effectExtent l="0" t="0" r="12700" b="19050"/>
              <wp:wrapThrough wrapText="bothSides">
                <wp:wrapPolygon edited="0">
                  <wp:start x="0" y="0"/>
                  <wp:lineTo x="0" y="21600"/>
                  <wp:lineTo x="21502" y="21600"/>
                  <wp:lineTo x="21502" y="0"/>
                  <wp:lineTo x="0" y="0"/>
                </wp:wrapPolygon>
              </wp:wrapThrough>
              <wp:docPr id="582684999" name="Text Box 12"/>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w="6350">
                        <a:solidFill>
                          <a:prstClr val="black"/>
                        </a:solidFill>
                      </a:ln>
                    </wps:spPr>
                    <wps:txbx>
                      <w:txbxContent>
                        <w:p w14:paraId="25C6B180" w14:textId="77777777" w:rsidR="00032994" w:rsidRDefault="00032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DACA06" id="_x0000_t202" coordsize="21600,21600" o:spt="202" path="m,l,21600r21600,l21600,xe">
              <v:stroke joinstyle="miter"/>
              <v:path gradientshapeok="t" o:connecttype="rect"/>
            </v:shapetype>
            <v:shape id="Text Box 12" o:spid="_x0000_s1047" type="#_x0000_t202" style="position:absolute;margin-left:0;margin-top:0;width:110pt;height:36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" filled="f" strokeweight=".5pt">
              <v:textbox>
                <w:txbxContent>
                  <w:p w14:paraId="25C6B180" w14:textId="77777777" w:rsidR="00032994" w:rsidRDefault="00032994"/>
                </w:txbxContent>
              </v:textbox>
              <w10:wrap type="through"/>
            </v:shape>
          </w:pict>
        </mc:Fallback>
      </mc:AlternateContent>
    </w:r>
    <w:r w:rsidR="00F70246">
      <w:rPr>
        <w:noProof/>
      </w:rPr>
      <mc:AlternateContent>
        <mc:Choice Requires="wps">
          <w:drawing>
            <wp:anchor distT="0" distB="0" distL="114300" distR="114300" simplePos="0" relativeHeight="251658253" behindDoc="0" locked="1" layoutInCell="0" allowOverlap="1" wp14:anchorId="26813153" wp14:editId="698E0F44">
              <wp:simplePos x="0" y="0"/>
              <wp:positionH relativeFrom="margin">
                <wp:align>center</wp:align>
              </wp:positionH>
              <wp:positionV relativeFrom="topMargin">
                <wp:align>center</wp:align>
              </wp:positionV>
              <wp:extent cx="1612265" cy="273050"/>
              <wp:effectExtent l="0" t="0" r="0" b="0"/>
              <wp:wrapNone/>
              <wp:docPr id="2054024203" name="janusSEAL SC H_FirstPage"/>
              <wp:cNvGraphicFramePr/>
              <a:graphic xmlns:a="http://schemas.openxmlformats.org/drawingml/2006/main">
                <a:graphicData uri="http://schemas.microsoft.com/office/word/2010/wordprocessingShape">
                  <wps:wsp>
                    <wps:cNvSpPr txBox="1"/>
                    <wps:spPr>
                      <a:xfrm>
                        <a:off x="0" y="0"/>
                        <a:ext cx="16122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48CB6E" w14:textId="558F9601"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813153" id="_x0000_s1048" type="#_x0000_t202" style="position:absolute;margin-left:0;margin-top:0;width:126.95pt;height:21.5pt;z-index:251658253;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" o:allowincell="f" filled="f" stroked="f" strokeweight=".5pt">
              <v:textbox style="mso-fit-shape-to-text:t">
                <w:txbxContent>
                  <w:p w14:paraId="7F48CB6E" w14:textId="558F9601" w:rsidR="00F70246" w:rsidRPr="00F70246" w:rsidRDefault="00F70246" w:rsidP="00B06404">
                    <w:pPr>
                      <w:spacing w:before="0" w:after="0"/>
                      <w:jc w:val="center"/>
                      <w:rPr>
                        <w:b/>
                        <w:color w:val="FF0000"/>
                        <w:sz w:val="24"/>
                      </w:rPr>
                    </w:pPr>
                    <w:r w:rsidRPr="00F70246">
                      <w:rPr>
                        <w:b/>
                        <w:color w:val="FF0000"/>
                        <w:sz w:val="24"/>
                      </w:rPr>
                      <w:fldChar w:fldCharType="begin"/>
                    </w:r>
                    <w:r w:rsidRPr="00F70246">
                      <w:rPr>
                        <w:b/>
                        <w:color w:val="FF0000"/>
                        <w:sz w:val="24"/>
                      </w:rPr>
                      <w:instrText xml:space="preserve"> DOCPROPERTY PM_ProtectiveMarkingValue_Header \* MERGEFORMAT </w:instrText>
                    </w:r>
                    <w:r w:rsidRPr="00F70246">
                      <w:rPr>
                        <w:b/>
                        <w:color w:val="FF0000"/>
                        <w:sz w:val="24"/>
                      </w:rPr>
                      <w:fldChar w:fldCharType="separate"/>
                    </w:r>
                    <w:r w:rsidR="00B06404">
                      <w:rPr>
                        <w:b/>
                        <w:color w:val="FF0000"/>
                        <w:sz w:val="24"/>
                      </w:rPr>
                      <w:t>OFFICIAL</w:t>
                    </w:r>
                    <w:r w:rsidRPr="00F70246">
                      <w:rPr>
                        <w:b/>
                        <w:color w:val="FF0000"/>
                        <w:sz w:val="24"/>
                      </w:rPr>
                      <w:fldChar w:fldCharType="end"/>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90486"/>
    <w:multiLevelType w:val="hybridMultilevel"/>
    <w:tmpl w:val="E7E28D84"/>
    <w:lvl w:ilvl="0" w:tplc="0C09000F">
      <w:start w:val="1"/>
      <w:numFmt w:val="decimal"/>
      <w:lvlText w:val="%1."/>
      <w:lvlJc w:val="left"/>
      <w:pPr>
        <w:ind w:left="360" w:hanging="360"/>
      </w:pPr>
      <w:rPr>
        <w:rFonts w:hint="default"/>
        <w:color w:val="auto"/>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D577082"/>
    <w:multiLevelType w:val="hybridMultilevel"/>
    <w:tmpl w:val="B0962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8A315C"/>
    <w:multiLevelType w:val="hybridMultilevel"/>
    <w:tmpl w:val="E4B6A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AF2C2D"/>
    <w:multiLevelType w:val="singleLevel"/>
    <w:tmpl w:val="E4763AA4"/>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4" w15:restartNumberingAfterBreak="0">
    <w:nsid w:val="11D41BB0"/>
    <w:multiLevelType w:val="hybridMultilevel"/>
    <w:tmpl w:val="D116C288"/>
    <w:lvl w:ilvl="0" w:tplc="54ACA4CA">
      <w:start w:val="1"/>
      <w:numFmt w:val="bullet"/>
      <w:lvlText w:val=""/>
      <w:lvlJc w:val="left"/>
      <w:pPr>
        <w:ind w:left="1080" w:hanging="360"/>
      </w:pPr>
      <w:rPr>
        <w:rFonts w:ascii="Symbol" w:hAnsi="Symbol"/>
      </w:rPr>
    </w:lvl>
    <w:lvl w:ilvl="1" w:tplc="5F641964">
      <w:start w:val="1"/>
      <w:numFmt w:val="bullet"/>
      <w:lvlText w:val=""/>
      <w:lvlJc w:val="left"/>
      <w:pPr>
        <w:ind w:left="1080" w:hanging="360"/>
      </w:pPr>
      <w:rPr>
        <w:rFonts w:ascii="Symbol" w:hAnsi="Symbol"/>
      </w:rPr>
    </w:lvl>
    <w:lvl w:ilvl="2" w:tplc="5B4E2010">
      <w:start w:val="1"/>
      <w:numFmt w:val="bullet"/>
      <w:lvlText w:val=""/>
      <w:lvlJc w:val="left"/>
      <w:pPr>
        <w:ind w:left="1080" w:hanging="360"/>
      </w:pPr>
      <w:rPr>
        <w:rFonts w:ascii="Symbol" w:hAnsi="Symbol"/>
      </w:rPr>
    </w:lvl>
    <w:lvl w:ilvl="3" w:tplc="7CE03CA8">
      <w:start w:val="1"/>
      <w:numFmt w:val="bullet"/>
      <w:lvlText w:val=""/>
      <w:lvlJc w:val="left"/>
      <w:pPr>
        <w:ind w:left="1080" w:hanging="360"/>
      </w:pPr>
      <w:rPr>
        <w:rFonts w:ascii="Symbol" w:hAnsi="Symbol"/>
      </w:rPr>
    </w:lvl>
    <w:lvl w:ilvl="4" w:tplc="533EDF48">
      <w:start w:val="1"/>
      <w:numFmt w:val="bullet"/>
      <w:lvlText w:val=""/>
      <w:lvlJc w:val="left"/>
      <w:pPr>
        <w:ind w:left="1080" w:hanging="360"/>
      </w:pPr>
      <w:rPr>
        <w:rFonts w:ascii="Symbol" w:hAnsi="Symbol"/>
      </w:rPr>
    </w:lvl>
    <w:lvl w:ilvl="5" w:tplc="7160EAA2">
      <w:start w:val="1"/>
      <w:numFmt w:val="bullet"/>
      <w:lvlText w:val=""/>
      <w:lvlJc w:val="left"/>
      <w:pPr>
        <w:ind w:left="1080" w:hanging="360"/>
      </w:pPr>
      <w:rPr>
        <w:rFonts w:ascii="Symbol" w:hAnsi="Symbol"/>
      </w:rPr>
    </w:lvl>
    <w:lvl w:ilvl="6" w:tplc="F50A22DE">
      <w:start w:val="1"/>
      <w:numFmt w:val="bullet"/>
      <w:lvlText w:val=""/>
      <w:lvlJc w:val="left"/>
      <w:pPr>
        <w:ind w:left="1080" w:hanging="360"/>
      </w:pPr>
      <w:rPr>
        <w:rFonts w:ascii="Symbol" w:hAnsi="Symbol"/>
      </w:rPr>
    </w:lvl>
    <w:lvl w:ilvl="7" w:tplc="18C6C6A8">
      <w:start w:val="1"/>
      <w:numFmt w:val="bullet"/>
      <w:lvlText w:val=""/>
      <w:lvlJc w:val="left"/>
      <w:pPr>
        <w:ind w:left="1080" w:hanging="360"/>
      </w:pPr>
      <w:rPr>
        <w:rFonts w:ascii="Symbol" w:hAnsi="Symbol"/>
      </w:rPr>
    </w:lvl>
    <w:lvl w:ilvl="8" w:tplc="93B2B1BA">
      <w:start w:val="1"/>
      <w:numFmt w:val="bullet"/>
      <w:lvlText w:val=""/>
      <w:lvlJc w:val="left"/>
      <w:pPr>
        <w:ind w:left="1080" w:hanging="360"/>
      </w:pPr>
      <w:rPr>
        <w:rFonts w:ascii="Symbol" w:hAnsi="Symbol"/>
      </w:rPr>
    </w:lvl>
  </w:abstractNum>
  <w:abstractNum w:abstractNumId="5" w15:restartNumberingAfterBreak="0">
    <w:nsid w:val="15E94F03"/>
    <w:multiLevelType w:val="hybridMultilevel"/>
    <w:tmpl w:val="F99EC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B67DEB"/>
    <w:multiLevelType w:val="hybridMultilevel"/>
    <w:tmpl w:val="E4CCF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964CDD"/>
    <w:multiLevelType w:val="hybridMultilevel"/>
    <w:tmpl w:val="F560158E"/>
    <w:lvl w:ilvl="0" w:tplc="31DE8BDA">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785"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6C2101B"/>
    <w:multiLevelType w:val="hybridMultilevel"/>
    <w:tmpl w:val="352A02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FF1FC5"/>
    <w:multiLevelType w:val="multilevel"/>
    <w:tmpl w:val="F320B8D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B9B159F"/>
    <w:multiLevelType w:val="multilevel"/>
    <w:tmpl w:val="FFFFFFFF"/>
    <w:lvl w:ilvl="0">
      <w:start w:val="1"/>
      <w:numFmt w:val="decimal"/>
      <w:pStyle w:val="Heading1Numbered"/>
      <w:lvlText w:val="%1."/>
      <w:lvlJc w:val="left"/>
      <w:pPr>
        <w:ind w:left="567" w:hanging="567"/>
      </w:pPr>
      <w:rPr>
        <w:rFonts w:cs="Times New Roman"/>
      </w:rPr>
    </w:lvl>
    <w:lvl w:ilvl="1">
      <w:start w:val="1"/>
      <w:numFmt w:val="decimal"/>
      <w:lvlText w:val="%1.%2"/>
      <w:lvlJc w:val="left"/>
      <w:pPr>
        <w:ind w:left="567" w:hanging="567"/>
      </w:pPr>
      <w:rPr>
        <w:rFonts w:cs="Times New Roman"/>
      </w:rPr>
    </w:lvl>
    <w:lvl w:ilvl="2">
      <w:start w:val="1"/>
      <w:numFmt w:val="decimal"/>
      <w:lvlText w:val="%1.%2.%3"/>
      <w:lvlJc w:val="left"/>
      <w:pPr>
        <w:ind w:left="851" w:hanging="851"/>
      </w:pPr>
      <w:rPr>
        <w:rFonts w:cs="Times New Roman"/>
      </w:rPr>
    </w:lvl>
    <w:lvl w:ilvl="3">
      <w:start w:val="1"/>
      <w:numFmt w:val="decimal"/>
      <w:lvlText w:val="(%4)"/>
      <w:lvlJc w:val="left"/>
      <w:pPr>
        <w:ind w:left="2160" w:hanging="360"/>
      </w:pPr>
      <w:rPr>
        <w:rFonts w:cs="Times New Roman"/>
      </w:rPr>
    </w:lvl>
    <w:lvl w:ilvl="4">
      <w:start w:val="1"/>
      <w:numFmt w:val="lowerLetter"/>
      <w:lvlText w:val="(%5)"/>
      <w:lvlJc w:val="left"/>
      <w:pPr>
        <w:ind w:left="2520" w:hanging="360"/>
      </w:pPr>
      <w:rPr>
        <w:rFonts w:cs="Times New Roman"/>
      </w:rPr>
    </w:lvl>
    <w:lvl w:ilvl="5">
      <w:start w:val="1"/>
      <w:numFmt w:val="lowerRoman"/>
      <w:lvlText w:val="(%6)"/>
      <w:lvlJc w:val="left"/>
      <w:pPr>
        <w:ind w:left="2880" w:hanging="360"/>
      </w:pPr>
      <w:rPr>
        <w:rFonts w:cs="Times New Roman"/>
      </w:rPr>
    </w:lvl>
    <w:lvl w:ilvl="6">
      <w:start w:val="1"/>
      <w:numFmt w:val="decimal"/>
      <w:lvlText w:val="%7."/>
      <w:lvlJc w:val="left"/>
      <w:pPr>
        <w:ind w:left="3240" w:hanging="360"/>
      </w:pPr>
      <w:rPr>
        <w:rFonts w:cs="Times New Roman"/>
      </w:rPr>
    </w:lvl>
    <w:lvl w:ilvl="7">
      <w:start w:val="1"/>
      <w:numFmt w:val="lowerLetter"/>
      <w:lvlText w:val="%8."/>
      <w:lvlJc w:val="left"/>
      <w:pPr>
        <w:ind w:left="3600" w:hanging="360"/>
      </w:pPr>
      <w:rPr>
        <w:rFonts w:cs="Times New Roman"/>
      </w:rPr>
    </w:lvl>
    <w:lvl w:ilvl="8">
      <w:start w:val="1"/>
      <w:numFmt w:val="lowerRoman"/>
      <w:lvlText w:val="%9."/>
      <w:lvlJc w:val="left"/>
      <w:pPr>
        <w:ind w:left="3960" w:hanging="360"/>
      </w:pPr>
      <w:rPr>
        <w:rFonts w:cs="Times New Roman"/>
      </w:rPr>
    </w:lvl>
  </w:abstractNum>
  <w:abstractNum w:abstractNumId="11" w15:restartNumberingAfterBreak="0">
    <w:nsid w:val="31FC450B"/>
    <w:multiLevelType w:val="hybridMultilevel"/>
    <w:tmpl w:val="05968B72"/>
    <w:lvl w:ilvl="0" w:tplc="5DF89176">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EA5224"/>
    <w:multiLevelType w:val="hybridMultilevel"/>
    <w:tmpl w:val="F560158E"/>
    <w:lvl w:ilvl="0" w:tplc="31DE8BD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785"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DD555F5"/>
    <w:multiLevelType w:val="multilevel"/>
    <w:tmpl w:val="D4AA1E08"/>
    <w:styleLink w:val="BulletList"/>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4" w15:restartNumberingAfterBreak="0">
    <w:nsid w:val="3EC00386"/>
    <w:multiLevelType w:val="hybridMultilevel"/>
    <w:tmpl w:val="91A4A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C47B59"/>
    <w:multiLevelType w:val="multilevel"/>
    <w:tmpl w:val="993AED6E"/>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8A77668"/>
    <w:multiLevelType w:val="multilevel"/>
    <w:tmpl w:val="8C566766"/>
    <w:lvl w:ilvl="0">
      <w:start w:val="18"/>
      <w:numFmt w:val="decimal"/>
      <w:lvlText w:val="%1.0"/>
      <w:lvlJc w:val="left"/>
      <w:pPr>
        <w:ind w:left="497" w:hanging="497"/>
      </w:pPr>
      <w:rPr>
        <w:rFonts w:eastAsiaTheme="minorHAnsi" w:hint="default"/>
      </w:rPr>
    </w:lvl>
    <w:lvl w:ilvl="1">
      <w:start w:val="1"/>
      <w:numFmt w:val="decimalZero"/>
      <w:lvlText w:val="%1.%2"/>
      <w:lvlJc w:val="left"/>
      <w:pPr>
        <w:ind w:left="1217" w:hanging="497"/>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17" w15:restartNumberingAfterBreak="0">
    <w:nsid w:val="4B1413BA"/>
    <w:multiLevelType w:val="hybridMultilevel"/>
    <w:tmpl w:val="A4E20EB6"/>
    <w:styleLink w:val="Numberedlist"/>
    <w:lvl w:ilvl="0" w:tplc="AF4ED440">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A327CC3"/>
    <w:multiLevelType w:val="hybridMultilevel"/>
    <w:tmpl w:val="2DD6C994"/>
    <w:lvl w:ilvl="0" w:tplc="3502EF6C">
      <w:start w:val="1"/>
      <w:numFmt w:val="decimal"/>
      <w:pStyle w:val="NumberedHeading2"/>
      <w:lvlText w:val="%1."/>
      <w:lvlJc w:val="left"/>
      <w:pPr>
        <w:ind w:left="36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BD82ACF"/>
    <w:multiLevelType w:val="hybridMultilevel"/>
    <w:tmpl w:val="10304BB4"/>
    <w:lvl w:ilvl="0" w:tplc="AB08DB02">
      <w:start w:val="1"/>
      <w:numFmt w:val="lowerLetter"/>
      <w:pStyle w:val="Numberedlistabc"/>
      <w:lvlText w:val="%1."/>
      <w:lvlJc w:val="left"/>
      <w:pPr>
        <w:ind w:left="360" w:hanging="360"/>
      </w:pPr>
      <w:rPr>
        <w:rFonts w:ascii="Arial" w:hAnsi="Arial" w:hint="default"/>
        <w:b w:val="0"/>
        <w:i w:val="0"/>
        <w:sz w:val="20"/>
      </w:rPr>
    </w:lvl>
    <w:lvl w:ilvl="1" w:tplc="0C090019">
      <w:start w:val="1"/>
      <w:numFmt w:val="lowerLetter"/>
      <w:lvlText w:val="%2."/>
      <w:lvlJc w:val="left"/>
      <w:pPr>
        <w:ind w:left="1080" w:hanging="360"/>
      </w:pPr>
    </w:lvl>
    <w:lvl w:ilvl="2" w:tplc="50E6E90C">
      <w:start w:val="1"/>
      <w:numFmt w:val="lowerRoman"/>
      <w:pStyle w:val="Numberedlistii"/>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DEF649F"/>
    <w:multiLevelType w:val="hybridMultilevel"/>
    <w:tmpl w:val="6218C1BA"/>
    <w:lvl w:ilvl="0" w:tplc="838ABA00">
      <w:start w:val="1"/>
      <w:numFmt w:val="bullet"/>
      <w:pStyle w:val="Unfilteredthough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8B7AE2"/>
    <w:multiLevelType w:val="hybridMultilevel"/>
    <w:tmpl w:val="6218C1BA"/>
    <w:styleLink w:val="TableHeadingNumbers"/>
    <w:lvl w:ilvl="0" w:tplc="838ABA0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2103DCE"/>
    <w:multiLevelType w:val="hybridMultilevel"/>
    <w:tmpl w:val="7DC0B1B6"/>
    <w:lvl w:ilvl="0" w:tplc="254663D4">
      <w:start w:val="1"/>
      <w:numFmt w:val="bullet"/>
      <w:pStyle w:val="Bodybullet1"/>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6B5A38FB"/>
    <w:multiLevelType w:val="hybridMultilevel"/>
    <w:tmpl w:val="7172A0A4"/>
    <w:lvl w:ilvl="0" w:tplc="3A24FCE2">
      <w:start w:val="1"/>
      <w:numFmt w:val="bullet"/>
      <w:lvlText w:val=""/>
      <w:lvlJc w:val="left"/>
      <w:pPr>
        <w:ind w:left="1060" w:hanging="360"/>
      </w:pPr>
      <w:rPr>
        <w:rFonts w:ascii="Symbol" w:hAnsi="Symbol"/>
      </w:rPr>
    </w:lvl>
    <w:lvl w:ilvl="1" w:tplc="16A89848">
      <w:start w:val="1"/>
      <w:numFmt w:val="bullet"/>
      <w:lvlText w:val=""/>
      <w:lvlJc w:val="left"/>
      <w:pPr>
        <w:ind w:left="1060" w:hanging="360"/>
      </w:pPr>
      <w:rPr>
        <w:rFonts w:ascii="Symbol" w:hAnsi="Symbol"/>
      </w:rPr>
    </w:lvl>
    <w:lvl w:ilvl="2" w:tplc="9E665950">
      <w:start w:val="1"/>
      <w:numFmt w:val="bullet"/>
      <w:lvlText w:val=""/>
      <w:lvlJc w:val="left"/>
      <w:pPr>
        <w:ind w:left="1060" w:hanging="360"/>
      </w:pPr>
      <w:rPr>
        <w:rFonts w:ascii="Symbol" w:hAnsi="Symbol"/>
      </w:rPr>
    </w:lvl>
    <w:lvl w:ilvl="3" w:tplc="D1F67B8A">
      <w:start w:val="1"/>
      <w:numFmt w:val="bullet"/>
      <w:lvlText w:val=""/>
      <w:lvlJc w:val="left"/>
      <w:pPr>
        <w:ind w:left="1060" w:hanging="360"/>
      </w:pPr>
      <w:rPr>
        <w:rFonts w:ascii="Symbol" w:hAnsi="Symbol"/>
      </w:rPr>
    </w:lvl>
    <w:lvl w:ilvl="4" w:tplc="03D0C38A">
      <w:start w:val="1"/>
      <w:numFmt w:val="bullet"/>
      <w:lvlText w:val=""/>
      <w:lvlJc w:val="left"/>
      <w:pPr>
        <w:ind w:left="1060" w:hanging="360"/>
      </w:pPr>
      <w:rPr>
        <w:rFonts w:ascii="Symbol" w:hAnsi="Symbol"/>
      </w:rPr>
    </w:lvl>
    <w:lvl w:ilvl="5" w:tplc="2B50F108">
      <w:start w:val="1"/>
      <w:numFmt w:val="bullet"/>
      <w:lvlText w:val=""/>
      <w:lvlJc w:val="left"/>
      <w:pPr>
        <w:ind w:left="1060" w:hanging="360"/>
      </w:pPr>
      <w:rPr>
        <w:rFonts w:ascii="Symbol" w:hAnsi="Symbol"/>
      </w:rPr>
    </w:lvl>
    <w:lvl w:ilvl="6" w:tplc="7C9A939C">
      <w:start w:val="1"/>
      <w:numFmt w:val="bullet"/>
      <w:lvlText w:val=""/>
      <w:lvlJc w:val="left"/>
      <w:pPr>
        <w:ind w:left="1060" w:hanging="360"/>
      </w:pPr>
      <w:rPr>
        <w:rFonts w:ascii="Symbol" w:hAnsi="Symbol"/>
      </w:rPr>
    </w:lvl>
    <w:lvl w:ilvl="7" w:tplc="73367E6C">
      <w:start w:val="1"/>
      <w:numFmt w:val="bullet"/>
      <w:lvlText w:val=""/>
      <w:lvlJc w:val="left"/>
      <w:pPr>
        <w:ind w:left="1060" w:hanging="360"/>
      </w:pPr>
      <w:rPr>
        <w:rFonts w:ascii="Symbol" w:hAnsi="Symbol"/>
      </w:rPr>
    </w:lvl>
    <w:lvl w:ilvl="8" w:tplc="741606BA">
      <w:start w:val="1"/>
      <w:numFmt w:val="bullet"/>
      <w:lvlText w:val=""/>
      <w:lvlJc w:val="left"/>
      <w:pPr>
        <w:ind w:left="1060" w:hanging="360"/>
      </w:pPr>
      <w:rPr>
        <w:rFonts w:ascii="Symbol" w:hAnsi="Symbol"/>
      </w:rPr>
    </w:lvl>
  </w:abstractNum>
  <w:abstractNum w:abstractNumId="25" w15:restartNumberingAfterBreak="0">
    <w:nsid w:val="6B666DFD"/>
    <w:multiLevelType w:val="multilevel"/>
    <w:tmpl w:val="FF18F8B0"/>
    <w:lvl w:ilvl="0">
      <w:start w:val="1"/>
      <w:numFmt w:val="lowerLetter"/>
      <w:lvlText w:val="%1."/>
      <w:lvlJc w:val="left"/>
      <w:pPr>
        <w:tabs>
          <w:tab w:val="num" w:pos="720"/>
        </w:tabs>
        <w:ind w:left="720" w:hanging="360"/>
      </w:pPr>
    </w:lvl>
    <w:lvl w:ilvl="1">
      <w:start w:val="33"/>
      <w:numFmt w:val="bullet"/>
      <w:lvlText w:val=""/>
      <w:lvlJc w:val="left"/>
      <w:pPr>
        <w:ind w:left="1440" w:hanging="360"/>
      </w:pPr>
      <w:rPr>
        <w:rFonts w:ascii="Symbol" w:eastAsiaTheme="minorHAnsi" w:hAnsi="Symbol" w:cstheme="minorBidi"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14C44F5"/>
    <w:multiLevelType w:val="hybridMultilevel"/>
    <w:tmpl w:val="756ADA4C"/>
    <w:lvl w:ilvl="0" w:tplc="459864FE">
      <w:start w:val="1"/>
      <w:numFmt w:val="bullet"/>
      <w:pStyle w:val="Tablebullet2"/>
      <w:lvlText w:val="―"/>
      <w:lvlJc w:val="left"/>
      <w:pPr>
        <w:ind w:left="720" w:hanging="360"/>
      </w:pPr>
      <w:rPr>
        <w:rFonts w:ascii="Calibri" w:hAnsi="Calibri"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557B24"/>
    <w:multiLevelType w:val="hybridMultilevel"/>
    <w:tmpl w:val="BF2EF68C"/>
    <w:styleLink w:val="HeadingsList"/>
    <w:lvl w:ilvl="0" w:tplc="0B3662AC">
      <w:start w:val="1"/>
      <w:numFmt w:val="bullet"/>
      <w:lvlText w:val=""/>
      <w:lvlJc w:val="left"/>
      <w:pPr>
        <w:ind w:left="1020" w:hanging="360"/>
      </w:pPr>
      <w:rPr>
        <w:rFonts w:ascii="Symbol" w:hAnsi="Symbol"/>
      </w:rPr>
    </w:lvl>
    <w:lvl w:ilvl="1" w:tplc="BE182F22">
      <w:start w:val="1"/>
      <w:numFmt w:val="bullet"/>
      <w:lvlText w:val=""/>
      <w:lvlJc w:val="left"/>
      <w:pPr>
        <w:ind w:left="1020" w:hanging="360"/>
      </w:pPr>
      <w:rPr>
        <w:rFonts w:ascii="Symbol" w:hAnsi="Symbol"/>
      </w:rPr>
    </w:lvl>
    <w:lvl w:ilvl="2" w:tplc="7C24E138">
      <w:start w:val="1"/>
      <w:numFmt w:val="bullet"/>
      <w:lvlText w:val=""/>
      <w:lvlJc w:val="left"/>
      <w:pPr>
        <w:ind w:left="1020" w:hanging="360"/>
      </w:pPr>
      <w:rPr>
        <w:rFonts w:ascii="Symbol" w:hAnsi="Symbol"/>
      </w:rPr>
    </w:lvl>
    <w:lvl w:ilvl="3" w:tplc="B22250F2">
      <w:start w:val="1"/>
      <w:numFmt w:val="bullet"/>
      <w:lvlText w:val=""/>
      <w:lvlJc w:val="left"/>
      <w:pPr>
        <w:ind w:left="1020" w:hanging="360"/>
      </w:pPr>
      <w:rPr>
        <w:rFonts w:ascii="Symbol" w:hAnsi="Symbol"/>
      </w:rPr>
    </w:lvl>
    <w:lvl w:ilvl="4" w:tplc="CE9A7DB6">
      <w:start w:val="1"/>
      <w:numFmt w:val="bullet"/>
      <w:lvlText w:val=""/>
      <w:lvlJc w:val="left"/>
      <w:pPr>
        <w:ind w:left="1020" w:hanging="360"/>
      </w:pPr>
      <w:rPr>
        <w:rFonts w:ascii="Symbol" w:hAnsi="Symbol"/>
      </w:rPr>
    </w:lvl>
    <w:lvl w:ilvl="5" w:tplc="3AFA09C8">
      <w:start w:val="1"/>
      <w:numFmt w:val="bullet"/>
      <w:lvlText w:val=""/>
      <w:lvlJc w:val="left"/>
      <w:pPr>
        <w:ind w:left="1020" w:hanging="360"/>
      </w:pPr>
      <w:rPr>
        <w:rFonts w:ascii="Symbol" w:hAnsi="Symbol"/>
      </w:rPr>
    </w:lvl>
    <w:lvl w:ilvl="6" w:tplc="9E32741A">
      <w:start w:val="1"/>
      <w:numFmt w:val="bullet"/>
      <w:lvlText w:val=""/>
      <w:lvlJc w:val="left"/>
      <w:pPr>
        <w:ind w:left="1020" w:hanging="360"/>
      </w:pPr>
      <w:rPr>
        <w:rFonts w:ascii="Symbol" w:hAnsi="Symbol"/>
      </w:rPr>
    </w:lvl>
    <w:lvl w:ilvl="7" w:tplc="6E5E95D2">
      <w:start w:val="1"/>
      <w:numFmt w:val="bullet"/>
      <w:lvlText w:val=""/>
      <w:lvlJc w:val="left"/>
      <w:pPr>
        <w:ind w:left="1020" w:hanging="360"/>
      </w:pPr>
      <w:rPr>
        <w:rFonts w:ascii="Symbol" w:hAnsi="Symbol"/>
      </w:rPr>
    </w:lvl>
    <w:lvl w:ilvl="8" w:tplc="2CD2FA1A">
      <w:start w:val="1"/>
      <w:numFmt w:val="bullet"/>
      <w:lvlText w:val=""/>
      <w:lvlJc w:val="left"/>
      <w:pPr>
        <w:ind w:left="1020" w:hanging="360"/>
      </w:pPr>
      <w:rPr>
        <w:rFonts w:ascii="Symbol" w:hAnsi="Symbol"/>
      </w:rPr>
    </w:lvl>
  </w:abstractNum>
  <w:abstractNum w:abstractNumId="29" w15:restartNumberingAfterBreak="0">
    <w:nsid w:val="73107305"/>
    <w:multiLevelType w:val="hybridMultilevel"/>
    <w:tmpl w:val="FFFFFFFF"/>
    <w:styleLink w:val="BulletsList"/>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A32441C"/>
    <w:multiLevelType w:val="hybridMultilevel"/>
    <w:tmpl w:val="627CBF34"/>
    <w:lvl w:ilvl="0" w:tplc="D43C87AC">
      <w:start w:val="1"/>
      <w:numFmt w:val="decimal"/>
      <w:lvlText w:val="•"/>
      <w:lvlJc w:val="left"/>
      <w:pPr>
        <w:ind w:left="720" w:hanging="360"/>
      </w:pPr>
    </w:lvl>
    <w:lvl w:ilvl="1" w:tplc="3334C106">
      <w:start w:val="1"/>
      <w:numFmt w:val="lowerLetter"/>
      <w:lvlText w:val="%2."/>
      <w:lvlJc w:val="left"/>
      <w:pPr>
        <w:ind w:left="1440" w:hanging="360"/>
      </w:pPr>
    </w:lvl>
    <w:lvl w:ilvl="2" w:tplc="83EC846E">
      <w:start w:val="1"/>
      <w:numFmt w:val="lowerRoman"/>
      <w:lvlText w:val="%3."/>
      <w:lvlJc w:val="right"/>
      <w:pPr>
        <w:ind w:left="2160" w:hanging="180"/>
      </w:pPr>
    </w:lvl>
    <w:lvl w:ilvl="3" w:tplc="F79CDCF0">
      <w:start w:val="1"/>
      <w:numFmt w:val="decimal"/>
      <w:lvlText w:val="%4."/>
      <w:lvlJc w:val="left"/>
      <w:pPr>
        <w:ind w:left="2880" w:hanging="360"/>
      </w:pPr>
    </w:lvl>
    <w:lvl w:ilvl="4" w:tplc="5FBAB55C">
      <w:start w:val="1"/>
      <w:numFmt w:val="lowerLetter"/>
      <w:lvlText w:val="%5."/>
      <w:lvlJc w:val="left"/>
      <w:pPr>
        <w:ind w:left="3600" w:hanging="360"/>
      </w:pPr>
    </w:lvl>
    <w:lvl w:ilvl="5" w:tplc="2B76C55C">
      <w:start w:val="1"/>
      <w:numFmt w:val="lowerRoman"/>
      <w:lvlText w:val="%6."/>
      <w:lvlJc w:val="right"/>
      <w:pPr>
        <w:ind w:left="4320" w:hanging="180"/>
      </w:pPr>
    </w:lvl>
    <w:lvl w:ilvl="6" w:tplc="D1309402">
      <w:start w:val="1"/>
      <w:numFmt w:val="decimal"/>
      <w:lvlText w:val="%7."/>
      <w:lvlJc w:val="left"/>
      <w:pPr>
        <w:ind w:left="5040" w:hanging="360"/>
      </w:pPr>
    </w:lvl>
    <w:lvl w:ilvl="7" w:tplc="934C4644">
      <w:start w:val="1"/>
      <w:numFmt w:val="lowerLetter"/>
      <w:lvlText w:val="%8."/>
      <w:lvlJc w:val="left"/>
      <w:pPr>
        <w:ind w:left="5760" w:hanging="360"/>
      </w:pPr>
    </w:lvl>
    <w:lvl w:ilvl="8" w:tplc="0536574E">
      <w:start w:val="1"/>
      <w:numFmt w:val="lowerRoman"/>
      <w:lvlText w:val="%9."/>
      <w:lvlJc w:val="right"/>
      <w:pPr>
        <w:ind w:left="6480" w:hanging="180"/>
      </w:pPr>
    </w:lvl>
  </w:abstractNum>
  <w:abstractNum w:abstractNumId="31" w15:restartNumberingAfterBreak="0">
    <w:nsid w:val="7A8E5F1F"/>
    <w:multiLevelType w:val="multilevel"/>
    <w:tmpl w:val="B7862E3E"/>
    <w:styleLink w:val="CCDbulletpoints"/>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42729045">
    <w:abstractNumId w:val="26"/>
  </w:num>
  <w:num w:numId="2" w16cid:durableId="353384724">
    <w:abstractNumId w:val="27"/>
  </w:num>
  <w:num w:numId="3" w16cid:durableId="1368990630">
    <w:abstractNumId w:val="15"/>
  </w:num>
  <w:num w:numId="4" w16cid:durableId="1983801536">
    <w:abstractNumId w:val="19"/>
  </w:num>
  <w:num w:numId="5" w16cid:durableId="546645872">
    <w:abstractNumId w:val="3"/>
  </w:num>
  <w:num w:numId="6" w16cid:durableId="1404991699">
    <w:abstractNumId w:val="21"/>
  </w:num>
  <w:num w:numId="7" w16cid:durableId="913128676">
    <w:abstractNumId w:val="23"/>
  </w:num>
  <w:num w:numId="8" w16cid:durableId="218173846">
    <w:abstractNumId w:val="7"/>
  </w:num>
  <w:num w:numId="9" w16cid:durableId="1618993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3980523">
    <w:abstractNumId w:val="20"/>
  </w:num>
  <w:num w:numId="11" w16cid:durableId="262540155">
    <w:abstractNumId w:val="12"/>
  </w:num>
  <w:num w:numId="12" w16cid:durableId="3666392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0543238">
    <w:abstractNumId w:val="28"/>
  </w:num>
  <w:num w:numId="14" w16cid:durableId="1000814254">
    <w:abstractNumId w:val="0"/>
  </w:num>
  <w:num w:numId="15" w16cid:durableId="1488281316">
    <w:abstractNumId w:val="2"/>
  </w:num>
  <w:num w:numId="16" w16cid:durableId="1067190726">
    <w:abstractNumId w:val="25"/>
  </w:num>
  <w:num w:numId="17" w16cid:durableId="1601907081">
    <w:abstractNumId w:val="9"/>
  </w:num>
  <w:num w:numId="18" w16cid:durableId="2078283690">
    <w:abstractNumId w:val="13"/>
  </w:num>
  <w:num w:numId="19" w16cid:durableId="2045011390">
    <w:abstractNumId w:val="17"/>
  </w:num>
  <w:num w:numId="20" w16cid:durableId="1449199162">
    <w:abstractNumId w:val="22"/>
  </w:num>
  <w:num w:numId="21" w16cid:durableId="947395089">
    <w:abstractNumId w:val="29"/>
  </w:num>
  <w:num w:numId="22" w16cid:durableId="2005667295">
    <w:abstractNumId w:val="31"/>
  </w:num>
  <w:num w:numId="23" w16cid:durableId="635262262">
    <w:abstractNumId w:val="11"/>
  </w:num>
  <w:num w:numId="24" w16cid:durableId="67001131">
    <w:abstractNumId w:val="1"/>
  </w:num>
  <w:num w:numId="25" w16cid:durableId="2002732503">
    <w:abstractNumId w:val="8"/>
  </w:num>
  <w:num w:numId="26" w16cid:durableId="2031712038">
    <w:abstractNumId w:val="30"/>
  </w:num>
  <w:num w:numId="27" w16cid:durableId="1640497518">
    <w:abstractNumId w:val="6"/>
  </w:num>
  <w:num w:numId="28" w16cid:durableId="1800342960">
    <w:abstractNumId w:val="14"/>
  </w:num>
  <w:num w:numId="29" w16cid:durableId="442576490">
    <w:abstractNumId w:val="16"/>
  </w:num>
  <w:num w:numId="30" w16cid:durableId="650795265">
    <w:abstractNumId w:val="23"/>
  </w:num>
  <w:num w:numId="31" w16cid:durableId="818305841">
    <w:abstractNumId w:val="23"/>
  </w:num>
  <w:num w:numId="32" w16cid:durableId="1504011063">
    <w:abstractNumId w:val="23"/>
  </w:num>
  <w:num w:numId="33" w16cid:durableId="1571696352">
    <w:abstractNumId w:val="5"/>
  </w:num>
  <w:num w:numId="34" w16cid:durableId="396173826">
    <w:abstractNumId w:val="23"/>
  </w:num>
  <w:num w:numId="35" w16cid:durableId="1159073412">
    <w:abstractNumId w:val="23"/>
  </w:num>
  <w:num w:numId="36" w16cid:durableId="889026926">
    <w:abstractNumId w:val="23"/>
  </w:num>
  <w:num w:numId="37" w16cid:durableId="1499611362">
    <w:abstractNumId w:val="4"/>
  </w:num>
  <w:num w:numId="38" w16cid:durableId="951009218">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0E9"/>
    <w:rsid w:val="0000025A"/>
    <w:rsid w:val="00000431"/>
    <w:rsid w:val="00000679"/>
    <w:rsid w:val="00000915"/>
    <w:rsid w:val="0000095E"/>
    <w:rsid w:val="00000976"/>
    <w:rsid w:val="00000A6D"/>
    <w:rsid w:val="00000C68"/>
    <w:rsid w:val="00000E19"/>
    <w:rsid w:val="00001011"/>
    <w:rsid w:val="00001059"/>
    <w:rsid w:val="000014D4"/>
    <w:rsid w:val="00001E4A"/>
    <w:rsid w:val="00001F41"/>
    <w:rsid w:val="00001FE2"/>
    <w:rsid w:val="000020DC"/>
    <w:rsid w:val="00002151"/>
    <w:rsid w:val="00002168"/>
    <w:rsid w:val="00002281"/>
    <w:rsid w:val="00002415"/>
    <w:rsid w:val="000024F1"/>
    <w:rsid w:val="0000268F"/>
    <w:rsid w:val="00002C07"/>
    <w:rsid w:val="00002C3B"/>
    <w:rsid w:val="00002F93"/>
    <w:rsid w:val="00003264"/>
    <w:rsid w:val="0000329D"/>
    <w:rsid w:val="000033B5"/>
    <w:rsid w:val="000033BE"/>
    <w:rsid w:val="00003573"/>
    <w:rsid w:val="00003A0C"/>
    <w:rsid w:val="00003C5C"/>
    <w:rsid w:val="00003CEA"/>
    <w:rsid w:val="00003D7E"/>
    <w:rsid w:val="0000431E"/>
    <w:rsid w:val="0000458B"/>
    <w:rsid w:val="000049DB"/>
    <w:rsid w:val="00004A34"/>
    <w:rsid w:val="00004D96"/>
    <w:rsid w:val="000052AE"/>
    <w:rsid w:val="0000535E"/>
    <w:rsid w:val="000053A9"/>
    <w:rsid w:val="00005515"/>
    <w:rsid w:val="00005909"/>
    <w:rsid w:val="00005FC3"/>
    <w:rsid w:val="00006498"/>
    <w:rsid w:val="00006560"/>
    <w:rsid w:val="000066B1"/>
    <w:rsid w:val="00006CEF"/>
    <w:rsid w:val="00007008"/>
    <w:rsid w:val="00007163"/>
    <w:rsid w:val="00007486"/>
    <w:rsid w:val="000076CF"/>
    <w:rsid w:val="00007AE5"/>
    <w:rsid w:val="00007F00"/>
    <w:rsid w:val="00010246"/>
    <w:rsid w:val="000106E2"/>
    <w:rsid w:val="00010D6F"/>
    <w:rsid w:val="00011860"/>
    <w:rsid w:val="000119D0"/>
    <w:rsid w:val="00011C7E"/>
    <w:rsid w:val="00011CA5"/>
    <w:rsid w:val="00011DCF"/>
    <w:rsid w:val="00011F1F"/>
    <w:rsid w:val="000120F0"/>
    <w:rsid w:val="00012604"/>
    <w:rsid w:val="00012817"/>
    <w:rsid w:val="0001282E"/>
    <w:rsid w:val="000131ED"/>
    <w:rsid w:val="000135F9"/>
    <w:rsid w:val="000136BB"/>
    <w:rsid w:val="000136E2"/>
    <w:rsid w:val="00013AA2"/>
    <w:rsid w:val="00013E12"/>
    <w:rsid w:val="0001437F"/>
    <w:rsid w:val="000144E1"/>
    <w:rsid w:val="00014B5C"/>
    <w:rsid w:val="00014C1F"/>
    <w:rsid w:val="00014E01"/>
    <w:rsid w:val="00014F29"/>
    <w:rsid w:val="00015288"/>
    <w:rsid w:val="0001565E"/>
    <w:rsid w:val="00015A72"/>
    <w:rsid w:val="00015B66"/>
    <w:rsid w:val="00015D8E"/>
    <w:rsid w:val="000163CE"/>
    <w:rsid w:val="0001649E"/>
    <w:rsid w:val="00017334"/>
    <w:rsid w:val="000175CD"/>
    <w:rsid w:val="00017DD2"/>
    <w:rsid w:val="00020213"/>
    <w:rsid w:val="00020336"/>
    <w:rsid w:val="0002056F"/>
    <w:rsid w:val="0002090B"/>
    <w:rsid w:val="00020934"/>
    <w:rsid w:val="00021075"/>
    <w:rsid w:val="0002116F"/>
    <w:rsid w:val="000215E1"/>
    <w:rsid w:val="00021A84"/>
    <w:rsid w:val="00021A89"/>
    <w:rsid w:val="00021FB8"/>
    <w:rsid w:val="00021FC5"/>
    <w:rsid w:val="000221AE"/>
    <w:rsid w:val="000222E6"/>
    <w:rsid w:val="000224B8"/>
    <w:rsid w:val="00022523"/>
    <w:rsid w:val="0002255C"/>
    <w:rsid w:val="000225EF"/>
    <w:rsid w:val="000226C4"/>
    <w:rsid w:val="000226CD"/>
    <w:rsid w:val="00022A19"/>
    <w:rsid w:val="00022A73"/>
    <w:rsid w:val="00022C14"/>
    <w:rsid w:val="00022D0E"/>
    <w:rsid w:val="00022D57"/>
    <w:rsid w:val="0002312C"/>
    <w:rsid w:val="0002343A"/>
    <w:rsid w:val="000234CC"/>
    <w:rsid w:val="00023C7D"/>
    <w:rsid w:val="00024054"/>
    <w:rsid w:val="00024386"/>
    <w:rsid w:val="0002441B"/>
    <w:rsid w:val="00024472"/>
    <w:rsid w:val="000244B5"/>
    <w:rsid w:val="000244BC"/>
    <w:rsid w:val="000245AC"/>
    <w:rsid w:val="00024679"/>
    <w:rsid w:val="000248B8"/>
    <w:rsid w:val="00025156"/>
    <w:rsid w:val="000257AF"/>
    <w:rsid w:val="000257E5"/>
    <w:rsid w:val="00025A23"/>
    <w:rsid w:val="00025DF3"/>
    <w:rsid w:val="00026785"/>
    <w:rsid w:val="00026884"/>
    <w:rsid w:val="000268AE"/>
    <w:rsid w:val="00026B68"/>
    <w:rsid w:val="00026C8E"/>
    <w:rsid w:val="00026E2A"/>
    <w:rsid w:val="0002715E"/>
    <w:rsid w:val="0002754E"/>
    <w:rsid w:val="00027716"/>
    <w:rsid w:val="00027E5D"/>
    <w:rsid w:val="00027E7E"/>
    <w:rsid w:val="00030495"/>
    <w:rsid w:val="0003062D"/>
    <w:rsid w:val="000306DE"/>
    <w:rsid w:val="00030A98"/>
    <w:rsid w:val="00030B23"/>
    <w:rsid w:val="00030C4E"/>
    <w:rsid w:val="000312C4"/>
    <w:rsid w:val="000313F7"/>
    <w:rsid w:val="0003174F"/>
    <w:rsid w:val="00031E76"/>
    <w:rsid w:val="00031F83"/>
    <w:rsid w:val="00032714"/>
    <w:rsid w:val="00032994"/>
    <w:rsid w:val="00032C17"/>
    <w:rsid w:val="00033358"/>
    <w:rsid w:val="00033439"/>
    <w:rsid w:val="0003365A"/>
    <w:rsid w:val="00033A03"/>
    <w:rsid w:val="00033C47"/>
    <w:rsid w:val="00033E44"/>
    <w:rsid w:val="00033F33"/>
    <w:rsid w:val="00033F9F"/>
    <w:rsid w:val="0003410F"/>
    <w:rsid w:val="0003417A"/>
    <w:rsid w:val="000342B9"/>
    <w:rsid w:val="00034550"/>
    <w:rsid w:val="0003480F"/>
    <w:rsid w:val="00034ACE"/>
    <w:rsid w:val="00034DB5"/>
    <w:rsid w:val="00034E80"/>
    <w:rsid w:val="000353C3"/>
    <w:rsid w:val="000354BF"/>
    <w:rsid w:val="0003598F"/>
    <w:rsid w:val="00035DC3"/>
    <w:rsid w:val="00035DDC"/>
    <w:rsid w:val="00036216"/>
    <w:rsid w:val="00036385"/>
    <w:rsid w:val="00036AC4"/>
    <w:rsid w:val="00037121"/>
    <w:rsid w:val="00037324"/>
    <w:rsid w:val="000377F2"/>
    <w:rsid w:val="000379ED"/>
    <w:rsid w:val="00037A1F"/>
    <w:rsid w:val="00040085"/>
    <w:rsid w:val="00040317"/>
    <w:rsid w:val="00040669"/>
    <w:rsid w:val="00040A24"/>
    <w:rsid w:val="00041140"/>
    <w:rsid w:val="00041392"/>
    <w:rsid w:val="00041644"/>
    <w:rsid w:val="00041A85"/>
    <w:rsid w:val="00042504"/>
    <w:rsid w:val="00042535"/>
    <w:rsid w:val="00042811"/>
    <w:rsid w:val="00042F5C"/>
    <w:rsid w:val="00043F03"/>
    <w:rsid w:val="00043F84"/>
    <w:rsid w:val="000441CD"/>
    <w:rsid w:val="000447C6"/>
    <w:rsid w:val="00044B94"/>
    <w:rsid w:val="00044E82"/>
    <w:rsid w:val="00044E92"/>
    <w:rsid w:val="000450DA"/>
    <w:rsid w:val="00045360"/>
    <w:rsid w:val="0004550A"/>
    <w:rsid w:val="00045DA2"/>
    <w:rsid w:val="00046272"/>
    <w:rsid w:val="00046684"/>
    <w:rsid w:val="00046904"/>
    <w:rsid w:val="00046A6B"/>
    <w:rsid w:val="00047428"/>
    <w:rsid w:val="000476D8"/>
    <w:rsid w:val="00047D8C"/>
    <w:rsid w:val="00047F0C"/>
    <w:rsid w:val="00047F68"/>
    <w:rsid w:val="00047F89"/>
    <w:rsid w:val="00050647"/>
    <w:rsid w:val="000507AA"/>
    <w:rsid w:val="00050B9C"/>
    <w:rsid w:val="00050CA8"/>
    <w:rsid w:val="00050F2B"/>
    <w:rsid w:val="00050F48"/>
    <w:rsid w:val="00050F83"/>
    <w:rsid w:val="000511BE"/>
    <w:rsid w:val="0005123F"/>
    <w:rsid w:val="000512A1"/>
    <w:rsid w:val="00051FB0"/>
    <w:rsid w:val="00052018"/>
    <w:rsid w:val="000520A5"/>
    <w:rsid w:val="0005217B"/>
    <w:rsid w:val="000522D3"/>
    <w:rsid w:val="0005246A"/>
    <w:rsid w:val="000526A3"/>
    <w:rsid w:val="00052C6B"/>
    <w:rsid w:val="00053030"/>
    <w:rsid w:val="00053063"/>
    <w:rsid w:val="0005348C"/>
    <w:rsid w:val="00053504"/>
    <w:rsid w:val="0005360B"/>
    <w:rsid w:val="00053E84"/>
    <w:rsid w:val="00053EDE"/>
    <w:rsid w:val="000541E4"/>
    <w:rsid w:val="00054424"/>
    <w:rsid w:val="000544B8"/>
    <w:rsid w:val="00054AF8"/>
    <w:rsid w:val="000550D4"/>
    <w:rsid w:val="00055440"/>
    <w:rsid w:val="00055A28"/>
    <w:rsid w:val="00055A4F"/>
    <w:rsid w:val="00055A7E"/>
    <w:rsid w:val="00055B93"/>
    <w:rsid w:val="00055C59"/>
    <w:rsid w:val="00055DEF"/>
    <w:rsid w:val="00055EE4"/>
    <w:rsid w:val="000560DF"/>
    <w:rsid w:val="000565E8"/>
    <w:rsid w:val="000565FB"/>
    <w:rsid w:val="00056630"/>
    <w:rsid w:val="00056768"/>
    <w:rsid w:val="00056F67"/>
    <w:rsid w:val="00056FFF"/>
    <w:rsid w:val="00057162"/>
    <w:rsid w:val="000573F0"/>
    <w:rsid w:val="0005771B"/>
    <w:rsid w:val="00057B10"/>
    <w:rsid w:val="00057B14"/>
    <w:rsid w:val="00057BA6"/>
    <w:rsid w:val="00057CA6"/>
    <w:rsid w:val="00057F02"/>
    <w:rsid w:val="00057FFE"/>
    <w:rsid w:val="00060087"/>
    <w:rsid w:val="000604A5"/>
    <w:rsid w:val="00060971"/>
    <w:rsid w:val="00060B58"/>
    <w:rsid w:val="00060BFF"/>
    <w:rsid w:val="00060CFD"/>
    <w:rsid w:val="00060DAD"/>
    <w:rsid w:val="000613C4"/>
    <w:rsid w:val="000614EC"/>
    <w:rsid w:val="000616CE"/>
    <w:rsid w:val="0006173D"/>
    <w:rsid w:val="00061794"/>
    <w:rsid w:val="00061FF2"/>
    <w:rsid w:val="000622A0"/>
    <w:rsid w:val="0006245B"/>
    <w:rsid w:val="000624DB"/>
    <w:rsid w:val="00062D76"/>
    <w:rsid w:val="00062FA7"/>
    <w:rsid w:val="00062FDE"/>
    <w:rsid w:val="00063229"/>
    <w:rsid w:val="0006378A"/>
    <w:rsid w:val="00063973"/>
    <w:rsid w:val="00063A31"/>
    <w:rsid w:val="00063A3B"/>
    <w:rsid w:val="00063D6C"/>
    <w:rsid w:val="000641D7"/>
    <w:rsid w:val="00064383"/>
    <w:rsid w:val="00064AE8"/>
    <w:rsid w:val="00064B2B"/>
    <w:rsid w:val="00064F8D"/>
    <w:rsid w:val="00065221"/>
    <w:rsid w:val="00065A37"/>
    <w:rsid w:val="00065E92"/>
    <w:rsid w:val="00065FA3"/>
    <w:rsid w:val="00066216"/>
    <w:rsid w:val="0006669B"/>
    <w:rsid w:val="00066D08"/>
    <w:rsid w:val="00066DD3"/>
    <w:rsid w:val="00066ECD"/>
    <w:rsid w:val="00066F5E"/>
    <w:rsid w:val="000674E9"/>
    <w:rsid w:val="000675CB"/>
    <w:rsid w:val="00067867"/>
    <w:rsid w:val="000678E9"/>
    <w:rsid w:val="0006798A"/>
    <w:rsid w:val="00067A89"/>
    <w:rsid w:val="00067EBF"/>
    <w:rsid w:val="00067EF1"/>
    <w:rsid w:val="00070299"/>
    <w:rsid w:val="0007050D"/>
    <w:rsid w:val="00070628"/>
    <w:rsid w:val="00070E70"/>
    <w:rsid w:val="0007105B"/>
    <w:rsid w:val="0007110B"/>
    <w:rsid w:val="00071282"/>
    <w:rsid w:val="00071628"/>
    <w:rsid w:val="000718B1"/>
    <w:rsid w:val="000719AB"/>
    <w:rsid w:val="00071A48"/>
    <w:rsid w:val="00071B00"/>
    <w:rsid w:val="00071B63"/>
    <w:rsid w:val="00071D19"/>
    <w:rsid w:val="00071D79"/>
    <w:rsid w:val="000722BD"/>
    <w:rsid w:val="00072ED6"/>
    <w:rsid w:val="00073070"/>
    <w:rsid w:val="000732F2"/>
    <w:rsid w:val="000736CF"/>
    <w:rsid w:val="000736D6"/>
    <w:rsid w:val="00073EC8"/>
    <w:rsid w:val="0007415B"/>
    <w:rsid w:val="00074300"/>
    <w:rsid w:val="0007448F"/>
    <w:rsid w:val="0007457F"/>
    <w:rsid w:val="000746D0"/>
    <w:rsid w:val="00074706"/>
    <w:rsid w:val="000749F4"/>
    <w:rsid w:val="00074A94"/>
    <w:rsid w:val="00074C55"/>
    <w:rsid w:val="00074DE0"/>
    <w:rsid w:val="00074FBD"/>
    <w:rsid w:val="000751B9"/>
    <w:rsid w:val="00075769"/>
    <w:rsid w:val="0007577C"/>
    <w:rsid w:val="00075849"/>
    <w:rsid w:val="00075C4B"/>
    <w:rsid w:val="00075D1C"/>
    <w:rsid w:val="00075D33"/>
    <w:rsid w:val="0007645E"/>
    <w:rsid w:val="000766FF"/>
    <w:rsid w:val="00077008"/>
    <w:rsid w:val="0007734C"/>
    <w:rsid w:val="0007752C"/>
    <w:rsid w:val="0007788F"/>
    <w:rsid w:val="00077A57"/>
    <w:rsid w:val="00077C03"/>
    <w:rsid w:val="00077E66"/>
    <w:rsid w:val="000800E9"/>
    <w:rsid w:val="0008025C"/>
    <w:rsid w:val="00080775"/>
    <w:rsid w:val="00080843"/>
    <w:rsid w:val="00080A38"/>
    <w:rsid w:val="00080AED"/>
    <w:rsid w:val="00080EF5"/>
    <w:rsid w:val="0008131C"/>
    <w:rsid w:val="0008146C"/>
    <w:rsid w:val="000814BF"/>
    <w:rsid w:val="000815AA"/>
    <w:rsid w:val="00081737"/>
    <w:rsid w:val="00081977"/>
    <w:rsid w:val="00081EE9"/>
    <w:rsid w:val="00082020"/>
    <w:rsid w:val="0008245A"/>
    <w:rsid w:val="00082717"/>
    <w:rsid w:val="0008289D"/>
    <w:rsid w:val="00082912"/>
    <w:rsid w:val="000829CD"/>
    <w:rsid w:val="000829F7"/>
    <w:rsid w:val="00082BC9"/>
    <w:rsid w:val="00082C2B"/>
    <w:rsid w:val="00082F90"/>
    <w:rsid w:val="00082F9E"/>
    <w:rsid w:val="000830D8"/>
    <w:rsid w:val="000832EA"/>
    <w:rsid w:val="0008352D"/>
    <w:rsid w:val="0008375E"/>
    <w:rsid w:val="00083A31"/>
    <w:rsid w:val="00083E09"/>
    <w:rsid w:val="000843C4"/>
    <w:rsid w:val="0008474E"/>
    <w:rsid w:val="000848FE"/>
    <w:rsid w:val="00084CA1"/>
    <w:rsid w:val="00084E9E"/>
    <w:rsid w:val="00085CF6"/>
    <w:rsid w:val="00085F54"/>
    <w:rsid w:val="000861ED"/>
    <w:rsid w:val="000865B7"/>
    <w:rsid w:val="0008685A"/>
    <w:rsid w:val="0008691A"/>
    <w:rsid w:val="00086BBD"/>
    <w:rsid w:val="00086E5A"/>
    <w:rsid w:val="000875C2"/>
    <w:rsid w:val="00087703"/>
    <w:rsid w:val="00087BA6"/>
    <w:rsid w:val="00087E0C"/>
    <w:rsid w:val="00090E48"/>
    <w:rsid w:val="00091621"/>
    <w:rsid w:val="0009194F"/>
    <w:rsid w:val="00092166"/>
    <w:rsid w:val="00092283"/>
    <w:rsid w:val="00092BDB"/>
    <w:rsid w:val="000930EB"/>
    <w:rsid w:val="00093284"/>
    <w:rsid w:val="00093356"/>
    <w:rsid w:val="000934D9"/>
    <w:rsid w:val="00093524"/>
    <w:rsid w:val="000936F6"/>
    <w:rsid w:val="00093799"/>
    <w:rsid w:val="00093C2B"/>
    <w:rsid w:val="00093FC4"/>
    <w:rsid w:val="0009405F"/>
    <w:rsid w:val="00094C57"/>
    <w:rsid w:val="00094F53"/>
    <w:rsid w:val="0009549E"/>
    <w:rsid w:val="000956CB"/>
    <w:rsid w:val="0009582A"/>
    <w:rsid w:val="0009606D"/>
    <w:rsid w:val="0009615E"/>
    <w:rsid w:val="000961C8"/>
    <w:rsid w:val="0009622C"/>
    <w:rsid w:val="000963C2"/>
    <w:rsid w:val="00096464"/>
    <w:rsid w:val="0009721B"/>
    <w:rsid w:val="000972EF"/>
    <w:rsid w:val="000972F2"/>
    <w:rsid w:val="00097728"/>
    <w:rsid w:val="000978E7"/>
    <w:rsid w:val="00097DAB"/>
    <w:rsid w:val="000A0143"/>
    <w:rsid w:val="000A0828"/>
    <w:rsid w:val="000A0852"/>
    <w:rsid w:val="000A0874"/>
    <w:rsid w:val="000A09B5"/>
    <w:rsid w:val="000A0A30"/>
    <w:rsid w:val="000A0F22"/>
    <w:rsid w:val="000A1102"/>
    <w:rsid w:val="000A11A0"/>
    <w:rsid w:val="000A1314"/>
    <w:rsid w:val="000A13C5"/>
    <w:rsid w:val="000A13EC"/>
    <w:rsid w:val="000A15AA"/>
    <w:rsid w:val="000A18DB"/>
    <w:rsid w:val="000A1B13"/>
    <w:rsid w:val="000A1D1A"/>
    <w:rsid w:val="000A1E45"/>
    <w:rsid w:val="000A22A0"/>
    <w:rsid w:val="000A27D0"/>
    <w:rsid w:val="000A2822"/>
    <w:rsid w:val="000A313B"/>
    <w:rsid w:val="000A3179"/>
    <w:rsid w:val="000A31CE"/>
    <w:rsid w:val="000A354E"/>
    <w:rsid w:val="000A37BE"/>
    <w:rsid w:val="000A414D"/>
    <w:rsid w:val="000A46B7"/>
    <w:rsid w:val="000A4C40"/>
    <w:rsid w:val="000A4E20"/>
    <w:rsid w:val="000A503D"/>
    <w:rsid w:val="000A54F4"/>
    <w:rsid w:val="000A5717"/>
    <w:rsid w:val="000A6C70"/>
    <w:rsid w:val="000A750B"/>
    <w:rsid w:val="000A7640"/>
    <w:rsid w:val="000A7679"/>
    <w:rsid w:val="000A7981"/>
    <w:rsid w:val="000A7BB0"/>
    <w:rsid w:val="000A7CF7"/>
    <w:rsid w:val="000A7D56"/>
    <w:rsid w:val="000A7E78"/>
    <w:rsid w:val="000B000D"/>
    <w:rsid w:val="000B01D5"/>
    <w:rsid w:val="000B059D"/>
    <w:rsid w:val="000B076D"/>
    <w:rsid w:val="000B0935"/>
    <w:rsid w:val="000B0DA1"/>
    <w:rsid w:val="000B0DFE"/>
    <w:rsid w:val="000B0E3C"/>
    <w:rsid w:val="000B0EDB"/>
    <w:rsid w:val="000B10C7"/>
    <w:rsid w:val="000B155C"/>
    <w:rsid w:val="000B16B1"/>
    <w:rsid w:val="000B1990"/>
    <w:rsid w:val="000B2065"/>
    <w:rsid w:val="000B2215"/>
    <w:rsid w:val="000B2A5E"/>
    <w:rsid w:val="000B2CB7"/>
    <w:rsid w:val="000B2EB8"/>
    <w:rsid w:val="000B32B5"/>
    <w:rsid w:val="000B339C"/>
    <w:rsid w:val="000B37A1"/>
    <w:rsid w:val="000B37F5"/>
    <w:rsid w:val="000B39BF"/>
    <w:rsid w:val="000B3AE9"/>
    <w:rsid w:val="000B3F5F"/>
    <w:rsid w:val="000B4370"/>
    <w:rsid w:val="000B4888"/>
    <w:rsid w:val="000B4A9C"/>
    <w:rsid w:val="000B4F0D"/>
    <w:rsid w:val="000B5694"/>
    <w:rsid w:val="000B57D4"/>
    <w:rsid w:val="000B584C"/>
    <w:rsid w:val="000B5854"/>
    <w:rsid w:val="000B5C5E"/>
    <w:rsid w:val="000B5CFA"/>
    <w:rsid w:val="000B5F8C"/>
    <w:rsid w:val="000B63D8"/>
    <w:rsid w:val="000B6EF4"/>
    <w:rsid w:val="000B6F48"/>
    <w:rsid w:val="000B71D4"/>
    <w:rsid w:val="000B72BB"/>
    <w:rsid w:val="000B7498"/>
    <w:rsid w:val="000B758D"/>
    <w:rsid w:val="000B75EE"/>
    <w:rsid w:val="000B78FB"/>
    <w:rsid w:val="000B7995"/>
    <w:rsid w:val="000B7D62"/>
    <w:rsid w:val="000C02E2"/>
    <w:rsid w:val="000C0487"/>
    <w:rsid w:val="000C119C"/>
    <w:rsid w:val="000C11CC"/>
    <w:rsid w:val="000C1834"/>
    <w:rsid w:val="000C19FB"/>
    <w:rsid w:val="000C2099"/>
    <w:rsid w:val="000C22E2"/>
    <w:rsid w:val="000C270C"/>
    <w:rsid w:val="000C27B0"/>
    <w:rsid w:val="000C2870"/>
    <w:rsid w:val="000C2AD0"/>
    <w:rsid w:val="000C2E9F"/>
    <w:rsid w:val="000C3198"/>
    <w:rsid w:val="000C3270"/>
    <w:rsid w:val="000C35B3"/>
    <w:rsid w:val="000C389B"/>
    <w:rsid w:val="000C3A03"/>
    <w:rsid w:val="000C3B86"/>
    <w:rsid w:val="000C44AF"/>
    <w:rsid w:val="000C493B"/>
    <w:rsid w:val="000C4E49"/>
    <w:rsid w:val="000C4F6A"/>
    <w:rsid w:val="000C528F"/>
    <w:rsid w:val="000C5302"/>
    <w:rsid w:val="000C5330"/>
    <w:rsid w:val="000C5374"/>
    <w:rsid w:val="000C5B5F"/>
    <w:rsid w:val="000C5B6D"/>
    <w:rsid w:val="000C6069"/>
    <w:rsid w:val="000C6186"/>
    <w:rsid w:val="000C6329"/>
    <w:rsid w:val="000C635B"/>
    <w:rsid w:val="000C6365"/>
    <w:rsid w:val="000C6AA7"/>
    <w:rsid w:val="000C6C32"/>
    <w:rsid w:val="000C7378"/>
    <w:rsid w:val="000C756A"/>
    <w:rsid w:val="000C762B"/>
    <w:rsid w:val="000C7ADD"/>
    <w:rsid w:val="000D0375"/>
    <w:rsid w:val="000D0391"/>
    <w:rsid w:val="000D04EC"/>
    <w:rsid w:val="000D0721"/>
    <w:rsid w:val="000D07B9"/>
    <w:rsid w:val="000D08D7"/>
    <w:rsid w:val="000D09BC"/>
    <w:rsid w:val="000D0B59"/>
    <w:rsid w:val="000D0E7C"/>
    <w:rsid w:val="000D0FAF"/>
    <w:rsid w:val="000D1094"/>
    <w:rsid w:val="000D1734"/>
    <w:rsid w:val="000D1A97"/>
    <w:rsid w:val="000D1B21"/>
    <w:rsid w:val="000D1B7E"/>
    <w:rsid w:val="000D2375"/>
    <w:rsid w:val="000D26EB"/>
    <w:rsid w:val="000D2A91"/>
    <w:rsid w:val="000D2CA4"/>
    <w:rsid w:val="000D30B7"/>
    <w:rsid w:val="000D32D9"/>
    <w:rsid w:val="000D37E7"/>
    <w:rsid w:val="000D380D"/>
    <w:rsid w:val="000D3A9E"/>
    <w:rsid w:val="000D3D46"/>
    <w:rsid w:val="000D3ECB"/>
    <w:rsid w:val="000D429A"/>
    <w:rsid w:val="000D4428"/>
    <w:rsid w:val="000D4463"/>
    <w:rsid w:val="000D476A"/>
    <w:rsid w:val="000D4C28"/>
    <w:rsid w:val="000D5046"/>
    <w:rsid w:val="000D52D3"/>
    <w:rsid w:val="000D56BE"/>
    <w:rsid w:val="000D5C5A"/>
    <w:rsid w:val="000D5CDD"/>
    <w:rsid w:val="000D5E5F"/>
    <w:rsid w:val="000D6085"/>
    <w:rsid w:val="000D675F"/>
    <w:rsid w:val="000D6D1C"/>
    <w:rsid w:val="000D6DBB"/>
    <w:rsid w:val="000D72A5"/>
    <w:rsid w:val="000D76E0"/>
    <w:rsid w:val="000D77FD"/>
    <w:rsid w:val="000D7EC3"/>
    <w:rsid w:val="000DCDC2"/>
    <w:rsid w:val="000E0150"/>
    <w:rsid w:val="000E0414"/>
    <w:rsid w:val="000E04D6"/>
    <w:rsid w:val="000E0557"/>
    <w:rsid w:val="000E0759"/>
    <w:rsid w:val="000E07F6"/>
    <w:rsid w:val="000E07FF"/>
    <w:rsid w:val="000E09C5"/>
    <w:rsid w:val="000E0C55"/>
    <w:rsid w:val="000E1027"/>
    <w:rsid w:val="000E1676"/>
    <w:rsid w:val="000E19D8"/>
    <w:rsid w:val="000E1CE6"/>
    <w:rsid w:val="000E1DF0"/>
    <w:rsid w:val="000E1F3D"/>
    <w:rsid w:val="000E2C2C"/>
    <w:rsid w:val="000E316C"/>
    <w:rsid w:val="000E324D"/>
    <w:rsid w:val="000E3272"/>
    <w:rsid w:val="000E3313"/>
    <w:rsid w:val="000E350F"/>
    <w:rsid w:val="000E366A"/>
    <w:rsid w:val="000E3842"/>
    <w:rsid w:val="000E391F"/>
    <w:rsid w:val="000E3959"/>
    <w:rsid w:val="000E46EB"/>
    <w:rsid w:val="000E4751"/>
    <w:rsid w:val="000E48CE"/>
    <w:rsid w:val="000E4E4A"/>
    <w:rsid w:val="000E5054"/>
    <w:rsid w:val="000E5523"/>
    <w:rsid w:val="000E5722"/>
    <w:rsid w:val="000E5A67"/>
    <w:rsid w:val="000E5CF1"/>
    <w:rsid w:val="000E66F2"/>
    <w:rsid w:val="000E6DFD"/>
    <w:rsid w:val="000E704B"/>
    <w:rsid w:val="000E76B6"/>
    <w:rsid w:val="000E78EE"/>
    <w:rsid w:val="000E793F"/>
    <w:rsid w:val="000E79AC"/>
    <w:rsid w:val="000E7CD0"/>
    <w:rsid w:val="000E7DC6"/>
    <w:rsid w:val="000E7F6B"/>
    <w:rsid w:val="000F068F"/>
    <w:rsid w:val="000F0C95"/>
    <w:rsid w:val="000F1680"/>
    <w:rsid w:val="000F16CF"/>
    <w:rsid w:val="000F18A5"/>
    <w:rsid w:val="000F1A4A"/>
    <w:rsid w:val="000F1EEF"/>
    <w:rsid w:val="000F1FE7"/>
    <w:rsid w:val="000F2557"/>
    <w:rsid w:val="000F28F2"/>
    <w:rsid w:val="000F2EB1"/>
    <w:rsid w:val="000F3422"/>
    <w:rsid w:val="000F3725"/>
    <w:rsid w:val="000F3B42"/>
    <w:rsid w:val="000F3E3E"/>
    <w:rsid w:val="000F3ED6"/>
    <w:rsid w:val="000F3F22"/>
    <w:rsid w:val="000F474F"/>
    <w:rsid w:val="000F4B4A"/>
    <w:rsid w:val="000F4C6C"/>
    <w:rsid w:val="000F4E3C"/>
    <w:rsid w:val="000F508C"/>
    <w:rsid w:val="000F51FB"/>
    <w:rsid w:val="000F5213"/>
    <w:rsid w:val="000F5238"/>
    <w:rsid w:val="000F5282"/>
    <w:rsid w:val="000F52FB"/>
    <w:rsid w:val="000F5988"/>
    <w:rsid w:val="000F5B9D"/>
    <w:rsid w:val="000F650F"/>
    <w:rsid w:val="000F69BB"/>
    <w:rsid w:val="000F69C8"/>
    <w:rsid w:val="000F6A3C"/>
    <w:rsid w:val="000F6D32"/>
    <w:rsid w:val="000F6E3E"/>
    <w:rsid w:val="000F73F7"/>
    <w:rsid w:val="000F75E3"/>
    <w:rsid w:val="000F7B08"/>
    <w:rsid w:val="000F7CC4"/>
    <w:rsid w:val="000F7F74"/>
    <w:rsid w:val="0010001E"/>
    <w:rsid w:val="0010006F"/>
    <w:rsid w:val="001000A8"/>
    <w:rsid w:val="0010016F"/>
    <w:rsid w:val="001003ED"/>
    <w:rsid w:val="00100462"/>
    <w:rsid w:val="0010074B"/>
    <w:rsid w:val="0010092A"/>
    <w:rsid w:val="001009B8"/>
    <w:rsid w:val="00101170"/>
    <w:rsid w:val="00101248"/>
    <w:rsid w:val="001013F0"/>
    <w:rsid w:val="00101607"/>
    <w:rsid w:val="00101762"/>
    <w:rsid w:val="00101F60"/>
    <w:rsid w:val="001023CE"/>
    <w:rsid w:val="00102548"/>
    <w:rsid w:val="00102625"/>
    <w:rsid w:val="00102718"/>
    <w:rsid w:val="00102D13"/>
    <w:rsid w:val="00102D85"/>
    <w:rsid w:val="001031D7"/>
    <w:rsid w:val="00103350"/>
    <w:rsid w:val="00103B4E"/>
    <w:rsid w:val="00103C2B"/>
    <w:rsid w:val="00103DB7"/>
    <w:rsid w:val="00103DC6"/>
    <w:rsid w:val="0010428E"/>
    <w:rsid w:val="0010496E"/>
    <w:rsid w:val="00104CCB"/>
    <w:rsid w:val="00104F26"/>
    <w:rsid w:val="001058A2"/>
    <w:rsid w:val="00105B35"/>
    <w:rsid w:val="00105FE8"/>
    <w:rsid w:val="00106932"/>
    <w:rsid w:val="001070AE"/>
    <w:rsid w:val="001070BA"/>
    <w:rsid w:val="00107328"/>
    <w:rsid w:val="00107551"/>
    <w:rsid w:val="00107D21"/>
    <w:rsid w:val="00107F7F"/>
    <w:rsid w:val="001105C0"/>
    <w:rsid w:val="0011064A"/>
    <w:rsid w:val="00110924"/>
    <w:rsid w:val="00110A50"/>
    <w:rsid w:val="00110B4F"/>
    <w:rsid w:val="0011106E"/>
    <w:rsid w:val="00111418"/>
    <w:rsid w:val="001114FE"/>
    <w:rsid w:val="001115C0"/>
    <w:rsid w:val="00111959"/>
    <w:rsid w:val="00111B66"/>
    <w:rsid w:val="00111DA9"/>
    <w:rsid w:val="00111DBD"/>
    <w:rsid w:val="00111EDF"/>
    <w:rsid w:val="00111F86"/>
    <w:rsid w:val="00112430"/>
    <w:rsid w:val="00112645"/>
    <w:rsid w:val="00112A55"/>
    <w:rsid w:val="00112A9F"/>
    <w:rsid w:val="00112B47"/>
    <w:rsid w:val="00112BDC"/>
    <w:rsid w:val="00112D57"/>
    <w:rsid w:val="00113649"/>
    <w:rsid w:val="00113D3F"/>
    <w:rsid w:val="00113F0C"/>
    <w:rsid w:val="001140CD"/>
    <w:rsid w:val="001143EB"/>
    <w:rsid w:val="00114866"/>
    <w:rsid w:val="00114A65"/>
    <w:rsid w:val="00114B6C"/>
    <w:rsid w:val="0011554C"/>
    <w:rsid w:val="0011573F"/>
    <w:rsid w:val="001162AB"/>
    <w:rsid w:val="00116378"/>
    <w:rsid w:val="00116C28"/>
    <w:rsid w:val="001179D1"/>
    <w:rsid w:val="00117A98"/>
    <w:rsid w:val="00117E88"/>
    <w:rsid w:val="00120151"/>
    <w:rsid w:val="00120847"/>
    <w:rsid w:val="00120951"/>
    <w:rsid w:val="00120D32"/>
    <w:rsid w:val="00120F4A"/>
    <w:rsid w:val="00121A10"/>
    <w:rsid w:val="00121ACE"/>
    <w:rsid w:val="00121D3F"/>
    <w:rsid w:val="00122048"/>
    <w:rsid w:val="00122811"/>
    <w:rsid w:val="00122F94"/>
    <w:rsid w:val="001230DC"/>
    <w:rsid w:val="00123241"/>
    <w:rsid w:val="001235A0"/>
    <w:rsid w:val="00123AD1"/>
    <w:rsid w:val="00123DB4"/>
    <w:rsid w:val="00123FEA"/>
    <w:rsid w:val="00124404"/>
    <w:rsid w:val="00124A40"/>
    <w:rsid w:val="00124EF1"/>
    <w:rsid w:val="001251F7"/>
    <w:rsid w:val="00125219"/>
    <w:rsid w:val="00125386"/>
    <w:rsid w:val="00125791"/>
    <w:rsid w:val="00125B35"/>
    <w:rsid w:val="00125E11"/>
    <w:rsid w:val="00125E6D"/>
    <w:rsid w:val="00125E7C"/>
    <w:rsid w:val="00125FDD"/>
    <w:rsid w:val="00126277"/>
    <w:rsid w:val="00126441"/>
    <w:rsid w:val="0012667B"/>
    <w:rsid w:val="00127046"/>
    <w:rsid w:val="00127469"/>
    <w:rsid w:val="00127487"/>
    <w:rsid w:val="00127DB9"/>
    <w:rsid w:val="00127EBD"/>
    <w:rsid w:val="00130289"/>
    <w:rsid w:val="0013032C"/>
    <w:rsid w:val="00130577"/>
    <w:rsid w:val="001308D7"/>
    <w:rsid w:val="00130BCF"/>
    <w:rsid w:val="001318C6"/>
    <w:rsid w:val="00131F0E"/>
    <w:rsid w:val="00132140"/>
    <w:rsid w:val="00132307"/>
    <w:rsid w:val="001325D0"/>
    <w:rsid w:val="001327BA"/>
    <w:rsid w:val="001332FE"/>
    <w:rsid w:val="0013366A"/>
    <w:rsid w:val="00133A08"/>
    <w:rsid w:val="00133C73"/>
    <w:rsid w:val="00133E83"/>
    <w:rsid w:val="00134480"/>
    <w:rsid w:val="00134757"/>
    <w:rsid w:val="00134966"/>
    <w:rsid w:val="00134BAC"/>
    <w:rsid w:val="001354C4"/>
    <w:rsid w:val="0013592A"/>
    <w:rsid w:val="00135C70"/>
    <w:rsid w:val="00135C87"/>
    <w:rsid w:val="00135FB8"/>
    <w:rsid w:val="001369A5"/>
    <w:rsid w:val="00136B1E"/>
    <w:rsid w:val="001372AF"/>
    <w:rsid w:val="0013740D"/>
    <w:rsid w:val="001375D7"/>
    <w:rsid w:val="0013798A"/>
    <w:rsid w:val="00137ADF"/>
    <w:rsid w:val="001403AB"/>
    <w:rsid w:val="001403D7"/>
    <w:rsid w:val="001408AB"/>
    <w:rsid w:val="00140F8A"/>
    <w:rsid w:val="001412E8"/>
    <w:rsid w:val="00141486"/>
    <w:rsid w:val="00141532"/>
    <w:rsid w:val="00141533"/>
    <w:rsid w:val="00141773"/>
    <w:rsid w:val="001417C9"/>
    <w:rsid w:val="00141808"/>
    <w:rsid w:val="00141C46"/>
    <w:rsid w:val="00141D1C"/>
    <w:rsid w:val="00141D8B"/>
    <w:rsid w:val="00142229"/>
    <w:rsid w:val="0014225E"/>
    <w:rsid w:val="00142D3E"/>
    <w:rsid w:val="0014300D"/>
    <w:rsid w:val="00143897"/>
    <w:rsid w:val="00143A4E"/>
    <w:rsid w:val="00143E8F"/>
    <w:rsid w:val="00144652"/>
    <w:rsid w:val="001446A6"/>
    <w:rsid w:val="001451A6"/>
    <w:rsid w:val="0014590B"/>
    <w:rsid w:val="0014595A"/>
    <w:rsid w:val="001459B7"/>
    <w:rsid w:val="00145A13"/>
    <w:rsid w:val="00145B96"/>
    <w:rsid w:val="00146333"/>
    <w:rsid w:val="0014670A"/>
    <w:rsid w:val="001469CD"/>
    <w:rsid w:val="00146BF4"/>
    <w:rsid w:val="00146C55"/>
    <w:rsid w:val="00146CD9"/>
    <w:rsid w:val="001475E4"/>
    <w:rsid w:val="0014785B"/>
    <w:rsid w:val="00147A72"/>
    <w:rsid w:val="00147EAD"/>
    <w:rsid w:val="00150262"/>
    <w:rsid w:val="00150376"/>
    <w:rsid w:val="001505B6"/>
    <w:rsid w:val="00150627"/>
    <w:rsid w:val="00150E58"/>
    <w:rsid w:val="00150E8B"/>
    <w:rsid w:val="0015115F"/>
    <w:rsid w:val="00151324"/>
    <w:rsid w:val="001514AD"/>
    <w:rsid w:val="00151913"/>
    <w:rsid w:val="00151EC6"/>
    <w:rsid w:val="00152528"/>
    <w:rsid w:val="00152AC8"/>
    <w:rsid w:val="0015380C"/>
    <w:rsid w:val="001539F3"/>
    <w:rsid w:val="00153AA1"/>
    <w:rsid w:val="00153D27"/>
    <w:rsid w:val="001541AE"/>
    <w:rsid w:val="00154317"/>
    <w:rsid w:val="001543BE"/>
    <w:rsid w:val="00154543"/>
    <w:rsid w:val="00154662"/>
    <w:rsid w:val="001546A7"/>
    <w:rsid w:val="00154FBC"/>
    <w:rsid w:val="001552A4"/>
    <w:rsid w:val="001553A4"/>
    <w:rsid w:val="0015570D"/>
    <w:rsid w:val="0015573A"/>
    <w:rsid w:val="00155749"/>
    <w:rsid w:val="00155A40"/>
    <w:rsid w:val="00155B22"/>
    <w:rsid w:val="00155B9C"/>
    <w:rsid w:val="001565AD"/>
    <w:rsid w:val="0015660E"/>
    <w:rsid w:val="00156692"/>
    <w:rsid w:val="00156836"/>
    <w:rsid w:val="00156C7D"/>
    <w:rsid w:val="001570E0"/>
    <w:rsid w:val="001579A5"/>
    <w:rsid w:val="00160619"/>
    <w:rsid w:val="00160622"/>
    <w:rsid w:val="00160C10"/>
    <w:rsid w:val="00160D00"/>
    <w:rsid w:val="00161486"/>
    <w:rsid w:val="00161633"/>
    <w:rsid w:val="001617A8"/>
    <w:rsid w:val="00161E54"/>
    <w:rsid w:val="001621E8"/>
    <w:rsid w:val="001623B7"/>
    <w:rsid w:val="00162471"/>
    <w:rsid w:val="00162AED"/>
    <w:rsid w:val="0016329C"/>
    <w:rsid w:val="0016419D"/>
    <w:rsid w:val="001643D2"/>
    <w:rsid w:val="00164519"/>
    <w:rsid w:val="001645F9"/>
    <w:rsid w:val="00164A5C"/>
    <w:rsid w:val="00164D96"/>
    <w:rsid w:val="00164F0B"/>
    <w:rsid w:val="0016516E"/>
    <w:rsid w:val="0016581F"/>
    <w:rsid w:val="00165CF5"/>
    <w:rsid w:val="001663C3"/>
    <w:rsid w:val="001663DC"/>
    <w:rsid w:val="001665FF"/>
    <w:rsid w:val="00166B0B"/>
    <w:rsid w:val="00166CF1"/>
    <w:rsid w:val="00167134"/>
    <w:rsid w:val="00167222"/>
    <w:rsid w:val="001672B9"/>
    <w:rsid w:val="00167434"/>
    <w:rsid w:val="001677CC"/>
    <w:rsid w:val="001678A1"/>
    <w:rsid w:val="00167D38"/>
    <w:rsid w:val="00167F0C"/>
    <w:rsid w:val="00167FEC"/>
    <w:rsid w:val="00170316"/>
    <w:rsid w:val="001704E9"/>
    <w:rsid w:val="00170534"/>
    <w:rsid w:val="00170889"/>
    <w:rsid w:val="00171194"/>
    <w:rsid w:val="00171444"/>
    <w:rsid w:val="00171837"/>
    <w:rsid w:val="0017206B"/>
    <w:rsid w:val="00172771"/>
    <w:rsid w:val="001728E3"/>
    <w:rsid w:val="0017293A"/>
    <w:rsid w:val="001729CD"/>
    <w:rsid w:val="00172BB3"/>
    <w:rsid w:val="0017361C"/>
    <w:rsid w:val="0017395E"/>
    <w:rsid w:val="00173C93"/>
    <w:rsid w:val="00173CC7"/>
    <w:rsid w:val="00173D4D"/>
    <w:rsid w:val="00174569"/>
    <w:rsid w:val="00174745"/>
    <w:rsid w:val="001747CA"/>
    <w:rsid w:val="00174A91"/>
    <w:rsid w:val="00174D0B"/>
    <w:rsid w:val="0017513F"/>
    <w:rsid w:val="00175353"/>
    <w:rsid w:val="001756F1"/>
    <w:rsid w:val="001759E5"/>
    <w:rsid w:val="00175F03"/>
    <w:rsid w:val="0017608A"/>
    <w:rsid w:val="001766D5"/>
    <w:rsid w:val="00176ACC"/>
    <w:rsid w:val="00177187"/>
    <w:rsid w:val="001773B3"/>
    <w:rsid w:val="001776B0"/>
    <w:rsid w:val="00177B46"/>
    <w:rsid w:val="00180121"/>
    <w:rsid w:val="00180279"/>
    <w:rsid w:val="0018028D"/>
    <w:rsid w:val="00180524"/>
    <w:rsid w:val="001807BA"/>
    <w:rsid w:val="0018081D"/>
    <w:rsid w:val="001810AC"/>
    <w:rsid w:val="001810D4"/>
    <w:rsid w:val="001814BA"/>
    <w:rsid w:val="001814DF"/>
    <w:rsid w:val="0018161C"/>
    <w:rsid w:val="00181A58"/>
    <w:rsid w:val="00181C13"/>
    <w:rsid w:val="00181C7A"/>
    <w:rsid w:val="00181E8B"/>
    <w:rsid w:val="001826B8"/>
    <w:rsid w:val="0018285B"/>
    <w:rsid w:val="00182FD2"/>
    <w:rsid w:val="00183072"/>
    <w:rsid w:val="00183206"/>
    <w:rsid w:val="00183223"/>
    <w:rsid w:val="001833E0"/>
    <w:rsid w:val="00183488"/>
    <w:rsid w:val="00183687"/>
    <w:rsid w:val="00183771"/>
    <w:rsid w:val="00183DC7"/>
    <w:rsid w:val="0018415E"/>
    <w:rsid w:val="00184B5C"/>
    <w:rsid w:val="00184D73"/>
    <w:rsid w:val="0018512D"/>
    <w:rsid w:val="0018569C"/>
    <w:rsid w:val="00185891"/>
    <w:rsid w:val="001858B5"/>
    <w:rsid w:val="00185C5A"/>
    <w:rsid w:val="00185DCF"/>
    <w:rsid w:val="00186050"/>
    <w:rsid w:val="001866A6"/>
    <w:rsid w:val="0018685F"/>
    <w:rsid w:val="00186C58"/>
    <w:rsid w:val="00186CBB"/>
    <w:rsid w:val="00186CDE"/>
    <w:rsid w:val="00186D62"/>
    <w:rsid w:val="00186E99"/>
    <w:rsid w:val="00186F2E"/>
    <w:rsid w:val="001874E7"/>
    <w:rsid w:val="00187506"/>
    <w:rsid w:val="001875B7"/>
    <w:rsid w:val="00187F17"/>
    <w:rsid w:val="001904AB"/>
    <w:rsid w:val="00190737"/>
    <w:rsid w:val="00190B0F"/>
    <w:rsid w:val="00190EB5"/>
    <w:rsid w:val="00191098"/>
    <w:rsid w:val="001913BB"/>
    <w:rsid w:val="00191AAB"/>
    <w:rsid w:val="00191E85"/>
    <w:rsid w:val="00191ED5"/>
    <w:rsid w:val="00192B13"/>
    <w:rsid w:val="00192EB7"/>
    <w:rsid w:val="001930F7"/>
    <w:rsid w:val="00193107"/>
    <w:rsid w:val="00193544"/>
    <w:rsid w:val="00193556"/>
    <w:rsid w:val="001937DA"/>
    <w:rsid w:val="0019385A"/>
    <w:rsid w:val="00193BA8"/>
    <w:rsid w:val="00193D03"/>
    <w:rsid w:val="00193D4B"/>
    <w:rsid w:val="00194221"/>
    <w:rsid w:val="00194603"/>
    <w:rsid w:val="001948A1"/>
    <w:rsid w:val="00194D7F"/>
    <w:rsid w:val="00195517"/>
    <w:rsid w:val="00195524"/>
    <w:rsid w:val="0019583E"/>
    <w:rsid w:val="00195883"/>
    <w:rsid w:val="001960FC"/>
    <w:rsid w:val="0019628A"/>
    <w:rsid w:val="00196743"/>
    <w:rsid w:val="00197240"/>
    <w:rsid w:val="001972E8"/>
    <w:rsid w:val="00197607"/>
    <w:rsid w:val="0019767F"/>
    <w:rsid w:val="00197863"/>
    <w:rsid w:val="001979C6"/>
    <w:rsid w:val="00197A57"/>
    <w:rsid w:val="00197D41"/>
    <w:rsid w:val="00197D6A"/>
    <w:rsid w:val="00197E1B"/>
    <w:rsid w:val="00197E5E"/>
    <w:rsid w:val="00197F1E"/>
    <w:rsid w:val="001A0002"/>
    <w:rsid w:val="001A008E"/>
    <w:rsid w:val="001A00BB"/>
    <w:rsid w:val="001A01D0"/>
    <w:rsid w:val="001A01D3"/>
    <w:rsid w:val="001A02F4"/>
    <w:rsid w:val="001A0775"/>
    <w:rsid w:val="001A0804"/>
    <w:rsid w:val="001A0FA5"/>
    <w:rsid w:val="001A1077"/>
    <w:rsid w:val="001A12D9"/>
    <w:rsid w:val="001A17D7"/>
    <w:rsid w:val="001A1A27"/>
    <w:rsid w:val="001A1DF2"/>
    <w:rsid w:val="001A2012"/>
    <w:rsid w:val="001A25DB"/>
    <w:rsid w:val="001A26A7"/>
    <w:rsid w:val="001A3165"/>
    <w:rsid w:val="001A3370"/>
    <w:rsid w:val="001A3D58"/>
    <w:rsid w:val="001A3D92"/>
    <w:rsid w:val="001A3EA4"/>
    <w:rsid w:val="001A3FBD"/>
    <w:rsid w:val="001A427F"/>
    <w:rsid w:val="001A44EA"/>
    <w:rsid w:val="001A4C45"/>
    <w:rsid w:val="001A51AE"/>
    <w:rsid w:val="001A591A"/>
    <w:rsid w:val="001A5DD4"/>
    <w:rsid w:val="001A61DF"/>
    <w:rsid w:val="001A6647"/>
    <w:rsid w:val="001A6ACD"/>
    <w:rsid w:val="001A6C5C"/>
    <w:rsid w:val="001A6D73"/>
    <w:rsid w:val="001A764A"/>
    <w:rsid w:val="001A771E"/>
    <w:rsid w:val="001A7730"/>
    <w:rsid w:val="001A7B74"/>
    <w:rsid w:val="001A7EC2"/>
    <w:rsid w:val="001B084E"/>
    <w:rsid w:val="001B1334"/>
    <w:rsid w:val="001B168A"/>
    <w:rsid w:val="001B1C66"/>
    <w:rsid w:val="001B207A"/>
    <w:rsid w:val="001B22B1"/>
    <w:rsid w:val="001B26E6"/>
    <w:rsid w:val="001B2A2A"/>
    <w:rsid w:val="001B2C86"/>
    <w:rsid w:val="001B2DCD"/>
    <w:rsid w:val="001B3334"/>
    <w:rsid w:val="001B46B1"/>
    <w:rsid w:val="001B49F1"/>
    <w:rsid w:val="001B4D7F"/>
    <w:rsid w:val="001B4F4E"/>
    <w:rsid w:val="001B53AF"/>
    <w:rsid w:val="001B55FC"/>
    <w:rsid w:val="001B58FD"/>
    <w:rsid w:val="001B6071"/>
    <w:rsid w:val="001B6C98"/>
    <w:rsid w:val="001B6D59"/>
    <w:rsid w:val="001B6E8F"/>
    <w:rsid w:val="001B73FE"/>
    <w:rsid w:val="001B78B5"/>
    <w:rsid w:val="001B7AFA"/>
    <w:rsid w:val="001B7CFD"/>
    <w:rsid w:val="001B7DAC"/>
    <w:rsid w:val="001B7E1E"/>
    <w:rsid w:val="001C023B"/>
    <w:rsid w:val="001C029E"/>
    <w:rsid w:val="001C05D9"/>
    <w:rsid w:val="001C0E30"/>
    <w:rsid w:val="001C100A"/>
    <w:rsid w:val="001C107E"/>
    <w:rsid w:val="001C1128"/>
    <w:rsid w:val="001C1382"/>
    <w:rsid w:val="001C183A"/>
    <w:rsid w:val="001C1B85"/>
    <w:rsid w:val="001C1C2D"/>
    <w:rsid w:val="001C1C74"/>
    <w:rsid w:val="001C1CF6"/>
    <w:rsid w:val="001C1D64"/>
    <w:rsid w:val="001C1F24"/>
    <w:rsid w:val="001C2440"/>
    <w:rsid w:val="001C24CF"/>
    <w:rsid w:val="001C2FB7"/>
    <w:rsid w:val="001C307D"/>
    <w:rsid w:val="001C320F"/>
    <w:rsid w:val="001C3236"/>
    <w:rsid w:val="001C330A"/>
    <w:rsid w:val="001C39AB"/>
    <w:rsid w:val="001C3C56"/>
    <w:rsid w:val="001C3CF9"/>
    <w:rsid w:val="001C3D9A"/>
    <w:rsid w:val="001C4185"/>
    <w:rsid w:val="001C424F"/>
    <w:rsid w:val="001C452A"/>
    <w:rsid w:val="001C48A4"/>
    <w:rsid w:val="001C4B3B"/>
    <w:rsid w:val="001C4C5E"/>
    <w:rsid w:val="001C52FD"/>
    <w:rsid w:val="001C5388"/>
    <w:rsid w:val="001C5B5B"/>
    <w:rsid w:val="001C633D"/>
    <w:rsid w:val="001C63D2"/>
    <w:rsid w:val="001C672C"/>
    <w:rsid w:val="001C6870"/>
    <w:rsid w:val="001C6BF4"/>
    <w:rsid w:val="001C6CE3"/>
    <w:rsid w:val="001C70A9"/>
    <w:rsid w:val="001C7532"/>
    <w:rsid w:val="001C79C4"/>
    <w:rsid w:val="001C7DAA"/>
    <w:rsid w:val="001D01CB"/>
    <w:rsid w:val="001D01E3"/>
    <w:rsid w:val="001D0573"/>
    <w:rsid w:val="001D0749"/>
    <w:rsid w:val="001D07A9"/>
    <w:rsid w:val="001D0829"/>
    <w:rsid w:val="001D08D5"/>
    <w:rsid w:val="001D0D4F"/>
    <w:rsid w:val="001D1208"/>
    <w:rsid w:val="001D121F"/>
    <w:rsid w:val="001D14B2"/>
    <w:rsid w:val="001D1591"/>
    <w:rsid w:val="001D162D"/>
    <w:rsid w:val="001D170F"/>
    <w:rsid w:val="001D1BAD"/>
    <w:rsid w:val="001D1C3A"/>
    <w:rsid w:val="001D1C47"/>
    <w:rsid w:val="001D21F7"/>
    <w:rsid w:val="001D228F"/>
    <w:rsid w:val="001D22D8"/>
    <w:rsid w:val="001D2504"/>
    <w:rsid w:val="001D2714"/>
    <w:rsid w:val="001D2E26"/>
    <w:rsid w:val="001D3471"/>
    <w:rsid w:val="001D3573"/>
    <w:rsid w:val="001D39EB"/>
    <w:rsid w:val="001D3C86"/>
    <w:rsid w:val="001D3CF0"/>
    <w:rsid w:val="001D3D6B"/>
    <w:rsid w:val="001D4039"/>
    <w:rsid w:val="001D40B9"/>
    <w:rsid w:val="001D464F"/>
    <w:rsid w:val="001D47A6"/>
    <w:rsid w:val="001D496B"/>
    <w:rsid w:val="001D4BE7"/>
    <w:rsid w:val="001D5223"/>
    <w:rsid w:val="001D535B"/>
    <w:rsid w:val="001D5B4B"/>
    <w:rsid w:val="001D60B0"/>
    <w:rsid w:val="001D6158"/>
    <w:rsid w:val="001D62BE"/>
    <w:rsid w:val="001D632E"/>
    <w:rsid w:val="001D6454"/>
    <w:rsid w:val="001D64AC"/>
    <w:rsid w:val="001D65F4"/>
    <w:rsid w:val="001D6898"/>
    <w:rsid w:val="001D6D75"/>
    <w:rsid w:val="001D7B3F"/>
    <w:rsid w:val="001D7BA6"/>
    <w:rsid w:val="001D7F51"/>
    <w:rsid w:val="001E018F"/>
    <w:rsid w:val="001E051D"/>
    <w:rsid w:val="001E0531"/>
    <w:rsid w:val="001E06AD"/>
    <w:rsid w:val="001E07ED"/>
    <w:rsid w:val="001E0BE8"/>
    <w:rsid w:val="001E11B3"/>
    <w:rsid w:val="001E124E"/>
    <w:rsid w:val="001E1283"/>
    <w:rsid w:val="001E2059"/>
    <w:rsid w:val="001E20A8"/>
    <w:rsid w:val="001E21B6"/>
    <w:rsid w:val="001E2338"/>
    <w:rsid w:val="001E2D6F"/>
    <w:rsid w:val="001E2E01"/>
    <w:rsid w:val="001E2E83"/>
    <w:rsid w:val="001E2F0E"/>
    <w:rsid w:val="001E2F1C"/>
    <w:rsid w:val="001E3EDD"/>
    <w:rsid w:val="001E3FAF"/>
    <w:rsid w:val="001E4095"/>
    <w:rsid w:val="001E475D"/>
    <w:rsid w:val="001E4B2C"/>
    <w:rsid w:val="001E4B6C"/>
    <w:rsid w:val="001E5408"/>
    <w:rsid w:val="001E553A"/>
    <w:rsid w:val="001E568A"/>
    <w:rsid w:val="001E5AC5"/>
    <w:rsid w:val="001E5B1A"/>
    <w:rsid w:val="001E5DDD"/>
    <w:rsid w:val="001E5FB0"/>
    <w:rsid w:val="001E60C8"/>
    <w:rsid w:val="001E60D6"/>
    <w:rsid w:val="001E618F"/>
    <w:rsid w:val="001E67CF"/>
    <w:rsid w:val="001E6DF0"/>
    <w:rsid w:val="001E701E"/>
    <w:rsid w:val="001E7259"/>
    <w:rsid w:val="001E7689"/>
    <w:rsid w:val="001E7E68"/>
    <w:rsid w:val="001E7FDB"/>
    <w:rsid w:val="001F002A"/>
    <w:rsid w:val="001F0202"/>
    <w:rsid w:val="001F05C2"/>
    <w:rsid w:val="001F0989"/>
    <w:rsid w:val="001F0E7B"/>
    <w:rsid w:val="001F10C1"/>
    <w:rsid w:val="001F10F0"/>
    <w:rsid w:val="001F1A90"/>
    <w:rsid w:val="001F1C2A"/>
    <w:rsid w:val="001F23B5"/>
    <w:rsid w:val="001F2444"/>
    <w:rsid w:val="001F25D5"/>
    <w:rsid w:val="001F2688"/>
    <w:rsid w:val="001F26A2"/>
    <w:rsid w:val="001F26AB"/>
    <w:rsid w:val="001F2843"/>
    <w:rsid w:val="001F31FD"/>
    <w:rsid w:val="001F3424"/>
    <w:rsid w:val="001F360D"/>
    <w:rsid w:val="001F3A55"/>
    <w:rsid w:val="001F3CC9"/>
    <w:rsid w:val="001F3D0A"/>
    <w:rsid w:val="001F409C"/>
    <w:rsid w:val="001F4159"/>
    <w:rsid w:val="001F464A"/>
    <w:rsid w:val="001F4AA9"/>
    <w:rsid w:val="001F4BD2"/>
    <w:rsid w:val="001F4C26"/>
    <w:rsid w:val="001F4D6B"/>
    <w:rsid w:val="001F4F58"/>
    <w:rsid w:val="001F4F7F"/>
    <w:rsid w:val="001F4F99"/>
    <w:rsid w:val="001F5130"/>
    <w:rsid w:val="001F579F"/>
    <w:rsid w:val="001F5B9F"/>
    <w:rsid w:val="001F5CEE"/>
    <w:rsid w:val="001F5ECF"/>
    <w:rsid w:val="001F6028"/>
    <w:rsid w:val="001F66CC"/>
    <w:rsid w:val="001F69E8"/>
    <w:rsid w:val="001F6AFF"/>
    <w:rsid w:val="001F6D18"/>
    <w:rsid w:val="001F6E8F"/>
    <w:rsid w:val="001F7080"/>
    <w:rsid w:val="001F722D"/>
    <w:rsid w:val="001F72D9"/>
    <w:rsid w:val="001F7924"/>
    <w:rsid w:val="001F793D"/>
    <w:rsid w:val="001F798C"/>
    <w:rsid w:val="001F7D26"/>
    <w:rsid w:val="001F7D8E"/>
    <w:rsid w:val="002000B7"/>
    <w:rsid w:val="00200441"/>
    <w:rsid w:val="00200575"/>
    <w:rsid w:val="00200AE8"/>
    <w:rsid w:val="00200B58"/>
    <w:rsid w:val="00200DE9"/>
    <w:rsid w:val="00201433"/>
    <w:rsid w:val="0020144B"/>
    <w:rsid w:val="002014B6"/>
    <w:rsid w:val="0020160E"/>
    <w:rsid w:val="002017A3"/>
    <w:rsid w:val="00201A7A"/>
    <w:rsid w:val="00201B10"/>
    <w:rsid w:val="00201C3D"/>
    <w:rsid w:val="0020211F"/>
    <w:rsid w:val="00202729"/>
    <w:rsid w:val="002029C5"/>
    <w:rsid w:val="00202B54"/>
    <w:rsid w:val="00202B84"/>
    <w:rsid w:val="00202E62"/>
    <w:rsid w:val="0020329E"/>
    <w:rsid w:val="002034CE"/>
    <w:rsid w:val="0020358C"/>
    <w:rsid w:val="002036E0"/>
    <w:rsid w:val="0020378A"/>
    <w:rsid w:val="00203E03"/>
    <w:rsid w:val="00204145"/>
    <w:rsid w:val="00204986"/>
    <w:rsid w:val="00204A15"/>
    <w:rsid w:val="00204AEB"/>
    <w:rsid w:val="00204BED"/>
    <w:rsid w:val="00204C4A"/>
    <w:rsid w:val="00204E65"/>
    <w:rsid w:val="00205044"/>
    <w:rsid w:val="002050FE"/>
    <w:rsid w:val="00205531"/>
    <w:rsid w:val="00205546"/>
    <w:rsid w:val="00205668"/>
    <w:rsid w:val="00205820"/>
    <w:rsid w:val="002058D9"/>
    <w:rsid w:val="00205AAE"/>
    <w:rsid w:val="00205C14"/>
    <w:rsid w:val="002061E3"/>
    <w:rsid w:val="00206477"/>
    <w:rsid w:val="002064C2"/>
    <w:rsid w:val="002065EA"/>
    <w:rsid w:val="002067A4"/>
    <w:rsid w:val="00206A78"/>
    <w:rsid w:val="00206A7A"/>
    <w:rsid w:val="00206CCC"/>
    <w:rsid w:val="00207300"/>
    <w:rsid w:val="002076CE"/>
    <w:rsid w:val="002076FF"/>
    <w:rsid w:val="00207891"/>
    <w:rsid w:val="00207B33"/>
    <w:rsid w:val="00207C81"/>
    <w:rsid w:val="00207E50"/>
    <w:rsid w:val="00207F67"/>
    <w:rsid w:val="00207FCA"/>
    <w:rsid w:val="002101DE"/>
    <w:rsid w:val="00210433"/>
    <w:rsid w:val="0021049A"/>
    <w:rsid w:val="00210510"/>
    <w:rsid w:val="00210CB4"/>
    <w:rsid w:val="00210DB5"/>
    <w:rsid w:val="00210E75"/>
    <w:rsid w:val="00211188"/>
    <w:rsid w:val="002118DA"/>
    <w:rsid w:val="00211A0A"/>
    <w:rsid w:val="00211A6F"/>
    <w:rsid w:val="00211BAA"/>
    <w:rsid w:val="00211E24"/>
    <w:rsid w:val="00211E87"/>
    <w:rsid w:val="002120D9"/>
    <w:rsid w:val="002121D3"/>
    <w:rsid w:val="00212336"/>
    <w:rsid w:val="00212956"/>
    <w:rsid w:val="002129A6"/>
    <w:rsid w:val="00212A4A"/>
    <w:rsid w:val="00212BA4"/>
    <w:rsid w:val="00212BC4"/>
    <w:rsid w:val="00212C3E"/>
    <w:rsid w:val="00212CD1"/>
    <w:rsid w:val="00213387"/>
    <w:rsid w:val="00213498"/>
    <w:rsid w:val="002134D6"/>
    <w:rsid w:val="00213612"/>
    <w:rsid w:val="002136C7"/>
    <w:rsid w:val="00213869"/>
    <w:rsid w:val="00213C03"/>
    <w:rsid w:val="00213C9C"/>
    <w:rsid w:val="00213E0C"/>
    <w:rsid w:val="00214178"/>
    <w:rsid w:val="0021435C"/>
    <w:rsid w:val="00214366"/>
    <w:rsid w:val="00214815"/>
    <w:rsid w:val="00214C15"/>
    <w:rsid w:val="00214F75"/>
    <w:rsid w:val="0021501A"/>
    <w:rsid w:val="0021552E"/>
    <w:rsid w:val="0021575D"/>
    <w:rsid w:val="002157AD"/>
    <w:rsid w:val="00215A33"/>
    <w:rsid w:val="00215E71"/>
    <w:rsid w:val="00216490"/>
    <w:rsid w:val="002166D4"/>
    <w:rsid w:val="002169A2"/>
    <w:rsid w:val="00216B48"/>
    <w:rsid w:val="00216FF5"/>
    <w:rsid w:val="002170A6"/>
    <w:rsid w:val="0021754D"/>
    <w:rsid w:val="002175F0"/>
    <w:rsid w:val="0021761E"/>
    <w:rsid w:val="00217B06"/>
    <w:rsid w:val="00217B50"/>
    <w:rsid w:val="00217BF6"/>
    <w:rsid w:val="00217FD6"/>
    <w:rsid w:val="00217FE9"/>
    <w:rsid w:val="0022035B"/>
    <w:rsid w:val="00220552"/>
    <w:rsid w:val="00220D06"/>
    <w:rsid w:val="00221062"/>
    <w:rsid w:val="00221339"/>
    <w:rsid w:val="002214A9"/>
    <w:rsid w:val="002217FA"/>
    <w:rsid w:val="00221DA0"/>
    <w:rsid w:val="00221DEA"/>
    <w:rsid w:val="002220A4"/>
    <w:rsid w:val="002221BB"/>
    <w:rsid w:val="00222389"/>
    <w:rsid w:val="00222652"/>
    <w:rsid w:val="002226C3"/>
    <w:rsid w:val="002226D8"/>
    <w:rsid w:val="00222D8A"/>
    <w:rsid w:val="002230FF"/>
    <w:rsid w:val="00223496"/>
    <w:rsid w:val="00223498"/>
    <w:rsid w:val="00223727"/>
    <w:rsid w:val="00223C25"/>
    <w:rsid w:val="00223F3A"/>
    <w:rsid w:val="00224060"/>
    <w:rsid w:val="00224161"/>
    <w:rsid w:val="00224318"/>
    <w:rsid w:val="002244CD"/>
    <w:rsid w:val="00224926"/>
    <w:rsid w:val="00224A2E"/>
    <w:rsid w:val="00224D2C"/>
    <w:rsid w:val="0022508C"/>
    <w:rsid w:val="00225162"/>
    <w:rsid w:val="0022558A"/>
    <w:rsid w:val="002255C3"/>
    <w:rsid w:val="00225A82"/>
    <w:rsid w:val="00225CC1"/>
    <w:rsid w:val="00225F13"/>
    <w:rsid w:val="002261B1"/>
    <w:rsid w:val="0022644D"/>
    <w:rsid w:val="0022671E"/>
    <w:rsid w:val="00226779"/>
    <w:rsid w:val="002267BC"/>
    <w:rsid w:val="0022682C"/>
    <w:rsid w:val="00226B24"/>
    <w:rsid w:val="00226BF3"/>
    <w:rsid w:val="00226C1B"/>
    <w:rsid w:val="0022753C"/>
    <w:rsid w:val="0022758B"/>
    <w:rsid w:val="00227958"/>
    <w:rsid w:val="00227C8B"/>
    <w:rsid w:val="00227D15"/>
    <w:rsid w:val="00227EC4"/>
    <w:rsid w:val="00227FCC"/>
    <w:rsid w:val="00230642"/>
    <w:rsid w:val="002306E0"/>
    <w:rsid w:val="002306E4"/>
    <w:rsid w:val="00230861"/>
    <w:rsid w:val="00230DC0"/>
    <w:rsid w:val="00231133"/>
    <w:rsid w:val="00231775"/>
    <w:rsid w:val="0023199E"/>
    <w:rsid w:val="002321EB"/>
    <w:rsid w:val="00232535"/>
    <w:rsid w:val="002325F9"/>
    <w:rsid w:val="00232872"/>
    <w:rsid w:val="002329C7"/>
    <w:rsid w:val="00232D1E"/>
    <w:rsid w:val="00232D9E"/>
    <w:rsid w:val="00233042"/>
    <w:rsid w:val="00233140"/>
    <w:rsid w:val="002334A4"/>
    <w:rsid w:val="0023376E"/>
    <w:rsid w:val="002338F7"/>
    <w:rsid w:val="00233941"/>
    <w:rsid w:val="00233A5E"/>
    <w:rsid w:val="00233FA8"/>
    <w:rsid w:val="00234485"/>
    <w:rsid w:val="002346AB"/>
    <w:rsid w:val="00234A8F"/>
    <w:rsid w:val="00234AA9"/>
    <w:rsid w:val="00234BE7"/>
    <w:rsid w:val="00234CAF"/>
    <w:rsid w:val="00234D11"/>
    <w:rsid w:val="00234FB2"/>
    <w:rsid w:val="0023515C"/>
    <w:rsid w:val="00235165"/>
    <w:rsid w:val="0023518C"/>
    <w:rsid w:val="0023556F"/>
    <w:rsid w:val="00235701"/>
    <w:rsid w:val="00235780"/>
    <w:rsid w:val="0023584F"/>
    <w:rsid w:val="00235995"/>
    <w:rsid w:val="00235D4A"/>
    <w:rsid w:val="00235E99"/>
    <w:rsid w:val="00236263"/>
    <w:rsid w:val="00236429"/>
    <w:rsid w:val="00236498"/>
    <w:rsid w:val="00236724"/>
    <w:rsid w:val="00236988"/>
    <w:rsid w:val="00236AF9"/>
    <w:rsid w:val="00236D0B"/>
    <w:rsid w:val="00236E90"/>
    <w:rsid w:val="00237285"/>
    <w:rsid w:val="0023750A"/>
    <w:rsid w:val="002375C1"/>
    <w:rsid w:val="002376F4"/>
    <w:rsid w:val="00237939"/>
    <w:rsid w:val="00237D99"/>
    <w:rsid w:val="00240306"/>
    <w:rsid w:val="002408D5"/>
    <w:rsid w:val="00240A20"/>
    <w:rsid w:val="00240CCF"/>
    <w:rsid w:val="00240D7A"/>
    <w:rsid w:val="00240F7C"/>
    <w:rsid w:val="002412AF"/>
    <w:rsid w:val="00241763"/>
    <w:rsid w:val="00241A5F"/>
    <w:rsid w:val="00241EB7"/>
    <w:rsid w:val="002420B5"/>
    <w:rsid w:val="00242445"/>
    <w:rsid w:val="0024293E"/>
    <w:rsid w:val="00242BAD"/>
    <w:rsid w:val="00242E14"/>
    <w:rsid w:val="00242FB9"/>
    <w:rsid w:val="00243366"/>
    <w:rsid w:val="00243493"/>
    <w:rsid w:val="00243667"/>
    <w:rsid w:val="00243F48"/>
    <w:rsid w:val="00244033"/>
    <w:rsid w:val="00244473"/>
    <w:rsid w:val="0024481D"/>
    <w:rsid w:val="0024483A"/>
    <w:rsid w:val="0024490E"/>
    <w:rsid w:val="00244AE7"/>
    <w:rsid w:val="00244DA5"/>
    <w:rsid w:val="00245080"/>
    <w:rsid w:val="002451B0"/>
    <w:rsid w:val="0024558D"/>
    <w:rsid w:val="002458A8"/>
    <w:rsid w:val="00245D6D"/>
    <w:rsid w:val="00245F8D"/>
    <w:rsid w:val="002464CE"/>
    <w:rsid w:val="00246563"/>
    <w:rsid w:val="00246AE9"/>
    <w:rsid w:val="00246B86"/>
    <w:rsid w:val="00246CF9"/>
    <w:rsid w:val="00247066"/>
    <w:rsid w:val="002471DE"/>
    <w:rsid w:val="00250279"/>
    <w:rsid w:val="00250CA6"/>
    <w:rsid w:val="002510AA"/>
    <w:rsid w:val="002512F1"/>
    <w:rsid w:val="00251B15"/>
    <w:rsid w:val="00251EDD"/>
    <w:rsid w:val="002526CE"/>
    <w:rsid w:val="002527AE"/>
    <w:rsid w:val="002528CE"/>
    <w:rsid w:val="00252D79"/>
    <w:rsid w:val="00252E12"/>
    <w:rsid w:val="00252FFF"/>
    <w:rsid w:val="002530E9"/>
    <w:rsid w:val="0025333D"/>
    <w:rsid w:val="002537E8"/>
    <w:rsid w:val="00253E9C"/>
    <w:rsid w:val="002543D3"/>
    <w:rsid w:val="00254453"/>
    <w:rsid w:val="002547FE"/>
    <w:rsid w:val="00254984"/>
    <w:rsid w:val="00254BA1"/>
    <w:rsid w:val="00255CB1"/>
    <w:rsid w:val="00255F54"/>
    <w:rsid w:val="00256021"/>
    <w:rsid w:val="002560EE"/>
    <w:rsid w:val="0025671C"/>
    <w:rsid w:val="00257752"/>
    <w:rsid w:val="002577D5"/>
    <w:rsid w:val="00257D8B"/>
    <w:rsid w:val="0026084F"/>
    <w:rsid w:val="00260BFE"/>
    <w:rsid w:val="00260E06"/>
    <w:rsid w:val="00260E90"/>
    <w:rsid w:val="00260F9E"/>
    <w:rsid w:val="002610E7"/>
    <w:rsid w:val="00261301"/>
    <w:rsid w:val="00261546"/>
    <w:rsid w:val="002618F3"/>
    <w:rsid w:val="00261E8C"/>
    <w:rsid w:val="00261EAB"/>
    <w:rsid w:val="002620ED"/>
    <w:rsid w:val="002627BD"/>
    <w:rsid w:val="00262E22"/>
    <w:rsid w:val="00263087"/>
    <w:rsid w:val="00263770"/>
    <w:rsid w:val="00263A6E"/>
    <w:rsid w:val="00263B23"/>
    <w:rsid w:val="00263DAA"/>
    <w:rsid w:val="00263F34"/>
    <w:rsid w:val="00263FE7"/>
    <w:rsid w:val="00264225"/>
    <w:rsid w:val="0026424A"/>
    <w:rsid w:val="0026454B"/>
    <w:rsid w:val="00264710"/>
    <w:rsid w:val="00264CE3"/>
    <w:rsid w:val="0026512C"/>
    <w:rsid w:val="0026548C"/>
    <w:rsid w:val="00265A85"/>
    <w:rsid w:val="00265D27"/>
    <w:rsid w:val="00265DC8"/>
    <w:rsid w:val="00265E60"/>
    <w:rsid w:val="0026613A"/>
    <w:rsid w:val="00266409"/>
    <w:rsid w:val="002669C1"/>
    <w:rsid w:val="0026729F"/>
    <w:rsid w:val="0026753A"/>
    <w:rsid w:val="002676B2"/>
    <w:rsid w:val="00267F74"/>
    <w:rsid w:val="00270137"/>
    <w:rsid w:val="00270465"/>
    <w:rsid w:val="0027053A"/>
    <w:rsid w:val="002706D5"/>
    <w:rsid w:val="0027074E"/>
    <w:rsid w:val="00270760"/>
    <w:rsid w:val="00270A7D"/>
    <w:rsid w:val="00270C33"/>
    <w:rsid w:val="00270E55"/>
    <w:rsid w:val="00270F6D"/>
    <w:rsid w:val="00271050"/>
    <w:rsid w:val="0027109C"/>
    <w:rsid w:val="00271440"/>
    <w:rsid w:val="0027182A"/>
    <w:rsid w:val="002719C8"/>
    <w:rsid w:val="00271B76"/>
    <w:rsid w:val="00271C2F"/>
    <w:rsid w:val="00271C8D"/>
    <w:rsid w:val="00271DD8"/>
    <w:rsid w:val="00271E1C"/>
    <w:rsid w:val="00271FB4"/>
    <w:rsid w:val="00271FEF"/>
    <w:rsid w:val="002721E9"/>
    <w:rsid w:val="002723D3"/>
    <w:rsid w:val="00272725"/>
    <w:rsid w:val="002728EB"/>
    <w:rsid w:val="00272BBE"/>
    <w:rsid w:val="00272EEA"/>
    <w:rsid w:val="00272F88"/>
    <w:rsid w:val="00273625"/>
    <w:rsid w:val="00273E82"/>
    <w:rsid w:val="002742EF"/>
    <w:rsid w:val="0027435F"/>
    <w:rsid w:val="0027440A"/>
    <w:rsid w:val="0027449A"/>
    <w:rsid w:val="0027452C"/>
    <w:rsid w:val="002747FB"/>
    <w:rsid w:val="002749B0"/>
    <w:rsid w:val="00274BBE"/>
    <w:rsid w:val="00274DD5"/>
    <w:rsid w:val="00274E9F"/>
    <w:rsid w:val="002753D6"/>
    <w:rsid w:val="0027588A"/>
    <w:rsid w:val="00275A98"/>
    <w:rsid w:val="00275AF9"/>
    <w:rsid w:val="00275B4A"/>
    <w:rsid w:val="00275E25"/>
    <w:rsid w:val="00276253"/>
    <w:rsid w:val="0027639B"/>
    <w:rsid w:val="00276456"/>
    <w:rsid w:val="002765E9"/>
    <w:rsid w:val="00276673"/>
    <w:rsid w:val="00276726"/>
    <w:rsid w:val="00276A00"/>
    <w:rsid w:val="00276D0B"/>
    <w:rsid w:val="00276D87"/>
    <w:rsid w:val="00277223"/>
    <w:rsid w:val="002776E6"/>
    <w:rsid w:val="00277A2E"/>
    <w:rsid w:val="00277EEB"/>
    <w:rsid w:val="0028013C"/>
    <w:rsid w:val="0028026D"/>
    <w:rsid w:val="002805F3"/>
    <w:rsid w:val="00280816"/>
    <w:rsid w:val="00280B5F"/>
    <w:rsid w:val="00280FA6"/>
    <w:rsid w:val="002810A2"/>
    <w:rsid w:val="0028127A"/>
    <w:rsid w:val="00281522"/>
    <w:rsid w:val="00281B2B"/>
    <w:rsid w:val="00281B49"/>
    <w:rsid w:val="00281D3C"/>
    <w:rsid w:val="00281D46"/>
    <w:rsid w:val="00281DDE"/>
    <w:rsid w:val="00281E2D"/>
    <w:rsid w:val="002820FD"/>
    <w:rsid w:val="00282382"/>
    <w:rsid w:val="00282539"/>
    <w:rsid w:val="002826BE"/>
    <w:rsid w:val="00282A63"/>
    <w:rsid w:val="00282AB3"/>
    <w:rsid w:val="00282B15"/>
    <w:rsid w:val="002830A1"/>
    <w:rsid w:val="00283105"/>
    <w:rsid w:val="002833E8"/>
    <w:rsid w:val="0028397F"/>
    <w:rsid w:val="002839EC"/>
    <w:rsid w:val="00283C31"/>
    <w:rsid w:val="00283D9B"/>
    <w:rsid w:val="00283F74"/>
    <w:rsid w:val="00284117"/>
    <w:rsid w:val="002841B5"/>
    <w:rsid w:val="002841C3"/>
    <w:rsid w:val="00284E67"/>
    <w:rsid w:val="00284EE8"/>
    <w:rsid w:val="00285244"/>
    <w:rsid w:val="002857EB"/>
    <w:rsid w:val="00285982"/>
    <w:rsid w:val="00286128"/>
    <w:rsid w:val="00286AF9"/>
    <w:rsid w:val="00286BCB"/>
    <w:rsid w:val="00286D42"/>
    <w:rsid w:val="00287004"/>
    <w:rsid w:val="00287354"/>
    <w:rsid w:val="002878A3"/>
    <w:rsid w:val="0028797B"/>
    <w:rsid w:val="00287E9B"/>
    <w:rsid w:val="0029001B"/>
    <w:rsid w:val="002901C3"/>
    <w:rsid w:val="002902CF"/>
    <w:rsid w:val="0029098B"/>
    <w:rsid w:val="002909AA"/>
    <w:rsid w:val="00290C52"/>
    <w:rsid w:val="00290D6A"/>
    <w:rsid w:val="00290EA3"/>
    <w:rsid w:val="00290EDF"/>
    <w:rsid w:val="00291129"/>
    <w:rsid w:val="002911DC"/>
    <w:rsid w:val="00291606"/>
    <w:rsid w:val="002917BF"/>
    <w:rsid w:val="0029188B"/>
    <w:rsid w:val="00291D20"/>
    <w:rsid w:val="00291DF4"/>
    <w:rsid w:val="00291E92"/>
    <w:rsid w:val="00291E9A"/>
    <w:rsid w:val="0029219F"/>
    <w:rsid w:val="00292486"/>
    <w:rsid w:val="00292B44"/>
    <w:rsid w:val="00293415"/>
    <w:rsid w:val="0029380D"/>
    <w:rsid w:val="002939B4"/>
    <w:rsid w:val="00293B55"/>
    <w:rsid w:val="00293CA8"/>
    <w:rsid w:val="00293E6C"/>
    <w:rsid w:val="00293F34"/>
    <w:rsid w:val="00294000"/>
    <w:rsid w:val="0029416D"/>
    <w:rsid w:val="00294275"/>
    <w:rsid w:val="00294464"/>
    <w:rsid w:val="00294A90"/>
    <w:rsid w:val="00294D01"/>
    <w:rsid w:val="00294F1A"/>
    <w:rsid w:val="00295172"/>
    <w:rsid w:val="002954CF"/>
    <w:rsid w:val="002954E7"/>
    <w:rsid w:val="0029551D"/>
    <w:rsid w:val="00295530"/>
    <w:rsid w:val="00295546"/>
    <w:rsid w:val="002956CD"/>
    <w:rsid w:val="00295868"/>
    <w:rsid w:val="0029590B"/>
    <w:rsid w:val="0029595B"/>
    <w:rsid w:val="00295A04"/>
    <w:rsid w:val="00295BEA"/>
    <w:rsid w:val="00295C38"/>
    <w:rsid w:val="00295C78"/>
    <w:rsid w:val="00295E2F"/>
    <w:rsid w:val="00295F8F"/>
    <w:rsid w:val="0029602B"/>
    <w:rsid w:val="002964E8"/>
    <w:rsid w:val="002965C9"/>
    <w:rsid w:val="0029683E"/>
    <w:rsid w:val="00296C78"/>
    <w:rsid w:val="00296CF9"/>
    <w:rsid w:val="00297194"/>
    <w:rsid w:val="002972B3"/>
    <w:rsid w:val="0029735F"/>
    <w:rsid w:val="00297443"/>
    <w:rsid w:val="0029766D"/>
    <w:rsid w:val="00297D1D"/>
    <w:rsid w:val="00297F60"/>
    <w:rsid w:val="00297FB7"/>
    <w:rsid w:val="002A0124"/>
    <w:rsid w:val="002A0528"/>
    <w:rsid w:val="002A0540"/>
    <w:rsid w:val="002A057E"/>
    <w:rsid w:val="002A08E1"/>
    <w:rsid w:val="002A0D87"/>
    <w:rsid w:val="002A1A10"/>
    <w:rsid w:val="002A1A26"/>
    <w:rsid w:val="002A1E0B"/>
    <w:rsid w:val="002A203F"/>
    <w:rsid w:val="002A20FD"/>
    <w:rsid w:val="002A2321"/>
    <w:rsid w:val="002A286C"/>
    <w:rsid w:val="002A2CD1"/>
    <w:rsid w:val="002A32DD"/>
    <w:rsid w:val="002A33F2"/>
    <w:rsid w:val="002A3737"/>
    <w:rsid w:val="002A37C3"/>
    <w:rsid w:val="002A37F9"/>
    <w:rsid w:val="002A3872"/>
    <w:rsid w:val="002A3D4B"/>
    <w:rsid w:val="002A3E5C"/>
    <w:rsid w:val="002A3F6A"/>
    <w:rsid w:val="002A448D"/>
    <w:rsid w:val="002A45F8"/>
    <w:rsid w:val="002A4737"/>
    <w:rsid w:val="002A47A0"/>
    <w:rsid w:val="002A47B5"/>
    <w:rsid w:val="002A47E2"/>
    <w:rsid w:val="002A4D66"/>
    <w:rsid w:val="002A528E"/>
    <w:rsid w:val="002A5800"/>
    <w:rsid w:val="002A597D"/>
    <w:rsid w:val="002A5CDC"/>
    <w:rsid w:val="002A5DFD"/>
    <w:rsid w:val="002A5FC2"/>
    <w:rsid w:val="002A6130"/>
    <w:rsid w:val="002A6285"/>
    <w:rsid w:val="002A63C7"/>
    <w:rsid w:val="002A654E"/>
    <w:rsid w:val="002A681D"/>
    <w:rsid w:val="002A6828"/>
    <w:rsid w:val="002A684E"/>
    <w:rsid w:val="002A6BAD"/>
    <w:rsid w:val="002A6C6D"/>
    <w:rsid w:val="002A6D4B"/>
    <w:rsid w:val="002A759C"/>
    <w:rsid w:val="002A77A2"/>
    <w:rsid w:val="002A77AF"/>
    <w:rsid w:val="002A7F49"/>
    <w:rsid w:val="002B00FF"/>
    <w:rsid w:val="002B03EB"/>
    <w:rsid w:val="002B0501"/>
    <w:rsid w:val="002B05A2"/>
    <w:rsid w:val="002B0CD0"/>
    <w:rsid w:val="002B0E29"/>
    <w:rsid w:val="002B0E38"/>
    <w:rsid w:val="002B0EE5"/>
    <w:rsid w:val="002B1417"/>
    <w:rsid w:val="002B1630"/>
    <w:rsid w:val="002B1B28"/>
    <w:rsid w:val="002B1BFE"/>
    <w:rsid w:val="002B1D6B"/>
    <w:rsid w:val="002B1F53"/>
    <w:rsid w:val="002B2058"/>
    <w:rsid w:val="002B2511"/>
    <w:rsid w:val="002B25FA"/>
    <w:rsid w:val="002B2626"/>
    <w:rsid w:val="002B2650"/>
    <w:rsid w:val="002B26CC"/>
    <w:rsid w:val="002B308A"/>
    <w:rsid w:val="002B312D"/>
    <w:rsid w:val="002B3262"/>
    <w:rsid w:val="002B32BC"/>
    <w:rsid w:val="002B348D"/>
    <w:rsid w:val="002B37FE"/>
    <w:rsid w:val="002B385C"/>
    <w:rsid w:val="002B399D"/>
    <w:rsid w:val="002B3C35"/>
    <w:rsid w:val="002B3D6E"/>
    <w:rsid w:val="002B3F27"/>
    <w:rsid w:val="002B452E"/>
    <w:rsid w:val="002B460A"/>
    <w:rsid w:val="002B4832"/>
    <w:rsid w:val="002B497B"/>
    <w:rsid w:val="002B49CC"/>
    <w:rsid w:val="002B4AF1"/>
    <w:rsid w:val="002B4FDE"/>
    <w:rsid w:val="002B5460"/>
    <w:rsid w:val="002B5768"/>
    <w:rsid w:val="002B5F4D"/>
    <w:rsid w:val="002B60E4"/>
    <w:rsid w:val="002B629F"/>
    <w:rsid w:val="002B62CF"/>
    <w:rsid w:val="002B6374"/>
    <w:rsid w:val="002B66D1"/>
    <w:rsid w:val="002B6C7D"/>
    <w:rsid w:val="002B6D47"/>
    <w:rsid w:val="002B76AD"/>
    <w:rsid w:val="002B7A38"/>
    <w:rsid w:val="002B7BB6"/>
    <w:rsid w:val="002B7C2D"/>
    <w:rsid w:val="002B7E2F"/>
    <w:rsid w:val="002B7ED7"/>
    <w:rsid w:val="002C02C8"/>
    <w:rsid w:val="002C0530"/>
    <w:rsid w:val="002C0606"/>
    <w:rsid w:val="002C0DA1"/>
    <w:rsid w:val="002C115F"/>
    <w:rsid w:val="002C151E"/>
    <w:rsid w:val="002C2184"/>
    <w:rsid w:val="002C2C6A"/>
    <w:rsid w:val="002C2F93"/>
    <w:rsid w:val="002C3128"/>
    <w:rsid w:val="002C34FC"/>
    <w:rsid w:val="002C4331"/>
    <w:rsid w:val="002C4360"/>
    <w:rsid w:val="002C4562"/>
    <w:rsid w:val="002C4B46"/>
    <w:rsid w:val="002C4B63"/>
    <w:rsid w:val="002C4B79"/>
    <w:rsid w:val="002C4E2C"/>
    <w:rsid w:val="002C5142"/>
    <w:rsid w:val="002C5537"/>
    <w:rsid w:val="002C5567"/>
    <w:rsid w:val="002C55E9"/>
    <w:rsid w:val="002C5667"/>
    <w:rsid w:val="002C58BB"/>
    <w:rsid w:val="002C5A04"/>
    <w:rsid w:val="002C5BA1"/>
    <w:rsid w:val="002C5DAF"/>
    <w:rsid w:val="002C5E30"/>
    <w:rsid w:val="002C5FC8"/>
    <w:rsid w:val="002C6DC6"/>
    <w:rsid w:val="002C7059"/>
    <w:rsid w:val="002C7446"/>
    <w:rsid w:val="002C77DF"/>
    <w:rsid w:val="002C78E2"/>
    <w:rsid w:val="002C7CAF"/>
    <w:rsid w:val="002C7CEB"/>
    <w:rsid w:val="002D008A"/>
    <w:rsid w:val="002D01E1"/>
    <w:rsid w:val="002D01E2"/>
    <w:rsid w:val="002D02A3"/>
    <w:rsid w:val="002D049D"/>
    <w:rsid w:val="002D08A5"/>
    <w:rsid w:val="002D08F9"/>
    <w:rsid w:val="002D097C"/>
    <w:rsid w:val="002D0C7B"/>
    <w:rsid w:val="002D0C9C"/>
    <w:rsid w:val="002D0DFC"/>
    <w:rsid w:val="002D113A"/>
    <w:rsid w:val="002D1297"/>
    <w:rsid w:val="002D1B10"/>
    <w:rsid w:val="002D1D57"/>
    <w:rsid w:val="002D2085"/>
    <w:rsid w:val="002D244B"/>
    <w:rsid w:val="002D25E0"/>
    <w:rsid w:val="002D2777"/>
    <w:rsid w:val="002D2CAC"/>
    <w:rsid w:val="002D3264"/>
    <w:rsid w:val="002D342E"/>
    <w:rsid w:val="002D3433"/>
    <w:rsid w:val="002D3A74"/>
    <w:rsid w:val="002D3B42"/>
    <w:rsid w:val="002D3BD8"/>
    <w:rsid w:val="002D3C42"/>
    <w:rsid w:val="002D3F72"/>
    <w:rsid w:val="002D4096"/>
    <w:rsid w:val="002D4517"/>
    <w:rsid w:val="002D49CD"/>
    <w:rsid w:val="002D4A41"/>
    <w:rsid w:val="002D4CF6"/>
    <w:rsid w:val="002D4D0A"/>
    <w:rsid w:val="002D5139"/>
    <w:rsid w:val="002D53FF"/>
    <w:rsid w:val="002D57A0"/>
    <w:rsid w:val="002D5C46"/>
    <w:rsid w:val="002D5C95"/>
    <w:rsid w:val="002D5E4C"/>
    <w:rsid w:val="002D5ED6"/>
    <w:rsid w:val="002D6015"/>
    <w:rsid w:val="002D617B"/>
    <w:rsid w:val="002D6206"/>
    <w:rsid w:val="002D689E"/>
    <w:rsid w:val="002D72FB"/>
    <w:rsid w:val="002D77B0"/>
    <w:rsid w:val="002D790E"/>
    <w:rsid w:val="002D7CFB"/>
    <w:rsid w:val="002D7FF0"/>
    <w:rsid w:val="002E0342"/>
    <w:rsid w:val="002E069E"/>
    <w:rsid w:val="002E0790"/>
    <w:rsid w:val="002E0E30"/>
    <w:rsid w:val="002E1018"/>
    <w:rsid w:val="002E11A7"/>
    <w:rsid w:val="002E1445"/>
    <w:rsid w:val="002E167E"/>
    <w:rsid w:val="002E1757"/>
    <w:rsid w:val="002E17E1"/>
    <w:rsid w:val="002E19D1"/>
    <w:rsid w:val="002E1E71"/>
    <w:rsid w:val="002E2129"/>
    <w:rsid w:val="002E215B"/>
    <w:rsid w:val="002E228E"/>
    <w:rsid w:val="002E2814"/>
    <w:rsid w:val="002E2BE2"/>
    <w:rsid w:val="002E2DEA"/>
    <w:rsid w:val="002E35D2"/>
    <w:rsid w:val="002E378C"/>
    <w:rsid w:val="002E37EE"/>
    <w:rsid w:val="002E3A03"/>
    <w:rsid w:val="002E3C2F"/>
    <w:rsid w:val="002E3E48"/>
    <w:rsid w:val="002E3F29"/>
    <w:rsid w:val="002E4902"/>
    <w:rsid w:val="002E4E59"/>
    <w:rsid w:val="002E5A7E"/>
    <w:rsid w:val="002E5CEF"/>
    <w:rsid w:val="002E61CA"/>
    <w:rsid w:val="002E62F7"/>
    <w:rsid w:val="002E6334"/>
    <w:rsid w:val="002E69F8"/>
    <w:rsid w:val="002E6ABE"/>
    <w:rsid w:val="002E6B5F"/>
    <w:rsid w:val="002E6B92"/>
    <w:rsid w:val="002E6E71"/>
    <w:rsid w:val="002E704D"/>
    <w:rsid w:val="002E714B"/>
    <w:rsid w:val="002E766D"/>
    <w:rsid w:val="002E7F60"/>
    <w:rsid w:val="002F02FC"/>
    <w:rsid w:val="002F06EB"/>
    <w:rsid w:val="002F0809"/>
    <w:rsid w:val="002F089C"/>
    <w:rsid w:val="002F11D6"/>
    <w:rsid w:val="002F1599"/>
    <w:rsid w:val="002F17ED"/>
    <w:rsid w:val="002F1D71"/>
    <w:rsid w:val="002F1F27"/>
    <w:rsid w:val="002F1F98"/>
    <w:rsid w:val="002F200E"/>
    <w:rsid w:val="002F2212"/>
    <w:rsid w:val="002F2AAE"/>
    <w:rsid w:val="002F2C33"/>
    <w:rsid w:val="002F2D8C"/>
    <w:rsid w:val="002F2DA5"/>
    <w:rsid w:val="002F2E6B"/>
    <w:rsid w:val="002F2FB6"/>
    <w:rsid w:val="002F3080"/>
    <w:rsid w:val="002F3116"/>
    <w:rsid w:val="002F32F7"/>
    <w:rsid w:val="002F34C2"/>
    <w:rsid w:val="002F3A68"/>
    <w:rsid w:val="002F3AC9"/>
    <w:rsid w:val="002F3B71"/>
    <w:rsid w:val="002F3B9D"/>
    <w:rsid w:val="002F4088"/>
    <w:rsid w:val="002F42FA"/>
    <w:rsid w:val="002F4586"/>
    <w:rsid w:val="002F45CA"/>
    <w:rsid w:val="002F466D"/>
    <w:rsid w:val="002F4AE8"/>
    <w:rsid w:val="002F4B96"/>
    <w:rsid w:val="002F50A8"/>
    <w:rsid w:val="002F5191"/>
    <w:rsid w:val="002F52C1"/>
    <w:rsid w:val="002F55AF"/>
    <w:rsid w:val="002F5867"/>
    <w:rsid w:val="002F5BC3"/>
    <w:rsid w:val="002F623A"/>
    <w:rsid w:val="002F656B"/>
    <w:rsid w:val="002F6927"/>
    <w:rsid w:val="002F6BEC"/>
    <w:rsid w:val="002F6CF8"/>
    <w:rsid w:val="002F7144"/>
    <w:rsid w:val="002F77AD"/>
    <w:rsid w:val="002F77DC"/>
    <w:rsid w:val="002F7ED7"/>
    <w:rsid w:val="002F7F47"/>
    <w:rsid w:val="00300048"/>
    <w:rsid w:val="003000AB"/>
    <w:rsid w:val="003002A2"/>
    <w:rsid w:val="0030031D"/>
    <w:rsid w:val="0030061C"/>
    <w:rsid w:val="00300AB0"/>
    <w:rsid w:val="00300B94"/>
    <w:rsid w:val="00300CD8"/>
    <w:rsid w:val="0030119D"/>
    <w:rsid w:val="003011B6"/>
    <w:rsid w:val="00301579"/>
    <w:rsid w:val="00301618"/>
    <w:rsid w:val="00301F0D"/>
    <w:rsid w:val="00301F32"/>
    <w:rsid w:val="00301FF0"/>
    <w:rsid w:val="00302108"/>
    <w:rsid w:val="00302203"/>
    <w:rsid w:val="00302306"/>
    <w:rsid w:val="00302421"/>
    <w:rsid w:val="003027D3"/>
    <w:rsid w:val="00302C1C"/>
    <w:rsid w:val="00302C5B"/>
    <w:rsid w:val="00302C8A"/>
    <w:rsid w:val="00302DB6"/>
    <w:rsid w:val="003035AE"/>
    <w:rsid w:val="0030391A"/>
    <w:rsid w:val="00303B0E"/>
    <w:rsid w:val="00303F30"/>
    <w:rsid w:val="00304405"/>
    <w:rsid w:val="00304762"/>
    <w:rsid w:val="00304AE4"/>
    <w:rsid w:val="003050CF"/>
    <w:rsid w:val="00305310"/>
    <w:rsid w:val="003055EA"/>
    <w:rsid w:val="00305638"/>
    <w:rsid w:val="00305DA2"/>
    <w:rsid w:val="00305EAF"/>
    <w:rsid w:val="00305FE1"/>
    <w:rsid w:val="003060B6"/>
    <w:rsid w:val="003061B1"/>
    <w:rsid w:val="0030644C"/>
    <w:rsid w:val="003065B5"/>
    <w:rsid w:val="00306738"/>
    <w:rsid w:val="0030737F"/>
    <w:rsid w:val="003078B4"/>
    <w:rsid w:val="003079BD"/>
    <w:rsid w:val="0031012C"/>
    <w:rsid w:val="00310452"/>
    <w:rsid w:val="00310A7A"/>
    <w:rsid w:val="00310A91"/>
    <w:rsid w:val="00310C22"/>
    <w:rsid w:val="00310C31"/>
    <w:rsid w:val="00310CA9"/>
    <w:rsid w:val="00310CB7"/>
    <w:rsid w:val="00310FFB"/>
    <w:rsid w:val="003114F1"/>
    <w:rsid w:val="003119F1"/>
    <w:rsid w:val="00311CCC"/>
    <w:rsid w:val="00311CD3"/>
    <w:rsid w:val="003120F5"/>
    <w:rsid w:val="00312611"/>
    <w:rsid w:val="00312863"/>
    <w:rsid w:val="00312E30"/>
    <w:rsid w:val="0031346E"/>
    <w:rsid w:val="003136DA"/>
    <w:rsid w:val="00313A7A"/>
    <w:rsid w:val="00313C7F"/>
    <w:rsid w:val="00313D2F"/>
    <w:rsid w:val="00313F42"/>
    <w:rsid w:val="00314348"/>
    <w:rsid w:val="00314390"/>
    <w:rsid w:val="00314475"/>
    <w:rsid w:val="003144CB"/>
    <w:rsid w:val="00314541"/>
    <w:rsid w:val="003148AD"/>
    <w:rsid w:val="003148C8"/>
    <w:rsid w:val="00314C31"/>
    <w:rsid w:val="00314DBD"/>
    <w:rsid w:val="00314EF1"/>
    <w:rsid w:val="00314F9A"/>
    <w:rsid w:val="003150C8"/>
    <w:rsid w:val="003157BB"/>
    <w:rsid w:val="00315E4A"/>
    <w:rsid w:val="00316049"/>
    <w:rsid w:val="00316311"/>
    <w:rsid w:val="0031663F"/>
    <w:rsid w:val="003166DF"/>
    <w:rsid w:val="00316723"/>
    <w:rsid w:val="00316D05"/>
    <w:rsid w:val="00316D70"/>
    <w:rsid w:val="00317395"/>
    <w:rsid w:val="003179FF"/>
    <w:rsid w:val="00317B63"/>
    <w:rsid w:val="00317CDA"/>
    <w:rsid w:val="0032011A"/>
    <w:rsid w:val="0032065A"/>
    <w:rsid w:val="00320877"/>
    <w:rsid w:val="00320F3D"/>
    <w:rsid w:val="003210C8"/>
    <w:rsid w:val="003214F6"/>
    <w:rsid w:val="00321519"/>
    <w:rsid w:val="003215BE"/>
    <w:rsid w:val="003218F1"/>
    <w:rsid w:val="00321CEE"/>
    <w:rsid w:val="00321F3E"/>
    <w:rsid w:val="003221C1"/>
    <w:rsid w:val="00322279"/>
    <w:rsid w:val="0032234B"/>
    <w:rsid w:val="00322758"/>
    <w:rsid w:val="00322793"/>
    <w:rsid w:val="00322858"/>
    <w:rsid w:val="00322AEE"/>
    <w:rsid w:val="00322EE5"/>
    <w:rsid w:val="00323018"/>
    <w:rsid w:val="0032381D"/>
    <w:rsid w:val="00323B5C"/>
    <w:rsid w:val="00323EFD"/>
    <w:rsid w:val="00323F5D"/>
    <w:rsid w:val="0032409B"/>
    <w:rsid w:val="003243FD"/>
    <w:rsid w:val="00324414"/>
    <w:rsid w:val="00324972"/>
    <w:rsid w:val="00324BF0"/>
    <w:rsid w:val="00325364"/>
    <w:rsid w:val="00325C96"/>
    <w:rsid w:val="00326943"/>
    <w:rsid w:val="00326B25"/>
    <w:rsid w:val="00326C92"/>
    <w:rsid w:val="003273CE"/>
    <w:rsid w:val="0032754C"/>
    <w:rsid w:val="00327586"/>
    <w:rsid w:val="003277A4"/>
    <w:rsid w:val="00327B34"/>
    <w:rsid w:val="00330501"/>
    <w:rsid w:val="00330709"/>
    <w:rsid w:val="00330866"/>
    <w:rsid w:val="00330A98"/>
    <w:rsid w:val="00330E02"/>
    <w:rsid w:val="00330F65"/>
    <w:rsid w:val="00330F87"/>
    <w:rsid w:val="003313D9"/>
    <w:rsid w:val="00332013"/>
    <w:rsid w:val="0033211C"/>
    <w:rsid w:val="0033242A"/>
    <w:rsid w:val="003324D8"/>
    <w:rsid w:val="00332500"/>
    <w:rsid w:val="003325AE"/>
    <w:rsid w:val="003325DD"/>
    <w:rsid w:val="00332A8D"/>
    <w:rsid w:val="00332E45"/>
    <w:rsid w:val="0033346F"/>
    <w:rsid w:val="00333735"/>
    <w:rsid w:val="00333884"/>
    <w:rsid w:val="00333CAF"/>
    <w:rsid w:val="00334270"/>
    <w:rsid w:val="00334454"/>
    <w:rsid w:val="003347EB"/>
    <w:rsid w:val="00334D81"/>
    <w:rsid w:val="00334FCC"/>
    <w:rsid w:val="00335261"/>
    <w:rsid w:val="003357A0"/>
    <w:rsid w:val="00335D82"/>
    <w:rsid w:val="00335F9F"/>
    <w:rsid w:val="0033610B"/>
    <w:rsid w:val="00336420"/>
    <w:rsid w:val="003364EE"/>
    <w:rsid w:val="00336620"/>
    <w:rsid w:val="00336767"/>
    <w:rsid w:val="00336A05"/>
    <w:rsid w:val="00336A48"/>
    <w:rsid w:val="00336BB0"/>
    <w:rsid w:val="00337585"/>
    <w:rsid w:val="00337897"/>
    <w:rsid w:val="00337A76"/>
    <w:rsid w:val="00340230"/>
    <w:rsid w:val="003402D1"/>
    <w:rsid w:val="0034041F"/>
    <w:rsid w:val="003406BA"/>
    <w:rsid w:val="00340A95"/>
    <w:rsid w:val="00340DDA"/>
    <w:rsid w:val="00340DED"/>
    <w:rsid w:val="003411C4"/>
    <w:rsid w:val="003413BE"/>
    <w:rsid w:val="00341814"/>
    <w:rsid w:val="00341915"/>
    <w:rsid w:val="00341F04"/>
    <w:rsid w:val="00341F57"/>
    <w:rsid w:val="003423C8"/>
    <w:rsid w:val="00342876"/>
    <w:rsid w:val="00342987"/>
    <w:rsid w:val="00342B24"/>
    <w:rsid w:val="00342D56"/>
    <w:rsid w:val="003430C9"/>
    <w:rsid w:val="0034332B"/>
    <w:rsid w:val="00343367"/>
    <w:rsid w:val="00343604"/>
    <w:rsid w:val="00343944"/>
    <w:rsid w:val="00343C6E"/>
    <w:rsid w:val="00344642"/>
    <w:rsid w:val="00344826"/>
    <w:rsid w:val="00344831"/>
    <w:rsid w:val="003448D9"/>
    <w:rsid w:val="00344D92"/>
    <w:rsid w:val="00344E90"/>
    <w:rsid w:val="00344F07"/>
    <w:rsid w:val="00344F94"/>
    <w:rsid w:val="0034509D"/>
    <w:rsid w:val="003452A5"/>
    <w:rsid w:val="00345681"/>
    <w:rsid w:val="00345AE5"/>
    <w:rsid w:val="00345D23"/>
    <w:rsid w:val="00345D2B"/>
    <w:rsid w:val="00346008"/>
    <w:rsid w:val="00346085"/>
    <w:rsid w:val="003463B1"/>
    <w:rsid w:val="003464DB"/>
    <w:rsid w:val="00346E02"/>
    <w:rsid w:val="00346EF4"/>
    <w:rsid w:val="00346F8C"/>
    <w:rsid w:val="003471DD"/>
    <w:rsid w:val="00347240"/>
    <w:rsid w:val="00347347"/>
    <w:rsid w:val="00347643"/>
    <w:rsid w:val="00347D3D"/>
    <w:rsid w:val="00347D58"/>
    <w:rsid w:val="00347DA7"/>
    <w:rsid w:val="00350196"/>
    <w:rsid w:val="00350269"/>
    <w:rsid w:val="0035042B"/>
    <w:rsid w:val="0035066F"/>
    <w:rsid w:val="0035097E"/>
    <w:rsid w:val="00350993"/>
    <w:rsid w:val="00350A3D"/>
    <w:rsid w:val="00350A8C"/>
    <w:rsid w:val="00350D4B"/>
    <w:rsid w:val="00350EEA"/>
    <w:rsid w:val="00350F7D"/>
    <w:rsid w:val="003512D9"/>
    <w:rsid w:val="0035157D"/>
    <w:rsid w:val="003519F9"/>
    <w:rsid w:val="00351CE3"/>
    <w:rsid w:val="00351D9F"/>
    <w:rsid w:val="00351E79"/>
    <w:rsid w:val="00352896"/>
    <w:rsid w:val="003528D1"/>
    <w:rsid w:val="00352FE9"/>
    <w:rsid w:val="003530BB"/>
    <w:rsid w:val="00353452"/>
    <w:rsid w:val="00353823"/>
    <w:rsid w:val="00353F26"/>
    <w:rsid w:val="00353FC5"/>
    <w:rsid w:val="0035420C"/>
    <w:rsid w:val="003548FC"/>
    <w:rsid w:val="00354AED"/>
    <w:rsid w:val="00354BBB"/>
    <w:rsid w:val="00354C58"/>
    <w:rsid w:val="00354F40"/>
    <w:rsid w:val="00355509"/>
    <w:rsid w:val="00355AB4"/>
    <w:rsid w:val="003563CD"/>
    <w:rsid w:val="003563DA"/>
    <w:rsid w:val="003563EB"/>
    <w:rsid w:val="00356455"/>
    <w:rsid w:val="0035657E"/>
    <w:rsid w:val="00356589"/>
    <w:rsid w:val="00356680"/>
    <w:rsid w:val="0035674A"/>
    <w:rsid w:val="00356C20"/>
    <w:rsid w:val="00356F3B"/>
    <w:rsid w:val="003575A0"/>
    <w:rsid w:val="003577A6"/>
    <w:rsid w:val="003578B7"/>
    <w:rsid w:val="00357975"/>
    <w:rsid w:val="00357D58"/>
    <w:rsid w:val="00357E70"/>
    <w:rsid w:val="00357FB5"/>
    <w:rsid w:val="003606B1"/>
    <w:rsid w:val="003607AF"/>
    <w:rsid w:val="00360AFA"/>
    <w:rsid w:val="00360BFD"/>
    <w:rsid w:val="00360C24"/>
    <w:rsid w:val="00360C71"/>
    <w:rsid w:val="00360F8C"/>
    <w:rsid w:val="003611A2"/>
    <w:rsid w:val="003612B2"/>
    <w:rsid w:val="00361819"/>
    <w:rsid w:val="00361924"/>
    <w:rsid w:val="003619CF"/>
    <w:rsid w:val="00361A4B"/>
    <w:rsid w:val="00361B78"/>
    <w:rsid w:val="00361E44"/>
    <w:rsid w:val="00361E8A"/>
    <w:rsid w:val="00361E9B"/>
    <w:rsid w:val="00361E9D"/>
    <w:rsid w:val="00361F54"/>
    <w:rsid w:val="003625EA"/>
    <w:rsid w:val="003626E4"/>
    <w:rsid w:val="00362A52"/>
    <w:rsid w:val="00362AA1"/>
    <w:rsid w:val="00362AE7"/>
    <w:rsid w:val="00362C83"/>
    <w:rsid w:val="00362D96"/>
    <w:rsid w:val="00362F6D"/>
    <w:rsid w:val="003633E9"/>
    <w:rsid w:val="0036346A"/>
    <w:rsid w:val="0036374D"/>
    <w:rsid w:val="003638F8"/>
    <w:rsid w:val="00363964"/>
    <w:rsid w:val="003639BA"/>
    <w:rsid w:val="003639E2"/>
    <w:rsid w:val="00363DB3"/>
    <w:rsid w:val="00363F75"/>
    <w:rsid w:val="00364147"/>
    <w:rsid w:val="00364196"/>
    <w:rsid w:val="003652D7"/>
    <w:rsid w:val="00365315"/>
    <w:rsid w:val="003653DC"/>
    <w:rsid w:val="00365445"/>
    <w:rsid w:val="0036557B"/>
    <w:rsid w:val="00365CE9"/>
    <w:rsid w:val="00365F61"/>
    <w:rsid w:val="00366318"/>
    <w:rsid w:val="00366464"/>
    <w:rsid w:val="0036647A"/>
    <w:rsid w:val="0036662D"/>
    <w:rsid w:val="00366A6F"/>
    <w:rsid w:val="00366C4F"/>
    <w:rsid w:val="00366D30"/>
    <w:rsid w:val="00366D62"/>
    <w:rsid w:val="003676FC"/>
    <w:rsid w:val="00367918"/>
    <w:rsid w:val="00367AB4"/>
    <w:rsid w:val="00370006"/>
    <w:rsid w:val="0037001E"/>
    <w:rsid w:val="0037006B"/>
    <w:rsid w:val="0037006F"/>
    <w:rsid w:val="003708E5"/>
    <w:rsid w:val="00370AFC"/>
    <w:rsid w:val="00370D03"/>
    <w:rsid w:val="00371B2E"/>
    <w:rsid w:val="00371E51"/>
    <w:rsid w:val="00371F44"/>
    <w:rsid w:val="00372095"/>
    <w:rsid w:val="00372360"/>
    <w:rsid w:val="0037269E"/>
    <w:rsid w:val="003726A5"/>
    <w:rsid w:val="00372739"/>
    <w:rsid w:val="003728F1"/>
    <w:rsid w:val="00372A57"/>
    <w:rsid w:val="00372ED2"/>
    <w:rsid w:val="00373184"/>
    <w:rsid w:val="00373B37"/>
    <w:rsid w:val="00373B80"/>
    <w:rsid w:val="00373C1B"/>
    <w:rsid w:val="00373D97"/>
    <w:rsid w:val="00374345"/>
    <w:rsid w:val="00374512"/>
    <w:rsid w:val="00374603"/>
    <w:rsid w:val="003746A3"/>
    <w:rsid w:val="00374ABB"/>
    <w:rsid w:val="0037516F"/>
    <w:rsid w:val="00375524"/>
    <w:rsid w:val="0037564D"/>
    <w:rsid w:val="00375B75"/>
    <w:rsid w:val="00376283"/>
    <w:rsid w:val="003762C4"/>
    <w:rsid w:val="00376AAC"/>
    <w:rsid w:val="00376AF1"/>
    <w:rsid w:val="0037730C"/>
    <w:rsid w:val="0037763D"/>
    <w:rsid w:val="003776A6"/>
    <w:rsid w:val="00377DBA"/>
    <w:rsid w:val="00377FD4"/>
    <w:rsid w:val="003802F5"/>
    <w:rsid w:val="003802F8"/>
    <w:rsid w:val="00380313"/>
    <w:rsid w:val="003809E0"/>
    <w:rsid w:val="00381349"/>
    <w:rsid w:val="0038135F"/>
    <w:rsid w:val="003814D4"/>
    <w:rsid w:val="00381B89"/>
    <w:rsid w:val="00381D22"/>
    <w:rsid w:val="00381E34"/>
    <w:rsid w:val="00382431"/>
    <w:rsid w:val="00382A4D"/>
    <w:rsid w:val="00382F17"/>
    <w:rsid w:val="00383D68"/>
    <w:rsid w:val="00383FB7"/>
    <w:rsid w:val="00384161"/>
    <w:rsid w:val="003847DF"/>
    <w:rsid w:val="003847FD"/>
    <w:rsid w:val="00384A3A"/>
    <w:rsid w:val="00384B29"/>
    <w:rsid w:val="00384B82"/>
    <w:rsid w:val="00384CAF"/>
    <w:rsid w:val="00384DD1"/>
    <w:rsid w:val="003854D0"/>
    <w:rsid w:val="00385794"/>
    <w:rsid w:val="00385A6C"/>
    <w:rsid w:val="003867B9"/>
    <w:rsid w:val="00386FBF"/>
    <w:rsid w:val="0038714F"/>
    <w:rsid w:val="003871E6"/>
    <w:rsid w:val="00387359"/>
    <w:rsid w:val="003875BD"/>
    <w:rsid w:val="003879DF"/>
    <w:rsid w:val="00387AE6"/>
    <w:rsid w:val="00387BCF"/>
    <w:rsid w:val="00387DD7"/>
    <w:rsid w:val="003904C4"/>
    <w:rsid w:val="00390A8E"/>
    <w:rsid w:val="00390D42"/>
    <w:rsid w:val="00390ED0"/>
    <w:rsid w:val="00391867"/>
    <w:rsid w:val="00391950"/>
    <w:rsid w:val="00391ED0"/>
    <w:rsid w:val="003926CF"/>
    <w:rsid w:val="0039289D"/>
    <w:rsid w:val="00392CED"/>
    <w:rsid w:val="00393407"/>
    <w:rsid w:val="00393498"/>
    <w:rsid w:val="003934D5"/>
    <w:rsid w:val="003934DA"/>
    <w:rsid w:val="0039356F"/>
    <w:rsid w:val="0039405B"/>
    <w:rsid w:val="0039412A"/>
    <w:rsid w:val="00394207"/>
    <w:rsid w:val="00394E39"/>
    <w:rsid w:val="003954A0"/>
    <w:rsid w:val="003954BF"/>
    <w:rsid w:val="003954EB"/>
    <w:rsid w:val="003959D1"/>
    <w:rsid w:val="00396273"/>
    <w:rsid w:val="003964C5"/>
    <w:rsid w:val="00396523"/>
    <w:rsid w:val="00396739"/>
    <w:rsid w:val="003967F2"/>
    <w:rsid w:val="00396C1E"/>
    <w:rsid w:val="00396DBC"/>
    <w:rsid w:val="00396F4A"/>
    <w:rsid w:val="003972E1"/>
    <w:rsid w:val="0039761E"/>
    <w:rsid w:val="003978DF"/>
    <w:rsid w:val="00397D5D"/>
    <w:rsid w:val="00397F86"/>
    <w:rsid w:val="003A00D7"/>
    <w:rsid w:val="003A0189"/>
    <w:rsid w:val="003A036F"/>
    <w:rsid w:val="003A03B8"/>
    <w:rsid w:val="003A0556"/>
    <w:rsid w:val="003A05C8"/>
    <w:rsid w:val="003A06E0"/>
    <w:rsid w:val="003A07AB"/>
    <w:rsid w:val="003A0A7D"/>
    <w:rsid w:val="003A0AC1"/>
    <w:rsid w:val="003A0C47"/>
    <w:rsid w:val="003A1813"/>
    <w:rsid w:val="003A1C95"/>
    <w:rsid w:val="003A1DD5"/>
    <w:rsid w:val="003A221B"/>
    <w:rsid w:val="003A2229"/>
    <w:rsid w:val="003A240C"/>
    <w:rsid w:val="003A25D5"/>
    <w:rsid w:val="003A289A"/>
    <w:rsid w:val="003A2A44"/>
    <w:rsid w:val="003A341D"/>
    <w:rsid w:val="003A35E9"/>
    <w:rsid w:val="003A362D"/>
    <w:rsid w:val="003A36F7"/>
    <w:rsid w:val="003A3780"/>
    <w:rsid w:val="003A3AB1"/>
    <w:rsid w:val="003A3ACB"/>
    <w:rsid w:val="003A42A9"/>
    <w:rsid w:val="003A4314"/>
    <w:rsid w:val="003A4688"/>
    <w:rsid w:val="003A4903"/>
    <w:rsid w:val="003A4BA0"/>
    <w:rsid w:val="003A4E91"/>
    <w:rsid w:val="003A5009"/>
    <w:rsid w:val="003A502C"/>
    <w:rsid w:val="003A5039"/>
    <w:rsid w:val="003A5190"/>
    <w:rsid w:val="003A5946"/>
    <w:rsid w:val="003A5E9A"/>
    <w:rsid w:val="003A6B63"/>
    <w:rsid w:val="003A6D12"/>
    <w:rsid w:val="003A6F1E"/>
    <w:rsid w:val="003A6FAF"/>
    <w:rsid w:val="003A7086"/>
    <w:rsid w:val="003A7173"/>
    <w:rsid w:val="003A7643"/>
    <w:rsid w:val="003A7671"/>
    <w:rsid w:val="003B021C"/>
    <w:rsid w:val="003B031E"/>
    <w:rsid w:val="003B03B2"/>
    <w:rsid w:val="003B0ABC"/>
    <w:rsid w:val="003B0CCB"/>
    <w:rsid w:val="003B0E76"/>
    <w:rsid w:val="003B0FF7"/>
    <w:rsid w:val="003B10F6"/>
    <w:rsid w:val="003B1196"/>
    <w:rsid w:val="003B137D"/>
    <w:rsid w:val="003B1651"/>
    <w:rsid w:val="003B18CB"/>
    <w:rsid w:val="003B1ADC"/>
    <w:rsid w:val="003B1E86"/>
    <w:rsid w:val="003B1F63"/>
    <w:rsid w:val="003B203B"/>
    <w:rsid w:val="003B2385"/>
    <w:rsid w:val="003B2D6A"/>
    <w:rsid w:val="003B33B5"/>
    <w:rsid w:val="003B33D2"/>
    <w:rsid w:val="003B3870"/>
    <w:rsid w:val="003B38F7"/>
    <w:rsid w:val="003B3CBE"/>
    <w:rsid w:val="003B3F76"/>
    <w:rsid w:val="003B42B1"/>
    <w:rsid w:val="003B47E4"/>
    <w:rsid w:val="003B4E7C"/>
    <w:rsid w:val="003B530C"/>
    <w:rsid w:val="003B5491"/>
    <w:rsid w:val="003B5799"/>
    <w:rsid w:val="003B59F9"/>
    <w:rsid w:val="003B5ADF"/>
    <w:rsid w:val="003B5C15"/>
    <w:rsid w:val="003B5E0B"/>
    <w:rsid w:val="003B626F"/>
    <w:rsid w:val="003B6705"/>
    <w:rsid w:val="003B6F53"/>
    <w:rsid w:val="003B7138"/>
    <w:rsid w:val="003B7482"/>
    <w:rsid w:val="003B7800"/>
    <w:rsid w:val="003B78B4"/>
    <w:rsid w:val="003B7A1A"/>
    <w:rsid w:val="003C0030"/>
    <w:rsid w:val="003C0DBA"/>
    <w:rsid w:val="003C105C"/>
    <w:rsid w:val="003C10F2"/>
    <w:rsid w:val="003C1302"/>
    <w:rsid w:val="003C1598"/>
    <w:rsid w:val="003C1684"/>
    <w:rsid w:val="003C16FD"/>
    <w:rsid w:val="003C17B0"/>
    <w:rsid w:val="003C185C"/>
    <w:rsid w:val="003C1AFF"/>
    <w:rsid w:val="003C1B1B"/>
    <w:rsid w:val="003C1D1E"/>
    <w:rsid w:val="003C1EBA"/>
    <w:rsid w:val="003C2725"/>
    <w:rsid w:val="003C2ED9"/>
    <w:rsid w:val="003C2FDC"/>
    <w:rsid w:val="003C399C"/>
    <w:rsid w:val="003C3E85"/>
    <w:rsid w:val="003C3F79"/>
    <w:rsid w:val="003C4117"/>
    <w:rsid w:val="003C422A"/>
    <w:rsid w:val="003C42E8"/>
    <w:rsid w:val="003C4F8C"/>
    <w:rsid w:val="003C5329"/>
    <w:rsid w:val="003C547F"/>
    <w:rsid w:val="003C57D2"/>
    <w:rsid w:val="003C5918"/>
    <w:rsid w:val="003C5DA5"/>
    <w:rsid w:val="003C600E"/>
    <w:rsid w:val="003C6126"/>
    <w:rsid w:val="003C624C"/>
    <w:rsid w:val="003C63E5"/>
    <w:rsid w:val="003C6A39"/>
    <w:rsid w:val="003C6A6F"/>
    <w:rsid w:val="003C6B81"/>
    <w:rsid w:val="003C6DAB"/>
    <w:rsid w:val="003C7227"/>
    <w:rsid w:val="003C7385"/>
    <w:rsid w:val="003C7C11"/>
    <w:rsid w:val="003D001A"/>
    <w:rsid w:val="003D0EEB"/>
    <w:rsid w:val="003D0F0F"/>
    <w:rsid w:val="003D0FD0"/>
    <w:rsid w:val="003D1183"/>
    <w:rsid w:val="003D11E6"/>
    <w:rsid w:val="003D1A6A"/>
    <w:rsid w:val="003D1C67"/>
    <w:rsid w:val="003D1DD8"/>
    <w:rsid w:val="003D2121"/>
    <w:rsid w:val="003D2519"/>
    <w:rsid w:val="003D2614"/>
    <w:rsid w:val="003D2ABD"/>
    <w:rsid w:val="003D32FB"/>
    <w:rsid w:val="003D3541"/>
    <w:rsid w:val="003D35EB"/>
    <w:rsid w:val="003D3721"/>
    <w:rsid w:val="003D38BA"/>
    <w:rsid w:val="003D3DD0"/>
    <w:rsid w:val="003D3E5D"/>
    <w:rsid w:val="003D4069"/>
    <w:rsid w:val="003D4675"/>
    <w:rsid w:val="003D48BD"/>
    <w:rsid w:val="003D4CEA"/>
    <w:rsid w:val="003D512B"/>
    <w:rsid w:val="003D527C"/>
    <w:rsid w:val="003D614D"/>
    <w:rsid w:val="003D6308"/>
    <w:rsid w:val="003D63E3"/>
    <w:rsid w:val="003D64DB"/>
    <w:rsid w:val="003D690B"/>
    <w:rsid w:val="003D6B8C"/>
    <w:rsid w:val="003D6BFA"/>
    <w:rsid w:val="003D709B"/>
    <w:rsid w:val="003D7328"/>
    <w:rsid w:val="003D74E7"/>
    <w:rsid w:val="003D7A00"/>
    <w:rsid w:val="003D7A34"/>
    <w:rsid w:val="003D7C00"/>
    <w:rsid w:val="003E0208"/>
    <w:rsid w:val="003E03C6"/>
    <w:rsid w:val="003E03E1"/>
    <w:rsid w:val="003E0809"/>
    <w:rsid w:val="003E090B"/>
    <w:rsid w:val="003E0E71"/>
    <w:rsid w:val="003E103F"/>
    <w:rsid w:val="003E10E5"/>
    <w:rsid w:val="003E1608"/>
    <w:rsid w:val="003E177A"/>
    <w:rsid w:val="003E1DAD"/>
    <w:rsid w:val="003E1DCC"/>
    <w:rsid w:val="003E1EB2"/>
    <w:rsid w:val="003E201C"/>
    <w:rsid w:val="003E20AF"/>
    <w:rsid w:val="003E25A0"/>
    <w:rsid w:val="003E2790"/>
    <w:rsid w:val="003E2791"/>
    <w:rsid w:val="003E3099"/>
    <w:rsid w:val="003E355C"/>
    <w:rsid w:val="003E368A"/>
    <w:rsid w:val="003E3802"/>
    <w:rsid w:val="003E3C7A"/>
    <w:rsid w:val="003E3F2F"/>
    <w:rsid w:val="003E420B"/>
    <w:rsid w:val="003E43A0"/>
    <w:rsid w:val="003E4435"/>
    <w:rsid w:val="003E4675"/>
    <w:rsid w:val="003E46C5"/>
    <w:rsid w:val="003E485B"/>
    <w:rsid w:val="003E4C2B"/>
    <w:rsid w:val="003E571E"/>
    <w:rsid w:val="003E578A"/>
    <w:rsid w:val="003E578E"/>
    <w:rsid w:val="003E5828"/>
    <w:rsid w:val="003E5CC3"/>
    <w:rsid w:val="003E5E8E"/>
    <w:rsid w:val="003E60C9"/>
    <w:rsid w:val="003E60F3"/>
    <w:rsid w:val="003E62A4"/>
    <w:rsid w:val="003E6CD5"/>
    <w:rsid w:val="003E700C"/>
    <w:rsid w:val="003E726A"/>
    <w:rsid w:val="003E7337"/>
    <w:rsid w:val="003F0112"/>
    <w:rsid w:val="003F03B2"/>
    <w:rsid w:val="003F052D"/>
    <w:rsid w:val="003F057C"/>
    <w:rsid w:val="003F07D7"/>
    <w:rsid w:val="003F0822"/>
    <w:rsid w:val="003F0B1F"/>
    <w:rsid w:val="003F0B70"/>
    <w:rsid w:val="003F0D60"/>
    <w:rsid w:val="003F0E16"/>
    <w:rsid w:val="003F0E64"/>
    <w:rsid w:val="003F0F8F"/>
    <w:rsid w:val="003F1612"/>
    <w:rsid w:val="003F198F"/>
    <w:rsid w:val="003F1C5C"/>
    <w:rsid w:val="003F1CBD"/>
    <w:rsid w:val="003F2107"/>
    <w:rsid w:val="003F2332"/>
    <w:rsid w:val="003F237F"/>
    <w:rsid w:val="003F2773"/>
    <w:rsid w:val="003F28F3"/>
    <w:rsid w:val="003F2AE3"/>
    <w:rsid w:val="003F2C31"/>
    <w:rsid w:val="003F2C58"/>
    <w:rsid w:val="003F3224"/>
    <w:rsid w:val="003F3460"/>
    <w:rsid w:val="003F395C"/>
    <w:rsid w:val="003F39E3"/>
    <w:rsid w:val="003F3A4E"/>
    <w:rsid w:val="003F400D"/>
    <w:rsid w:val="003F430E"/>
    <w:rsid w:val="003F4900"/>
    <w:rsid w:val="003F498A"/>
    <w:rsid w:val="003F49A1"/>
    <w:rsid w:val="003F4B75"/>
    <w:rsid w:val="003F4D0D"/>
    <w:rsid w:val="003F5163"/>
    <w:rsid w:val="003F5EE5"/>
    <w:rsid w:val="003F637F"/>
    <w:rsid w:val="003F68A3"/>
    <w:rsid w:val="003F6B9F"/>
    <w:rsid w:val="003F6BF8"/>
    <w:rsid w:val="003F751E"/>
    <w:rsid w:val="003F7991"/>
    <w:rsid w:val="003F7A0B"/>
    <w:rsid w:val="003F7C4E"/>
    <w:rsid w:val="003F7D1B"/>
    <w:rsid w:val="00400166"/>
    <w:rsid w:val="004005C8"/>
    <w:rsid w:val="00400879"/>
    <w:rsid w:val="00400965"/>
    <w:rsid w:val="00400A55"/>
    <w:rsid w:val="00400AC1"/>
    <w:rsid w:val="00400B1C"/>
    <w:rsid w:val="00401070"/>
    <w:rsid w:val="00401112"/>
    <w:rsid w:val="004012E4"/>
    <w:rsid w:val="00401609"/>
    <w:rsid w:val="00401739"/>
    <w:rsid w:val="00401A36"/>
    <w:rsid w:val="00401CAF"/>
    <w:rsid w:val="00401DCC"/>
    <w:rsid w:val="00401F41"/>
    <w:rsid w:val="0040223C"/>
    <w:rsid w:val="004026B4"/>
    <w:rsid w:val="00402743"/>
    <w:rsid w:val="00402763"/>
    <w:rsid w:val="00402A0B"/>
    <w:rsid w:val="00402F01"/>
    <w:rsid w:val="00402F21"/>
    <w:rsid w:val="00403253"/>
    <w:rsid w:val="004032CC"/>
    <w:rsid w:val="004033AF"/>
    <w:rsid w:val="004033BF"/>
    <w:rsid w:val="0040345D"/>
    <w:rsid w:val="00403464"/>
    <w:rsid w:val="004034EC"/>
    <w:rsid w:val="00403B45"/>
    <w:rsid w:val="00403EBA"/>
    <w:rsid w:val="00403FC5"/>
    <w:rsid w:val="00403FCB"/>
    <w:rsid w:val="00403FF0"/>
    <w:rsid w:val="00404045"/>
    <w:rsid w:val="00404296"/>
    <w:rsid w:val="00404528"/>
    <w:rsid w:val="00404790"/>
    <w:rsid w:val="00404815"/>
    <w:rsid w:val="004051F4"/>
    <w:rsid w:val="00405222"/>
    <w:rsid w:val="004053A1"/>
    <w:rsid w:val="004057FC"/>
    <w:rsid w:val="00405BEB"/>
    <w:rsid w:val="00405E46"/>
    <w:rsid w:val="0040607E"/>
    <w:rsid w:val="00406735"/>
    <w:rsid w:val="0040694F"/>
    <w:rsid w:val="00407473"/>
    <w:rsid w:val="00407555"/>
    <w:rsid w:val="004076FD"/>
    <w:rsid w:val="004078EB"/>
    <w:rsid w:val="00407A31"/>
    <w:rsid w:val="00407AAC"/>
    <w:rsid w:val="00407B04"/>
    <w:rsid w:val="00407EDC"/>
    <w:rsid w:val="00407FEA"/>
    <w:rsid w:val="00410033"/>
    <w:rsid w:val="004104EA"/>
    <w:rsid w:val="004104EE"/>
    <w:rsid w:val="0041056C"/>
    <w:rsid w:val="0041076F"/>
    <w:rsid w:val="0041079E"/>
    <w:rsid w:val="00410DCF"/>
    <w:rsid w:val="00410E71"/>
    <w:rsid w:val="00410EAD"/>
    <w:rsid w:val="00410EBF"/>
    <w:rsid w:val="00410F17"/>
    <w:rsid w:val="0041177F"/>
    <w:rsid w:val="00411AC9"/>
    <w:rsid w:val="00411DCF"/>
    <w:rsid w:val="00411E4E"/>
    <w:rsid w:val="00411F6E"/>
    <w:rsid w:val="004121B6"/>
    <w:rsid w:val="00412413"/>
    <w:rsid w:val="00412639"/>
    <w:rsid w:val="004127A5"/>
    <w:rsid w:val="00412BB4"/>
    <w:rsid w:val="004134D2"/>
    <w:rsid w:val="00413607"/>
    <w:rsid w:val="00413967"/>
    <w:rsid w:val="00413985"/>
    <w:rsid w:val="00413E0B"/>
    <w:rsid w:val="00414122"/>
    <w:rsid w:val="00414295"/>
    <w:rsid w:val="00414385"/>
    <w:rsid w:val="00414560"/>
    <w:rsid w:val="00414590"/>
    <w:rsid w:val="004147F9"/>
    <w:rsid w:val="004148E6"/>
    <w:rsid w:val="00414ACA"/>
    <w:rsid w:val="004159BA"/>
    <w:rsid w:val="00415C32"/>
    <w:rsid w:val="00415DB6"/>
    <w:rsid w:val="00415DFA"/>
    <w:rsid w:val="004161F4"/>
    <w:rsid w:val="00416573"/>
    <w:rsid w:val="00416B2A"/>
    <w:rsid w:val="00416E80"/>
    <w:rsid w:val="00416FD5"/>
    <w:rsid w:val="00417085"/>
    <w:rsid w:val="004171E1"/>
    <w:rsid w:val="00417206"/>
    <w:rsid w:val="00417464"/>
    <w:rsid w:val="0041751D"/>
    <w:rsid w:val="00417537"/>
    <w:rsid w:val="00417AAB"/>
    <w:rsid w:val="00417E54"/>
    <w:rsid w:val="004202BE"/>
    <w:rsid w:val="0042046A"/>
    <w:rsid w:val="004205DF"/>
    <w:rsid w:val="00420859"/>
    <w:rsid w:val="00420EEC"/>
    <w:rsid w:val="004212DB"/>
    <w:rsid w:val="004213A9"/>
    <w:rsid w:val="004213F6"/>
    <w:rsid w:val="004214EC"/>
    <w:rsid w:val="00421678"/>
    <w:rsid w:val="00421A52"/>
    <w:rsid w:val="00421C86"/>
    <w:rsid w:val="00421FA7"/>
    <w:rsid w:val="00422350"/>
    <w:rsid w:val="00422352"/>
    <w:rsid w:val="00422A37"/>
    <w:rsid w:val="00422B8F"/>
    <w:rsid w:val="00422BF8"/>
    <w:rsid w:val="0042325B"/>
    <w:rsid w:val="004232CE"/>
    <w:rsid w:val="00423428"/>
    <w:rsid w:val="0042396F"/>
    <w:rsid w:val="0042397C"/>
    <w:rsid w:val="004239F5"/>
    <w:rsid w:val="00423D2B"/>
    <w:rsid w:val="00424213"/>
    <w:rsid w:val="0042427C"/>
    <w:rsid w:val="00424293"/>
    <w:rsid w:val="0042470F"/>
    <w:rsid w:val="00424906"/>
    <w:rsid w:val="00425064"/>
    <w:rsid w:val="0042541B"/>
    <w:rsid w:val="004255D0"/>
    <w:rsid w:val="00425A0F"/>
    <w:rsid w:val="00425B3A"/>
    <w:rsid w:val="00425CA9"/>
    <w:rsid w:val="00425CE2"/>
    <w:rsid w:val="00425F83"/>
    <w:rsid w:val="00426061"/>
    <w:rsid w:val="00426116"/>
    <w:rsid w:val="0042615D"/>
    <w:rsid w:val="004261A1"/>
    <w:rsid w:val="0042628C"/>
    <w:rsid w:val="00426457"/>
    <w:rsid w:val="0042668A"/>
    <w:rsid w:val="00426B14"/>
    <w:rsid w:val="00427028"/>
    <w:rsid w:val="0042737B"/>
    <w:rsid w:val="004273E4"/>
    <w:rsid w:val="00427440"/>
    <w:rsid w:val="004274A2"/>
    <w:rsid w:val="00427A98"/>
    <w:rsid w:val="00427BB9"/>
    <w:rsid w:val="00427D9B"/>
    <w:rsid w:val="00430313"/>
    <w:rsid w:val="00430795"/>
    <w:rsid w:val="0043082A"/>
    <w:rsid w:val="00430891"/>
    <w:rsid w:val="00430D1A"/>
    <w:rsid w:val="00430FB5"/>
    <w:rsid w:val="00431084"/>
    <w:rsid w:val="004311B9"/>
    <w:rsid w:val="0043125B"/>
    <w:rsid w:val="0043129A"/>
    <w:rsid w:val="00431596"/>
    <w:rsid w:val="004317DC"/>
    <w:rsid w:val="004318C0"/>
    <w:rsid w:val="00431921"/>
    <w:rsid w:val="00431BBE"/>
    <w:rsid w:val="00431CFF"/>
    <w:rsid w:val="00431F18"/>
    <w:rsid w:val="00432250"/>
    <w:rsid w:val="0043264B"/>
    <w:rsid w:val="00432789"/>
    <w:rsid w:val="004327F3"/>
    <w:rsid w:val="004328EB"/>
    <w:rsid w:val="00432D77"/>
    <w:rsid w:val="00432E40"/>
    <w:rsid w:val="0043369B"/>
    <w:rsid w:val="00433712"/>
    <w:rsid w:val="004337F1"/>
    <w:rsid w:val="00433B3D"/>
    <w:rsid w:val="00433DF9"/>
    <w:rsid w:val="00433E41"/>
    <w:rsid w:val="004346E9"/>
    <w:rsid w:val="00434D6A"/>
    <w:rsid w:val="00434FD7"/>
    <w:rsid w:val="004351A1"/>
    <w:rsid w:val="00435366"/>
    <w:rsid w:val="0043538C"/>
    <w:rsid w:val="0043552C"/>
    <w:rsid w:val="0043568F"/>
    <w:rsid w:val="00435884"/>
    <w:rsid w:val="00435E60"/>
    <w:rsid w:val="00435F37"/>
    <w:rsid w:val="004360BC"/>
    <w:rsid w:val="00436934"/>
    <w:rsid w:val="00436BA1"/>
    <w:rsid w:val="00436EAE"/>
    <w:rsid w:val="004370FA"/>
    <w:rsid w:val="0043729D"/>
    <w:rsid w:val="00437C22"/>
    <w:rsid w:val="00437C7B"/>
    <w:rsid w:val="00437CA1"/>
    <w:rsid w:val="00437F74"/>
    <w:rsid w:val="004406C5"/>
    <w:rsid w:val="00440902"/>
    <w:rsid w:val="004410E1"/>
    <w:rsid w:val="0044110B"/>
    <w:rsid w:val="00441313"/>
    <w:rsid w:val="004413E0"/>
    <w:rsid w:val="004414BE"/>
    <w:rsid w:val="00441778"/>
    <w:rsid w:val="00441A6F"/>
    <w:rsid w:val="00441F0C"/>
    <w:rsid w:val="00442282"/>
    <w:rsid w:val="00442578"/>
    <w:rsid w:val="0044265D"/>
    <w:rsid w:val="00442DF8"/>
    <w:rsid w:val="0044324B"/>
    <w:rsid w:val="004432E1"/>
    <w:rsid w:val="00443333"/>
    <w:rsid w:val="004434E1"/>
    <w:rsid w:val="004435CB"/>
    <w:rsid w:val="0044387F"/>
    <w:rsid w:val="00443883"/>
    <w:rsid w:val="00443ABD"/>
    <w:rsid w:val="00444191"/>
    <w:rsid w:val="004441DB"/>
    <w:rsid w:val="00444240"/>
    <w:rsid w:val="00444504"/>
    <w:rsid w:val="004445A8"/>
    <w:rsid w:val="004446FC"/>
    <w:rsid w:val="004451C3"/>
    <w:rsid w:val="004455A4"/>
    <w:rsid w:val="004458E3"/>
    <w:rsid w:val="00445917"/>
    <w:rsid w:val="00445A0D"/>
    <w:rsid w:val="00445AAB"/>
    <w:rsid w:val="0044635B"/>
    <w:rsid w:val="0044653E"/>
    <w:rsid w:val="00446679"/>
    <w:rsid w:val="00446B62"/>
    <w:rsid w:val="00446DC6"/>
    <w:rsid w:val="00446FEC"/>
    <w:rsid w:val="00447485"/>
    <w:rsid w:val="0044758E"/>
    <w:rsid w:val="004477BC"/>
    <w:rsid w:val="00447919"/>
    <w:rsid w:val="00447F50"/>
    <w:rsid w:val="004500E7"/>
    <w:rsid w:val="00450A29"/>
    <w:rsid w:val="00450B6A"/>
    <w:rsid w:val="00450D1B"/>
    <w:rsid w:val="00450D29"/>
    <w:rsid w:val="0045124E"/>
    <w:rsid w:val="00451285"/>
    <w:rsid w:val="004519D9"/>
    <w:rsid w:val="00451CAE"/>
    <w:rsid w:val="00451DD4"/>
    <w:rsid w:val="0045210F"/>
    <w:rsid w:val="004528E9"/>
    <w:rsid w:val="004528F8"/>
    <w:rsid w:val="00452C2A"/>
    <w:rsid w:val="004536EF"/>
    <w:rsid w:val="0045372F"/>
    <w:rsid w:val="004537EE"/>
    <w:rsid w:val="004538AC"/>
    <w:rsid w:val="00453D4F"/>
    <w:rsid w:val="00453F78"/>
    <w:rsid w:val="0045411C"/>
    <w:rsid w:val="004541E0"/>
    <w:rsid w:val="00454239"/>
    <w:rsid w:val="004543ED"/>
    <w:rsid w:val="00454468"/>
    <w:rsid w:val="00454624"/>
    <w:rsid w:val="004547E6"/>
    <w:rsid w:val="00454B98"/>
    <w:rsid w:val="00454C23"/>
    <w:rsid w:val="00455592"/>
    <w:rsid w:val="00455909"/>
    <w:rsid w:val="00455C06"/>
    <w:rsid w:val="00455DEF"/>
    <w:rsid w:val="00455F16"/>
    <w:rsid w:val="0045647F"/>
    <w:rsid w:val="004569BA"/>
    <w:rsid w:val="00456C48"/>
    <w:rsid w:val="00456CFF"/>
    <w:rsid w:val="0045732A"/>
    <w:rsid w:val="004573ED"/>
    <w:rsid w:val="004575B0"/>
    <w:rsid w:val="004575BB"/>
    <w:rsid w:val="004575F8"/>
    <w:rsid w:val="0045766C"/>
    <w:rsid w:val="004577B4"/>
    <w:rsid w:val="00457859"/>
    <w:rsid w:val="00457870"/>
    <w:rsid w:val="00457DC6"/>
    <w:rsid w:val="0046002C"/>
    <w:rsid w:val="00460344"/>
    <w:rsid w:val="00460460"/>
    <w:rsid w:val="004605DE"/>
    <w:rsid w:val="0046124B"/>
    <w:rsid w:val="00461994"/>
    <w:rsid w:val="00461BAC"/>
    <w:rsid w:val="00461E6D"/>
    <w:rsid w:val="00462185"/>
    <w:rsid w:val="004624D7"/>
    <w:rsid w:val="00462527"/>
    <w:rsid w:val="004628C7"/>
    <w:rsid w:val="00462A30"/>
    <w:rsid w:val="00462CB9"/>
    <w:rsid w:val="004633E3"/>
    <w:rsid w:val="0046391D"/>
    <w:rsid w:val="00463966"/>
    <w:rsid w:val="00463B17"/>
    <w:rsid w:val="00463B79"/>
    <w:rsid w:val="004641F4"/>
    <w:rsid w:val="00464AE6"/>
    <w:rsid w:val="00464DE0"/>
    <w:rsid w:val="00464ED2"/>
    <w:rsid w:val="0046523C"/>
    <w:rsid w:val="004656BF"/>
    <w:rsid w:val="004656E6"/>
    <w:rsid w:val="00465776"/>
    <w:rsid w:val="004659E4"/>
    <w:rsid w:val="00465A75"/>
    <w:rsid w:val="00465EAA"/>
    <w:rsid w:val="00465FFD"/>
    <w:rsid w:val="00466981"/>
    <w:rsid w:val="00466B8F"/>
    <w:rsid w:val="004673EB"/>
    <w:rsid w:val="0046767A"/>
    <w:rsid w:val="00470797"/>
    <w:rsid w:val="004708FA"/>
    <w:rsid w:val="00470C48"/>
    <w:rsid w:val="00471134"/>
    <w:rsid w:val="0047137E"/>
    <w:rsid w:val="00471579"/>
    <w:rsid w:val="004716B2"/>
    <w:rsid w:val="00471703"/>
    <w:rsid w:val="004718BB"/>
    <w:rsid w:val="00471C01"/>
    <w:rsid w:val="004725C1"/>
    <w:rsid w:val="004728A9"/>
    <w:rsid w:val="00472B2C"/>
    <w:rsid w:val="00472C01"/>
    <w:rsid w:val="00472D9E"/>
    <w:rsid w:val="00472EB1"/>
    <w:rsid w:val="00473000"/>
    <w:rsid w:val="00473257"/>
    <w:rsid w:val="00473445"/>
    <w:rsid w:val="00473534"/>
    <w:rsid w:val="00473604"/>
    <w:rsid w:val="00473710"/>
    <w:rsid w:val="004739BE"/>
    <w:rsid w:val="00473A0C"/>
    <w:rsid w:val="00473AD5"/>
    <w:rsid w:val="00473CF6"/>
    <w:rsid w:val="004749BD"/>
    <w:rsid w:val="00474C94"/>
    <w:rsid w:val="00474F14"/>
    <w:rsid w:val="00475981"/>
    <w:rsid w:val="004759B3"/>
    <w:rsid w:val="00475C83"/>
    <w:rsid w:val="00475C8F"/>
    <w:rsid w:val="00475DAA"/>
    <w:rsid w:val="00476141"/>
    <w:rsid w:val="0047642B"/>
    <w:rsid w:val="00476633"/>
    <w:rsid w:val="00476B57"/>
    <w:rsid w:val="00476E7C"/>
    <w:rsid w:val="00476EFF"/>
    <w:rsid w:val="00476F08"/>
    <w:rsid w:val="00477019"/>
    <w:rsid w:val="004776BC"/>
    <w:rsid w:val="0048043D"/>
    <w:rsid w:val="00480560"/>
    <w:rsid w:val="004808FF"/>
    <w:rsid w:val="00480F58"/>
    <w:rsid w:val="00481092"/>
    <w:rsid w:val="00481414"/>
    <w:rsid w:val="00481A69"/>
    <w:rsid w:val="00481D44"/>
    <w:rsid w:val="00481D53"/>
    <w:rsid w:val="00482252"/>
    <w:rsid w:val="0048279B"/>
    <w:rsid w:val="0048318C"/>
    <w:rsid w:val="0048365C"/>
    <w:rsid w:val="00483FA5"/>
    <w:rsid w:val="004842AE"/>
    <w:rsid w:val="004843DF"/>
    <w:rsid w:val="004843FC"/>
    <w:rsid w:val="004845E2"/>
    <w:rsid w:val="00484CEF"/>
    <w:rsid w:val="00485186"/>
    <w:rsid w:val="004856D3"/>
    <w:rsid w:val="004857D5"/>
    <w:rsid w:val="00485AC2"/>
    <w:rsid w:val="00485BDE"/>
    <w:rsid w:val="00485BEF"/>
    <w:rsid w:val="00486025"/>
    <w:rsid w:val="004861A0"/>
    <w:rsid w:val="004862EE"/>
    <w:rsid w:val="004870FB"/>
    <w:rsid w:val="004871A2"/>
    <w:rsid w:val="00487286"/>
    <w:rsid w:val="00487435"/>
    <w:rsid w:val="0048743A"/>
    <w:rsid w:val="0048750B"/>
    <w:rsid w:val="0048779C"/>
    <w:rsid w:val="004879E9"/>
    <w:rsid w:val="00490592"/>
    <w:rsid w:val="004909C0"/>
    <w:rsid w:val="00491162"/>
    <w:rsid w:val="00491186"/>
    <w:rsid w:val="00491269"/>
    <w:rsid w:val="0049171C"/>
    <w:rsid w:val="00491767"/>
    <w:rsid w:val="00491B02"/>
    <w:rsid w:val="00491EA2"/>
    <w:rsid w:val="00491F25"/>
    <w:rsid w:val="00491F30"/>
    <w:rsid w:val="00491FCB"/>
    <w:rsid w:val="0049249E"/>
    <w:rsid w:val="004926FB"/>
    <w:rsid w:val="0049288B"/>
    <w:rsid w:val="00492C18"/>
    <w:rsid w:val="00492DF1"/>
    <w:rsid w:val="00492EB4"/>
    <w:rsid w:val="00492FC3"/>
    <w:rsid w:val="00493054"/>
    <w:rsid w:val="0049322C"/>
    <w:rsid w:val="004933AE"/>
    <w:rsid w:val="00493736"/>
    <w:rsid w:val="00493A6E"/>
    <w:rsid w:val="00493BF3"/>
    <w:rsid w:val="00493C43"/>
    <w:rsid w:val="004943D5"/>
    <w:rsid w:val="00494452"/>
    <w:rsid w:val="004944EF"/>
    <w:rsid w:val="00494ECD"/>
    <w:rsid w:val="00495208"/>
    <w:rsid w:val="00495273"/>
    <w:rsid w:val="004953A1"/>
    <w:rsid w:val="0049557B"/>
    <w:rsid w:val="00495823"/>
    <w:rsid w:val="00495824"/>
    <w:rsid w:val="004959A7"/>
    <w:rsid w:val="00495C1E"/>
    <w:rsid w:val="00495CBE"/>
    <w:rsid w:val="00495EAE"/>
    <w:rsid w:val="00495EDD"/>
    <w:rsid w:val="00496009"/>
    <w:rsid w:val="00496707"/>
    <w:rsid w:val="0049677B"/>
    <w:rsid w:val="00496A35"/>
    <w:rsid w:val="00496BA8"/>
    <w:rsid w:val="00496DC3"/>
    <w:rsid w:val="00497070"/>
    <w:rsid w:val="00497198"/>
    <w:rsid w:val="004973BD"/>
    <w:rsid w:val="00497436"/>
    <w:rsid w:val="004974F5"/>
    <w:rsid w:val="00497CDB"/>
    <w:rsid w:val="004A0004"/>
    <w:rsid w:val="004A01AA"/>
    <w:rsid w:val="004A04E3"/>
    <w:rsid w:val="004A09E7"/>
    <w:rsid w:val="004A0E45"/>
    <w:rsid w:val="004A0FE0"/>
    <w:rsid w:val="004A160B"/>
    <w:rsid w:val="004A19C1"/>
    <w:rsid w:val="004A19F4"/>
    <w:rsid w:val="004A1A8C"/>
    <w:rsid w:val="004A1AB1"/>
    <w:rsid w:val="004A1B9D"/>
    <w:rsid w:val="004A2756"/>
    <w:rsid w:val="004A2C69"/>
    <w:rsid w:val="004A2C7E"/>
    <w:rsid w:val="004A31F6"/>
    <w:rsid w:val="004A33F9"/>
    <w:rsid w:val="004A3DD4"/>
    <w:rsid w:val="004A3E86"/>
    <w:rsid w:val="004A413B"/>
    <w:rsid w:val="004A4ECC"/>
    <w:rsid w:val="004A5167"/>
    <w:rsid w:val="004A5C0B"/>
    <w:rsid w:val="004A5DC2"/>
    <w:rsid w:val="004A5E8E"/>
    <w:rsid w:val="004A5EA0"/>
    <w:rsid w:val="004A5FF1"/>
    <w:rsid w:val="004A61F0"/>
    <w:rsid w:val="004A65EE"/>
    <w:rsid w:val="004A6717"/>
    <w:rsid w:val="004A6D44"/>
    <w:rsid w:val="004A791D"/>
    <w:rsid w:val="004A7956"/>
    <w:rsid w:val="004A7957"/>
    <w:rsid w:val="004B0977"/>
    <w:rsid w:val="004B0DBA"/>
    <w:rsid w:val="004B1513"/>
    <w:rsid w:val="004B1A4C"/>
    <w:rsid w:val="004B1C9C"/>
    <w:rsid w:val="004B1F03"/>
    <w:rsid w:val="004B20EE"/>
    <w:rsid w:val="004B250D"/>
    <w:rsid w:val="004B2597"/>
    <w:rsid w:val="004B2698"/>
    <w:rsid w:val="004B26CE"/>
    <w:rsid w:val="004B28EB"/>
    <w:rsid w:val="004B2A18"/>
    <w:rsid w:val="004B2B03"/>
    <w:rsid w:val="004B2E88"/>
    <w:rsid w:val="004B2F72"/>
    <w:rsid w:val="004B349A"/>
    <w:rsid w:val="004B351A"/>
    <w:rsid w:val="004B356C"/>
    <w:rsid w:val="004B35B4"/>
    <w:rsid w:val="004B3761"/>
    <w:rsid w:val="004B3908"/>
    <w:rsid w:val="004B3B0E"/>
    <w:rsid w:val="004B3D14"/>
    <w:rsid w:val="004B3FCC"/>
    <w:rsid w:val="004B40F7"/>
    <w:rsid w:val="004B4250"/>
    <w:rsid w:val="004B4290"/>
    <w:rsid w:val="004B4338"/>
    <w:rsid w:val="004B4347"/>
    <w:rsid w:val="004B43F8"/>
    <w:rsid w:val="004B441C"/>
    <w:rsid w:val="004B453F"/>
    <w:rsid w:val="004B45A7"/>
    <w:rsid w:val="004B464D"/>
    <w:rsid w:val="004B49D9"/>
    <w:rsid w:val="004B4A21"/>
    <w:rsid w:val="004B4C93"/>
    <w:rsid w:val="004B540E"/>
    <w:rsid w:val="004B559D"/>
    <w:rsid w:val="004B5654"/>
    <w:rsid w:val="004B58B6"/>
    <w:rsid w:val="004B6369"/>
    <w:rsid w:val="004B65CC"/>
    <w:rsid w:val="004B6664"/>
    <w:rsid w:val="004B6D27"/>
    <w:rsid w:val="004B6FC4"/>
    <w:rsid w:val="004B7F62"/>
    <w:rsid w:val="004C0284"/>
    <w:rsid w:val="004C05E0"/>
    <w:rsid w:val="004C06D0"/>
    <w:rsid w:val="004C070F"/>
    <w:rsid w:val="004C0815"/>
    <w:rsid w:val="004C085D"/>
    <w:rsid w:val="004C08A2"/>
    <w:rsid w:val="004C0B8D"/>
    <w:rsid w:val="004C0F2F"/>
    <w:rsid w:val="004C115D"/>
    <w:rsid w:val="004C1313"/>
    <w:rsid w:val="004C13D4"/>
    <w:rsid w:val="004C145E"/>
    <w:rsid w:val="004C15BD"/>
    <w:rsid w:val="004C1A45"/>
    <w:rsid w:val="004C1C67"/>
    <w:rsid w:val="004C1C6F"/>
    <w:rsid w:val="004C1D68"/>
    <w:rsid w:val="004C216A"/>
    <w:rsid w:val="004C217D"/>
    <w:rsid w:val="004C262A"/>
    <w:rsid w:val="004C263C"/>
    <w:rsid w:val="004C2BE4"/>
    <w:rsid w:val="004C2C96"/>
    <w:rsid w:val="004C3035"/>
    <w:rsid w:val="004C3314"/>
    <w:rsid w:val="004C34A5"/>
    <w:rsid w:val="004C361B"/>
    <w:rsid w:val="004C394A"/>
    <w:rsid w:val="004C3A5D"/>
    <w:rsid w:val="004C3C88"/>
    <w:rsid w:val="004C3EF3"/>
    <w:rsid w:val="004C4394"/>
    <w:rsid w:val="004C4395"/>
    <w:rsid w:val="004C43A9"/>
    <w:rsid w:val="004C454B"/>
    <w:rsid w:val="004C45D3"/>
    <w:rsid w:val="004C461B"/>
    <w:rsid w:val="004C4FEC"/>
    <w:rsid w:val="004C51AC"/>
    <w:rsid w:val="004C523F"/>
    <w:rsid w:val="004C538A"/>
    <w:rsid w:val="004C57FF"/>
    <w:rsid w:val="004C5AB5"/>
    <w:rsid w:val="004C5B26"/>
    <w:rsid w:val="004C5C00"/>
    <w:rsid w:val="004C5E99"/>
    <w:rsid w:val="004C63CF"/>
    <w:rsid w:val="004C6D82"/>
    <w:rsid w:val="004C6DE7"/>
    <w:rsid w:val="004C6ED0"/>
    <w:rsid w:val="004C7032"/>
    <w:rsid w:val="004C7063"/>
    <w:rsid w:val="004C725B"/>
    <w:rsid w:val="004C7314"/>
    <w:rsid w:val="004C76BA"/>
    <w:rsid w:val="004C7831"/>
    <w:rsid w:val="004C7B0F"/>
    <w:rsid w:val="004C7C41"/>
    <w:rsid w:val="004C7CF6"/>
    <w:rsid w:val="004D0816"/>
    <w:rsid w:val="004D0B64"/>
    <w:rsid w:val="004D0C3C"/>
    <w:rsid w:val="004D1040"/>
    <w:rsid w:val="004D1131"/>
    <w:rsid w:val="004D154D"/>
    <w:rsid w:val="004D18FF"/>
    <w:rsid w:val="004D19A7"/>
    <w:rsid w:val="004D1BE8"/>
    <w:rsid w:val="004D1D33"/>
    <w:rsid w:val="004D285D"/>
    <w:rsid w:val="004D2BA5"/>
    <w:rsid w:val="004D2F63"/>
    <w:rsid w:val="004D321C"/>
    <w:rsid w:val="004D342B"/>
    <w:rsid w:val="004D37DF"/>
    <w:rsid w:val="004D3A6D"/>
    <w:rsid w:val="004D3DB0"/>
    <w:rsid w:val="004D4083"/>
    <w:rsid w:val="004D4544"/>
    <w:rsid w:val="004D46E5"/>
    <w:rsid w:val="004D470F"/>
    <w:rsid w:val="004D4750"/>
    <w:rsid w:val="004D4777"/>
    <w:rsid w:val="004D47C6"/>
    <w:rsid w:val="004D4CE2"/>
    <w:rsid w:val="004D524E"/>
    <w:rsid w:val="004D55EC"/>
    <w:rsid w:val="004D5781"/>
    <w:rsid w:val="004D5932"/>
    <w:rsid w:val="004D5DDF"/>
    <w:rsid w:val="004D5E6D"/>
    <w:rsid w:val="004D60A4"/>
    <w:rsid w:val="004D64FC"/>
    <w:rsid w:val="004D6D33"/>
    <w:rsid w:val="004D71C4"/>
    <w:rsid w:val="004D72C5"/>
    <w:rsid w:val="004D758D"/>
    <w:rsid w:val="004D7B6D"/>
    <w:rsid w:val="004E0212"/>
    <w:rsid w:val="004E034B"/>
    <w:rsid w:val="004E085F"/>
    <w:rsid w:val="004E0C4B"/>
    <w:rsid w:val="004E1241"/>
    <w:rsid w:val="004E1354"/>
    <w:rsid w:val="004E18B0"/>
    <w:rsid w:val="004E1A5E"/>
    <w:rsid w:val="004E1D3A"/>
    <w:rsid w:val="004E1EB7"/>
    <w:rsid w:val="004E25EE"/>
    <w:rsid w:val="004E2921"/>
    <w:rsid w:val="004E2A5D"/>
    <w:rsid w:val="004E3390"/>
    <w:rsid w:val="004E34F4"/>
    <w:rsid w:val="004E3D4E"/>
    <w:rsid w:val="004E3D8D"/>
    <w:rsid w:val="004E422B"/>
    <w:rsid w:val="004E4763"/>
    <w:rsid w:val="004E4765"/>
    <w:rsid w:val="004E4A80"/>
    <w:rsid w:val="004E4E98"/>
    <w:rsid w:val="004E50C8"/>
    <w:rsid w:val="004E521C"/>
    <w:rsid w:val="004E5277"/>
    <w:rsid w:val="004E5552"/>
    <w:rsid w:val="004E5A57"/>
    <w:rsid w:val="004E5BB8"/>
    <w:rsid w:val="004E6135"/>
    <w:rsid w:val="004E616A"/>
    <w:rsid w:val="004E660F"/>
    <w:rsid w:val="004E693D"/>
    <w:rsid w:val="004E6E84"/>
    <w:rsid w:val="004E6E8A"/>
    <w:rsid w:val="004E700C"/>
    <w:rsid w:val="004E70F3"/>
    <w:rsid w:val="004E71D7"/>
    <w:rsid w:val="004E7495"/>
    <w:rsid w:val="004E74A4"/>
    <w:rsid w:val="004E788D"/>
    <w:rsid w:val="004E793B"/>
    <w:rsid w:val="004E7A62"/>
    <w:rsid w:val="004E7B00"/>
    <w:rsid w:val="004E7B5D"/>
    <w:rsid w:val="004E7DE5"/>
    <w:rsid w:val="004F00E4"/>
    <w:rsid w:val="004F016F"/>
    <w:rsid w:val="004F076F"/>
    <w:rsid w:val="004F0F02"/>
    <w:rsid w:val="004F0F61"/>
    <w:rsid w:val="004F1014"/>
    <w:rsid w:val="004F109C"/>
    <w:rsid w:val="004F1511"/>
    <w:rsid w:val="004F1A57"/>
    <w:rsid w:val="004F1AEA"/>
    <w:rsid w:val="004F1BFB"/>
    <w:rsid w:val="004F1C1D"/>
    <w:rsid w:val="004F2081"/>
    <w:rsid w:val="004F21FB"/>
    <w:rsid w:val="004F23CD"/>
    <w:rsid w:val="004F23F9"/>
    <w:rsid w:val="004F2622"/>
    <w:rsid w:val="004F2CFC"/>
    <w:rsid w:val="004F3001"/>
    <w:rsid w:val="004F3084"/>
    <w:rsid w:val="004F3127"/>
    <w:rsid w:val="004F31CE"/>
    <w:rsid w:val="004F36A9"/>
    <w:rsid w:val="004F36CF"/>
    <w:rsid w:val="004F39DB"/>
    <w:rsid w:val="004F3B86"/>
    <w:rsid w:val="004F3D77"/>
    <w:rsid w:val="004F3F2D"/>
    <w:rsid w:val="004F3F83"/>
    <w:rsid w:val="004F4031"/>
    <w:rsid w:val="004F405D"/>
    <w:rsid w:val="004F4277"/>
    <w:rsid w:val="004F42F8"/>
    <w:rsid w:val="004F4377"/>
    <w:rsid w:val="004F48CB"/>
    <w:rsid w:val="004F4A3F"/>
    <w:rsid w:val="004F4C4C"/>
    <w:rsid w:val="004F4D7C"/>
    <w:rsid w:val="004F51B9"/>
    <w:rsid w:val="004F53C2"/>
    <w:rsid w:val="004F5550"/>
    <w:rsid w:val="004F5F18"/>
    <w:rsid w:val="004F602E"/>
    <w:rsid w:val="004F6054"/>
    <w:rsid w:val="004F64B2"/>
    <w:rsid w:val="004F6677"/>
    <w:rsid w:val="004F6968"/>
    <w:rsid w:val="004F69BA"/>
    <w:rsid w:val="004F6C43"/>
    <w:rsid w:val="004F6FAA"/>
    <w:rsid w:val="004F712D"/>
    <w:rsid w:val="004F7366"/>
    <w:rsid w:val="004F7485"/>
    <w:rsid w:val="004F772F"/>
    <w:rsid w:val="004F791E"/>
    <w:rsid w:val="004F7931"/>
    <w:rsid w:val="004F79C8"/>
    <w:rsid w:val="004F7A1D"/>
    <w:rsid w:val="004F7A39"/>
    <w:rsid w:val="004F7A57"/>
    <w:rsid w:val="004F7EC9"/>
    <w:rsid w:val="0050009D"/>
    <w:rsid w:val="005003E2"/>
    <w:rsid w:val="0050066A"/>
    <w:rsid w:val="00500CC7"/>
    <w:rsid w:val="00500DF6"/>
    <w:rsid w:val="00500F33"/>
    <w:rsid w:val="0050118F"/>
    <w:rsid w:val="0050163B"/>
    <w:rsid w:val="00501735"/>
    <w:rsid w:val="005017F7"/>
    <w:rsid w:val="00501A59"/>
    <w:rsid w:val="00501AA9"/>
    <w:rsid w:val="00501B6A"/>
    <w:rsid w:val="00501BC8"/>
    <w:rsid w:val="00502497"/>
    <w:rsid w:val="00502A4F"/>
    <w:rsid w:val="00502CE7"/>
    <w:rsid w:val="00503019"/>
    <w:rsid w:val="005039FB"/>
    <w:rsid w:val="00503F33"/>
    <w:rsid w:val="00504519"/>
    <w:rsid w:val="00504767"/>
    <w:rsid w:val="00504B24"/>
    <w:rsid w:val="00504E04"/>
    <w:rsid w:val="00505324"/>
    <w:rsid w:val="00505439"/>
    <w:rsid w:val="005054AA"/>
    <w:rsid w:val="005056FA"/>
    <w:rsid w:val="00505A2F"/>
    <w:rsid w:val="00505AD3"/>
    <w:rsid w:val="00505BFA"/>
    <w:rsid w:val="00505C69"/>
    <w:rsid w:val="00505C78"/>
    <w:rsid w:val="005063C0"/>
    <w:rsid w:val="005064DB"/>
    <w:rsid w:val="005066D5"/>
    <w:rsid w:val="005067B4"/>
    <w:rsid w:val="00507111"/>
    <w:rsid w:val="0050714A"/>
    <w:rsid w:val="00507221"/>
    <w:rsid w:val="00507B18"/>
    <w:rsid w:val="00507F09"/>
    <w:rsid w:val="00507F18"/>
    <w:rsid w:val="00510116"/>
    <w:rsid w:val="0051048D"/>
    <w:rsid w:val="005106E0"/>
    <w:rsid w:val="0051083A"/>
    <w:rsid w:val="00510E5B"/>
    <w:rsid w:val="00510FDC"/>
    <w:rsid w:val="0051109A"/>
    <w:rsid w:val="005110F8"/>
    <w:rsid w:val="0051195F"/>
    <w:rsid w:val="00511BF4"/>
    <w:rsid w:val="00511D92"/>
    <w:rsid w:val="00511FCD"/>
    <w:rsid w:val="005123D8"/>
    <w:rsid w:val="00512622"/>
    <w:rsid w:val="0051272E"/>
    <w:rsid w:val="00512A49"/>
    <w:rsid w:val="00512B60"/>
    <w:rsid w:val="00512DEE"/>
    <w:rsid w:val="005133DD"/>
    <w:rsid w:val="0051377D"/>
    <w:rsid w:val="00513CD8"/>
    <w:rsid w:val="005144D2"/>
    <w:rsid w:val="0051456A"/>
    <w:rsid w:val="00514B06"/>
    <w:rsid w:val="00514D45"/>
    <w:rsid w:val="00514DD4"/>
    <w:rsid w:val="00514E5B"/>
    <w:rsid w:val="0051562A"/>
    <w:rsid w:val="0051566B"/>
    <w:rsid w:val="0051592A"/>
    <w:rsid w:val="0051598D"/>
    <w:rsid w:val="00515ABC"/>
    <w:rsid w:val="00515AD8"/>
    <w:rsid w:val="00515D1D"/>
    <w:rsid w:val="00515D76"/>
    <w:rsid w:val="00515E2F"/>
    <w:rsid w:val="00515E7D"/>
    <w:rsid w:val="005161F9"/>
    <w:rsid w:val="00516A37"/>
    <w:rsid w:val="00516E50"/>
    <w:rsid w:val="00516F4B"/>
    <w:rsid w:val="005170B4"/>
    <w:rsid w:val="005173FD"/>
    <w:rsid w:val="00517436"/>
    <w:rsid w:val="00517639"/>
    <w:rsid w:val="00517874"/>
    <w:rsid w:val="00517F2A"/>
    <w:rsid w:val="00517F9C"/>
    <w:rsid w:val="00520860"/>
    <w:rsid w:val="00521045"/>
    <w:rsid w:val="00521292"/>
    <w:rsid w:val="00521396"/>
    <w:rsid w:val="005215D6"/>
    <w:rsid w:val="005216A8"/>
    <w:rsid w:val="00521959"/>
    <w:rsid w:val="00521BC7"/>
    <w:rsid w:val="0052202B"/>
    <w:rsid w:val="0052234C"/>
    <w:rsid w:val="00522432"/>
    <w:rsid w:val="00522753"/>
    <w:rsid w:val="005227AC"/>
    <w:rsid w:val="005227E7"/>
    <w:rsid w:val="0052305F"/>
    <w:rsid w:val="00523244"/>
    <w:rsid w:val="00523266"/>
    <w:rsid w:val="0052346C"/>
    <w:rsid w:val="005246BC"/>
    <w:rsid w:val="005246D5"/>
    <w:rsid w:val="00524706"/>
    <w:rsid w:val="00525503"/>
    <w:rsid w:val="00525FC4"/>
    <w:rsid w:val="00526303"/>
    <w:rsid w:val="00526358"/>
    <w:rsid w:val="005268A2"/>
    <w:rsid w:val="005268D4"/>
    <w:rsid w:val="00526B00"/>
    <w:rsid w:val="00526BE1"/>
    <w:rsid w:val="00526D8D"/>
    <w:rsid w:val="00526DCC"/>
    <w:rsid w:val="00526E9B"/>
    <w:rsid w:val="00526F34"/>
    <w:rsid w:val="00527272"/>
    <w:rsid w:val="0052740A"/>
    <w:rsid w:val="005275C0"/>
    <w:rsid w:val="005277A3"/>
    <w:rsid w:val="00527B3C"/>
    <w:rsid w:val="00530147"/>
    <w:rsid w:val="00530190"/>
    <w:rsid w:val="00530381"/>
    <w:rsid w:val="00530700"/>
    <w:rsid w:val="005309E1"/>
    <w:rsid w:val="00530ED7"/>
    <w:rsid w:val="00530EF4"/>
    <w:rsid w:val="00530F01"/>
    <w:rsid w:val="00530FF8"/>
    <w:rsid w:val="005313FF"/>
    <w:rsid w:val="0053185B"/>
    <w:rsid w:val="00531A5B"/>
    <w:rsid w:val="00531AD7"/>
    <w:rsid w:val="00531F26"/>
    <w:rsid w:val="00532786"/>
    <w:rsid w:val="00532A2B"/>
    <w:rsid w:val="00532FDC"/>
    <w:rsid w:val="0053312F"/>
    <w:rsid w:val="005331D0"/>
    <w:rsid w:val="005331E6"/>
    <w:rsid w:val="00533266"/>
    <w:rsid w:val="00533486"/>
    <w:rsid w:val="005339E8"/>
    <w:rsid w:val="00533DAB"/>
    <w:rsid w:val="00533F88"/>
    <w:rsid w:val="00534010"/>
    <w:rsid w:val="005344CB"/>
    <w:rsid w:val="0053457A"/>
    <w:rsid w:val="005345EE"/>
    <w:rsid w:val="005346B0"/>
    <w:rsid w:val="0053487D"/>
    <w:rsid w:val="00534C25"/>
    <w:rsid w:val="00534C6D"/>
    <w:rsid w:val="00534D6A"/>
    <w:rsid w:val="00534DF6"/>
    <w:rsid w:val="00534E84"/>
    <w:rsid w:val="00535235"/>
    <w:rsid w:val="00535378"/>
    <w:rsid w:val="00536042"/>
    <w:rsid w:val="00536173"/>
    <w:rsid w:val="0053621C"/>
    <w:rsid w:val="005364B2"/>
    <w:rsid w:val="00536579"/>
    <w:rsid w:val="005368FB"/>
    <w:rsid w:val="0053694B"/>
    <w:rsid w:val="00536A02"/>
    <w:rsid w:val="00536AD9"/>
    <w:rsid w:val="00536C21"/>
    <w:rsid w:val="00536C96"/>
    <w:rsid w:val="00536C99"/>
    <w:rsid w:val="00536E9B"/>
    <w:rsid w:val="00537371"/>
    <w:rsid w:val="005378C0"/>
    <w:rsid w:val="00537A97"/>
    <w:rsid w:val="00537AE4"/>
    <w:rsid w:val="00537CFF"/>
    <w:rsid w:val="00537E7A"/>
    <w:rsid w:val="00537F03"/>
    <w:rsid w:val="0054007F"/>
    <w:rsid w:val="0054018A"/>
    <w:rsid w:val="00540202"/>
    <w:rsid w:val="00540291"/>
    <w:rsid w:val="0054071A"/>
    <w:rsid w:val="0054074F"/>
    <w:rsid w:val="00540F8F"/>
    <w:rsid w:val="005413F5"/>
    <w:rsid w:val="00541572"/>
    <w:rsid w:val="00541FB2"/>
    <w:rsid w:val="00541FB8"/>
    <w:rsid w:val="005423C1"/>
    <w:rsid w:val="00542748"/>
    <w:rsid w:val="00542936"/>
    <w:rsid w:val="00542A19"/>
    <w:rsid w:val="00542D4F"/>
    <w:rsid w:val="00542F53"/>
    <w:rsid w:val="00542F84"/>
    <w:rsid w:val="00542F9E"/>
    <w:rsid w:val="005431A7"/>
    <w:rsid w:val="0054337F"/>
    <w:rsid w:val="0054357D"/>
    <w:rsid w:val="00543945"/>
    <w:rsid w:val="00543B6E"/>
    <w:rsid w:val="00544037"/>
    <w:rsid w:val="00544399"/>
    <w:rsid w:val="005448AF"/>
    <w:rsid w:val="00544F5C"/>
    <w:rsid w:val="00545009"/>
    <w:rsid w:val="00545280"/>
    <w:rsid w:val="005454BF"/>
    <w:rsid w:val="005457E6"/>
    <w:rsid w:val="005459D2"/>
    <w:rsid w:val="00545A04"/>
    <w:rsid w:val="00545F85"/>
    <w:rsid w:val="0054617E"/>
    <w:rsid w:val="00546409"/>
    <w:rsid w:val="005464E2"/>
    <w:rsid w:val="00546632"/>
    <w:rsid w:val="0054684F"/>
    <w:rsid w:val="005469D9"/>
    <w:rsid w:val="005473BB"/>
    <w:rsid w:val="00547432"/>
    <w:rsid w:val="0054764E"/>
    <w:rsid w:val="0054767E"/>
    <w:rsid w:val="0054773C"/>
    <w:rsid w:val="00547845"/>
    <w:rsid w:val="00547A97"/>
    <w:rsid w:val="00547B38"/>
    <w:rsid w:val="00547C70"/>
    <w:rsid w:val="00547D25"/>
    <w:rsid w:val="00550051"/>
    <w:rsid w:val="005503E9"/>
    <w:rsid w:val="005505DC"/>
    <w:rsid w:val="00550BD8"/>
    <w:rsid w:val="00550F22"/>
    <w:rsid w:val="00551016"/>
    <w:rsid w:val="00551480"/>
    <w:rsid w:val="00551EA5"/>
    <w:rsid w:val="00552105"/>
    <w:rsid w:val="00552A11"/>
    <w:rsid w:val="00552B86"/>
    <w:rsid w:val="00552B8D"/>
    <w:rsid w:val="00552DB6"/>
    <w:rsid w:val="00552DCE"/>
    <w:rsid w:val="00552F2B"/>
    <w:rsid w:val="005532BC"/>
    <w:rsid w:val="0055339F"/>
    <w:rsid w:val="005536A6"/>
    <w:rsid w:val="00553B02"/>
    <w:rsid w:val="00553CCC"/>
    <w:rsid w:val="00553FAD"/>
    <w:rsid w:val="0055401A"/>
    <w:rsid w:val="0055426C"/>
    <w:rsid w:val="00554275"/>
    <w:rsid w:val="005543DE"/>
    <w:rsid w:val="005544A4"/>
    <w:rsid w:val="005546C4"/>
    <w:rsid w:val="0055489D"/>
    <w:rsid w:val="00554E1E"/>
    <w:rsid w:val="00554F4F"/>
    <w:rsid w:val="0055511B"/>
    <w:rsid w:val="005553C6"/>
    <w:rsid w:val="0055572C"/>
    <w:rsid w:val="00555CFB"/>
    <w:rsid w:val="0055619C"/>
    <w:rsid w:val="005566B0"/>
    <w:rsid w:val="00556A25"/>
    <w:rsid w:val="00556C75"/>
    <w:rsid w:val="00556D1B"/>
    <w:rsid w:val="00556DF7"/>
    <w:rsid w:val="00556F41"/>
    <w:rsid w:val="0055705C"/>
    <w:rsid w:val="0055717C"/>
    <w:rsid w:val="0055753D"/>
    <w:rsid w:val="00557644"/>
    <w:rsid w:val="00557663"/>
    <w:rsid w:val="00557F01"/>
    <w:rsid w:val="0055BFF0"/>
    <w:rsid w:val="00560369"/>
    <w:rsid w:val="005603A9"/>
    <w:rsid w:val="0056068D"/>
    <w:rsid w:val="005606C2"/>
    <w:rsid w:val="00560867"/>
    <w:rsid w:val="00560A15"/>
    <w:rsid w:val="00560ACE"/>
    <w:rsid w:val="00560B25"/>
    <w:rsid w:val="00561003"/>
    <w:rsid w:val="005614F7"/>
    <w:rsid w:val="005619C1"/>
    <w:rsid w:val="00561ACE"/>
    <w:rsid w:val="00561BA2"/>
    <w:rsid w:val="00561C23"/>
    <w:rsid w:val="00561F25"/>
    <w:rsid w:val="005622DF"/>
    <w:rsid w:val="00562485"/>
    <w:rsid w:val="00562630"/>
    <w:rsid w:val="00562707"/>
    <w:rsid w:val="00562863"/>
    <w:rsid w:val="00562895"/>
    <w:rsid w:val="00562A72"/>
    <w:rsid w:val="00562AF9"/>
    <w:rsid w:val="0056343C"/>
    <w:rsid w:val="005636B7"/>
    <w:rsid w:val="00563AC3"/>
    <w:rsid w:val="00564030"/>
    <w:rsid w:val="0056426A"/>
    <w:rsid w:val="00564AEE"/>
    <w:rsid w:val="00565915"/>
    <w:rsid w:val="005659BC"/>
    <w:rsid w:val="00565C3D"/>
    <w:rsid w:val="00565D44"/>
    <w:rsid w:val="00565D80"/>
    <w:rsid w:val="005661D9"/>
    <w:rsid w:val="0056638D"/>
    <w:rsid w:val="00566504"/>
    <w:rsid w:val="00566723"/>
    <w:rsid w:val="00566CDF"/>
    <w:rsid w:val="00566D2B"/>
    <w:rsid w:val="00566F5F"/>
    <w:rsid w:val="00567034"/>
    <w:rsid w:val="00567850"/>
    <w:rsid w:val="0056787C"/>
    <w:rsid w:val="00567F7D"/>
    <w:rsid w:val="00570237"/>
    <w:rsid w:val="00570562"/>
    <w:rsid w:val="00570675"/>
    <w:rsid w:val="00570CF2"/>
    <w:rsid w:val="00570EDB"/>
    <w:rsid w:val="00570F3B"/>
    <w:rsid w:val="00570FD6"/>
    <w:rsid w:val="0057117C"/>
    <w:rsid w:val="005711A5"/>
    <w:rsid w:val="005714BD"/>
    <w:rsid w:val="0057154F"/>
    <w:rsid w:val="005715AF"/>
    <w:rsid w:val="005715C8"/>
    <w:rsid w:val="00571600"/>
    <w:rsid w:val="00571E15"/>
    <w:rsid w:val="005725B3"/>
    <w:rsid w:val="0057261E"/>
    <w:rsid w:val="00572718"/>
    <w:rsid w:val="005731AF"/>
    <w:rsid w:val="00573387"/>
    <w:rsid w:val="005734D4"/>
    <w:rsid w:val="0057364F"/>
    <w:rsid w:val="00573882"/>
    <w:rsid w:val="00573FA0"/>
    <w:rsid w:val="00573FF5"/>
    <w:rsid w:val="00574365"/>
    <w:rsid w:val="005743CF"/>
    <w:rsid w:val="005744ED"/>
    <w:rsid w:val="005745D5"/>
    <w:rsid w:val="0057465B"/>
    <w:rsid w:val="00574BBB"/>
    <w:rsid w:val="00574D3A"/>
    <w:rsid w:val="00574FCD"/>
    <w:rsid w:val="0057540A"/>
    <w:rsid w:val="005756A8"/>
    <w:rsid w:val="005757DD"/>
    <w:rsid w:val="00575A41"/>
    <w:rsid w:val="005762C3"/>
    <w:rsid w:val="00576434"/>
    <w:rsid w:val="005766A3"/>
    <w:rsid w:val="005766DB"/>
    <w:rsid w:val="00576829"/>
    <w:rsid w:val="00576CAB"/>
    <w:rsid w:val="00576F10"/>
    <w:rsid w:val="00577237"/>
    <w:rsid w:val="0057743C"/>
    <w:rsid w:val="005775FD"/>
    <w:rsid w:val="0057778A"/>
    <w:rsid w:val="00577810"/>
    <w:rsid w:val="00577AAE"/>
    <w:rsid w:val="00577ABB"/>
    <w:rsid w:val="00577ADC"/>
    <w:rsid w:val="00577AFE"/>
    <w:rsid w:val="00577C32"/>
    <w:rsid w:val="005800CE"/>
    <w:rsid w:val="00580311"/>
    <w:rsid w:val="00580332"/>
    <w:rsid w:val="00580505"/>
    <w:rsid w:val="00580554"/>
    <w:rsid w:val="0058088D"/>
    <w:rsid w:val="00580D36"/>
    <w:rsid w:val="005811DB"/>
    <w:rsid w:val="0058136A"/>
    <w:rsid w:val="005814BC"/>
    <w:rsid w:val="0058155C"/>
    <w:rsid w:val="00581665"/>
    <w:rsid w:val="00581678"/>
    <w:rsid w:val="00581774"/>
    <w:rsid w:val="0058186F"/>
    <w:rsid w:val="005819F5"/>
    <w:rsid w:val="00581F1D"/>
    <w:rsid w:val="00581FC6"/>
    <w:rsid w:val="00582241"/>
    <w:rsid w:val="005822CF"/>
    <w:rsid w:val="00582384"/>
    <w:rsid w:val="0058300F"/>
    <w:rsid w:val="005831F2"/>
    <w:rsid w:val="00583A8C"/>
    <w:rsid w:val="00583D3B"/>
    <w:rsid w:val="005849FE"/>
    <w:rsid w:val="00584BCD"/>
    <w:rsid w:val="00584D7C"/>
    <w:rsid w:val="0058530D"/>
    <w:rsid w:val="0058556F"/>
    <w:rsid w:val="00585BB5"/>
    <w:rsid w:val="00585BC7"/>
    <w:rsid w:val="00585C95"/>
    <w:rsid w:val="00585CFD"/>
    <w:rsid w:val="00585D1A"/>
    <w:rsid w:val="00585EF5"/>
    <w:rsid w:val="00586035"/>
    <w:rsid w:val="00586221"/>
    <w:rsid w:val="00586364"/>
    <w:rsid w:val="005865E7"/>
    <w:rsid w:val="00586C9F"/>
    <w:rsid w:val="00587122"/>
    <w:rsid w:val="00587377"/>
    <w:rsid w:val="005875CD"/>
    <w:rsid w:val="005879DC"/>
    <w:rsid w:val="00587AA2"/>
    <w:rsid w:val="00587AEF"/>
    <w:rsid w:val="00587B1F"/>
    <w:rsid w:val="005900F1"/>
    <w:rsid w:val="00590678"/>
    <w:rsid w:val="005906E1"/>
    <w:rsid w:val="00590C82"/>
    <w:rsid w:val="00590E7F"/>
    <w:rsid w:val="00591216"/>
    <w:rsid w:val="00591658"/>
    <w:rsid w:val="005919BE"/>
    <w:rsid w:val="005921F8"/>
    <w:rsid w:val="005925E5"/>
    <w:rsid w:val="00592AA2"/>
    <w:rsid w:val="00592B66"/>
    <w:rsid w:val="00592C40"/>
    <w:rsid w:val="00592CC2"/>
    <w:rsid w:val="00592ED8"/>
    <w:rsid w:val="0059331F"/>
    <w:rsid w:val="005934B3"/>
    <w:rsid w:val="005935F0"/>
    <w:rsid w:val="00593753"/>
    <w:rsid w:val="00593C60"/>
    <w:rsid w:val="00594257"/>
    <w:rsid w:val="00594397"/>
    <w:rsid w:val="00594AF7"/>
    <w:rsid w:val="00594D08"/>
    <w:rsid w:val="00594E49"/>
    <w:rsid w:val="0059514E"/>
    <w:rsid w:val="00595531"/>
    <w:rsid w:val="00595D4A"/>
    <w:rsid w:val="005965A8"/>
    <w:rsid w:val="00596608"/>
    <w:rsid w:val="005969EC"/>
    <w:rsid w:val="00596B1A"/>
    <w:rsid w:val="00596D24"/>
    <w:rsid w:val="00596ECD"/>
    <w:rsid w:val="0059743F"/>
    <w:rsid w:val="00597543"/>
    <w:rsid w:val="005976E2"/>
    <w:rsid w:val="005978E0"/>
    <w:rsid w:val="00597BB3"/>
    <w:rsid w:val="00597F64"/>
    <w:rsid w:val="005A0171"/>
    <w:rsid w:val="005A02CC"/>
    <w:rsid w:val="005A08C0"/>
    <w:rsid w:val="005A0CD7"/>
    <w:rsid w:val="005A11E9"/>
    <w:rsid w:val="005A1994"/>
    <w:rsid w:val="005A1B1B"/>
    <w:rsid w:val="005A1BBA"/>
    <w:rsid w:val="005A22F4"/>
    <w:rsid w:val="005A26BF"/>
    <w:rsid w:val="005A2711"/>
    <w:rsid w:val="005A2779"/>
    <w:rsid w:val="005A296C"/>
    <w:rsid w:val="005A2A0B"/>
    <w:rsid w:val="005A2BC3"/>
    <w:rsid w:val="005A2C3C"/>
    <w:rsid w:val="005A2CBC"/>
    <w:rsid w:val="005A2CD0"/>
    <w:rsid w:val="005A2EB2"/>
    <w:rsid w:val="005A3284"/>
    <w:rsid w:val="005A3295"/>
    <w:rsid w:val="005A35CF"/>
    <w:rsid w:val="005A38A1"/>
    <w:rsid w:val="005A38CE"/>
    <w:rsid w:val="005A38DE"/>
    <w:rsid w:val="005A409D"/>
    <w:rsid w:val="005A43F0"/>
    <w:rsid w:val="005A45A9"/>
    <w:rsid w:val="005A45BE"/>
    <w:rsid w:val="005A4CFC"/>
    <w:rsid w:val="005A4D2B"/>
    <w:rsid w:val="005A52CF"/>
    <w:rsid w:val="005A5739"/>
    <w:rsid w:val="005A57AB"/>
    <w:rsid w:val="005A5A19"/>
    <w:rsid w:val="005A5BE5"/>
    <w:rsid w:val="005A5CB7"/>
    <w:rsid w:val="005A5D79"/>
    <w:rsid w:val="005A6003"/>
    <w:rsid w:val="005A66B1"/>
    <w:rsid w:val="005A6705"/>
    <w:rsid w:val="005A6BA5"/>
    <w:rsid w:val="005A6BF2"/>
    <w:rsid w:val="005A6CC3"/>
    <w:rsid w:val="005A702D"/>
    <w:rsid w:val="005A7303"/>
    <w:rsid w:val="005A744D"/>
    <w:rsid w:val="005A74B7"/>
    <w:rsid w:val="005A765E"/>
    <w:rsid w:val="005A78F8"/>
    <w:rsid w:val="005A78FB"/>
    <w:rsid w:val="005A7BB8"/>
    <w:rsid w:val="005A7E63"/>
    <w:rsid w:val="005A7E7A"/>
    <w:rsid w:val="005A7F77"/>
    <w:rsid w:val="005B00E9"/>
    <w:rsid w:val="005B0273"/>
    <w:rsid w:val="005B0437"/>
    <w:rsid w:val="005B050A"/>
    <w:rsid w:val="005B0520"/>
    <w:rsid w:val="005B07AE"/>
    <w:rsid w:val="005B0B69"/>
    <w:rsid w:val="005B0C22"/>
    <w:rsid w:val="005B0C6E"/>
    <w:rsid w:val="005B0C92"/>
    <w:rsid w:val="005B15EB"/>
    <w:rsid w:val="005B1D62"/>
    <w:rsid w:val="005B1DCD"/>
    <w:rsid w:val="005B1F27"/>
    <w:rsid w:val="005B2320"/>
    <w:rsid w:val="005B237E"/>
    <w:rsid w:val="005B24CB"/>
    <w:rsid w:val="005B27B5"/>
    <w:rsid w:val="005B2AEF"/>
    <w:rsid w:val="005B2D3B"/>
    <w:rsid w:val="005B3108"/>
    <w:rsid w:val="005B33C3"/>
    <w:rsid w:val="005B3413"/>
    <w:rsid w:val="005B4069"/>
    <w:rsid w:val="005B4421"/>
    <w:rsid w:val="005B47AA"/>
    <w:rsid w:val="005B4B0B"/>
    <w:rsid w:val="005B4DEF"/>
    <w:rsid w:val="005B4E3B"/>
    <w:rsid w:val="005B4F1F"/>
    <w:rsid w:val="005B517C"/>
    <w:rsid w:val="005B5558"/>
    <w:rsid w:val="005B55D4"/>
    <w:rsid w:val="005B579C"/>
    <w:rsid w:val="005B5BA6"/>
    <w:rsid w:val="005B5C7F"/>
    <w:rsid w:val="005B5E01"/>
    <w:rsid w:val="005B5F68"/>
    <w:rsid w:val="005B62DA"/>
    <w:rsid w:val="005B645B"/>
    <w:rsid w:val="005B6986"/>
    <w:rsid w:val="005B69F8"/>
    <w:rsid w:val="005B6AB3"/>
    <w:rsid w:val="005B6DFC"/>
    <w:rsid w:val="005B7473"/>
    <w:rsid w:val="005B753D"/>
    <w:rsid w:val="005B77D2"/>
    <w:rsid w:val="005B7829"/>
    <w:rsid w:val="005B7DAA"/>
    <w:rsid w:val="005B7DEC"/>
    <w:rsid w:val="005C0355"/>
    <w:rsid w:val="005C0526"/>
    <w:rsid w:val="005C0BE0"/>
    <w:rsid w:val="005C1175"/>
    <w:rsid w:val="005C1226"/>
    <w:rsid w:val="005C131F"/>
    <w:rsid w:val="005C1526"/>
    <w:rsid w:val="005C1BAC"/>
    <w:rsid w:val="005C307C"/>
    <w:rsid w:val="005C41E9"/>
    <w:rsid w:val="005C424B"/>
    <w:rsid w:val="005C42D1"/>
    <w:rsid w:val="005C4CC2"/>
    <w:rsid w:val="005C4F7F"/>
    <w:rsid w:val="005C5241"/>
    <w:rsid w:val="005C53E6"/>
    <w:rsid w:val="005C5438"/>
    <w:rsid w:val="005C55BC"/>
    <w:rsid w:val="005C58DA"/>
    <w:rsid w:val="005C5967"/>
    <w:rsid w:val="005C5B60"/>
    <w:rsid w:val="005C5EDA"/>
    <w:rsid w:val="005C5F04"/>
    <w:rsid w:val="005C65F8"/>
    <w:rsid w:val="005C6989"/>
    <w:rsid w:val="005C6F4B"/>
    <w:rsid w:val="005C7432"/>
    <w:rsid w:val="005C7434"/>
    <w:rsid w:val="005C749B"/>
    <w:rsid w:val="005C76DC"/>
    <w:rsid w:val="005C776C"/>
    <w:rsid w:val="005C7A92"/>
    <w:rsid w:val="005C7CFC"/>
    <w:rsid w:val="005C7FDD"/>
    <w:rsid w:val="005D0154"/>
    <w:rsid w:val="005D04DA"/>
    <w:rsid w:val="005D0661"/>
    <w:rsid w:val="005D0796"/>
    <w:rsid w:val="005D0821"/>
    <w:rsid w:val="005D0B04"/>
    <w:rsid w:val="005D1091"/>
    <w:rsid w:val="005D18B7"/>
    <w:rsid w:val="005D1A20"/>
    <w:rsid w:val="005D1A67"/>
    <w:rsid w:val="005D1CD3"/>
    <w:rsid w:val="005D1CEC"/>
    <w:rsid w:val="005D1D6C"/>
    <w:rsid w:val="005D2A90"/>
    <w:rsid w:val="005D2B20"/>
    <w:rsid w:val="005D2EEB"/>
    <w:rsid w:val="005D3186"/>
    <w:rsid w:val="005D3194"/>
    <w:rsid w:val="005D3505"/>
    <w:rsid w:val="005D35CF"/>
    <w:rsid w:val="005D3629"/>
    <w:rsid w:val="005D3A44"/>
    <w:rsid w:val="005D3CDA"/>
    <w:rsid w:val="005D3E7C"/>
    <w:rsid w:val="005D4828"/>
    <w:rsid w:val="005D4948"/>
    <w:rsid w:val="005D5138"/>
    <w:rsid w:val="005D52FF"/>
    <w:rsid w:val="005D562C"/>
    <w:rsid w:val="005D5891"/>
    <w:rsid w:val="005D58F3"/>
    <w:rsid w:val="005D5A48"/>
    <w:rsid w:val="005D5D1C"/>
    <w:rsid w:val="005D5FC1"/>
    <w:rsid w:val="005D610C"/>
    <w:rsid w:val="005D6364"/>
    <w:rsid w:val="005D6582"/>
    <w:rsid w:val="005D6A9C"/>
    <w:rsid w:val="005D6D50"/>
    <w:rsid w:val="005D7071"/>
    <w:rsid w:val="005D7236"/>
    <w:rsid w:val="005D797E"/>
    <w:rsid w:val="005E034C"/>
    <w:rsid w:val="005E0840"/>
    <w:rsid w:val="005E08AC"/>
    <w:rsid w:val="005E0A44"/>
    <w:rsid w:val="005E0BAA"/>
    <w:rsid w:val="005E0D1B"/>
    <w:rsid w:val="005E0F54"/>
    <w:rsid w:val="005E1200"/>
    <w:rsid w:val="005E1285"/>
    <w:rsid w:val="005E1605"/>
    <w:rsid w:val="005E1860"/>
    <w:rsid w:val="005E1864"/>
    <w:rsid w:val="005E1972"/>
    <w:rsid w:val="005E1B86"/>
    <w:rsid w:val="005E1D9F"/>
    <w:rsid w:val="005E1E66"/>
    <w:rsid w:val="005E1E93"/>
    <w:rsid w:val="005E2045"/>
    <w:rsid w:val="005E23BA"/>
    <w:rsid w:val="005E27BD"/>
    <w:rsid w:val="005E280C"/>
    <w:rsid w:val="005E2B67"/>
    <w:rsid w:val="005E2DDB"/>
    <w:rsid w:val="005E2FD3"/>
    <w:rsid w:val="005E306E"/>
    <w:rsid w:val="005E3163"/>
    <w:rsid w:val="005E334E"/>
    <w:rsid w:val="005E3A1E"/>
    <w:rsid w:val="005E3B58"/>
    <w:rsid w:val="005E3FA2"/>
    <w:rsid w:val="005E4117"/>
    <w:rsid w:val="005E412D"/>
    <w:rsid w:val="005E41C0"/>
    <w:rsid w:val="005E423E"/>
    <w:rsid w:val="005E4281"/>
    <w:rsid w:val="005E42B3"/>
    <w:rsid w:val="005E479B"/>
    <w:rsid w:val="005E4D9F"/>
    <w:rsid w:val="005E5312"/>
    <w:rsid w:val="005E5331"/>
    <w:rsid w:val="005E543E"/>
    <w:rsid w:val="005E54D0"/>
    <w:rsid w:val="005E5639"/>
    <w:rsid w:val="005E57F5"/>
    <w:rsid w:val="005E59D3"/>
    <w:rsid w:val="005E5E51"/>
    <w:rsid w:val="005E6141"/>
    <w:rsid w:val="005E615D"/>
    <w:rsid w:val="005E6305"/>
    <w:rsid w:val="005E65A2"/>
    <w:rsid w:val="005E65D6"/>
    <w:rsid w:val="005E6924"/>
    <w:rsid w:val="005E6BA7"/>
    <w:rsid w:val="005E6BDE"/>
    <w:rsid w:val="005E6CD8"/>
    <w:rsid w:val="005E6E81"/>
    <w:rsid w:val="005E7242"/>
    <w:rsid w:val="005E7382"/>
    <w:rsid w:val="005E74DB"/>
    <w:rsid w:val="005E75F5"/>
    <w:rsid w:val="005E7907"/>
    <w:rsid w:val="005E7AC8"/>
    <w:rsid w:val="005E7C0F"/>
    <w:rsid w:val="005E7FDE"/>
    <w:rsid w:val="005F0241"/>
    <w:rsid w:val="005F0386"/>
    <w:rsid w:val="005F046B"/>
    <w:rsid w:val="005F08F5"/>
    <w:rsid w:val="005F0B56"/>
    <w:rsid w:val="005F0F3D"/>
    <w:rsid w:val="005F10DE"/>
    <w:rsid w:val="005F118E"/>
    <w:rsid w:val="005F1213"/>
    <w:rsid w:val="005F140B"/>
    <w:rsid w:val="005F1620"/>
    <w:rsid w:val="005F1AFB"/>
    <w:rsid w:val="005F1E0E"/>
    <w:rsid w:val="005F20BC"/>
    <w:rsid w:val="005F221C"/>
    <w:rsid w:val="005F2391"/>
    <w:rsid w:val="005F2441"/>
    <w:rsid w:val="005F26FB"/>
    <w:rsid w:val="005F2C38"/>
    <w:rsid w:val="005F363E"/>
    <w:rsid w:val="005F382F"/>
    <w:rsid w:val="005F3A3D"/>
    <w:rsid w:val="005F3D13"/>
    <w:rsid w:val="005F3D36"/>
    <w:rsid w:val="005F3E7A"/>
    <w:rsid w:val="005F4042"/>
    <w:rsid w:val="005F4126"/>
    <w:rsid w:val="005F4453"/>
    <w:rsid w:val="005F4C37"/>
    <w:rsid w:val="005F4F2E"/>
    <w:rsid w:val="005F50E6"/>
    <w:rsid w:val="005F5233"/>
    <w:rsid w:val="005F52CB"/>
    <w:rsid w:val="005F5B9C"/>
    <w:rsid w:val="005F5BF1"/>
    <w:rsid w:val="005F5FF9"/>
    <w:rsid w:val="005F61A7"/>
    <w:rsid w:val="005F63B5"/>
    <w:rsid w:val="005F68AA"/>
    <w:rsid w:val="005F6F51"/>
    <w:rsid w:val="005F72EA"/>
    <w:rsid w:val="005F74C8"/>
    <w:rsid w:val="005F7955"/>
    <w:rsid w:val="005F7C15"/>
    <w:rsid w:val="00600476"/>
    <w:rsid w:val="00600AF8"/>
    <w:rsid w:val="00600B3F"/>
    <w:rsid w:val="00600DBB"/>
    <w:rsid w:val="006011D2"/>
    <w:rsid w:val="006013F8"/>
    <w:rsid w:val="0060153C"/>
    <w:rsid w:val="00601AD5"/>
    <w:rsid w:val="00601C25"/>
    <w:rsid w:val="00601E31"/>
    <w:rsid w:val="00602570"/>
    <w:rsid w:val="00602654"/>
    <w:rsid w:val="00602BA8"/>
    <w:rsid w:val="0060305D"/>
    <w:rsid w:val="0060314F"/>
    <w:rsid w:val="006032D3"/>
    <w:rsid w:val="00603523"/>
    <w:rsid w:val="0060363B"/>
    <w:rsid w:val="0060377C"/>
    <w:rsid w:val="0060440F"/>
    <w:rsid w:val="006048C0"/>
    <w:rsid w:val="006049FD"/>
    <w:rsid w:val="00604CC1"/>
    <w:rsid w:val="00604E6E"/>
    <w:rsid w:val="00604EE8"/>
    <w:rsid w:val="00605223"/>
    <w:rsid w:val="006055B1"/>
    <w:rsid w:val="00605659"/>
    <w:rsid w:val="006057F9"/>
    <w:rsid w:val="006059DF"/>
    <w:rsid w:val="00605B48"/>
    <w:rsid w:val="00605BB1"/>
    <w:rsid w:val="00605F1F"/>
    <w:rsid w:val="006062FB"/>
    <w:rsid w:val="0060644E"/>
    <w:rsid w:val="006064A1"/>
    <w:rsid w:val="00606653"/>
    <w:rsid w:val="00606CF7"/>
    <w:rsid w:val="00606E7A"/>
    <w:rsid w:val="00607021"/>
    <w:rsid w:val="0060713C"/>
    <w:rsid w:val="00607B67"/>
    <w:rsid w:val="00607DB5"/>
    <w:rsid w:val="00607E6B"/>
    <w:rsid w:val="00607E8A"/>
    <w:rsid w:val="006102D8"/>
    <w:rsid w:val="0061046B"/>
    <w:rsid w:val="006108FC"/>
    <w:rsid w:val="00610ABA"/>
    <w:rsid w:val="00610CAD"/>
    <w:rsid w:val="00610E62"/>
    <w:rsid w:val="00611245"/>
    <w:rsid w:val="00611516"/>
    <w:rsid w:val="0061175D"/>
    <w:rsid w:val="00611FA0"/>
    <w:rsid w:val="00612577"/>
    <w:rsid w:val="0061259A"/>
    <w:rsid w:val="006127A7"/>
    <w:rsid w:val="0061287D"/>
    <w:rsid w:val="00612BB1"/>
    <w:rsid w:val="00612C13"/>
    <w:rsid w:val="00613149"/>
    <w:rsid w:val="0061382D"/>
    <w:rsid w:val="00613A18"/>
    <w:rsid w:val="00613A27"/>
    <w:rsid w:val="00613BE1"/>
    <w:rsid w:val="00613C24"/>
    <w:rsid w:val="00613EDC"/>
    <w:rsid w:val="00614139"/>
    <w:rsid w:val="0061438C"/>
    <w:rsid w:val="006147C8"/>
    <w:rsid w:val="00614AE9"/>
    <w:rsid w:val="00615321"/>
    <w:rsid w:val="0061538D"/>
    <w:rsid w:val="00616164"/>
    <w:rsid w:val="00616363"/>
    <w:rsid w:val="0061637A"/>
    <w:rsid w:val="0061662E"/>
    <w:rsid w:val="00616960"/>
    <w:rsid w:val="00616BDB"/>
    <w:rsid w:val="00616F08"/>
    <w:rsid w:val="00616F1E"/>
    <w:rsid w:val="006171E9"/>
    <w:rsid w:val="00617243"/>
    <w:rsid w:val="00617364"/>
    <w:rsid w:val="00617822"/>
    <w:rsid w:val="00617C6A"/>
    <w:rsid w:val="00617ED0"/>
    <w:rsid w:val="0062002A"/>
    <w:rsid w:val="00620159"/>
    <w:rsid w:val="006205C5"/>
    <w:rsid w:val="006208A1"/>
    <w:rsid w:val="00620C4C"/>
    <w:rsid w:val="00620F67"/>
    <w:rsid w:val="0062114B"/>
    <w:rsid w:val="0062149B"/>
    <w:rsid w:val="0062154A"/>
    <w:rsid w:val="0062156F"/>
    <w:rsid w:val="00621777"/>
    <w:rsid w:val="00621925"/>
    <w:rsid w:val="006219A3"/>
    <w:rsid w:val="006219D4"/>
    <w:rsid w:val="00621EE4"/>
    <w:rsid w:val="00622040"/>
    <w:rsid w:val="006220AC"/>
    <w:rsid w:val="0062219A"/>
    <w:rsid w:val="00622280"/>
    <w:rsid w:val="00622560"/>
    <w:rsid w:val="00622848"/>
    <w:rsid w:val="00622985"/>
    <w:rsid w:val="00623093"/>
    <w:rsid w:val="00623301"/>
    <w:rsid w:val="00623923"/>
    <w:rsid w:val="00623926"/>
    <w:rsid w:val="00623FC1"/>
    <w:rsid w:val="00624186"/>
    <w:rsid w:val="006242E1"/>
    <w:rsid w:val="00624313"/>
    <w:rsid w:val="0062445A"/>
    <w:rsid w:val="006244D1"/>
    <w:rsid w:val="00624AAD"/>
    <w:rsid w:val="00624AB4"/>
    <w:rsid w:val="00624EB6"/>
    <w:rsid w:val="00624F8E"/>
    <w:rsid w:val="006250B7"/>
    <w:rsid w:val="00625112"/>
    <w:rsid w:val="00625512"/>
    <w:rsid w:val="0062622A"/>
    <w:rsid w:val="006264C5"/>
    <w:rsid w:val="006265EC"/>
    <w:rsid w:val="006267EC"/>
    <w:rsid w:val="00626BA0"/>
    <w:rsid w:val="0062708D"/>
    <w:rsid w:val="0062782A"/>
    <w:rsid w:val="00627D40"/>
    <w:rsid w:val="00627FBC"/>
    <w:rsid w:val="0063027E"/>
    <w:rsid w:val="0063034C"/>
    <w:rsid w:val="0063062C"/>
    <w:rsid w:val="00630A52"/>
    <w:rsid w:val="00630B22"/>
    <w:rsid w:val="00630C7D"/>
    <w:rsid w:val="0063139E"/>
    <w:rsid w:val="0063158D"/>
    <w:rsid w:val="006316D1"/>
    <w:rsid w:val="0063170C"/>
    <w:rsid w:val="00631A9F"/>
    <w:rsid w:val="00631B84"/>
    <w:rsid w:val="00631C62"/>
    <w:rsid w:val="00632353"/>
    <w:rsid w:val="0063264C"/>
    <w:rsid w:val="0063268C"/>
    <w:rsid w:val="00632920"/>
    <w:rsid w:val="00632972"/>
    <w:rsid w:val="00632AD8"/>
    <w:rsid w:val="00632B20"/>
    <w:rsid w:val="00632D69"/>
    <w:rsid w:val="00632DD1"/>
    <w:rsid w:val="00632FD6"/>
    <w:rsid w:val="00633370"/>
    <w:rsid w:val="00633B6A"/>
    <w:rsid w:val="00633CE0"/>
    <w:rsid w:val="00633DB4"/>
    <w:rsid w:val="00634503"/>
    <w:rsid w:val="006349C7"/>
    <w:rsid w:val="00634C23"/>
    <w:rsid w:val="00634E2A"/>
    <w:rsid w:val="00635275"/>
    <w:rsid w:val="006353B5"/>
    <w:rsid w:val="006353B7"/>
    <w:rsid w:val="0063544B"/>
    <w:rsid w:val="006355BA"/>
    <w:rsid w:val="006356BC"/>
    <w:rsid w:val="00635806"/>
    <w:rsid w:val="00635B70"/>
    <w:rsid w:val="00635D0C"/>
    <w:rsid w:val="00635F79"/>
    <w:rsid w:val="00635FCF"/>
    <w:rsid w:val="00636337"/>
    <w:rsid w:val="006365A0"/>
    <w:rsid w:val="006367CA"/>
    <w:rsid w:val="006367F1"/>
    <w:rsid w:val="00636B80"/>
    <w:rsid w:val="00636B87"/>
    <w:rsid w:val="00636D22"/>
    <w:rsid w:val="00637288"/>
    <w:rsid w:val="006378F1"/>
    <w:rsid w:val="00637B13"/>
    <w:rsid w:val="00637F22"/>
    <w:rsid w:val="00640013"/>
    <w:rsid w:val="00640913"/>
    <w:rsid w:val="0064108F"/>
    <w:rsid w:val="0064127B"/>
    <w:rsid w:val="006412E3"/>
    <w:rsid w:val="006413F4"/>
    <w:rsid w:val="00641538"/>
    <w:rsid w:val="00641595"/>
    <w:rsid w:val="006418DE"/>
    <w:rsid w:val="00641B1C"/>
    <w:rsid w:val="00641C51"/>
    <w:rsid w:val="00641C9B"/>
    <w:rsid w:val="00641E5B"/>
    <w:rsid w:val="00641EE0"/>
    <w:rsid w:val="00642045"/>
    <w:rsid w:val="006423BC"/>
    <w:rsid w:val="0064263A"/>
    <w:rsid w:val="00642A3F"/>
    <w:rsid w:val="00642CB2"/>
    <w:rsid w:val="00642E08"/>
    <w:rsid w:val="00642E7C"/>
    <w:rsid w:val="00643005"/>
    <w:rsid w:val="0064363B"/>
    <w:rsid w:val="00643A9F"/>
    <w:rsid w:val="00643E09"/>
    <w:rsid w:val="00643F8C"/>
    <w:rsid w:val="0064438D"/>
    <w:rsid w:val="00644445"/>
    <w:rsid w:val="0064489B"/>
    <w:rsid w:val="0064498A"/>
    <w:rsid w:val="00644AB6"/>
    <w:rsid w:val="00644B24"/>
    <w:rsid w:val="00644D31"/>
    <w:rsid w:val="00644D8A"/>
    <w:rsid w:val="00645385"/>
    <w:rsid w:val="0064570E"/>
    <w:rsid w:val="00645820"/>
    <w:rsid w:val="00645DC7"/>
    <w:rsid w:val="00645EBE"/>
    <w:rsid w:val="006468F0"/>
    <w:rsid w:val="00646A78"/>
    <w:rsid w:val="00646E21"/>
    <w:rsid w:val="0064731A"/>
    <w:rsid w:val="006473FE"/>
    <w:rsid w:val="00647BE6"/>
    <w:rsid w:val="00647CF0"/>
    <w:rsid w:val="0065014A"/>
    <w:rsid w:val="006504C0"/>
    <w:rsid w:val="006504C9"/>
    <w:rsid w:val="0065065B"/>
    <w:rsid w:val="0065074F"/>
    <w:rsid w:val="0065077A"/>
    <w:rsid w:val="00650D7E"/>
    <w:rsid w:val="00650E4A"/>
    <w:rsid w:val="00650F51"/>
    <w:rsid w:val="006511C5"/>
    <w:rsid w:val="00651313"/>
    <w:rsid w:val="00651825"/>
    <w:rsid w:val="00651A19"/>
    <w:rsid w:val="00651C36"/>
    <w:rsid w:val="00651FD1"/>
    <w:rsid w:val="0065207A"/>
    <w:rsid w:val="00652115"/>
    <w:rsid w:val="0065257D"/>
    <w:rsid w:val="00652A97"/>
    <w:rsid w:val="00652F42"/>
    <w:rsid w:val="00653056"/>
    <w:rsid w:val="006531B4"/>
    <w:rsid w:val="006533D6"/>
    <w:rsid w:val="00653502"/>
    <w:rsid w:val="0065363A"/>
    <w:rsid w:val="00653A21"/>
    <w:rsid w:val="00653AAF"/>
    <w:rsid w:val="00653BDC"/>
    <w:rsid w:val="00653D11"/>
    <w:rsid w:val="006540B5"/>
    <w:rsid w:val="00654207"/>
    <w:rsid w:val="0065466C"/>
    <w:rsid w:val="00654EE7"/>
    <w:rsid w:val="0065518B"/>
    <w:rsid w:val="0065557F"/>
    <w:rsid w:val="006555F2"/>
    <w:rsid w:val="006558CC"/>
    <w:rsid w:val="00655999"/>
    <w:rsid w:val="006563E2"/>
    <w:rsid w:val="006563EC"/>
    <w:rsid w:val="006564BB"/>
    <w:rsid w:val="006565F0"/>
    <w:rsid w:val="00656744"/>
    <w:rsid w:val="006567FC"/>
    <w:rsid w:val="00656974"/>
    <w:rsid w:val="00656A2F"/>
    <w:rsid w:val="00656A75"/>
    <w:rsid w:val="00656D00"/>
    <w:rsid w:val="00656D04"/>
    <w:rsid w:val="00656E1E"/>
    <w:rsid w:val="00656F0F"/>
    <w:rsid w:val="006574EE"/>
    <w:rsid w:val="006576CA"/>
    <w:rsid w:val="006578A7"/>
    <w:rsid w:val="00657927"/>
    <w:rsid w:val="00657DEB"/>
    <w:rsid w:val="00660203"/>
    <w:rsid w:val="006602DE"/>
    <w:rsid w:val="00660332"/>
    <w:rsid w:val="006603BA"/>
    <w:rsid w:val="006605DD"/>
    <w:rsid w:val="0066106A"/>
    <w:rsid w:val="0066129D"/>
    <w:rsid w:val="00661423"/>
    <w:rsid w:val="00661472"/>
    <w:rsid w:val="0066187F"/>
    <w:rsid w:val="00661A3B"/>
    <w:rsid w:val="00661BA5"/>
    <w:rsid w:val="00661FE0"/>
    <w:rsid w:val="0066205D"/>
    <w:rsid w:val="0066207A"/>
    <w:rsid w:val="0066210C"/>
    <w:rsid w:val="0066212F"/>
    <w:rsid w:val="006621FD"/>
    <w:rsid w:val="00662370"/>
    <w:rsid w:val="006624D4"/>
    <w:rsid w:val="00662817"/>
    <w:rsid w:val="00662930"/>
    <w:rsid w:val="0066297E"/>
    <w:rsid w:val="00662B08"/>
    <w:rsid w:val="00663131"/>
    <w:rsid w:val="00664742"/>
    <w:rsid w:val="00664825"/>
    <w:rsid w:val="006648EF"/>
    <w:rsid w:val="00665839"/>
    <w:rsid w:val="00665955"/>
    <w:rsid w:val="00665A77"/>
    <w:rsid w:val="00665C65"/>
    <w:rsid w:val="00665ECE"/>
    <w:rsid w:val="0066637A"/>
    <w:rsid w:val="00666600"/>
    <w:rsid w:val="00666619"/>
    <w:rsid w:val="00666BD6"/>
    <w:rsid w:val="00666F06"/>
    <w:rsid w:val="00666FBA"/>
    <w:rsid w:val="006677A1"/>
    <w:rsid w:val="00667CC1"/>
    <w:rsid w:val="00670051"/>
    <w:rsid w:val="006706C8"/>
    <w:rsid w:val="00670746"/>
    <w:rsid w:val="00670969"/>
    <w:rsid w:val="00670A4F"/>
    <w:rsid w:val="00670B76"/>
    <w:rsid w:val="00670D5D"/>
    <w:rsid w:val="00670F3A"/>
    <w:rsid w:val="006711B1"/>
    <w:rsid w:val="00671274"/>
    <w:rsid w:val="0067151D"/>
    <w:rsid w:val="00671AAE"/>
    <w:rsid w:val="00671BB1"/>
    <w:rsid w:val="00671DF6"/>
    <w:rsid w:val="00671E8D"/>
    <w:rsid w:val="006720EC"/>
    <w:rsid w:val="006721E3"/>
    <w:rsid w:val="006729E4"/>
    <w:rsid w:val="00673974"/>
    <w:rsid w:val="00673E49"/>
    <w:rsid w:val="00673EB4"/>
    <w:rsid w:val="006740B6"/>
    <w:rsid w:val="006741F6"/>
    <w:rsid w:val="00674427"/>
    <w:rsid w:val="00674500"/>
    <w:rsid w:val="0067485E"/>
    <w:rsid w:val="006749B8"/>
    <w:rsid w:val="00675182"/>
    <w:rsid w:val="00675290"/>
    <w:rsid w:val="006758C1"/>
    <w:rsid w:val="006758CC"/>
    <w:rsid w:val="00675CDF"/>
    <w:rsid w:val="00675F33"/>
    <w:rsid w:val="00675FC6"/>
    <w:rsid w:val="006764B6"/>
    <w:rsid w:val="006779C3"/>
    <w:rsid w:val="006779CF"/>
    <w:rsid w:val="00677CB9"/>
    <w:rsid w:val="006802FE"/>
    <w:rsid w:val="006805B8"/>
    <w:rsid w:val="006805ED"/>
    <w:rsid w:val="00680607"/>
    <w:rsid w:val="00680871"/>
    <w:rsid w:val="00680998"/>
    <w:rsid w:val="00680AEB"/>
    <w:rsid w:val="00680D96"/>
    <w:rsid w:val="00680EE8"/>
    <w:rsid w:val="00681161"/>
    <w:rsid w:val="0068131A"/>
    <w:rsid w:val="0068169D"/>
    <w:rsid w:val="006816CF"/>
    <w:rsid w:val="0068192B"/>
    <w:rsid w:val="00681982"/>
    <w:rsid w:val="0068199D"/>
    <w:rsid w:val="00681A0E"/>
    <w:rsid w:val="00681A5F"/>
    <w:rsid w:val="00681C22"/>
    <w:rsid w:val="00681E70"/>
    <w:rsid w:val="0068201D"/>
    <w:rsid w:val="00682469"/>
    <w:rsid w:val="006825E4"/>
    <w:rsid w:val="006831B1"/>
    <w:rsid w:val="0068371C"/>
    <w:rsid w:val="006837C2"/>
    <w:rsid w:val="00683807"/>
    <w:rsid w:val="00683C92"/>
    <w:rsid w:val="00683EED"/>
    <w:rsid w:val="006843EC"/>
    <w:rsid w:val="00684638"/>
    <w:rsid w:val="00684734"/>
    <w:rsid w:val="006849A3"/>
    <w:rsid w:val="00684B96"/>
    <w:rsid w:val="00684DED"/>
    <w:rsid w:val="0068517E"/>
    <w:rsid w:val="0068535B"/>
    <w:rsid w:val="0068550C"/>
    <w:rsid w:val="006856C6"/>
    <w:rsid w:val="006857F8"/>
    <w:rsid w:val="006858DC"/>
    <w:rsid w:val="0068595C"/>
    <w:rsid w:val="00686400"/>
    <w:rsid w:val="0068649F"/>
    <w:rsid w:val="00686676"/>
    <w:rsid w:val="006869C0"/>
    <w:rsid w:val="00686A8A"/>
    <w:rsid w:val="00686B2A"/>
    <w:rsid w:val="00686FB3"/>
    <w:rsid w:val="0068735E"/>
    <w:rsid w:val="00687A27"/>
    <w:rsid w:val="00687A57"/>
    <w:rsid w:val="006900F5"/>
    <w:rsid w:val="0069045A"/>
    <w:rsid w:val="006907AA"/>
    <w:rsid w:val="00690E1B"/>
    <w:rsid w:val="00690F7A"/>
    <w:rsid w:val="006914B9"/>
    <w:rsid w:val="0069150C"/>
    <w:rsid w:val="006916C3"/>
    <w:rsid w:val="00691716"/>
    <w:rsid w:val="006917AE"/>
    <w:rsid w:val="00691B01"/>
    <w:rsid w:val="00692094"/>
    <w:rsid w:val="006925E2"/>
    <w:rsid w:val="00692F43"/>
    <w:rsid w:val="006930BC"/>
    <w:rsid w:val="006932E1"/>
    <w:rsid w:val="006938EF"/>
    <w:rsid w:val="00693CE8"/>
    <w:rsid w:val="00693ED0"/>
    <w:rsid w:val="006941E3"/>
    <w:rsid w:val="006943C1"/>
    <w:rsid w:val="006944CA"/>
    <w:rsid w:val="00694506"/>
    <w:rsid w:val="006946AF"/>
    <w:rsid w:val="00695212"/>
    <w:rsid w:val="006956E2"/>
    <w:rsid w:val="00695DED"/>
    <w:rsid w:val="00696267"/>
    <w:rsid w:val="00696303"/>
    <w:rsid w:val="0069639E"/>
    <w:rsid w:val="006965FA"/>
    <w:rsid w:val="00696AB1"/>
    <w:rsid w:val="00696B66"/>
    <w:rsid w:val="00696B86"/>
    <w:rsid w:val="00696DD5"/>
    <w:rsid w:val="00697127"/>
    <w:rsid w:val="006972BB"/>
    <w:rsid w:val="00697302"/>
    <w:rsid w:val="006978B4"/>
    <w:rsid w:val="00697D79"/>
    <w:rsid w:val="006A0272"/>
    <w:rsid w:val="006A0298"/>
    <w:rsid w:val="006A02BF"/>
    <w:rsid w:val="006A02D9"/>
    <w:rsid w:val="006A0406"/>
    <w:rsid w:val="006A0621"/>
    <w:rsid w:val="006A073A"/>
    <w:rsid w:val="006A09B1"/>
    <w:rsid w:val="006A09B2"/>
    <w:rsid w:val="006A0A2A"/>
    <w:rsid w:val="006A0AEE"/>
    <w:rsid w:val="006A1011"/>
    <w:rsid w:val="006A11D9"/>
    <w:rsid w:val="006A13BA"/>
    <w:rsid w:val="006A19A5"/>
    <w:rsid w:val="006A1F06"/>
    <w:rsid w:val="006A1F2C"/>
    <w:rsid w:val="006A20C7"/>
    <w:rsid w:val="006A2211"/>
    <w:rsid w:val="006A2376"/>
    <w:rsid w:val="006A25E3"/>
    <w:rsid w:val="006A276B"/>
    <w:rsid w:val="006A2A15"/>
    <w:rsid w:val="006A2D31"/>
    <w:rsid w:val="006A2F60"/>
    <w:rsid w:val="006A2FD4"/>
    <w:rsid w:val="006A323B"/>
    <w:rsid w:val="006A3655"/>
    <w:rsid w:val="006A3679"/>
    <w:rsid w:val="006A39E6"/>
    <w:rsid w:val="006A3AC1"/>
    <w:rsid w:val="006A3AF7"/>
    <w:rsid w:val="006A3E59"/>
    <w:rsid w:val="006A3E94"/>
    <w:rsid w:val="006A42B8"/>
    <w:rsid w:val="006A430C"/>
    <w:rsid w:val="006A48BE"/>
    <w:rsid w:val="006A49C9"/>
    <w:rsid w:val="006A4B6E"/>
    <w:rsid w:val="006A4CA5"/>
    <w:rsid w:val="006A523A"/>
    <w:rsid w:val="006A557A"/>
    <w:rsid w:val="006A582A"/>
    <w:rsid w:val="006A5A25"/>
    <w:rsid w:val="006A5B41"/>
    <w:rsid w:val="006A5C6E"/>
    <w:rsid w:val="006A5D93"/>
    <w:rsid w:val="006A679B"/>
    <w:rsid w:val="006A6992"/>
    <w:rsid w:val="006A7591"/>
    <w:rsid w:val="006A7B91"/>
    <w:rsid w:val="006A7EB7"/>
    <w:rsid w:val="006B05E0"/>
    <w:rsid w:val="006B0D62"/>
    <w:rsid w:val="006B0DF0"/>
    <w:rsid w:val="006B1B5F"/>
    <w:rsid w:val="006B1EDF"/>
    <w:rsid w:val="006B2018"/>
    <w:rsid w:val="006B232D"/>
    <w:rsid w:val="006B2935"/>
    <w:rsid w:val="006B29B3"/>
    <w:rsid w:val="006B2B11"/>
    <w:rsid w:val="006B2C86"/>
    <w:rsid w:val="006B2CA6"/>
    <w:rsid w:val="006B3415"/>
    <w:rsid w:val="006B35E0"/>
    <w:rsid w:val="006B3808"/>
    <w:rsid w:val="006B3923"/>
    <w:rsid w:val="006B3DF1"/>
    <w:rsid w:val="006B433C"/>
    <w:rsid w:val="006B44B8"/>
    <w:rsid w:val="006B4718"/>
    <w:rsid w:val="006B4823"/>
    <w:rsid w:val="006B534E"/>
    <w:rsid w:val="006B55F1"/>
    <w:rsid w:val="006B58C0"/>
    <w:rsid w:val="006B5E78"/>
    <w:rsid w:val="006B6CC9"/>
    <w:rsid w:val="006B6E20"/>
    <w:rsid w:val="006B6E66"/>
    <w:rsid w:val="006B6FE5"/>
    <w:rsid w:val="006B736A"/>
    <w:rsid w:val="006B737E"/>
    <w:rsid w:val="006B75AA"/>
    <w:rsid w:val="006B75D3"/>
    <w:rsid w:val="006B7D6A"/>
    <w:rsid w:val="006C0250"/>
    <w:rsid w:val="006C0510"/>
    <w:rsid w:val="006C0A01"/>
    <w:rsid w:val="006C0B35"/>
    <w:rsid w:val="006C0B42"/>
    <w:rsid w:val="006C0BD3"/>
    <w:rsid w:val="006C16F5"/>
    <w:rsid w:val="006C1C93"/>
    <w:rsid w:val="006C2659"/>
    <w:rsid w:val="006C2741"/>
    <w:rsid w:val="006C282A"/>
    <w:rsid w:val="006C3284"/>
    <w:rsid w:val="006C33CD"/>
    <w:rsid w:val="006C3F3A"/>
    <w:rsid w:val="006C4483"/>
    <w:rsid w:val="006C45DA"/>
    <w:rsid w:val="006C46EC"/>
    <w:rsid w:val="006C4704"/>
    <w:rsid w:val="006C49C9"/>
    <w:rsid w:val="006C4A88"/>
    <w:rsid w:val="006C4B25"/>
    <w:rsid w:val="006C4D4F"/>
    <w:rsid w:val="006C4FDB"/>
    <w:rsid w:val="006C5187"/>
    <w:rsid w:val="006C590D"/>
    <w:rsid w:val="006C5BD2"/>
    <w:rsid w:val="006C5D9E"/>
    <w:rsid w:val="006C5E2D"/>
    <w:rsid w:val="006C5EB5"/>
    <w:rsid w:val="006C5FD7"/>
    <w:rsid w:val="006C620A"/>
    <w:rsid w:val="006C6262"/>
    <w:rsid w:val="006C6919"/>
    <w:rsid w:val="006C6A7B"/>
    <w:rsid w:val="006C6AFA"/>
    <w:rsid w:val="006C6B58"/>
    <w:rsid w:val="006C7514"/>
    <w:rsid w:val="006C7739"/>
    <w:rsid w:val="006C7C0C"/>
    <w:rsid w:val="006D0243"/>
    <w:rsid w:val="006D03B6"/>
    <w:rsid w:val="006D0B25"/>
    <w:rsid w:val="006D0FE1"/>
    <w:rsid w:val="006D1A6F"/>
    <w:rsid w:val="006D1AEF"/>
    <w:rsid w:val="006D1B87"/>
    <w:rsid w:val="006D214D"/>
    <w:rsid w:val="006D27D4"/>
    <w:rsid w:val="006D2F7B"/>
    <w:rsid w:val="006D32B3"/>
    <w:rsid w:val="006D3300"/>
    <w:rsid w:val="006D33ED"/>
    <w:rsid w:val="006D34BC"/>
    <w:rsid w:val="006D3544"/>
    <w:rsid w:val="006D35BE"/>
    <w:rsid w:val="006D35EE"/>
    <w:rsid w:val="006D38F5"/>
    <w:rsid w:val="006D3930"/>
    <w:rsid w:val="006D3C9D"/>
    <w:rsid w:val="006D3CC9"/>
    <w:rsid w:val="006D3DAE"/>
    <w:rsid w:val="006D409A"/>
    <w:rsid w:val="006D470F"/>
    <w:rsid w:val="006D473C"/>
    <w:rsid w:val="006D4A85"/>
    <w:rsid w:val="006D4BB2"/>
    <w:rsid w:val="006D4C09"/>
    <w:rsid w:val="006D4E9F"/>
    <w:rsid w:val="006D518D"/>
    <w:rsid w:val="006D55BE"/>
    <w:rsid w:val="006D55F4"/>
    <w:rsid w:val="006D5B0C"/>
    <w:rsid w:val="006D5FCF"/>
    <w:rsid w:val="006D60B9"/>
    <w:rsid w:val="006D6277"/>
    <w:rsid w:val="006D6526"/>
    <w:rsid w:val="006D65A8"/>
    <w:rsid w:val="006D6670"/>
    <w:rsid w:val="006D6916"/>
    <w:rsid w:val="006D6D72"/>
    <w:rsid w:val="006D6DF9"/>
    <w:rsid w:val="006D6F79"/>
    <w:rsid w:val="006D70D6"/>
    <w:rsid w:val="006D7860"/>
    <w:rsid w:val="006D7C83"/>
    <w:rsid w:val="006D7E31"/>
    <w:rsid w:val="006D7E8A"/>
    <w:rsid w:val="006D7F99"/>
    <w:rsid w:val="006E0033"/>
    <w:rsid w:val="006E0613"/>
    <w:rsid w:val="006E0654"/>
    <w:rsid w:val="006E06A9"/>
    <w:rsid w:val="006E06FD"/>
    <w:rsid w:val="006E080C"/>
    <w:rsid w:val="006E08A8"/>
    <w:rsid w:val="006E0C7B"/>
    <w:rsid w:val="006E1275"/>
    <w:rsid w:val="006E1A53"/>
    <w:rsid w:val="006E1B0E"/>
    <w:rsid w:val="006E1B16"/>
    <w:rsid w:val="006E1D8C"/>
    <w:rsid w:val="006E1DE2"/>
    <w:rsid w:val="006E1DEE"/>
    <w:rsid w:val="006E23F2"/>
    <w:rsid w:val="006E2435"/>
    <w:rsid w:val="006E2523"/>
    <w:rsid w:val="006E28B3"/>
    <w:rsid w:val="006E2917"/>
    <w:rsid w:val="006E2970"/>
    <w:rsid w:val="006E2A04"/>
    <w:rsid w:val="006E2B98"/>
    <w:rsid w:val="006E2D08"/>
    <w:rsid w:val="006E311A"/>
    <w:rsid w:val="006E31A0"/>
    <w:rsid w:val="006E34D7"/>
    <w:rsid w:val="006E3716"/>
    <w:rsid w:val="006E3B67"/>
    <w:rsid w:val="006E3D45"/>
    <w:rsid w:val="006E3E89"/>
    <w:rsid w:val="006E41E5"/>
    <w:rsid w:val="006E4367"/>
    <w:rsid w:val="006E44E1"/>
    <w:rsid w:val="006E4881"/>
    <w:rsid w:val="006E48D9"/>
    <w:rsid w:val="006E4BE0"/>
    <w:rsid w:val="006E4C2F"/>
    <w:rsid w:val="006E4DDC"/>
    <w:rsid w:val="006E50A4"/>
    <w:rsid w:val="006E5175"/>
    <w:rsid w:val="006E5275"/>
    <w:rsid w:val="006E575D"/>
    <w:rsid w:val="006E5AA3"/>
    <w:rsid w:val="006E5CEE"/>
    <w:rsid w:val="006E5DA1"/>
    <w:rsid w:val="006E5E65"/>
    <w:rsid w:val="006E5E73"/>
    <w:rsid w:val="006E643A"/>
    <w:rsid w:val="006E64A3"/>
    <w:rsid w:val="006E66EF"/>
    <w:rsid w:val="006E6718"/>
    <w:rsid w:val="006E6779"/>
    <w:rsid w:val="006E6FE9"/>
    <w:rsid w:val="006E736A"/>
    <w:rsid w:val="006E7723"/>
    <w:rsid w:val="006E77A2"/>
    <w:rsid w:val="006E791D"/>
    <w:rsid w:val="006E7948"/>
    <w:rsid w:val="006E7984"/>
    <w:rsid w:val="006E7C1D"/>
    <w:rsid w:val="006E7D3C"/>
    <w:rsid w:val="006F0197"/>
    <w:rsid w:val="006F029E"/>
    <w:rsid w:val="006F0810"/>
    <w:rsid w:val="006F1056"/>
    <w:rsid w:val="006F141A"/>
    <w:rsid w:val="006F14AC"/>
    <w:rsid w:val="006F190A"/>
    <w:rsid w:val="006F1A55"/>
    <w:rsid w:val="006F1B4C"/>
    <w:rsid w:val="006F1F5A"/>
    <w:rsid w:val="006F2099"/>
    <w:rsid w:val="006F2D55"/>
    <w:rsid w:val="006F2DF9"/>
    <w:rsid w:val="006F2EA5"/>
    <w:rsid w:val="006F312F"/>
    <w:rsid w:val="006F31DE"/>
    <w:rsid w:val="006F3358"/>
    <w:rsid w:val="006F33FB"/>
    <w:rsid w:val="006F358C"/>
    <w:rsid w:val="006F37CB"/>
    <w:rsid w:val="006F3B65"/>
    <w:rsid w:val="006F421B"/>
    <w:rsid w:val="006F4246"/>
    <w:rsid w:val="006F4BD1"/>
    <w:rsid w:val="006F5568"/>
    <w:rsid w:val="006F55A7"/>
    <w:rsid w:val="006F5A1F"/>
    <w:rsid w:val="006F5C53"/>
    <w:rsid w:val="006F5CBD"/>
    <w:rsid w:val="006F5F16"/>
    <w:rsid w:val="006F663B"/>
    <w:rsid w:val="006F6EBC"/>
    <w:rsid w:val="006F6EF6"/>
    <w:rsid w:val="006F715E"/>
    <w:rsid w:val="006F7547"/>
    <w:rsid w:val="007001D0"/>
    <w:rsid w:val="007003D3"/>
    <w:rsid w:val="00700809"/>
    <w:rsid w:val="0070093C"/>
    <w:rsid w:val="0070099B"/>
    <w:rsid w:val="00700B3C"/>
    <w:rsid w:val="00700BF1"/>
    <w:rsid w:val="00700F8A"/>
    <w:rsid w:val="00701282"/>
    <w:rsid w:val="0070135F"/>
    <w:rsid w:val="0070162A"/>
    <w:rsid w:val="00701803"/>
    <w:rsid w:val="0070189A"/>
    <w:rsid w:val="00701D32"/>
    <w:rsid w:val="007023A0"/>
    <w:rsid w:val="007024A7"/>
    <w:rsid w:val="00702671"/>
    <w:rsid w:val="0070298E"/>
    <w:rsid w:val="007031F5"/>
    <w:rsid w:val="0070328A"/>
    <w:rsid w:val="00703499"/>
    <w:rsid w:val="00703541"/>
    <w:rsid w:val="00703E0B"/>
    <w:rsid w:val="00703FEB"/>
    <w:rsid w:val="00704021"/>
    <w:rsid w:val="007045FC"/>
    <w:rsid w:val="007047E1"/>
    <w:rsid w:val="00704ADA"/>
    <w:rsid w:val="007051EA"/>
    <w:rsid w:val="0070526A"/>
    <w:rsid w:val="007067B0"/>
    <w:rsid w:val="00706A11"/>
    <w:rsid w:val="00707847"/>
    <w:rsid w:val="00707A4D"/>
    <w:rsid w:val="00707BE3"/>
    <w:rsid w:val="00707FBA"/>
    <w:rsid w:val="00710229"/>
    <w:rsid w:val="007103BC"/>
    <w:rsid w:val="0071057A"/>
    <w:rsid w:val="007106A7"/>
    <w:rsid w:val="00710B06"/>
    <w:rsid w:val="007115BD"/>
    <w:rsid w:val="00711BC7"/>
    <w:rsid w:val="00711D3E"/>
    <w:rsid w:val="0071200F"/>
    <w:rsid w:val="007120F0"/>
    <w:rsid w:val="00712196"/>
    <w:rsid w:val="007125F9"/>
    <w:rsid w:val="0071303C"/>
    <w:rsid w:val="0071318E"/>
    <w:rsid w:val="00713258"/>
    <w:rsid w:val="00713313"/>
    <w:rsid w:val="00713373"/>
    <w:rsid w:val="007135B6"/>
    <w:rsid w:val="007138CF"/>
    <w:rsid w:val="0071405A"/>
    <w:rsid w:val="00714141"/>
    <w:rsid w:val="00714461"/>
    <w:rsid w:val="007145C2"/>
    <w:rsid w:val="00714AB8"/>
    <w:rsid w:val="00714C8E"/>
    <w:rsid w:val="00714DB5"/>
    <w:rsid w:val="00714DE3"/>
    <w:rsid w:val="00714E14"/>
    <w:rsid w:val="007156A1"/>
    <w:rsid w:val="00715732"/>
    <w:rsid w:val="00715E45"/>
    <w:rsid w:val="007160CB"/>
    <w:rsid w:val="00716324"/>
    <w:rsid w:val="00716484"/>
    <w:rsid w:val="0071669A"/>
    <w:rsid w:val="00716927"/>
    <w:rsid w:val="00716CDC"/>
    <w:rsid w:val="00716D8F"/>
    <w:rsid w:val="00716E2C"/>
    <w:rsid w:val="00717111"/>
    <w:rsid w:val="007171D2"/>
    <w:rsid w:val="007179CB"/>
    <w:rsid w:val="0072047D"/>
    <w:rsid w:val="00720BE3"/>
    <w:rsid w:val="00720D13"/>
    <w:rsid w:val="00720D8A"/>
    <w:rsid w:val="00720ECB"/>
    <w:rsid w:val="00720EEF"/>
    <w:rsid w:val="00721315"/>
    <w:rsid w:val="00721596"/>
    <w:rsid w:val="00721703"/>
    <w:rsid w:val="007217B7"/>
    <w:rsid w:val="00721BA6"/>
    <w:rsid w:val="00721E27"/>
    <w:rsid w:val="00721E6E"/>
    <w:rsid w:val="00721EAB"/>
    <w:rsid w:val="00721F01"/>
    <w:rsid w:val="00721FCA"/>
    <w:rsid w:val="00722030"/>
    <w:rsid w:val="007222E7"/>
    <w:rsid w:val="007227F1"/>
    <w:rsid w:val="00722ADA"/>
    <w:rsid w:val="00722FB9"/>
    <w:rsid w:val="00723586"/>
    <w:rsid w:val="007235C6"/>
    <w:rsid w:val="007239E7"/>
    <w:rsid w:val="00723A31"/>
    <w:rsid w:val="00723B02"/>
    <w:rsid w:val="00723E38"/>
    <w:rsid w:val="0072429C"/>
    <w:rsid w:val="00724491"/>
    <w:rsid w:val="007246D2"/>
    <w:rsid w:val="00724833"/>
    <w:rsid w:val="00724E01"/>
    <w:rsid w:val="0072500C"/>
    <w:rsid w:val="007251AB"/>
    <w:rsid w:val="007258C9"/>
    <w:rsid w:val="00725A68"/>
    <w:rsid w:val="00725D6E"/>
    <w:rsid w:val="0072644A"/>
    <w:rsid w:val="0072697B"/>
    <w:rsid w:val="00726BC4"/>
    <w:rsid w:val="00726F71"/>
    <w:rsid w:val="007270FE"/>
    <w:rsid w:val="007272DE"/>
    <w:rsid w:val="00727514"/>
    <w:rsid w:val="00727597"/>
    <w:rsid w:val="007275BE"/>
    <w:rsid w:val="007275E8"/>
    <w:rsid w:val="007277FA"/>
    <w:rsid w:val="007279AA"/>
    <w:rsid w:val="00727D65"/>
    <w:rsid w:val="00727DF1"/>
    <w:rsid w:val="00727F94"/>
    <w:rsid w:val="00730167"/>
    <w:rsid w:val="007302D4"/>
    <w:rsid w:val="00730739"/>
    <w:rsid w:val="0073078A"/>
    <w:rsid w:val="00730D15"/>
    <w:rsid w:val="00730E33"/>
    <w:rsid w:val="00730F49"/>
    <w:rsid w:val="00731EC3"/>
    <w:rsid w:val="00731F91"/>
    <w:rsid w:val="0073215C"/>
    <w:rsid w:val="007326B3"/>
    <w:rsid w:val="00732BB4"/>
    <w:rsid w:val="00732C6B"/>
    <w:rsid w:val="00732EA0"/>
    <w:rsid w:val="007333EA"/>
    <w:rsid w:val="00733688"/>
    <w:rsid w:val="00733F42"/>
    <w:rsid w:val="00733F72"/>
    <w:rsid w:val="007347C3"/>
    <w:rsid w:val="00734CA5"/>
    <w:rsid w:val="00734D20"/>
    <w:rsid w:val="00734FBF"/>
    <w:rsid w:val="0073519B"/>
    <w:rsid w:val="007354C3"/>
    <w:rsid w:val="0073562C"/>
    <w:rsid w:val="00735857"/>
    <w:rsid w:val="007359EB"/>
    <w:rsid w:val="00736067"/>
    <w:rsid w:val="007362ED"/>
    <w:rsid w:val="007363D3"/>
    <w:rsid w:val="007366A8"/>
    <w:rsid w:val="0073683B"/>
    <w:rsid w:val="00736AFE"/>
    <w:rsid w:val="00736FCB"/>
    <w:rsid w:val="007371E1"/>
    <w:rsid w:val="0073736F"/>
    <w:rsid w:val="0073743A"/>
    <w:rsid w:val="00737625"/>
    <w:rsid w:val="0073782B"/>
    <w:rsid w:val="00737AE2"/>
    <w:rsid w:val="00740018"/>
    <w:rsid w:val="00740043"/>
    <w:rsid w:val="0074022B"/>
    <w:rsid w:val="00740A9A"/>
    <w:rsid w:val="00740EEE"/>
    <w:rsid w:val="00741058"/>
    <w:rsid w:val="007412EC"/>
    <w:rsid w:val="007416DA"/>
    <w:rsid w:val="007416E3"/>
    <w:rsid w:val="0074193D"/>
    <w:rsid w:val="00741A14"/>
    <w:rsid w:val="00741B29"/>
    <w:rsid w:val="00741DB0"/>
    <w:rsid w:val="0074223A"/>
    <w:rsid w:val="007422CB"/>
    <w:rsid w:val="007423AF"/>
    <w:rsid w:val="007426A0"/>
    <w:rsid w:val="0074287D"/>
    <w:rsid w:val="00742A85"/>
    <w:rsid w:val="00742CCE"/>
    <w:rsid w:val="00742FF7"/>
    <w:rsid w:val="007430A4"/>
    <w:rsid w:val="00743110"/>
    <w:rsid w:val="00743342"/>
    <w:rsid w:val="007433B5"/>
    <w:rsid w:val="007433F4"/>
    <w:rsid w:val="007434BD"/>
    <w:rsid w:val="0074353C"/>
    <w:rsid w:val="007438ED"/>
    <w:rsid w:val="00744016"/>
    <w:rsid w:val="0074493C"/>
    <w:rsid w:val="00744A9C"/>
    <w:rsid w:val="007452BD"/>
    <w:rsid w:val="00745534"/>
    <w:rsid w:val="00745C54"/>
    <w:rsid w:val="00745DAB"/>
    <w:rsid w:val="007461A1"/>
    <w:rsid w:val="00746248"/>
    <w:rsid w:val="007463CC"/>
    <w:rsid w:val="007463FB"/>
    <w:rsid w:val="00746597"/>
    <w:rsid w:val="0074662F"/>
    <w:rsid w:val="007468C6"/>
    <w:rsid w:val="00746E61"/>
    <w:rsid w:val="00746F9C"/>
    <w:rsid w:val="007472A8"/>
    <w:rsid w:val="00747580"/>
    <w:rsid w:val="00747653"/>
    <w:rsid w:val="007476A3"/>
    <w:rsid w:val="007476D5"/>
    <w:rsid w:val="00747754"/>
    <w:rsid w:val="00747882"/>
    <w:rsid w:val="00747B89"/>
    <w:rsid w:val="00747C2E"/>
    <w:rsid w:val="00747E4A"/>
    <w:rsid w:val="00750138"/>
    <w:rsid w:val="00750204"/>
    <w:rsid w:val="00750365"/>
    <w:rsid w:val="00750A27"/>
    <w:rsid w:val="00750C7D"/>
    <w:rsid w:val="00750FA3"/>
    <w:rsid w:val="00751DCB"/>
    <w:rsid w:val="00751EB1"/>
    <w:rsid w:val="00751ED7"/>
    <w:rsid w:val="00751F1F"/>
    <w:rsid w:val="00751F90"/>
    <w:rsid w:val="00751FEA"/>
    <w:rsid w:val="007522BA"/>
    <w:rsid w:val="00752321"/>
    <w:rsid w:val="00752557"/>
    <w:rsid w:val="00752B03"/>
    <w:rsid w:val="00753931"/>
    <w:rsid w:val="00753AD7"/>
    <w:rsid w:val="00753B05"/>
    <w:rsid w:val="00753B20"/>
    <w:rsid w:val="00753FC9"/>
    <w:rsid w:val="007542CD"/>
    <w:rsid w:val="007543E7"/>
    <w:rsid w:val="00754A42"/>
    <w:rsid w:val="00755174"/>
    <w:rsid w:val="007551C1"/>
    <w:rsid w:val="007556C3"/>
    <w:rsid w:val="00756371"/>
    <w:rsid w:val="00756577"/>
    <w:rsid w:val="00756884"/>
    <w:rsid w:val="007569AC"/>
    <w:rsid w:val="00756A7F"/>
    <w:rsid w:val="00756C93"/>
    <w:rsid w:val="00757490"/>
    <w:rsid w:val="00757785"/>
    <w:rsid w:val="00757B24"/>
    <w:rsid w:val="00757DDD"/>
    <w:rsid w:val="007601EA"/>
    <w:rsid w:val="00760271"/>
    <w:rsid w:val="007604FB"/>
    <w:rsid w:val="00760962"/>
    <w:rsid w:val="00760C4E"/>
    <w:rsid w:val="00760DC8"/>
    <w:rsid w:val="00760EDA"/>
    <w:rsid w:val="0076124E"/>
    <w:rsid w:val="0076146E"/>
    <w:rsid w:val="007617D1"/>
    <w:rsid w:val="007617EC"/>
    <w:rsid w:val="007617FA"/>
    <w:rsid w:val="0076196B"/>
    <w:rsid w:val="00761CCB"/>
    <w:rsid w:val="007621A3"/>
    <w:rsid w:val="00762256"/>
    <w:rsid w:val="007622A3"/>
    <w:rsid w:val="00762354"/>
    <w:rsid w:val="007626E3"/>
    <w:rsid w:val="00762826"/>
    <w:rsid w:val="00762B4A"/>
    <w:rsid w:val="007630D3"/>
    <w:rsid w:val="007631AE"/>
    <w:rsid w:val="007631ED"/>
    <w:rsid w:val="00763375"/>
    <w:rsid w:val="007633CB"/>
    <w:rsid w:val="00763760"/>
    <w:rsid w:val="00763B06"/>
    <w:rsid w:val="00763E6E"/>
    <w:rsid w:val="00763EC3"/>
    <w:rsid w:val="0076405A"/>
    <w:rsid w:val="00764236"/>
    <w:rsid w:val="00764349"/>
    <w:rsid w:val="007643B1"/>
    <w:rsid w:val="007649EB"/>
    <w:rsid w:val="00764C09"/>
    <w:rsid w:val="00764F22"/>
    <w:rsid w:val="00765188"/>
    <w:rsid w:val="00765365"/>
    <w:rsid w:val="007655A1"/>
    <w:rsid w:val="0076573A"/>
    <w:rsid w:val="007659B6"/>
    <w:rsid w:val="00765A5B"/>
    <w:rsid w:val="00765C9B"/>
    <w:rsid w:val="00766B2E"/>
    <w:rsid w:val="00766BD9"/>
    <w:rsid w:val="00766C45"/>
    <w:rsid w:val="00766F29"/>
    <w:rsid w:val="00766FB3"/>
    <w:rsid w:val="0076710F"/>
    <w:rsid w:val="007677D1"/>
    <w:rsid w:val="00767962"/>
    <w:rsid w:val="007679F2"/>
    <w:rsid w:val="00767DE0"/>
    <w:rsid w:val="0077005C"/>
    <w:rsid w:val="00770797"/>
    <w:rsid w:val="00770A16"/>
    <w:rsid w:val="00770A9C"/>
    <w:rsid w:val="00770E54"/>
    <w:rsid w:val="00770E95"/>
    <w:rsid w:val="00770F37"/>
    <w:rsid w:val="007713C1"/>
    <w:rsid w:val="00771887"/>
    <w:rsid w:val="00771A5B"/>
    <w:rsid w:val="00771B55"/>
    <w:rsid w:val="00771E11"/>
    <w:rsid w:val="00771F13"/>
    <w:rsid w:val="00772680"/>
    <w:rsid w:val="007726C6"/>
    <w:rsid w:val="00772886"/>
    <w:rsid w:val="00772B6F"/>
    <w:rsid w:val="00772E85"/>
    <w:rsid w:val="0077304E"/>
    <w:rsid w:val="007730C5"/>
    <w:rsid w:val="00773242"/>
    <w:rsid w:val="007737D1"/>
    <w:rsid w:val="00773924"/>
    <w:rsid w:val="00773DA4"/>
    <w:rsid w:val="0077460E"/>
    <w:rsid w:val="00774944"/>
    <w:rsid w:val="007749DC"/>
    <w:rsid w:val="00774E7F"/>
    <w:rsid w:val="00774F38"/>
    <w:rsid w:val="0077527F"/>
    <w:rsid w:val="00775490"/>
    <w:rsid w:val="0077587A"/>
    <w:rsid w:val="00775941"/>
    <w:rsid w:val="00775DEC"/>
    <w:rsid w:val="00775F6C"/>
    <w:rsid w:val="007760FC"/>
    <w:rsid w:val="007762E4"/>
    <w:rsid w:val="0077636B"/>
    <w:rsid w:val="007763B3"/>
    <w:rsid w:val="007763F8"/>
    <w:rsid w:val="007764A6"/>
    <w:rsid w:val="007765D3"/>
    <w:rsid w:val="007767BF"/>
    <w:rsid w:val="00776A88"/>
    <w:rsid w:val="00776D05"/>
    <w:rsid w:val="0077737E"/>
    <w:rsid w:val="00777605"/>
    <w:rsid w:val="00777C3C"/>
    <w:rsid w:val="00777DBE"/>
    <w:rsid w:val="00780E69"/>
    <w:rsid w:val="00780E9D"/>
    <w:rsid w:val="00781031"/>
    <w:rsid w:val="00781244"/>
    <w:rsid w:val="0078126A"/>
    <w:rsid w:val="0078127B"/>
    <w:rsid w:val="007815E2"/>
    <w:rsid w:val="0078164B"/>
    <w:rsid w:val="00781A64"/>
    <w:rsid w:val="00781C7D"/>
    <w:rsid w:val="00781DF2"/>
    <w:rsid w:val="00781F35"/>
    <w:rsid w:val="00781FA3"/>
    <w:rsid w:val="00782113"/>
    <w:rsid w:val="00782354"/>
    <w:rsid w:val="0078242E"/>
    <w:rsid w:val="007824FC"/>
    <w:rsid w:val="0078261D"/>
    <w:rsid w:val="00782785"/>
    <w:rsid w:val="007829DE"/>
    <w:rsid w:val="00782F21"/>
    <w:rsid w:val="00782FB8"/>
    <w:rsid w:val="00783527"/>
    <w:rsid w:val="00783824"/>
    <w:rsid w:val="00783BBD"/>
    <w:rsid w:val="00783D8A"/>
    <w:rsid w:val="00784667"/>
    <w:rsid w:val="007848B6"/>
    <w:rsid w:val="00784AA8"/>
    <w:rsid w:val="00784B70"/>
    <w:rsid w:val="007851C8"/>
    <w:rsid w:val="00785802"/>
    <w:rsid w:val="00785B9D"/>
    <w:rsid w:val="00786517"/>
    <w:rsid w:val="00786A5A"/>
    <w:rsid w:val="00786B46"/>
    <w:rsid w:val="00786D7F"/>
    <w:rsid w:val="007874C6"/>
    <w:rsid w:val="00787685"/>
    <w:rsid w:val="0078789C"/>
    <w:rsid w:val="007879FB"/>
    <w:rsid w:val="00787CB5"/>
    <w:rsid w:val="00787E25"/>
    <w:rsid w:val="00787EA6"/>
    <w:rsid w:val="00787EB7"/>
    <w:rsid w:val="007908B6"/>
    <w:rsid w:val="00790E03"/>
    <w:rsid w:val="00791379"/>
    <w:rsid w:val="00791447"/>
    <w:rsid w:val="007914CB"/>
    <w:rsid w:val="007915B8"/>
    <w:rsid w:val="00791B61"/>
    <w:rsid w:val="00791DE8"/>
    <w:rsid w:val="00791E4F"/>
    <w:rsid w:val="00791F88"/>
    <w:rsid w:val="00791FF7"/>
    <w:rsid w:val="0079224E"/>
    <w:rsid w:val="00792328"/>
    <w:rsid w:val="007925B6"/>
    <w:rsid w:val="00793144"/>
    <w:rsid w:val="0079366B"/>
    <w:rsid w:val="00793986"/>
    <w:rsid w:val="00793E04"/>
    <w:rsid w:val="00794090"/>
    <w:rsid w:val="007940B0"/>
    <w:rsid w:val="00794151"/>
    <w:rsid w:val="00794637"/>
    <w:rsid w:val="007949B3"/>
    <w:rsid w:val="007949DF"/>
    <w:rsid w:val="00794A73"/>
    <w:rsid w:val="00794C9F"/>
    <w:rsid w:val="00794D73"/>
    <w:rsid w:val="00794F2F"/>
    <w:rsid w:val="0079522E"/>
    <w:rsid w:val="007953D1"/>
    <w:rsid w:val="0079542A"/>
    <w:rsid w:val="007954CB"/>
    <w:rsid w:val="0079552E"/>
    <w:rsid w:val="007955C0"/>
    <w:rsid w:val="0079560E"/>
    <w:rsid w:val="00795CD4"/>
    <w:rsid w:val="00795CFD"/>
    <w:rsid w:val="00795DD8"/>
    <w:rsid w:val="007960E1"/>
    <w:rsid w:val="0079669B"/>
    <w:rsid w:val="00796F7C"/>
    <w:rsid w:val="0079738E"/>
    <w:rsid w:val="007974CC"/>
    <w:rsid w:val="0079784A"/>
    <w:rsid w:val="00797E4E"/>
    <w:rsid w:val="00797E5D"/>
    <w:rsid w:val="00797FD4"/>
    <w:rsid w:val="007A0181"/>
    <w:rsid w:val="007A0437"/>
    <w:rsid w:val="007A07B3"/>
    <w:rsid w:val="007A08D3"/>
    <w:rsid w:val="007A0D2A"/>
    <w:rsid w:val="007A0DEC"/>
    <w:rsid w:val="007A0E02"/>
    <w:rsid w:val="007A147E"/>
    <w:rsid w:val="007A1486"/>
    <w:rsid w:val="007A2120"/>
    <w:rsid w:val="007A23F2"/>
    <w:rsid w:val="007A2575"/>
    <w:rsid w:val="007A264B"/>
    <w:rsid w:val="007A26A6"/>
    <w:rsid w:val="007A2797"/>
    <w:rsid w:val="007A29A2"/>
    <w:rsid w:val="007A3001"/>
    <w:rsid w:val="007A3161"/>
    <w:rsid w:val="007A3CBF"/>
    <w:rsid w:val="007A3D73"/>
    <w:rsid w:val="007A3DF3"/>
    <w:rsid w:val="007A3EB8"/>
    <w:rsid w:val="007A43CA"/>
    <w:rsid w:val="007A46BF"/>
    <w:rsid w:val="007A46CA"/>
    <w:rsid w:val="007A46D9"/>
    <w:rsid w:val="007A4D1A"/>
    <w:rsid w:val="007A5017"/>
    <w:rsid w:val="007A502B"/>
    <w:rsid w:val="007A5136"/>
    <w:rsid w:val="007A5427"/>
    <w:rsid w:val="007A558B"/>
    <w:rsid w:val="007A59D2"/>
    <w:rsid w:val="007A5C2C"/>
    <w:rsid w:val="007A5FD4"/>
    <w:rsid w:val="007A60AD"/>
    <w:rsid w:val="007A61AC"/>
    <w:rsid w:val="007A622F"/>
    <w:rsid w:val="007A6908"/>
    <w:rsid w:val="007A756D"/>
    <w:rsid w:val="007B0007"/>
    <w:rsid w:val="007B00DC"/>
    <w:rsid w:val="007B07D6"/>
    <w:rsid w:val="007B08B7"/>
    <w:rsid w:val="007B0BC3"/>
    <w:rsid w:val="007B143C"/>
    <w:rsid w:val="007B1B56"/>
    <w:rsid w:val="007B1BE8"/>
    <w:rsid w:val="007B2713"/>
    <w:rsid w:val="007B27C6"/>
    <w:rsid w:val="007B28A6"/>
    <w:rsid w:val="007B3103"/>
    <w:rsid w:val="007B3658"/>
    <w:rsid w:val="007B3C1E"/>
    <w:rsid w:val="007B3F41"/>
    <w:rsid w:val="007B4327"/>
    <w:rsid w:val="007B43D3"/>
    <w:rsid w:val="007B4487"/>
    <w:rsid w:val="007B4492"/>
    <w:rsid w:val="007B48DE"/>
    <w:rsid w:val="007B4B22"/>
    <w:rsid w:val="007B4FC0"/>
    <w:rsid w:val="007B4FC1"/>
    <w:rsid w:val="007B524C"/>
    <w:rsid w:val="007B5674"/>
    <w:rsid w:val="007B58C5"/>
    <w:rsid w:val="007B5938"/>
    <w:rsid w:val="007B5947"/>
    <w:rsid w:val="007B5AF1"/>
    <w:rsid w:val="007B603E"/>
    <w:rsid w:val="007B60E6"/>
    <w:rsid w:val="007B74F8"/>
    <w:rsid w:val="007B7687"/>
    <w:rsid w:val="007B7B7F"/>
    <w:rsid w:val="007C00DE"/>
    <w:rsid w:val="007C0335"/>
    <w:rsid w:val="007C0340"/>
    <w:rsid w:val="007C0562"/>
    <w:rsid w:val="007C09D2"/>
    <w:rsid w:val="007C1113"/>
    <w:rsid w:val="007C120F"/>
    <w:rsid w:val="007C14AA"/>
    <w:rsid w:val="007C151A"/>
    <w:rsid w:val="007C182D"/>
    <w:rsid w:val="007C1A2B"/>
    <w:rsid w:val="007C1AB2"/>
    <w:rsid w:val="007C1BC9"/>
    <w:rsid w:val="007C1C2F"/>
    <w:rsid w:val="007C1C52"/>
    <w:rsid w:val="007C1DD0"/>
    <w:rsid w:val="007C1EEA"/>
    <w:rsid w:val="007C23D1"/>
    <w:rsid w:val="007C252F"/>
    <w:rsid w:val="007C2920"/>
    <w:rsid w:val="007C2A31"/>
    <w:rsid w:val="007C2CAF"/>
    <w:rsid w:val="007C2E88"/>
    <w:rsid w:val="007C2F18"/>
    <w:rsid w:val="007C3356"/>
    <w:rsid w:val="007C3383"/>
    <w:rsid w:val="007C359C"/>
    <w:rsid w:val="007C3614"/>
    <w:rsid w:val="007C3753"/>
    <w:rsid w:val="007C37AB"/>
    <w:rsid w:val="007C39D8"/>
    <w:rsid w:val="007C3A6F"/>
    <w:rsid w:val="007C3FF9"/>
    <w:rsid w:val="007C4202"/>
    <w:rsid w:val="007C447F"/>
    <w:rsid w:val="007C458F"/>
    <w:rsid w:val="007C50F1"/>
    <w:rsid w:val="007C522F"/>
    <w:rsid w:val="007C5687"/>
    <w:rsid w:val="007C5710"/>
    <w:rsid w:val="007C5734"/>
    <w:rsid w:val="007C59DA"/>
    <w:rsid w:val="007C5D28"/>
    <w:rsid w:val="007C63F3"/>
    <w:rsid w:val="007C654D"/>
    <w:rsid w:val="007C67A6"/>
    <w:rsid w:val="007C6CE5"/>
    <w:rsid w:val="007C6D7E"/>
    <w:rsid w:val="007C6DDD"/>
    <w:rsid w:val="007C7210"/>
    <w:rsid w:val="007C745B"/>
    <w:rsid w:val="007C7524"/>
    <w:rsid w:val="007C7A12"/>
    <w:rsid w:val="007C7AEE"/>
    <w:rsid w:val="007D017B"/>
    <w:rsid w:val="007D0773"/>
    <w:rsid w:val="007D087C"/>
    <w:rsid w:val="007D0A10"/>
    <w:rsid w:val="007D0AAC"/>
    <w:rsid w:val="007D1111"/>
    <w:rsid w:val="007D13EA"/>
    <w:rsid w:val="007D1C8F"/>
    <w:rsid w:val="007D260C"/>
    <w:rsid w:val="007D287D"/>
    <w:rsid w:val="007D2A2E"/>
    <w:rsid w:val="007D2ADE"/>
    <w:rsid w:val="007D2DEC"/>
    <w:rsid w:val="007D2FC9"/>
    <w:rsid w:val="007D31FA"/>
    <w:rsid w:val="007D3615"/>
    <w:rsid w:val="007D3899"/>
    <w:rsid w:val="007D3981"/>
    <w:rsid w:val="007D3B20"/>
    <w:rsid w:val="007D3C86"/>
    <w:rsid w:val="007D3E29"/>
    <w:rsid w:val="007D4015"/>
    <w:rsid w:val="007D44F7"/>
    <w:rsid w:val="007D47BA"/>
    <w:rsid w:val="007D4990"/>
    <w:rsid w:val="007D4995"/>
    <w:rsid w:val="007D4B97"/>
    <w:rsid w:val="007D4C3F"/>
    <w:rsid w:val="007D4D91"/>
    <w:rsid w:val="007D518A"/>
    <w:rsid w:val="007D55AB"/>
    <w:rsid w:val="007D55DF"/>
    <w:rsid w:val="007D58D6"/>
    <w:rsid w:val="007D671B"/>
    <w:rsid w:val="007D6B8F"/>
    <w:rsid w:val="007D6D60"/>
    <w:rsid w:val="007D6E43"/>
    <w:rsid w:val="007D717C"/>
    <w:rsid w:val="007D71A7"/>
    <w:rsid w:val="007D7342"/>
    <w:rsid w:val="007D779A"/>
    <w:rsid w:val="007D79BB"/>
    <w:rsid w:val="007D7C9D"/>
    <w:rsid w:val="007D7E1A"/>
    <w:rsid w:val="007D7EE0"/>
    <w:rsid w:val="007E06B5"/>
    <w:rsid w:val="007E09FB"/>
    <w:rsid w:val="007E0E02"/>
    <w:rsid w:val="007E1018"/>
    <w:rsid w:val="007E1452"/>
    <w:rsid w:val="007E1C23"/>
    <w:rsid w:val="007E1DFD"/>
    <w:rsid w:val="007E21E5"/>
    <w:rsid w:val="007E25E3"/>
    <w:rsid w:val="007E277A"/>
    <w:rsid w:val="007E2854"/>
    <w:rsid w:val="007E29A8"/>
    <w:rsid w:val="007E2CCB"/>
    <w:rsid w:val="007E2EA1"/>
    <w:rsid w:val="007E3759"/>
    <w:rsid w:val="007E3BC7"/>
    <w:rsid w:val="007E4780"/>
    <w:rsid w:val="007E4AA1"/>
    <w:rsid w:val="007E4C5F"/>
    <w:rsid w:val="007E4F0F"/>
    <w:rsid w:val="007E5904"/>
    <w:rsid w:val="007E5AD9"/>
    <w:rsid w:val="007E5B28"/>
    <w:rsid w:val="007E5EA0"/>
    <w:rsid w:val="007E5F42"/>
    <w:rsid w:val="007E627B"/>
    <w:rsid w:val="007E63A0"/>
    <w:rsid w:val="007E667F"/>
    <w:rsid w:val="007E67C7"/>
    <w:rsid w:val="007E6F7E"/>
    <w:rsid w:val="007E6F96"/>
    <w:rsid w:val="007E744A"/>
    <w:rsid w:val="007E7466"/>
    <w:rsid w:val="007E7629"/>
    <w:rsid w:val="007E7CB3"/>
    <w:rsid w:val="007F027F"/>
    <w:rsid w:val="007F02F6"/>
    <w:rsid w:val="007F03FE"/>
    <w:rsid w:val="007F0450"/>
    <w:rsid w:val="007F0540"/>
    <w:rsid w:val="007F0575"/>
    <w:rsid w:val="007F05B3"/>
    <w:rsid w:val="007F06B8"/>
    <w:rsid w:val="007F08EE"/>
    <w:rsid w:val="007F0CFC"/>
    <w:rsid w:val="007F134A"/>
    <w:rsid w:val="007F1669"/>
    <w:rsid w:val="007F1FF3"/>
    <w:rsid w:val="007F2255"/>
    <w:rsid w:val="007F2577"/>
    <w:rsid w:val="007F2A53"/>
    <w:rsid w:val="007F2A74"/>
    <w:rsid w:val="007F2CDD"/>
    <w:rsid w:val="007F308D"/>
    <w:rsid w:val="007F3388"/>
    <w:rsid w:val="007F36C8"/>
    <w:rsid w:val="007F3D84"/>
    <w:rsid w:val="007F3F3F"/>
    <w:rsid w:val="007F4171"/>
    <w:rsid w:val="007F43D7"/>
    <w:rsid w:val="007F44A5"/>
    <w:rsid w:val="007F4652"/>
    <w:rsid w:val="007F46D9"/>
    <w:rsid w:val="007F4A3A"/>
    <w:rsid w:val="007F4AD6"/>
    <w:rsid w:val="007F50F1"/>
    <w:rsid w:val="007F53A3"/>
    <w:rsid w:val="007F5893"/>
    <w:rsid w:val="007F59BB"/>
    <w:rsid w:val="007F5BAF"/>
    <w:rsid w:val="007F5D65"/>
    <w:rsid w:val="007F5DC1"/>
    <w:rsid w:val="007F5DDB"/>
    <w:rsid w:val="007F5EE6"/>
    <w:rsid w:val="007F6395"/>
    <w:rsid w:val="007F65AF"/>
    <w:rsid w:val="007F67D7"/>
    <w:rsid w:val="007F6A2B"/>
    <w:rsid w:val="007F6D08"/>
    <w:rsid w:val="007F6F1A"/>
    <w:rsid w:val="007F7088"/>
    <w:rsid w:val="007F722B"/>
    <w:rsid w:val="007F7295"/>
    <w:rsid w:val="007F74FA"/>
    <w:rsid w:val="007F7820"/>
    <w:rsid w:val="007F7936"/>
    <w:rsid w:val="007F7B1D"/>
    <w:rsid w:val="007F7E20"/>
    <w:rsid w:val="00800332"/>
    <w:rsid w:val="00800413"/>
    <w:rsid w:val="00800433"/>
    <w:rsid w:val="0080096D"/>
    <w:rsid w:val="00800A75"/>
    <w:rsid w:val="00800D43"/>
    <w:rsid w:val="00801472"/>
    <w:rsid w:val="00801FA9"/>
    <w:rsid w:val="00802915"/>
    <w:rsid w:val="00802A4E"/>
    <w:rsid w:val="00803297"/>
    <w:rsid w:val="008033A0"/>
    <w:rsid w:val="008033AF"/>
    <w:rsid w:val="00803980"/>
    <w:rsid w:val="00803B94"/>
    <w:rsid w:val="00803EBB"/>
    <w:rsid w:val="00803F25"/>
    <w:rsid w:val="00803F54"/>
    <w:rsid w:val="00803FB8"/>
    <w:rsid w:val="0080417D"/>
    <w:rsid w:val="008041A6"/>
    <w:rsid w:val="00804215"/>
    <w:rsid w:val="008043A4"/>
    <w:rsid w:val="00804705"/>
    <w:rsid w:val="008055BD"/>
    <w:rsid w:val="00805644"/>
    <w:rsid w:val="00805C42"/>
    <w:rsid w:val="00806FA5"/>
    <w:rsid w:val="00807104"/>
    <w:rsid w:val="00807313"/>
    <w:rsid w:val="00807703"/>
    <w:rsid w:val="00807737"/>
    <w:rsid w:val="0080792D"/>
    <w:rsid w:val="00807AA7"/>
    <w:rsid w:val="00807B5C"/>
    <w:rsid w:val="008103C4"/>
    <w:rsid w:val="0081047E"/>
    <w:rsid w:val="008107A0"/>
    <w:rsid w:val="0081080F"/>
    <w:rsid w:val="00810DCB"/>
    <w:rsid w:val="008114AF"/>
    <w:rsid w:val="00811538"/>
    <w:rsid w:val="0081155F"/>
    <w:rsid w:val="0081159D"/>
    <w:rsid w:val="008115BD"/>
    <w:rsid w:val="0081187E"/>
    <w:rsid w:val="00811E9C"/>
    <w:rsid w:val="00811FB3"/>
    <w:rsid w:val="00811FD4"/>
    <w:rsid w:val="008121D9"/>
    <w:rsid w:val="008122AA"/>
    <w:rsid w:val="0081236A"/>
    <w:rsid w:val="008123BD"/>
    <w:rsid w:val="00812CA0"/>
    <w:rsid w:val="008130F7"/>
    <w:rsid w:val="0081316A"/>
    <w:rsid w:val="0081317E"/>
    <w:rsid w:val="00813AE8"/>
    <w:rsid w:val="00813B60"/>
    <w:rsid w:val="00813C79"/>
    <w:rsid w:val="00813E6D"/>
    <w:rsid w:val="008140D7"/>
    <w:rsid w:val="00814267"/>
    <w:rsid w:val="0081444E"/>
    <w:rsid w:val="008148F2"/>
    <w:rsid w:val="00814B05"/>
    <w:rsid w:val="00814F0D"/>
    <w:rsid w:val="008151A3"/>
    <w:rsid w:val="008151AB"/>
    <w:rsid w:val="00815302"/>
    <w:rsid w:val="00815588"/>
    <w:rsid w:val="008156F9"/>
    <w:rsid w:val="0081596A"/>
    <w:rsid w:val="00815A83"/>
    <w:rsid w:val="00815AD4"/>
    <w:rsid w:val="008163E6"/>
    <w:rsid w:val="00816626"/>
    <w:rsid w:val="008167F4"/>
    <w:rsid w:val="00816E97"/>
    <w:rsid w:val="00816F94"/>
    <w:rsid w:val="00817039"/>
    <w:rsid w:val="008170F2"/>
    <w:rsid w:val="00817F6F"/>
    <w:rsid w:val="00820028"/>
    <w:rsid w:val="0082014A"/>
    <w:rsid w:val="00820216"/>
    <w:rsid w:val="0082062F"/>
    <w:rsid w:val="00820912"/>
    <w:rsid w:val="00820DE5"/>
    <w:rsid w:val="00821060"/>
    <w:rsid w:val="008212A6"/>
    <w:rsid w:val="00821909"/>
    <w:rsid w:val="00821A98"/>
    <w:rsid w:val="00821A9C"/>
    <w:rsid w:val="00821B3B"/>
    <w:rsid w:val="00821C2A"/>
    <w:rsid w:val="00821CBE"/>
    <w:rsid w:val="008224A5"/>
    <w:rsid w:val="0082267C"/>
    <w:rsid w:val="0082290B"/>
    <w:rsid w:val="00822BF8"/>
    <w:rsid w:val="00822EFB"/>
    <w:rsid w:val="00822FB4"/>
    <w:rsid w:val="00823B93"/>
    <w:rsid w:val="0082423D"/>
    <w:rsid w:val="0082439A"/>
    <w:rsid w:val="008245A5"/>
    <w:rsid w:val="00824C98"/>
    <w:rsid w:val="00824CBF"/>
    <w:rsid w:val="00825229"/>
    <w:rsid w:val="008252DC"/>
    <w:rsid w:val="00825301"/>
    <w:rsid w:val="008253EF"/>
    <w:rsid w:val="0082579E"/>
    <w:rsid w:val="00825C67"/>
    <w:rsid w:val="00825FA5"/>
    <w:rsid w:val="00826226"/>
    <w:rsid w:val="00827050"/>
    <w:rsid w:val="00827942"/>
    <w:rsid w:val="00827A84"/>
    <w:rsid w:val="00827E0F"/>
    <w:rsid w:val="0083020D"/>
    <w:rsid w:val="008303A7"/>
    <w:rsid w:val="0083084D"/>
    <w:rsid w:val="00830CF6"/>
    <w:rsid w:val="00830DB3"/>
    <w:rsid w:val="0083116B"/>
    <w:rsid w:val="0083158D"/>
    <w:rsid w:val="00831842"/>
    <w:rsid w:val="00831B52"/>
    <w:rsid w:val="00831C13"/>
    <w:rsid w:val="00831E7A"/>
    <w:rsid w:val="00831FD9"/>
    <w:rsid w:val="008320EA"/>
    <w:rsid w:val="00832749"/>
    <w:rsid w:val="00832C93"/>
    <w:rsid w:val="0083313A"/>
    <w:rsid w:val="0083320C"/>
    <w:rsid w:val="008336B8"/>
    <w:rsid w:val="00833AC2"/>
    <w:rsid w:val="00834700"/>
    <w:rsid w:val="00834717"/>
    <w:rsid w:val="008347FC"/>
    <w:rsid w:val="00834AAF"/>
    <w:rsid w:val="00834C0A"/>
    <w:rsid w:val="00835278"/>
    <w:rsid w:val="008353AD"/>
    <w:rsid w:val="00835A2A"/>
    <w:rsid w:val="00835C79"/>
    <w:rsid w:val="00835E42"/>
    <w:rsid w:val="00836045"/>
    <w:rsid w:val="00836396"/>
    <w:rsid w:val="00836C6A"/>
    <w:rsid w:val="00836D09"/>
    <w:rsid w:val="00836FFC"/>
    <w:rsid w:val="00837314"/>
    <w:rsid w:val="0083794B"/>
    <w:rsid w:val="00837B36"/>
    <w:rsid w:val="00837CE7"/>
    <w:rsid w:val="00837D4F"/>
    <w:rsid w:val="00837E66"/>
    <w:rsid w:val="00840063"/>
    <w:rsid w:val="008400CB"/>
    <w:rsid w:val="00840319"/>
    <w:rsid w:val="00840540"/>
    <w:rsid w:val="00840952"/>
    <w:rsid w:val="008409CE"/>
    <w:rsid w:val="00840BDE"/>
    <w:rsid w:val="00840E12"/>
    <w:rsid w:val="00840EBE"/>
    <w:rsid w:val="00840F5B"/>
    <w:rsid w:val="0084101C"/>
    <w:rsid w:val="0084113D"/>
    <w:rsid w:val="008411CF"/>
    <w:rsid w:val="00841570"/>
    <w:rsid w:val="008416AE"/>
    <w:rsid w:val="00841961"/>
    <w:rsid w:val="00841C37"/>
    <w:rsid w:val="00841E1F"/>
    <w:rsid w:val="008420B3"/>
    <w:rsid w:val="00842188"/>
    <w:rsid w:val="0084233A"/>
    <w:rsid w:val="008423CD"/>
    <w:rsid w:val="0084272D"/>
    <w:rsid w:val="00842B62"/>
    <w:rsid w:val="00842E31"/>
    <w:rsid w:val="00843038"/>
    <w:rsid w:val="0084337B"/>
    <w:rsid w:val="008434FD"/>
    <w:rsid w:val="00843B4F"/>
    <w:rsid w:val="00843BA9"/>
    <w:rsid w:val="00843E3C"/>
    <w:rsid w:val="00843FA4"/>
    <w:rsid w:val="00844422"/>
    <w:rsid w:val="0084451A"/>
    <w:rsid w:val="00844E11"/>
    <w:rsid w:val="0084517B"/>
    <w:rsid w:val="00845265"/>
    <w:rsid w:val="008455BD"/>
    <w:rsid w:val="00845B56"/>
    <w:rsid w:val="00845C90"/>
    <w:rsid w:val="00845F95"/>
    <w:rsid w:val="00846120"/>
    <w:rsid w:val="008461B4"/>
    <w:rsid w:val="008465A1"/>
    <w:rsid w:val="008465BD"/>
    <w:rsid w:val="0084680D"/>
    <w:rsid w:val="00846892"/>
    <w:rsid w:val="00846DD5"/>
    <w:rsid w:val="00846E0E"/>
    <w:rsid w:val="0084766A"/>
    <w:rsid w:val="008478A6"/>
    <w:rsid w:val="00847AA1"/>
    <w:rsid w:val="00847D9A"/>
    <w:rsid w:val="008501AF"/>
    <w:rsid w:val="0085042D"/>
    <w:rsid w:val="008504D9"/>
    <w:rsid w:val="0085065E"/>
    <w:rsid w:val="00850965"/>
    <w:rsid w:val="00850BB2"/>
    <w:rsid w:val="0085154A"/>
    <w:rsid w:val="008515B1"/>
    <w:rsid w:val="0085173F"/>
    <w:rsid w:val="008518EF"/>
    <w:rsid w:val="00851A94"/>
    <w:rsid w:val="00851A9A"/>
    <w:rsid w:val="00851DF1"/>
    <w:rsid w:val="00852815"/>
    <w:rsid w:val="0085283B"/>
    <w:rsid w:val="00852A28"/>
    <w:rsid w:val="00852C81"/>
    <w:rsid w:val="00852ED8"/>
    <w:rsid w:val="008530BF"/>
    <w:rsid w:val="008531B1"/>
    <w:rsid w:val="00853609"/>
    <w:rsid w:val="008538CF"/>
    <w:rsid w:val="008539C8"/>
    <w:rsid w:val="00853C0C"/>
    <w:rsid w:val="00853C68"/>
    <w:rsid w:val="00853C6F"/>
    <w:rsid w:val="00853CC9"/>
    <w:rsid w:val="00853EA6"/>
    <w:rsid w:val="00854872"/>
    <w:rsid w:val="00854906"/>
    <w:rsid w:val="00855099"/>
    <w:rsid w:val="00855185"/>
    <w:rsid w:val="008555EB"/>
    <w:rsid w:val="00855879"/>
    <w:rsid w:val="00855B4B"/>
    <w:rsid w:val="00855BE6"/>
    <w:rsid w:val="00855D99"/>
    <w:rsid w:val="008566B9"/>
    <w:rsid w:val="008566E0"/>
    <w:rsid w:val="0085682F"/>
    <w:rsid w:val="00856841"/>
    <w:rsid w:val="00856868"/>
    <w:rsid w:val="008572DA"/>
    <w:rsid w:val="00857547"/>
    <w:rsid w:val="0085775E"/>
    <w:rsid w:val="0085779E"/>
    <w:rsid w:val="00857D6B"/>
    <w:rsid w:val="00860254"/>
    <w:rsid w:val="008602B9"/>
    <w:rsid w:val="008602E0"/>
    <w:rsid w:val="0086048D"/>
    <w:rsid w:val="00860645"/>
    <w:rsid w:val="00860650"/>
    <w:rsid w:val="0086083D"/>
    <w:rsid w:val="00860879"/>
    <w:rsid w:val="008609B4"/>
    <w:rsid w:val="00860CC2"/>
    <w:rsid w:val="00860D9A"/>
    <w:rsid w:val="00860DE2"/>
    <w:rsid w:val="0086137A"/>
    <w:rsid w:val="0086159B"/>
    <w:rsid w:val="008616EC"/>
    <w:rsid w:val="00861BE1"/>
    <w:rsid w:val="00861DE0"/>
    <w:rsid w:val="00861F12"/>
    <w:rsid w:val="008623D2"/>
    <w:rsid w:val="00862480"/>
    <w:rsid w:val="00862518"/>
    <w:rsid w:val="00862627"/>
    <w:rsid w:val="0086263E"/>
    <w:rsid w:val="00862A7B"/>
    <w:rsid w:val="00862AA8"/>
    <w:rsid w:val="00862C28"/>
    <w:rsid w:val="00862F36"/>
    <w:rsid w:val="008633A0"/>
    <w:rsid w:val="00863F59"/>
    <w:rsid w:val="00863FA8"/>
    <w:rsid w:val="00864027"/>
    <w:rsid w:val="0086416C"/>
    <w:rsid w:val="00864367"/>
    <w:rsid w:val="00864429"/>
    <w:rsid w:val="008646A7"/>
    <w:rsid w:val="00865034"/>
    <w:rsid w:val="00865065"/>
    <w:rsid w:val="008656D4"/>
    <w:rsid w:val="00865EDA"/>
    <w:rsid w:val="00866450"/>
    <w:rsid w:val="00866593"/>
    <w:rsid w:val="00867084"/>
    <w:rsid w:val="008673B8"/>
    <w:rsid w:val="008674F9"/>
    <w:rsid w:val="00867689"/>
    <w:rsid w:val="008677A1"/>
    <w:rsid w:val="00867936"/>
    <w:rsid w:val="00867A19"/>
    <w:rsid w:val="00867B5A"/>
    <w:rsid w:val="00867B6C"/>
    <w:rsid w:val="00867BD4"/>
    <w:rsid w:val="00867CF8"/>
    <w:rsid w:val="00867D38"/>
    <w:rsid w:val="00867E20"/>
    <w:rsid w:val="0087036E"/>
    <w:rsid w:val="00870760"/>
    <w:rsid w:val="00870809"/>
    <w:rsid w:val="00870833"/>
    <w:rsid w:val="00870841"/>
    <w:rsid w:val="008708A0"/>
    <w:rsid w:val="008708B1"/>
    <w:rsid w:val="00870903"/>
    <w:rsid w:val="00870F59"/>
    <w:rsid w:val="008714EF"/>
    <w:rsid w:val="0087156B"/>
    <w:rsid w:val="00871A34"/>
    <w:rsid w:val="00871C87"/>
    <w:rsid w:val="00871DD8"/>
    <w:rsid w:val="00871E83"/>
    <w:rsid w:val="00871F79"/>
    <w:rsid w:val="008724B2"/>
    <w:rsid w:val="0087319B"/>
    <w:rsid w:val="00873234"/>
    <w:rsid w:val="00873318"/>
    <w:rsid w:val="008739D3"/>
    <w:rsid w:val="00873AC3"/>
    <w:rsid w:val="00873C34"/>
    <w:rsid w:val="00873E65"/>
    <w:rsid w:val="008748B6"/>
    <w:rsid w:val="008749F2"/>
    <w:rsid w:val="00874C6B"/>
    <w:rsid w:val="0087531E"/>
    <w:rsid w:val="0087556B"/>
    <w:rsid w:val="00875682"/>
    <w:rsid w:val="0087585F"/>
    <w:rsid w:val="00875C52"/>
    <w:rsid w:val="00875EDD"/>
    <w:rsid w:val="0087602F"/>
    <w:rsid w:val="0087621F"/>
    <w:rsid w:val="00876284"/>
    <w:rsid w:val="0087631C"/>
    <w:rsid w:val="0087663E"/>
    <w:rsid w:val="00876681"/>
    <w:rsid w:val="0087682C"/>
    <w:rsid w:val="0087688C"/>
    <w:rsid w:val="00876B08"/>
    <w:rsid w:val="00876B80"/>
    <w:rsid w:val="00876C2B"/>
    <w:rsid w:val="00876CB1"/>
    <w:rsid w:val="00876EA8"/>
    <w:rsid w:val="00876F30"/>
    <w:rsid w:val="00876F3E"/>
    <w:rsid w:val="008772A3"/>
    <w:rsid w:val="008774E8"/>
    <w:rsid w:val="008775C7"/>
    <w:rsid w:val="008777F1"/>
    <w:rsid w:val="00877BAA"/>
    <w:rsid w:val="00877BD8"/>
    <w:rsid w:val="00877EFE"/>
    <w:rsid w:val="00880198"/>
    <w:rsid w:val="008801B7"/>
    <w:rsid w:val="00880348"/>
    <w:rsid w:val="00880776"/>
    <w:rsid w:val="0088088B"/>
    <w:rsid w:val="00880DB8"/>
    <w:rsid w:val="00880F87"/>
    <w:rsid w:val="0088143E"/>
    <w:rsid w:val="008814D3"/>
    <w:rsid w:val="008817FC"/>
    <w:rsid w:val="0088187A"/>
    <w:rsid w:val="008818EA"/>
    <w:rsid w:val="00881A4C"/>
    <w:rsid w:val="00881B36"/>
    <w:rsid w:val="00881C42"/>
    <w:rsid w:val="00881DEA"/>
    <w:rsid w:val="00881FD4"/>
    <w:rsid w:val="008820DC"/>
    <w:rsid w:val="00882178"/>
    <w:rsid w:val="00882868"/>
    <w:rsid w:val="0088291F"/>
    <w:rsid w:val="0088303F"/>
    <w:rsid w:val="00883054"/>
    <w:rsid w:val="008830AF"/>
    <w:rsid w:val="0088319C"/>
    <w:rsid w:val="008834D2"/>
    <w:rsid w:val="00883577"/>
    <w:rsid w:val="008843C0"/>
    <w:rsid w:val="00884B47"/>
    <w:rsid w:val="00884E53"/>
    <w:rsid w:val="008850EF"/>
    <w:rsid w:val="0088529B"/>
    <w:rsid w:val="0088579E"/>
    <w:rsid w:val="00885C99"/>
    <w:rsid w:val="00885CAB"/>
    <w:rsid w:val="00885F00"/>
    <w:rsid w:val="0088604A"/>
    <w:rsid w:val="008865FF"/>
    <w:rsid w:val="00886882"/>
    <w:rsid w:val="00886CE2"/>
    <w:rsid w:val="00886ED5"/>
    <w:rsid w:val="0088704C"/>
    <w:rsid w:val="0088718F"/>
    <w:rsid w:val="008879B6"/>
    <w:rsid w:val="00887D7B"/>
    <w:rsid w:val="00890385"/>
    <w:rsid w:val="00890BEB"/>
    <w:rsid w:val="00890CEF"/>
    <w:rsid w:val="00890E28"/>
    <w:rsid w:val="00891250"/>
    <w:rsid w:val="008912F5"/>
    <w:rsid w:val="00891308"/>
    <w:rsid w:val="00891835"/>
    <w:rsid w:val="00891880"/>
    <w:rsid w:val="008918F6"/>
    <w:rsid w:val="00891B55"/>
    <w:rsid w:val="00891BE5"/>
    <w:rsid w:val="00891EC6"/>
    <w:rsid w:val="00892361"/>
    <w:rsid w:val="00892663"/>
    <w:rsid w:val="00892D31"/>
    <w:rsid w:val="0089315D"/>
    <w:rsid w:val="0089365E"/>
    <w:rsid w:val="00893CB9"/>
    <w:rsid w:val="00893DDB"/>
    <w:rsid w:val="00893F97"/>
    <w:rsid w:val="008943DD"/>
    <w:rsid w:val="0089471C"/>
    <w:rsid w:val="00894720"/>
    <w:rsid w:val="00894DB6"/>
    <w:rsid w:val="00894F3B"/>
    <w:rsid w:val="0089515A"/>
    <w:rsid w:val="0089586D"/>
    <w:rsid w:val="00895BE9"/>
    <w:rsid w:val="00895C52"/>
    <w:rsid w:val="008961D4"/>
    <w:rsid w:val="008963C9"/>
    <w:rsid w:val="008968C9"/>
    <w:rsid w:val="00896938"/>
    <w:rsid w:val="00896E21"/>
    <w:rsid w:val="00896FB6"/>
    <w:rsid w:val="0089701A"/>
    <w:rsid w:val="0089722A"/>
    <w:rsid w:val="00897828"/>
    <w:rsid w:val="0089784C"/>
    <w:rsid w:val="0089788E"/>
    <w:rsid w:val="008979AE"/>
    <w:rsid w:val="00897D88"/>
    <w:rsid w:val="00897D9B"/>
    <w:rsid w:val="00897FD9"/>
    <w:rsid w:val="008A0DB0"/>
    <w:rsid w:val="008A0ED9"/>
    <w:rsid w:val="008A113D"/>
    <w:rsid w:val="008A11AB"/>
    <w:rsid w:val="008A12CE"/>
    <w:rsid w:val="008A16AB"/>
    <w:rsid w:val="008A1A15"/>
    <w:rsid w:val="008A1AE7"/>
    <w:rsid w:val="008A1B42"/>
    <w:rsid w:val="008A1C92"/>
    <w:rsid w:val="008A1DF5"/>
    <w:rsid w:val="008A206D"/>
    <w:rsid w:val="008A22B3"/>
    <w:rsid w:val="008A23B7"/>
    <w:rsid w:val="008A2A7C"/>
    <w:rsid w:val="008A2EB4"/>
    <w:rsid w:val="008A2F43"/>
    <w:rsid w:val="008A31D2"/>
    <w:rsid w:val="008A3868"/>
    <w:rsid w:val="008A3F06"/>
    <w:rsid w:val="008A42E4"/>
    <w:rsid w:val="008A442E"/>
    <w:rsid w:val="008A4728"/>
    <w:rsid w:val="008A4B8C"/>
    <w:rsid w:val="008A4F71"/>
    <w:rsid w:val="008A515F"/>
    <w:rsid w:val="008A570B"/>
    <w:rsid w:val="008A57E0"/>
    <w:rsid w:val="008A5AD1"/>
    <w:rsid w:val="008A5E0C"/>
    <w:rsid w:val="008A5FFA"/>
    <w:rsid w:val="008A64C2"/>
    <w:rsid w:val="008A6603"/>
    <w:rsid w:val="008A6646"/>
    <w:rsid w:val="008A6ADB"/>
    <w:rsid w:val="008A715F"/>
    <w:rsid w:val="008A720F"/>
    <w:rsid w:val="008A7437"/>
    <w:rsid w:val="008A75C8"/>
    <w:rsid w:val="008A7660"/>
    <w:rsid w:val="008A79B3"/>
    <w:rsid w:val="008A7D00"/>
    <w:rsid w:val="008B00F9"/>
    <w:rsid w:val="008B040C"/>
    <w:rsid w:val="008B0494"/>
    <w:rsid w:val="008B08A2"/>
    <w:rsid w:val="008B0A29"/>
    <w:rsid w:val="008B0BC1"/>
    <w:rsid w:val="008B0C30"/>
    <w:rsid w:val="008B0C7E"/>
    <w:rsid w:val="008B0D41"/>
    <w:rsid w:val="008B0E21"/>
    <w:rsid w:val="008B0F05"/>
    <w:rsid w:val="008B0FF6"/>
    <w:rsid w:val="008B1112"/>
    <w:rsid w:val="008B11FD"/>
    <w:rsid w:val="008B11FF"/>
    <w:rsid w:val="008B12BB"/>
    <w:rsid w:val="008B1854"/>
    <w:rsid w:val="008B18D6"/>
    <w:rsid w:val="008B1906"/>
    <w:rsid w:val="008B198B"/>
    <w:rsid w:val="008B1CD2"/>
    <w:rsid w:val="008B1F2C"/>
    <w:rsid w:val="008B22D5"/>
    <w:rsid w:val="008B2895"/>
    <w:rsid w:val="008B2899"/>
    <w:rsid w:val="008B28C9"/>
    <w:rsid w:val="008B2968"/>
    <w:rsid w:val="008B2DB3"/>
    <w:rsid w:val="008B369F"/>
    <w:rsid w:val="008B3787"/>
    <w:rsid w:val="008B3D42"/>
    <w:rsid w:val="008B3EDB"/>
    <w:rsid w:val="008B4393"/>
    <w:rsid w:val="008B446D"/>
    <w:rsid w:val="008B4A4D"/>
    <w:rsid w:val="008B4D12"/>
    <w:rsid w:val="008B5144"/>
    <w:rsid w:val="008B51AE"/>
    <w:rsid w:val="008B570A"/>
    <w:rsid w:val="008B59ED"/>
    <w:rsid w:val="008B61E4"/>
    <w:rsid w:val="008B69F2"/>
    <w:rsid w:val="008B6B64"/>
    <w:rsid w:val="008B7495"/>
    <w:rsid w:val="008B7694"/>
    <w:rsid w:val="008B7B80"/>
    <w:rsid w:val="008B7E1D"/>
    <w:rsid w:val="008C015C"/>
    <w:rsid w:val="008C08E3"/>
    <w:rsid w:val="008C0DCC"/>
    <w:rsid w:val="008C1434"/>
    <w:rsid w:val="008C143A"/>
    <w:rsid w:val="008C160E"/>
    <w:rsid w:val="008C1A60"/>
    <w:rsid w:val="008C1AB1"/>
    <w:rsid w:val="008C1E1B"/>
    <w:rsid w:val="008C1EDA"/>
    <w:rsid w:val="008C1F17"/>
    <w:rsid w:val="008C2623"/>
    <w:rsid w:val="008C293A"/>
    <w:rsid w:val="008C2996"/>
    <w:rsid w:val="008C2ADE"/>
    <w:rsid w:val="008C2CA8"/>
    <w:rsid w:val="008C2F1A"/>
    <w:rsid w:val="008C2F7D"/>
    <w:rsid w:val="008C33EB"/>
    <w:rsid w:val="008C3581"/>
    <w:rsid w:val="008C3B5A"/>
    <w:rsid w:val="008C3CC3"/>
    <w:rsid w:val="008C3D70"/>
    <w:rsid w:val="008C3D87"/>
    <w:rsid w:val="008C40B2"/>
    <w:rsid w:val="008C43E0"/>
    <w:rsid w:val="008C466F"/>
    <w:rsid w:val="008C48EA"/>
    <w:rsid w:val="008C4B4A"/>
    <w:rsid w:val="008C4CF2"/>
    <w:rsid w:val="008C4DCE"/>
    <w:rsid w:val="008C563B"/>
    <w:rsid w:val="008C5B15"/>
    <w:rsid w:val="008C5BBC"/>
    <w:rsid w:val="008C60C2"/>
    <w:rsid w:val="008C665F"/>
    <w:rsid w:val="008C70F9"/>
    <w:rsid w:val="008C730B"/>
    <w:rsid w:val="008C7442"/>
    <w:rsid w:val="008C7537"/>
    <w:rsid w:val="008C78F5"/>
    <w:rsid w:val="008C7B6F"/>
    <w:rsid w:val="008C7E0C"/>
    <w:rsid w:val="008D048E"/>
    <w:rsid w:val="008D048F"/>
    <w:rsid w:val="008D0748"/>
    <w:rsid w:val="008D089F"/>
    <w:rsid w:val="008D0A28"/>
    <w:rsid w:val="008D0B66"/>
    <w:rsid w:val="008D0F47"/>
    <w:rsid w:val="008D1546"/>
    <w:rsid w:val="008D15A3"/>
    <w:rsid w:val="008D1CCE"/>
    <w:rsid w:val="008D1CDB"/>
    <w:rsid w:val="008D1D78"/>
    <w:rsid w:val="008D1ED0"/>
    <w:rsid w:val="008D2917"/>
    <w:rsid w:val="008D2C25"/>
    <w:rsid w:val="008D2D5D"/>
    <w:rsid w:val="008D3015"/>
    <w:rsid w:val="008D33BF"/>
    <w:rsid w:val="008D387F"/>
    <w:rsid w:val="008D4179"/>
    <w:rsid w:val="008D4485"/>
    <w:rsid w:val="008D45E5"/>
    <w:rsid w:val="008D4838"/>
    <w:rsid w:val="008D484A"/>
    <w:rsid w:val="008D494B"/>
    <w:rsid w:val="008D4964"/>
    <w:rsid w:val="008D4B65"/>
    <w:rsid w:val="008D5051"/>
    <w:rsid w:val="008D52C1"/>
    <w:rsid w:val="008D54F9"/>
    <w:rsid w:val="008D55D0"/>
    <w:rsid w:val="008D5972"/>
    <w:rsid w:val="008D5A90"/>
    <w:rsid w:val="008D6006"/>
    <w:rsid w:val="008D6347"/>
    <w:rsid w:val="008D6535"/>
    <w:rsid w:val="008D653A"/>
    <w:rsid w:val="008D6A1D"/>
    <w:rsid w:val="008D6BF0"/>
    <w:rsid w:val="008D6C41"/>
    <w:rsid w:val="008D6D75"/>
    <w:rsid w:val="008D70C6"/>
    <w:rsid w:val="008D72B3"/>
    <w:rsid w:val="008D72C7"/>
    <w:rsid w:val="008D7455"/>
    <w:rsid w:val="008D74BE"/>
    <w:rsid w:val="008D7A2A"/>
    <w:rsid w:val="008D7AF8"/>
    <w:rsid w:val="008E0831"/>
    <w:rsid w:val="008E08FB"/>
    <w:rsid w:val="008E09FE"/>
    <w:rsid w:val="008E0E91"/>
    <w:rsid w:val="008E0F14"/>
    <w:rsid w:val="008E1105"/>
    <w:rsid w:val="008E119E"/>
    <w:rsid w:val="008E1393"/>
    <w:rsid w:val="008E19E6"/>
    <w:rsid w:val="008E1ACA"/>
    <w:rsid w:val="008E2087"/>
    <w:rsid w:val="008E28F3"/>
    <w:rsid w:val="008E2B08"/>
    <w:rsid w:val="008E2B4B"/>
    <w:rsid w:val="008E2F1B"/>
    <w:rsid w:val="008E2F34"/>
    <w:rsid w:val="008E2FE8"/>
    <w:rsid w:val="008E3191"/>
    <w:rsid w:val="008E347E"/>
    <w:rsid w:val="008E36C0"/>
    <w:rsid w:val="008E36CC"/>
    <w:rsid w:val="008E39CA"/>
    <w:rsid w:val="008E39FF"/>
    <w:rsid w:val="008E3AB6"/>
    <w:rsid w:val="008E3B91"/>
    <w:rsid w:val="008E3BFD"/>
    <w:rsid w:val="008E3D66"/>
    <w:rsid w:val="008E3ECA"/>
    <w:rsid w:val="008E4009"/>
    <w:rsid w:val="008E450E"/>
    <w:rsid w:val="008E4AE3"/>
    <w:rsid w:val="008E4F77"/>
    <w:rsid w:val="008E5489"/>
    <w:rsid w:val="008E5813"/>
    <w:rsid w:val="008E5B41"/>
    <w:rsid w:val="008E5E36"/>
    <w:rsid w:val="008E6194"/>
    <w:rsid w:val="008E624A"/>
    <w:rsid w:val="008E624E"/>
    <w:rsid w:val="008E6336"/>
    <w:rsid w:val="008E6AE1"/>
    <w:rsid w:val="008E6D5A"/>
    <w:rsid w:val="008E6FAA"/>
    <w:rsid w:val="008E70D0"/>
    <w:rsid w:val="008E73BF"/>
    <w:rsid w:val="008E747C"/>
    <w:rsid w:val="008E7541"/>
    <w:rsid w:val="008E7A1F"/>
    <w:rsid w:val="008E7C5F"/>
    <w:rsid w:val="008E7E12"/>
    <w:rsid w:val="008F09D9"/>
    <w:rsid w:val="008F0FC1"/>
    <w:rsid w:val="008F13F6"/>
    <w:rsid w:val="008F1403"/>
    <w:rsid w:val="008F1491"/>
    <w:rsid w:val="008F19B7"/>
    <w:rsid w:val="008F1BAE"/>
    <w:rsid w:val="008F1CBA"/>
    <w:rsid w:val="008F2279"/>
    <w:rsid w:val="008F2536"/>
    <w:rsid w:val="008F2792"/>
    <w:rsid w:val="008F2793"/>
    <w:rsid w:val="008F2A95"/>
    <w:rsid w:val="008F2B85"/>
    <w:rsid w:val="008F2CE4"/>
    <w:rsid w:val="008F2E5A"/>
    <w:rsid w:val="008F34F4"/>
    <w:rsid w:val="008F37F3"/>
    <w:rsid w:val="008F3895"/>
    <w:rsid w:val="008F3A70"/>
    <w:rsid w:val="008F3CF6"/>
    <w:rsid w:val="008F4314"/>
    <w:rsid w:val="008F4408"/>
    <w:rsid w:val="008F48D4"/>
    <w:rsid w:val="008F4BB3"/>
    <w:rsid w:val="008F4D61"/>
    <w:rsid w:val="008F4E55"/>
    <w:rsid w:val="008F52D1"/>
    <w:rsid w:val="008F5460"/>
    <w:rsid w:val="008F55CE"/>
    <w:rsid w:val="008F568A"/>
    <w:rsid w:val="008F5C6F"/>
    <w:rsid w:val="008F68CA"/>
    <w:rsid w:val="008F6A0F"/>
    <w:rsid w:val="008F708C"/>
    <w:rsid w:val="008F7579"/>
    <w:rsid w:val="008F7675"/>
    <w:rsid w:val="008F7975"/>
    <w:rsid w:val="008F7BBC"/>
    <w:rsid w:val="008F7C64"/>
    <w:rsid w:val="008F7C6D"/>
    <w:rsid w:val="008F7DDF"/>
    <w:rsid w:val="0090006C"/>
    <w:rsid w:val="00900094"/>
    <w:rsid w:val="009000B3"/>
    <w:rsid w:val="009001D0"/>
    <w:rsid w:val="00900438"/>
    <w:rsid w:val="0090059D"/>
    <w:rsid w:val="00900DA2"/>
    <w:rsid w:val="00900EEB"/>
    <w:rsid w:val="009010ED"/>
    <w:rsid w:val="009012FC"/>
    <w:rsid w:val="0090151C"/>
    <w:rsid w:val="009015F2"/>
    <w:rsid w:val="00901D16"/>
    <w:rsid w:val="00902212"/>
    <w:rsid w:val="00902297"/>
    <w:rsid w:val="00902482"/>
    <w:rsid w:val="00902825"/>
    <w:rsid w:val="00902A0F"/>
    <w:rsid w:val="00902FB5"/>
    <w:rsid w:val="0090310A"/>
    <w:rsid w:val="009036F2"/>
    <w:rsid w:val="009038F5"/>
    <w:rsid w:val="00903D30"/>
    <w:rsid w:val="0090473A"/>
    <w:rsid w:val="00904891"/>
    <w:rsid w:val="0090498C"/>
    <w:rsid w:val="009050EC"/>
    <w:rsid w:val="00905D11"/>
    <w:rsid w:val="00905E18"/>
    <w:rsid w:val="00906BDE"/>
    <w:rsid w:val="00906C58"/>
    <w:rsid w:val="00906E2F"/>
    <w:rsid w:val="00907180"/>
    <w:rsid w:val="00907729"/>
    <w:rsid w:val="0090794D"/>
    <w:rsid w:val="009079D2"/>
    <w:rsid w:val="00907ADE"/>
    <w:rsid w:val="00907BCA"/>
    <w:rsid w:val="00907D8B"/>
    <w:rsid w:val="00910330"/>
    <w:rsid w:val="0091053E"/>
    <w:rsid w:val="009105E7"/>
    <w:rsid w:val="009107F6"/>
    <w:rsid w:val="009108AF"/>
    <w:rsid w:val="00911052"/>
    <w:rsid w:val="009110F7"/>
    <w:rsid w:val="00911247"/>
    <w:rsid w:val="00911415"/>
    <w:rsid w:val="00911834"/>
    <w:rsid w:val="00911979"/>
    <w:rsid w:val="009119A7"/>
    <w:rsid w:val="00911EE0"/>
    <w:rsid w:val="00912074"/>
    <w:rsid w:val="009120E2"/>
    <w:rsid w:val="00912186"/>
    <w:rsid w:val="0091273C"/>
    <w:rsid w:val="00912DE1"/>
    <w:rsid w:val="00912FCD"/>
    <w:rsid w:val="00913040"/>
    <w:rsid w:val="00913833"/>
    <w:rsid w:val="009138D8"/>
    <w:rsid w:val="009140A6"/>
    <w:rsid w:val="009141D2"/>
    <w:rsid w:val="00914301"/>
    <w:rsid w:val="00914341"/>
    <w:rsid w:val="009145A7"/>
    <w:rsid w:val="00914951"/>
    <w:rsid w:val="00914BBE"/>
    <w:rsid w:val="00915441"/>
    <w:rsid w:val="009154AE"/>
    <w:rsid w:val="009162D0"/>
    <w:rsid w:val="009167FA"/>
    <w:rsid w:val="0091691C"/>
    <w:rsid w:val="00916AB1"/>
    <w:rsid w:val="00916B4A"/>
    <w:rsid w:val="00916CB2"/>
    <w:rsid w:val="00916E92"/>
    <w:rsid w:val="009170E8"/>
    <w:rsid w:val="009173DB"/>
    <w:rsid w:val="0091786C"/>
    <w:rsid w:val="00917AD1"/>
    <w:rsid w:val="00917D31"/>
    <w:rsid w:val="00917E49"/>
    <w:rsid w:val="00920389"/>
    <w:rsid w:val="0092040F"/>
    <w:rsid w:val="00920674"/>
    <w:rsid w:val="00920853"/>
    <w:rsid w:val="0092095D"/>
    <w:rsid w:val="00920AD6"/>
    <w:rsid w:val="00920BD2"/>
    <w:rsid w:val="00921018"/>
    <w:rsid w:val="00921455"/>
    <w:rsid w:val="00921504"/>
    <w:rsid w:val="009217DD"/>
    <w:rsid w:val="009218C2"/>
    <w:rsid w:val="0092191A"/>
    <w:rsid w:val="009226AA"/>
    <w:rsid w:val="00922856"/>
    <w:rsid w:val="0092288D"/>
    <w:rsid w:val="00922C10"/>
    <w:rsid w:val="00922DC1"/>
    <w:rsid w:val="00922FF1"/>
    <w:rsid w:val="0092323F"/>
    <w:rsid w:val="0092341B"/>
    <w:rsid w:val="00923549"/>
    <w:rsid w:val="0092357F"/>
    <w:rsid w:val="00923776"/>
    <w:rsid w:val="0092383D"/>
    <w:rsid w:val="00924199"/>
    <w:rsid w:val="0092444B"/>
    <w:rsid w:val="0092449B"/>
    <w:rsid w:val="009249FF"/>
    <w:rsid w:val="00924B30"/>
    <w:rsid w:val="00925080"/>
    <w:rsid w:val="00925355"/>
    <w:rsid w:val="00925A74"/>
    <w:rsid w:val="00925B7E"/>
    <w:rsid w:val="00925BFA"/>
    <w:rsid w:val="00925CCF"/>
    <w:rsid w:val="00925D1E"/>
    <w:rsid w:val="00925E88"/>
    <w:rsid w:val="00925FB4"/>
    <w:rsid w:val="009263D0"/>
    <w:rsid w:val="0092650C"/>
    <w:rsid w:val="00926B0F"/>
    <w:rsid w:val="00926B7E"/>
    <w:rsid w:val="00926CB0"/>
    <w:rsid w:val="0092708E"/>
    <w:rsid w:val="009270CE"/>
    <w:rsid w:val="00927294"/>
    <w:rsid w:val="00927313"/>
    <w:rsid w:val="00927425"/>
    <w:rsid w:val="00927B70"/>
    <w:rsid w:val="00927F65"/>
    <w:rsid w:val="00930584"/>
    <w:rsid w:val="0093070F"/>
    <w:rsid w:val="00930AC8"/>
    <w:rsid w:val="00930B32"/>
    <w:rsid w:val="00930C11"/>
    <w:rsid w:val="0093108F"/>
    <w:rsid w:val="00931268"/>
    <w:rsid w:val="00931426"/>
    <w:rsid w:val="0093168E"/>
    <w:rsid w:val="00931E4D"/>
    <w:rsid w:val="00931FFA"/>
    <w:rsid w:val="009320BE"/>
    <w:rsid w:val="009327B0"/>
    <w:rsid w:val="00932D5C"/>
    <w:rsid w:val="009330CE"/>
    <w:rsid w:val="009330F6"/>
    <w:rsid w:val="0093329D"/>
    <w:rsid w:val="0093339B"/>
    <w:rsid w:val="00933673"/>
    <w:rsid w:val="00933793"/>
    <w:rsid w:val="009337AA"/>
    <w:rsid w:val="00933E30"/>
    <w:rsid w:val="00933E8D"/>
    <w:rsid w:val="00934095"/>
    <w:rsid w:val="009340D5"/>
    <w:rsid w:val="009342C4"/>
    <w:rsid w:val="0093442E"/>
    <w:rsid w:val="009344D7"/>
    <w:rsid w:val="00934E6E"/>
    <w:rsid w:val="00934F4E"/>
    <w:rsid w:val="009350A0"/>
    <w:rsid w:val="009356DD"/>
    <w:rsid w:val="00935783"/>
    <w:rsid w:val="00935B92"/>
    <w:rsid w:val="00935E07"/>
    <w:rsid w:val="00935E58"/>
    <w:rsid w:val="00935F87"/>
    <w:rsid w:val="009364E3"/>
    <w:rsid w:val="009369B3"/>
    <w:rsid w:val="00936B10"/>
    <w:rsid w:val="00936B11"/>
    <w:rsid w:val="00936DA2"/>
    <w:rsid w:val="00936E27"/>
    <w:rsid w:val="009371B9"/>
    <w:rsid w:val="009371E3"/>
    <w:rsid w:val="009375CE"/>
    <w:rsid w:val="00937686"/>
    <w:rsid w:val="00937B55"/>
    <w:rsid w:val="00940152"/>
    <w:rsid w:val="00940291"/>
    <w:rsid w:val="009405DE"/>
    <w:rsid w:val="0094068C"/>
    <w:rsid w:val="00940AD9"/>
    <w:rsid w:val="00940F0F"/>
    <w:rsid w:val="00941002"/>
    <w:rsid w:val="00941202"/>
    <w:rsid w:val="009416E0"/>
    <w:rsid w:val="00941844"/>
    <w:rsid w:val="00941C9D"/>
    <w:rsid w:val="00942442"/>
    <w:rsid w:val="00942BB7"/>
    <w:rsid w:val="00942D51"/>
    <w:rsid w:val="009431C7"/>
    <w:rsid w:val="0094322B"/>
    <w:rsid w:val="009433B1"/>
    <w:rsid w:val="00943454"/>
    <w:rsid w:val="009435B6"/>
    <w:rsid w:val="0094364F"/>
    <w:rsid w:val="00943841"/>
    <w:rsid w:val="00943862"/>
    <w:rsid w:val="00943A67"/>
    <w:rsid w:val="00943BFA"/>
    <w:rsid w:val="00943C45"/>
    <w:rsid w:val="00943FB6"/>
    <w:rsid w:val="009440D8"/>
    <w:rsid w:val="00944163"/>
    <w:rsid w:val="0094487B"/>
    <w:rsid w:val="00944B10"/>
    <w:rsid w:val="00945686"/>
    <w:rsid w:val="00945A93"/>
    <w:rsid w:val="00945C7C"/>
    <w:rsid w:val="00945D37"/>
    <w:rsid w:val="00945D55"/>
    <w:rsid w:val="00945F86"/>
    <w:rsid w:val="00946227"/>
    <w:rsid w:val="00946230"/>
    <w:rsid w:val="009464C2"/>
    <w:rsid w:val="0094694E"/>
    <w:rsid w:val="00946971"/>
    <w:rsid w:val="00946CC1"/>
    <w:rsid w:val="00946D60"/>
    <w:rsid w:val="00946FE5"/>
    <w:rsid w:val="0094713A"/>
    <w:rsid w:val="009474C7"/>
    <w:rsid w:val="0094757E"/>
    <w:rsid w:val="00947836"/>
    <w:rsid w:val="00947A7F"/>
    <w:rsid w:val="00947D74"/>
    <w:rsid w:val="0095004A"/>
    <w:rsid w:val="009505EC"/>
    <w:rsid w:val="00950824"/>
    <w:rsid w:val="00950A3D"/>
    <w:rsid w:val="00950C00"/>
    <w:rsid w:val="00950DA4"/>
    <w:rsid w:val="009513FD"/>
    <w:rsid w:val="00951816"/>
    <w:rsid w:val="00951916"/>
    <w:rsid w:val="0095199B"/>
    <w:rsid w:val="00951A85"/>
    <w:rsid w:val="00951C4C"/>
    <w:rsid w:val="00952308"/>
    <w:rsid w:val="009524B7"/>
    <w:rsid w:val="009526E4"/>
    <w:rsid w:val="00952718"/>
    <w:rsid w:val="00952785"/>
    <w:rsid w:val="0095285F"/>
    <w:rsid w:val="009528B2"/>
    <w:rsid w:val="00952D43"/>
    <w:rsid w:val="00952E0F"/>
    <w:rsid w:val="00952EA1"/>
    <w:rsid w:val="00952EBC"/>
    <w:rsid w:val="00953148"/>
    <w:rsid w:val="009532A9"/>
    <w:rsid w:val="009533A3"/>
    <w:rsid w:val="00953594"/>
    <w:rsid w:val="009536DF"/>
    <w:rsid w:val="009537F0"/>
    <w:rsid w:val="00953CF9"/>
    <w:rsid w:val="00953DE5"/>
    <w:rsid w:val="009544BB"/>
    <w:rsid w:val="00954E46"/>
    <w:rsid w:val="00954FC1"/>
    <w:rsid w:val="009550AC"/>
    <w:rsid w:val="00955231"/>
    <w:rsid w:val="009552C6"/>
    <w:rsid w:val="00955713"/>
    <w:rsid w:val="00955D34"/>
    <w:rsid w:val="00955E42"/>
    <w:rsid w:val="00955E7A"/>
    <w:rsid w:val="00955F7A"/>
    <w:rsid w:val="00956161"/>
    <w:rsid w:val="0095661B"/>
    <w:rsid w:val="009569FD"/>
    <w:rsid w:val="00956BB3"/>
    <w:rsid w:val="00956C8D"/>
    <w:rsid w:val="00957015"/>
    <w:rsid w:val="00957151"/>
    <w:rsid w:val="0095762E"/>
    <w:rsid w:val="0095770B"/>
    <w:rsid w:val="0095775B"/>
    <w:rsid w:val="00957771"/>
    <w:rsid w:val="00957CC0"/>
    <w:rsid w:val="00957D32"/>
    <w:rsid w:val="00957FF8"/>
    <w:rsid w:val="00960188"/>
    <w:rsid w:val="0096056D"/>
    <w:rsid w:val="00960647"/>
    <w:rsid w:val="00960D82"/>
    <w:rsid w:val="00961070"/>
    <w:rsid w:val="009611A9"/>
    <w:rsid w:val="009613A0"/>
    <w:rsid w:val="00961F2A"/>
    <w:rsid w:val="00961FC9"/>
    <w:rsid w:val="00962263"/>
    <w:rsid w:val="009622E5"/>
    <w:rsid w:val="00962352"/>
    <w:rsid w:val="00962885"/>
    <w:rsid w:val="009630C3"/>
    <w:rsid w:val="009632ED"/>
    <w:rsid w:val="009636A3"/>
    <w:rsid w:val="0096397F"/>
    <w:rsid w:val="00964007"/>
    <w:rsid w:val="00964492"/>
    <w:rsid w:val="009644F7"/>
    <w:rsid w:val="009647F7"/>
    <w:rsid w:val="0096486F"/>
    <w:rsid w:val="00964A13"/>
    <w:rsid w:val="00964CB3"/>
    <w:rsid w:val="00965346"/>
    <w:rsid w:val="00965413"/>
    <w:rsid w:val="00965454"/>
    <w:rsid w:val="009654CA"/>
    <w:rsid w:val="00965825"/>
    <w:rsid w:val="00966327"/>
    <w:rsid w:val="00966626"/>
    <w:rsid w:val="00966850"/>
    <w:rsid w:val="00966D78"/>
    <w:rsid w:val="00966D7E"/>
    <w:rsid w:val="009672F3"/>
    <w:rsid w:val="009673A8"/>
    <w:rsid w:val="009674AA"/>
    <w:rsid w:val="009678D3"/>
    <w:rsid w:val="00967A0F"/>
    <w:rsid w:val="00967B05"/>
    <w:rsid w:val="00967DF9"/>
    <w:rsid w:val="00967F2B"/>
    <w:rsid w:val="0097072B"/>
    <w:rsid w:val="00970A3D"/>
    <w:rsid w:val="00970E59"/>
    <w:rsid w:val="00971166"/>
    <w:rsid w:val="0097160C"/>
    <w:rsid w:val="00971C95"/>
    <w:rsid w:val="009724D0"/>
    <w:rsid w:val="0097274A"/>
    <w:rsid w:val="00972A16"/>
    <w:rsid w:val="00972C19"/>
    <w:rsid w:val="00972D48"/>
    <w:rsid w:val="00972F46"/>
    <w:rsid w:val="0097332F"/>
    <w:rsid w:val="0097360E"/>
    <w:rsid w:val="00973803"/>
    <w:rsid w:val="0097465A"/>
    <w:rsid w:val="00974E3C"/>
    <w:rsid w:val="0097515A"/>
    <w:rsid w:val="00975AC0"/>
    <w:rsid w:val="00975DCA"/>
    <w:rsid w:val="00976400"/>
    <w:rsid w:val="009764A0"/>
    <w:rsid w:val="00976B88"/>
    <w:rsid w:val="009774F2"/>
    <w:rsid w:val="009775E9"/>
    <w:rsid w:val="009775F3"/>
    <w:rsid w:val="00977607"/>
    <w:rsid w:val="00977AEE"/>
    <w:rsid w:val="00977D6A"/>
    <w:rsid w:val="009802A5"/>
    <w:rsid w:val="00980386"/>
    <w:rsid w:val="00980882"/>
    <w:rsid w:val="00981141"/>
    <w:rsid w:val="009816F9"/>
    <w:rsid w:val="009817B0"/>
    <w:rsid w:val="009819D1"/>
    <w:rsid w:val="009819EA"/>
    <w:rsid w:val="00981DE9"/>
    <w:rsid w:val="009821E6"/>
    <w:rsid w:val="0098223D"/>
    <w:rsid w:val="009822F0"/>
    <w:rsid w:val="00982333"/>
    <w:rsid w:val="009824E8"/>
    <w:rsid w:val="009826EE"/>
    <w:rsid w:val="009829E9"/>
    <w:rsid w:val="00982F75"/>
    <w:rsid w:val="00983236"/>
    <w:rsid w:val="009832FF"/>
    <w:rsid w:val="0098330F"/>
    <w:rsid w:val="0098379A"/>
    <w:rsid w:val="009837A4"/>
    <w:rsid w:val="009837E2"/>
    <w:rsid w:val="00983A11"/>
    <w:rsid w:val="00983C00"/>
    <w:rsid w:val="00983E45"/>
    <w:rsid w:val="00983FE0"/>
    <w:rsid w:val="00984009"/>
    <w:rsid w:val="00984187"/>
    <w:rsid w:val="009841C8"/>
    <w:rsid w:val="0098457C"/>
    <w:rsid w:val="009847BE"/>
    <w:rsid w:val="00984978"/>
    <w:rsid w:val="00984C1C"/>
    <w:rsid w:val="00985406"/>
    <w:rsid w:val="00985463"/>
    <w:rsid w:val="009857F0"/>
    <w:rsid w:val="00985D9C"/>
    <w:rsid w:val="00985E97"/>
    <w:rsid w:val="00986145"/>
    <w:rsid w:val="0098615B"/>
    <w:rsid w:val="0098671A"/>
    <w:rsid w:val="009869B7"/>
    <w:rsid w:val="00986C7A"/>
    <w:rsid w:val="00986E62"/>
    <w:rsid w:val="00986F17"/>
    <w:rsid w:val="00987789"/>
    <w:rsid w:val="009878D7"/>
    <w:rsid w:val="009879B7"/>
    <w:rsid w:val="00987E43"/>
    <w:rsid w:val="00987EAC"/>
    <w:rsid w:val="009900B6"/>
    <w:rsid w:val="0099017F"/>
    <w:rsid w:val="0099063F"/>
    <w:rsid w:val="00990805"/>
    <w:rsid w:val="00990C13"/>
    <w:rsid w:val="009911D9"/>
    <w:rsid w:val="009912E5"/>
    <w:rsid w:val="009915B3"/>
    <w:rsid w:val="00991642"/>
    <w:rsid w:val="009917F8"/>
    <w:rsid w:val="00991825"/>
    <w:rsid w:val="00991AD8"/>
    <w:rsid w:val="0099238D"/>
    <w:rsid w:val="00993335"/>
    <w:rsid w:val="00993450"/>
    <w:rsid w:val="00993814"/>
    <w:rsid w:val="00993974"/>
    <w:rsid w:val="00993AE7"/>
    <w:rsid w:val="00993F75"/>
    <w:rsid w:val="00994714"/>
    <w:rsid w:val="00994938"/>
    <w:rsid w:val="00994A10"/>
    <w:rsid w:val="00994BF5"/>
    <w:rsid w:val="00994E7D"/>
    <w:rsid w:val="00995208"/>
    <w:rsid w:val="00995432"/>
    <w:rsid w:val="00995443"/>
    <w:rsid w:val="0099558C"/>
    <w:rsid w:val="009959C6"/>
    <w:rsid w:val="00995E3D"/>
    <w:rsid w:val="009960C0"/>
    <w:rsid w:val="009963C4"/>
    <w:rsid w:val="009969B8"/>
    <w:rsid w:val="00997262"/>
    <w:rsid w:val="00997780"/>
    <w:rsid w:val="009A0095"/>
    <w:rsid w:val="009A027F"/>
    <w:rsid w:val="009A0448"/>
    <w:rsid w:val="009A0875"/>
    <w:rsid w:val="009A0A78"/>
    <w:rsid w:val="009A0BAD"/>
    <w:rsid w:val="009A0DDA"/>
    <w:rsid w:val="009A0EEE"/>
    <w:rsid w:val="009A1103"/>
    <w:rsid w:val="009A17E6"/>
    <w:rsid w:val="009A1848"/>
    <w:rsid w:val="009A1A4D"/>
    <w:rsid w:val="009A1BA2"/>
    <w:rsid w:val="009A1C2D"/>
    <w:rsid w:val="009A1E1C"/>
    <w:rsid w:val="009A2149"/>
    <w:rsid w:val="009A2519"/>
    <w:rsid w:val="009A2821"/>
    <w:rsid w:val="009A2D8E"/>
    <w:rsid w:val="009A325E"/>
    <w:rsid w:val="009A3489"/>
    <w:rsid w:val="009A3642"/>
    <w:rsid w:val="009A3B4F"/>
    <w:rsid w:val="009A3DB7"/>
    <w:rsid w:val="009A3F86"/>
    <w:rsid w:val="009A49B9"/>
    <w:rsid w:val="009A4B25"/>
    <w:rsid w:val="009A4D03"/>
    <w:rsid w:val="009A4E98"/>
    <w:rsid w:val="009A4F79"/>
    <w:rsid w:val="009A51B6"/>
    <w:rsid w:val="009A5279"/>
    <w:rsid w:val="009A52D1"/>
    <w:rsid w:val="009A585B"/>
    <w:rsid w:val="009A5A2A"/>
    <w:rsid w:val="009A5BBB"/>
    <w:rsid w:val="009A5C3B"/>
    <w:rsid w:val="009A5CF1"/>
    <w:rsid w:val="009A5E4E"/>
    <w:rsid w:val="009A5EBE"/>
    <w:rsid w:val="009A5FB1"/>
    <w:rsid w:val="009A6026"/>
    <w:rsid w:val="009A60AD"/>
    <w:rsid w:val="009A626C"/>
    <w:rsid w:val="009A630A"/>
    <w:rsid w:val="009A6632"/>
    <w:rsid w:val="009A6651"/>
    <w:rsid w:val="009A66F0"/>
    <w:rsid w:val="009A6A94"/>
    <w:rsid w:val="009A6EA6"/>
    <w:rsid w:val="009A7209"/>
    <w:rsid w:val="009A722B"/>
    <w:rsid w:val="009A7545"/>
    <w:rsid w:val="009A760E"/>
    <w:rsid w:val="009A762D"/>
    <w:rsid w:val="009A79DB"/>
    <w:rsid w:val="009A7A1B"/>
    <w:rsid w:val="009A7D92"/>
    <w:rsid w:val="009A7DC0"/>
    <w:rsid w:val="009B04D6"/>
    <w:rsid w:val="009B0844"/>
    <w:rsid w:val="009B0A20"/>
    <w:rsid w:val="009B0A40"/>
    <w:rsid w:val="009B0ECE"/>
    <w:rsid w:val="009B0FC2"/>
    <w:rsid w:val="009B16D0"/>
    <w:rsid w:val="009B1D8D"/>
    <w:rsid w:val="009B2443"/>
    <w:rsid w:val="009B24E9"/>
    <w:rsid w:val="009B2710"/>
    <w:rsid w:val="009B27D4"/>
    <w:rsid w:val="009B298D"/>
    <w:rsid w:val="009B2B27"/>
    <w:rsid w:val="009B2CD9"/>
    <w:rsid w:val="009B30C9"/>
    <w:rsid w:val="009B329B"/>
    <w:rsid w:val="009B33AA"/>
    <w:rsid w:val="009B4082"/>
    <w:rsid w:val="009B4095"/>
    <w:rsid w:val="009B471A"/>
    <w:rsid w:val="009B48C2"/>
    <w:rsid w:val="009B4A43"/>
    <w:rsid w:val="009B4ACB"/>
    <w:rsid w:val="009B4AEA"/>
    <w:rsid w:val="009B4BB4"/>
    <w:rsid w:val="009B4C91"/>
    <w:rsid w:val="009B50D2"/>
    <w:rsid w:val="009B50F3"/>
    <w:rsid w:val="009B51DE"/>
    <w:rsid w:val="009B53A6"/>
    <w:rsid w:val="009B55C5"/>
    <w:rsid w:val="009B58B1"/>
    <w:rsid w:val="009B5B46"/>
    <w:rsid w:val="009B6462"/>
    <w:rsid w:val="009B67D3"/>
    <w:rsid w:val="009B6932"/>
    <w:rsid w:val="009B6AFE"/>
    <w:rsid w:val="009B6E84"/>
    <w:rsid w:val="009B6F39"/>
    <w:rsid w:val="009B7194"/>
    <w:rsid w:val="009B72B3"/>
    <w:rsid w:val="009B73F1"/>
    <w:rsid w:val="009B772F"/>
    <w:rsid w:val="009B7AC2"/>
    <w:rsid w:val="009B7C80"/>
    <w:rsid w:val="009B7CEE"/>
    <w:rsid w:val="009B7EC2"/>
    <w:rsid w:val="009B7F8A"/>
    <w:rsid w:val="009C0C14"/>
    <w:rsid w:val="009C0F13"/>
    <w:rsid w:val="009C1281"/>
    <w:rsid w:val="009C1A73"/>
    <w:rsid w:val="009C2541"/>
    <w:rsid w:val="009C264A"/>
    <w:rsid w:val="009C28E1"/>
    <w:rsid w:val="009C2A00"/>
    <w:rsid w:val="009C2E10"/>
    <w:rsid w:val="009C2E1C"/>
    <w:rsid w:val="009C35FF"/>
    <w:rsid w:val="009C3652"/>
    <w:rsid w:val="009C3A28"/>
    <w:rsid w:val="009C3D29"/>
    <w:rsid w:val="009C4085"/>
    <w:rsid w:val="009C4365"/>
    <w:rsid w:val="009C4466"/>
    <w:rsid w:val="009C45A4"/>
    <w:rsid w:val="009C4707"/>
    <w:rsid w:val="009C4A14"/>
    <w:rsid w:val="009C4C9F"/>
    <w:rsid w:val="009C4CC4"/>
    <w:rsid w:val="009C4DD3"/>
    <w:rsid w:val="009C4DE3"/>
    <w:rsid w:val="009C5234"/>
    <w:rsid w:val="009C527C"/>
    <w:rsid w:val="009C5299"/>
    <w:rsid w:val="009C537C"/>
    <w:rsid w:val="009C5BFE"/>
    <w:rsid w:val="009C61D2"/>
    <w:rsid w:val="009C689A"/>
    <w:rsid w:val="009C6A99"/>
    <w:rsid w:val="009C6D6B"/>
    <w:rsid w:val="009C79E8"/>
    <w:rsid w:val="009D027D"/>
    <w:rsid w:val="009D0562"/>
    <w:rsid w:val="009D085F"/>
    <w:rsid w:val="009D0B1F"/>
    <w:rsid w:val="009D0B43"/>
    <w:rsid w:val="009D164C"/>
    <w:rsid w:val="009D1710"/>
    <w:rsid w:val="009D1D0E"/>
    <w:rsid w:val="009D200C"/>
    <w:rsid w:val="009D2025"/>
    <w:rsid w:val="009D204B"/>
    <w:rsid w:val="009D2797"/>
    <w:rsid w:val="009D3433"/>
    <w:rsid w:val="009D387D"/>
    <w:rsid w:val="009D3A32"/>
    <w:rsid w:val="009D3D7B"/>
    <w:rsid w:val="009D41B0"/>
    <w:rsid w:val="009D46D6"/>
    <w:rsid w:val="009D49C9"/>
    <w:rsid w:val="009D4BA5"/>
    <w:rsid w:val="009D4C86"/>
    <w:rsid w:val="009D4CAF"/>
    <w:rsid w:val="009D4CEE"/>
    <w:rsid w:val="009D5422"/>
    <w:rsid w:val="009D54BC"/>
    <w:rsid w:val="009D566C"/>
    <w:rsid w:val="009D5909"/>
    <w:rsid w:val="009D5B29"/>
    <w:rsid w:val="009D6096"/>
    <w:rsid w:val="009D656D"/>
    <w:rsid w:val="009D6F91"/>
    <w:rsid w:val="009D71ED"/>
    <w:rsid w:val="009D732D"/>
    <w:rsid w:val="009D7AD0"/>
    <w:rsid w:val="009E02F3"/>
    <w:rsid w:val="009E0536"/>
    <w:rsid w:val="009E070F"/>
    <w:rsid w:val="009E07D9"/>
    <w:rsid w:val="009E1489"/>
    <w:rsid w:val="009E15C1"/>
    <w:rsid w:val="009E1632"/>
    <w:rsid w:val="009E1F0C"/>
    <w:rsid w:val="009E21A6"/>
    <w:rsid w:val="009E21F5"/>
    <w:rsid w:val="009E22FF"/>
    <w:rsid w:val="009E2843"/>
    <w:rsid w:val="009E31AA"/>
    <w:rsid w:val="009E32FE"/>
    <w:rsid w:val="009E365A"/>
    <w:rsid w:val="009E39AC"/>
    <w:rsid w:val="009E3C5B"/>
    <w:rsid w:val="009E3E28"/>
    <w:rsid w:val="009E4330"/>
    <w:rsid w:val="009E46B2"/>
    <w:rsid w:val="009E477D"/>
    <w:rsid w:val="009E49BC"/>
    <w:rsid w:val="009E4E43"/>
    <w:rsid w:val="009E4EC4"/>
    <w:rsid w:val="009E508F"/>
    <w:rsid w:val="009E50B0"/>
    <w:rsid w:val="009E50DD"/>
    <w:rsid w:val="009E5655"/>
    <w:rsid w:val="009E56B9"/>
    <w:rsid w:val="009E57C2"/>
    <w:rsid w:val="009E58EE"/>
    <w:rsid w:val="009E5A60"/>
    <w:rsid w:val="009E5A7A"/>
    <w:rsid w:val="009E5EC2"/>
    <w:rsid w:val="009E6336"/>
    <w:rsid w:val="009E6A23"/>
    <w:rsid w:val="009E724F"/>
    <w:rsid w:val="009E73A8"/>
    <w:rsid w:val="009E73F1"/>
    <w:rsid w:val="009E75EA"/>
    <w:rsid w:val="009E76D4"/>
    <w:rsid w:val="009E7AB5"/>
    <w:rsid w:val="009F02CB"/>
    <w:rsid w:val="009F05BC"/>
    <w:rsid w:val="009F0E6C"/>
    <w:rsid w:val="009F137D"/>
    <w:rsid w:val="009F1479"/>
    <w:rsid w:val="009F152E"/>
    <w:rsid w:val="009F2946"/>
    <w:rsid w:val="009F2962"/>
    <w:rsid w:val="009F2D9E"/>
    <w:rsid w:val="009F2DAA"/>
    <w:rsid w:val="009F3547"/>
    <w:rsid w:val="009F35B8"/>
    <w:rsid w:val="009F3A37"/>
    <w:rsid w:val="009F4039"/>
    <w:rsid w:val="009F4096"/>
    <w:rsid w:val="009F4494"/>
    <w:rsid w:val="009F4514"/>
    <w:rsid w:val="009F4C22"/>
    <w:rsid w:val="009F562F"/>
    <w:rsid w:val="009F58C8"/>
    <w:rsid w:val="009F5B35"/>
    <w:rsid w:val="009F5E66"/>
    <w:rsid w:val="009F66BB"/>
    <w:rsid w:val="009F68F3"/>
    <w:rsid w:val="009F6BC4"/>
    <w:rsid w:val="009F7070"/>
    <w:rsid w:val="009F73A9"/>
    <w:rsid w:val="009F76D5"/>
    <w:rsid w:val="00A002AA"/>
    <w:rsid w:val="00A00537"/>
    <w:rsid w:val="00A00779"/>
    <w:rsid w:val="00A00935"/>
    <w:rsid w:val="00A0099C"/>
    <w:rsid w:val="00A00A81"/>
    <w:rsid w:val="00A010B2"/>
    <w:rsid w:val="00A01463"/>
    <w:rsid w:val="00A01481"/>
    <w:rsid w:val="00A0174F"/>
    <w:rsid w:val="00A018A7"/>
    <w:rsid w:val="00A018E0"/>
    <w:rsid w:val="00A01C9D"/>
    <w:rsid w:val="00A01D2D"/>
    <w:rsid w:val="00A023A4"/>
    <w:rsid w:val="00A02482"/>
    <w:rsid w:val="00A02909"/>
    <w:rsid w:val="00A02AFD"/>
    <w:rsid w:val="00A02BA7"/>
    <w:rsid w:val="00A02BF9"/>
    <w:rsid w:val="00A02D05"/>
    <w:rsid w:val="00A03166"/>
    <w:rsid w:val="00A035AF"/>
    <w:rsid w:val="00A03A9F"/>
    <w:rsid w:val="00A03D23"/>
    <w:rsid w:val="00A03FA2"/>
    <w:rsid w:val="00A03FD1"/>
    <w:rsid w:val="00A040B9"/>
    <w:rsid w:val="00A042B4"/>
    <w:rsid w:val="00A043E6"/>
    <w:rsid w:val="00A044C9"/>
    <w:rsid w:val="00A04821"/>
    <w:rsid w:val="00A04981"/>
    <w:rsid w:val="00A04E81"/>
    <w:rsid w:val="00A0502E"/>
    <w:rsid w:val="00A05058"/>
    <w:rsid w:val="00A056E4"/>
    <w:rsid w:val="00A0584F"/>
    <w:rsid w:val="00A05A8C"/>
    <w:rsid w:val="00A05C03"/>
    <w:rsid w:val="00A05C63"/>
    <w:rsid w:val="00A05FBA"/>
    <w:rsid w:val="00A062F3"/>
    <w:rsid w:val="00A06305"/>
    <w:rsid w:val="00A06559"/>
    <w:rsid w:val="00A06560"/>
    <w:rsid w:val="00A066A5"/>
    <w:rsid w:val="00A067CC"/>
    <w:rsid w:val="00A068F8"/>
    <w:rsid w:val="00A06D83"/>
    <w:rsid w:val="00A0708B"/>
    <w:rsid w:val="00A07EF7"/>
    <w:rsid w:val="00A07F24"/>
    <w:rsid w:val="00A1006C"/>
    <w:rsid w:val="00A101CC"/>
    <w:rsid w:val="00A1031E"/>
    <w:rsid w:val="00A11295"/>
    <w:rsid w:val="00A11508"/>
    <w:rsid w:val="00A1169A"/>
    <w:rsid w:val="00A11A0A"/>
    <w:rsid w:val="00A11B01"/>
    <w:rsid w:val="00A11D37"/>
    <w:rsid w:val="00A11E05"/>
    <w:rsid w:val="00A12026"/>
    <w:rsid w:val="00A1208F"/>
    <w:rsid w:val="00A12239"/>
    <w:rsid w:val="00A122BB"/>
    <w:rsid w:val="00A124D9"/>
    <w:rsid w:val="00A12843"/>
    <w:rsid w:val="00A12A7D"/>
    <w:rsid w:val="00A12BB8"/>
    <w:rsid w:val="00A12D09"/>
    <w:rsid w:val="00A12D7D"/>
    <w:rsid w:val="00A130FF"/>
    <w:rsid w:val="00A133B1"/>
    <w:rsid w:val="00A13462"/>
    <w:rsid w:val="00A13A21"/>
    <w:rsid w:val="00A13AFD"/>
    <w:rsid w:val="00A13B23"/>
    <w:rsid w:val="00A14249"/>
    <w:rsid w:val="00A147FD"/>
    <w:rsid w:val="00A14966"/>
    <w:rsid w:val="00A14A7D"/>
    <w:rsid w:val="00A14AAC"/>
    <w:rsid w:val="00A14C6F"/>
    <w:rsid w:val="00A15505"/>
    <w:rsid w:val="00A15A48"/>
    <w:rsid w:val="00A15C82"/>
    <w:rsid w:val="00A16374"/>
    <w:rsid w:val="00A164A7"/>
    <w:rsid w:val="00A165FC"/>
    <w:rsid w:val="00A167EB"/>
    <w:rsid w:val="00A17172"/>
    <w:rsid w:val="00A172D0"/>
    <w:rsid w:val="00A1732F"/>
    <w:rsid w:val="00A17379"/>
    <w:rsid w:val="00A175F7"/>
    <w:rsid w:val="00A176D4"/>
    <w:rsid w:val="00A17A13"/>
    <w:rsid w:val="00A17A2F"/>
    <w:rsid w:val="00A17D5A"/>
    <w:rsid w:val="00A17D89"/>
    <w:rsid w:val="00A201C0"/>
    <w:rsid w:val="00A20A07"/>
    <w:rsid w:val="00A20DDC"/>
    <w:rsid w:val="00A20E53"/>
    <w:rsid w:val="00A20FB0"/>
    <w:rsid w:val="00A2106B"/>
    <w:rsid w:val="00A21808"/>
    <w:rsid w:val="00A218C6"/>
    <w:rsid w:val="00A21994"/>
    <w:rsid w:val="00A219B1"/>
    <w:rsid w:val="00A21D69"/>
    <w:rsid w:val="00A2231A"/>
    <w:rsid w:val="00A2240B"/>
    <w:rsid w:val="00A22714"/>
    <w:rsid w:val="00A229B2"/>
    <w:rsid w:val="00A22CBC"/>
    <w:rsid w:val="00A22E0D"/>
    <w:rsid w:val="00A22E53"/>
    <w:rsid w:val="00A22FB7"/>
    <w:rsid w:val="00A234DD"/>
    <w:rsid w:val="00A23943"/>
    <w:rsid w:val="00A23A43"/>
    <w:rsid w:val="00A2446F"/>
    <w:rsid w:val="00A2451F"/>
    <w:rsid w:val="00A246F2"/>
    <w:rsid w:val="00A24B78"/>
    <w:rsid w:val="00A24DAB"/>
    <w:rsid w:val="00A2539F"/>
    <w:rsid w:val="00A25627"/>
    <w:rsid w:val="00A25656"/>
    <w:rsid w:val="00A25B04"/>
    <w:rsid w:val="00A25D21"/>
    <w:rsid w:val="00A25E7D"/>
    <w:rsid w:val="00A25EBE"/>
    <w:rsid w:val="00A26065"/>
    <w:rsid w:val="00A26659"/>
    <w:rsid w:val="00A269B8"/>
    <w:rsid w:val="00A26C4B"/>
    <w:rsid w:val="00A26F38"/>
    <w:rsid w:val="00A26F76"/>
    <w:rsid w:val="00A27229"/>
    <w:rsid w:val="00A27232"/>
    <w:rsid w:val="00A273DC"/>
    <w:rsid w:val="00A2782D"/>
    <w:rsid w:val="00A27C7F"/>
    <w:rsid w:val="00A27D08"/>
    <w:rsid w:val="00A27DE5"/>
    <w:rsid w:val="00A27E1B"/>
    <w:rsid w:val="00A313E1"/>
    <w:rsid w:val="00A316A6"/>
    <w:rsid w:val="00A318FE"/>
    <w:rsid w:val="00A31B45"/>
    <w:rsid w:val="00A31B9E"/>
    <w:rsid w:val="00A31DE9"/>
    <w:rsid w:val="00A324EC"/>
    <w:rsid w:val="00A32974"/>
    <w:rsid w:val="00A32A30"/>
    <w:rsid w:val="00A334C7"/>
    <w:rsid w:val="00A33609"/>
    <w:rsid w:val="00A33C1D"/>
    <w:rsid w:val="00A33C48"/>
    <w:rsid w:val="00A342CA"/>
    <w:rsid w:val="00A3443A"/>
    <w:rsid w:val="00A34733"/>
    <w:rsid w:val="00A34ADD"/>
    <w:rsid w:val="00A34F0E"/>
    <w:rsid w:val="00A35670"/>
    <w:rsid w:val="00A358B7"/>
    <w:rsid w:val="00A35A8F"/>
    <w:rsid w:val="00A36559"/>
    <w:rsid w:val="00A366A1"/>
    <w:rsid w:val="00A36C92"/>
    <w:rsid w:val="00A36F55"/>
    <w:rsid w:val="00A36FEB"/>
    <w:rsid w:val="00A37293"/>
    <w:rsid w:val="00A374BD"/>
    <w:rsid w:val="00A37595"/>
    <w:rsid w:val="00A37DB5"/>
    <w:rsid w:val="00A37F49"/>
    <w:rsid w:val="00A4000D"/>
    <w:rsid w:val="00A40036"/>
    <w:rsid w:val="00A413C2"/>
    <w:rsid w:val="00A413F3"/>
    <w:rsid w:val="00A417F5"/>
    <w:rsid w:val="00A4198D"/>
    <w:rsid w:val="00A41AB5"/>
    <w:rsid w:val="00A41D1C"/>
    <w:rsid w:val="00A41F38"/>
    <w:rsid w:val="00A4208B"/>
    <w:rsid w:val="00A420B2"/>
    <w:rsid w:val="00A428EC"/>
    <w:rsid w:val="00A42EEA"/>
    <w:rsid w:val="00A43124"/>
    <w:rsid w:val="00A432AE"/>
    <w:rsid w:val="00A433B5"/>
    <w:rsid w:val="00A4358A"/>
    <w:rsid w:val="00A43783"/>
    <w:rsid w:val="00A43A2B"/>
    <w:rsid w:val="00A43AF7"/>
    <w:rsid w:val="00A4436F"/>
    <w:rsid w:val="00A44893"/>
    <w:rsid w:val="00A44CB1"/>
    <w:rsid w:val="00A45CD6"/>
    <w:rsid w:val="00A45DF9"/>
    <w:rsid w:val="00A46216"/>
    <w:rsid w:val="00A4658A"/>
    <w:rsid w:val="00A46EC4"/>
    <w:rsid w:val="00A47921"/>
    <w:rsid w:val="00A4794F"/>
    <w:rsid w:val="00A47C72"/>
    <w:rsid w:val="00A47E92"/>
    <w:rsid w:val="00A47F4D"/>
    <w:rsid w:val="00A50231"/>
    <w:rsid w:val="00A506D1"/>
    <w:rsid w:val="00A50C2A"/>
    <w:rsid w:val="00A50E64"/>
    <w:rsid w:val="00A50F76"/>
    <w:rsid w:val="00A5118D"/>
    <w:rsid w:val="00A512AE"/>
    <w:rsid w:val="00A514E9"/>
    <w:rsid w:val="00A51599"/>
    <w:rsid w:val="00A51612"/>
    <w:rsid w:val="00A517F6"/>
    <w:rsid w:val="00A51FD3"/>
    <w:rsid w:val="00A52170"/>
    <w:rsid w:val="00A52214"/>
    <w:rsid w:val="00A522BA"/>
    <w:rsid w:val="00A52B27"/>
    <w:rsid w:val="00A53019"/>
    <w:rsid w:val="00A532A9"/>
    <w:rsid w:val="00A53416"/>
    <w:rsid w:val="00A53541"/>
    <w:rsid w:val="00A5379A"/>
    <w:rsid w:val="00A53A58"/>
    <w:rsid w:val="00A53C5B"/>
    <w:rsid w:val="00A54008"/>
    <w:rsid w:val="00A540D4"/>
    <w:rsid w:val="00A5413C"/>
    <w:rsid w:val="00A543C9"/>
    <w:rsid w:val="00A545CA"/>
    <w:rsid w:val="00A54915"/>
    <w:rsid w:val="00A54AC3"/>
    <w:rsid w:val="00A54B33"/>
    <w:rsid w:val="00A55251"/>
    <w:rsid w:val="00A55860"/>
    <w:rsid w:val="00A55A4A"/>
    <w:rsid w:val="00A55F29"/>
    <w:rsid w:val="00A56211"/>
    <w:rsid w:val="00A562E5"/>
    <w:rsid w:val="00A5639F"/>
    <w:rsid w:val="00A563AD"/>
    <w:rsid w:val="00A564A6"/>
    <w:rsid w:val="00A564AD"/>
    <w:rsid w:val="00A56913"/>
    <w:rsid w:val="00A56B13"/>
    <w:rsid w:val="00A56C0D"/>
    <w:rsid w:val="00A571AD"/>
    <w:rsid w:val="00A5720D"/>
    <w:rsid w:val="00A57FC5"/>
    <w:rsid w:val="00A60666"/>
    <w:rsid w:val="00A60911"/>
    <w:rsid w:val="00A60A51"/>
    <w:rsid w:val="00A611CD"/>
    <w:rsid w:val="00A612F0"/>
    <w:rsid w:val="00A616DC"/>
    <w:rsid w:val="00A61875"/>
    <w:rsid w:val="00A6266B"/>
    <w:rsid w:val="00A62B95"/>
    <w:rsid w:val="00A6325C"/>
    <w:rsid w:val="00A63709"/>
    <w:rsid w:val="00A63FD8"/>
    <w:rsid w:val="00A63FE0"/>
    <w:rsid w:val="00A642AB"/>
    <w:rsid w:val="00A64352"/>
    <w:rsid w:val="00A6443B"/>
    <w:rsid w:val="00A64928"/>
    <w:rsid w:val="00A64CF8"/>
    <w:rsid w:val="00A64FC1"/>
    <w:rsid w:val="00A65401"/>
    <w:rsid w:val="00A65843"/>
    <w:rsid w:val="00A65A72"/>
    <w:rsid w:val="00A65DBD"/>
    <w:rsid w:val="00A660BD"/>
    <w:rsid w:val="00A6626C"/>
    <w:rsid w:val="00A6652C"/>
    <w:rsid w:val="00A66767"/>
    <w:rsid w:val="00A66A76"/>
    <w:rsid w:val="00A66B57"/>
    <w:rsid w:val="00A66EB8"/>
    <w:rsid w:val="00A675AE"/>
    <w:rsid w:val="00A677FF"/>
    <w:rsid w:val="00A70051"/>
    <w:rsid w:val="00A702DD"/>
    <w:rsid w:val="00A707DD"/>
    <w:rsid w:val="00A708B4"/>
    <w:rsid w:val="00A70B7A"/>
    <w:rsid w:val="00A70C22"/>
    <w:rsid w:val="00A70D5A"/>
    <w:rsid w:val="00A70F7C"/>
    <w:rsid w:val="00A71205"/>
    <w:rsid w:val="00A712E4"/>
    <w:rsid w:val="00A7130C"/>
    <w:rsid w:val="00A716DA"/>
    <w:rsid w:val="00A718FC"/>
    <w:rsid w:val="00A71AA2"/>
    <w:rsid w:val="00A71C81"/>
    <w:rsid w:val="00A722F9"/>
    <w:rsid w:val="00A72702"/>
    <w:rsid w:val="00A72CE6"/>
    <w:rsid w:val="00A731E0"/>
    <w:rsid w:val="00A73216"/>
    <w:rsid w:val="00A73257"/>
    <w:rsid w:val="00A7328F"/>
    <w:rsid w:val="00A73A80"/>
    <w:rsid w:val="00A73B65"/>
    <w:rsid w:val="00A73DB4"/>
    <w:rsid w:val="00A73FAB"/>
    <w:rsid w:val="00A73FC3"/>
    <w:rsid w:val="00A740DB"/>
    <w:rsid w:val="00A7411A"/>
    <w:rsid w:val="00A742F7"/>
    <w:rsid w:val="00A7453F"/>
    <w:rsid w:val="00A7505C"/>
    <w:rsid w:val="00A7524E"/>
    <w:rsid w:val="00A7562B"/>
    <w:rsid w:val="00A75833"/>
    <w:rsid w:val="00A75A6D"/>
    <w:rsid w:val="00A75E0D"/>
    <w:rsid w:val="00A75E81"/>
    <w:rsid w:val="00A768DD"/>
    <w:rsid w:val="00A76ACA"/>
    <w:rsid w:val="00A76B64"/>
    <w:rsid w:val="00A76E73"/>
    <w:rsid w:val="00A76FDB"/>
    <w:rsid w:val="00A77280"/>
    <w:rsid w:val="00A77336"/>
    <w:rsid w:val="00A77FAC"/>
    <w:rsid w:val="00A8021C"/>
    <w:rsid w:val="00A802F6"/>
    <w:rsid w:val="00A80349"/>
    <w:rsid w:val="00A80551"/>
    <w:rsid w:val="00A80555"/>
    <w:rsid w:val="00A80887"/>
    <w:rsid w:val="00A809DF"/>
    <w:rsid w:val="00A80BD5"/>
    <w:rsid w:val="00A81C0D"/>
    <w:rsid w:val="00A81DED"/>
    <w:rsid w:val="00A822C1"/>
    <w:rsid w:val="00A8288E"/>
    <w:rsid w:val="00A82ADA"/>
    <w:rsid w:val="00A82C17"/>
    <w:rsid w:val="00A830B8"/>
    <w:rsid w:val="00A831F3"/>
    <w:rsid w:val="00A8320C"/>
    <w:rsid w:val="00A8362C"/>
    <w:rsid w:val="00A837C8"/>
    <w:rsid w:val="00A83C47"/>
    <w:rsid w:val="00A83D49"/>
    <w:rsid w:val="00A83D4D"/>
    <w:rsid w:val="00A83D9C"/>
    <w:rsid w:val="00A8405A"/>
    <w:rsid w:val="00A84660"/>
    <w:rsid w:val="00A847FB"/>
    <w:rsid w:val="00A848AE"/>
    <w:rsid w:val="00A84CBC"/>
    <w:rsid w:val="00A84F8D"/>
    <w:rsid w:val="00A84FD8"/>
    <w:rsid w:val="00A85B19"/>
    <w:rsid w:val="00A85F2E"/>
    <w:rsid w:val="00A861BA"/>
    <w:rsid w:val="00A86D71"/>
    <w:rsid w:val="00A87096"/>
    <w:rsid w:val="00A87229"/>
    <w:rsid w:val="00A87C7B"/>
    <w:rsid w:val="00A90252"/>
    <w:rsid w:val="00A904F4"/>
    <w:rsid w:val="00A9068B"/>
    <w:rsid w:val="00A90907"/>
    <w:rsid w:val="00A90C8A"/>
    <w:rsid w:val="00A90DF5"/>
    <w:rsid w:val="00A90FFC"/>
    <w:rsid w:val="00A912B8"/>
    <w:rsid w:val="00A914B9"/>
    <w:rsid w:val="00A9197E"/>
    <w:rsid w:val="00A91A66"/>
    <w:rsid w:val="00A91C13"/>
    <w:rsid w:val="00A91D9E"/>
    <w:rsid w:val="00A9245A"/>
    <w:rsid w:val="00A924D0"/>
    <w:rsid w:val="00A925D0"/>
    <w:rsid w:val="00A92655"/>
    <w:rsid w:val="00A92921"/>
    <w:rsid w:val="00A936B6"/>
    <w:rsid w:val="00A937CC"/>
    <w:rsid w:val="00A93C82"/>
    <w:rsid w:val="00A93F08"/>
    <w:rsid w:val="00A93F90"/>
    <w:rsid w:val="00A94148"/>
    <w:rsid w:val="00A94454"/>
    <w:rsid w:val="00A94766"/>
    <w:rsid w:val="00A94973"/>
    <w:rsid w:val="00A94A4B"/>
    <w:rsid w:val="00A94E90"/>
    <w:rsid w:val="00A9523A"/>
    <w:rsid w:val="00A9526A"/>
    <w:rsid w:val="00A95599"/>
    <w:rsid w:val="00A957DA"/>
    <w:rsid w:val="00A958FA"/>
    <w:rsid w:val="00A959BB"/>
    <w:rsid w:val="00A95A9E"/>
    <w:rsid w:val="00A95D40"/>
    <w:rsid w:val="00A95E69"/>
    <w:rsid w:val="00A95F62"/>
    <w:rsid w:val="00A962F1"/>
    <w:rsid w:val="00A9639D"/>
    <w:rsid w:val="00A966F6"/>
    <w:rsid w:val="00A96769"/>
    <w:rsid w:val="00A96776"/>
    <w:rsid w:val="00A9716C"/>
    <w:rsid w:val="00A9733A"/>
    <w:rsid w:val="00A97DAE"/>
    <w:rsid w:val="00AA0194"/>
    <w:rsid w:val="00AA0267"/>
    <w:rsid w:val="00AA0941"/>
    <w:rsid w:val="00AA0EDE"/>
    <w:rsid w:val="00AA1055"/>
    <w:rsid w:val="00AA112B"/>
    <w:rsid w:val="00AA1153"/>
    <w:rsid w:val="00AA1425"/>
    <w:rsid w:val="00AA18AA"/>
    <w:rsid w:val="00AA1E28"/>
    <w:rsid w:val="00AA1F68"/>
    <w:rsid w:val="00AA1FED"/>
    <w:rsid w:val="00AA2252"/>
    <w:rsid w:val="00AA264F"/>
    <w:rsid w:val="00AA2B3E"/>
    <w:rsid w:val="00AA31B9"/>
    <w:rsid w:val="00AA3367"/>
    <w:rsid w:val="00AA352D"/>
    <w:rsid w:val="00AA380F"/>
    <w:rsid w:val="00AA3851"/>
    <w:rsid w:val="00AA3884"/>
    <w:rsid w:val="00AA42B8"/>
    <w:rsid w:val="00AA4AB6"/>
    <w:rsid w:val="00AA4B1A"/>
    <w:rsid w:val="00AA4CD1"/>
    <w:rsid w:val="00AA4FBE"/>
    <w:rsid w:val="00AA4FCB"/>
    <w:rsid w:val="00AA547B"/>
    <w:rsid w:val="00AA562D"/>
    <w:rsid w:val="00AA57F5"/>
    <w:rsid w:val="00AA580C"/>
    <w:rsid w:val="00AA5862"/>
    <w:rsid w:val="00AA5A74"/>
    <w:rsid w:val="00AA5CB5"/>
    <w:rsid w:val="00AA615B"/>
    <w:rsid w:val="00AA616C"/>
    <w:rsid w:val="00AA6831"/>
    <w:rsid w:val="00AA6A24"/>
    <w:rsid w:val="00AA6FD8"/>
    <w:rsid w:val="00AA75C6"/>
    <w:rsid w:val="00AA76A1"/>
    <w:rsid w:val="00AA7826"/>
    <w:rsid w:val="00AA7855"/>
    <w:rsid w:val="00AA7C2A"/>
    <w:rsid w:val="00AA7C8D"/>
    <w:rsid w:val="00AB00FF"/>
    <w:rsid w:val="00AB07B6"/>
    <w:rsid w:val="00AB0F66"/>
    <w:rsid w:val="00AB13A0"/>
    <w:rsid w:val="00AB1AF0"/>
    <w:rsid w:val="00AB1CB8"/>
    <w:rsid w:val="00AB26B9"/>
    <w:rsid w:val="00AB2AB3"/>
    <w:rsid w:val="00AB2AF2"/>
    <w:rsid w:val="00AB30F4"/>
    <w:rsid w:val="00AB3100"/>
    <w:rsid w:val="00AB3190"/>
    <w:rsid w:val="00AB3330"/>
    <w:rsid w:val="00AB3640"/>
    <w:rsid w:val="00AB3863"/>
    <w:rsid w:val="00AB3953"/>
    <w:rsid w:val="00AB3B30"/>
    <w:rsid w:val="00AB3B72"/>
    <w:rsid w:val="00AB3D35"/>
    <w:rsid w:val="00AB3D82"/>
    <w:rsid w:val="00AB43CB"/>
    <w:rsid w:val="00AB472B"/>
    <w:rsid w:val="00AB4D9B"/>
    <w:rsid w:val="00AB5421"/>
    <w:rsid w:val="00AB6286"/>
    <w:rsid w:val="00AB66DF"/>
    <w:rsid w:val="00AB725B"/>
    <w:rsid w:val="00AB72CC"/>
    <w:rsid w:val="00AB77FA"/>
    <w:rsid w:val="00AB7A3C"/>
    <w:rsid w:val="00AB7AD0"/>
    <w:rsid w:val="00AC01B2"/>
    <w:rsid w:val="00AC0446"/>
    <w:rsid w:val="00AC0C93"/>
    <w:rsid w:val="00AC10DB"/>
    <w:rsid w:val="00AC13D2"/>
    <w:rsid w:val="00AC2010"/>
    <w:rsid w:val="00AC2095"/>
    <w:rsid w:val="00AC22A3"/>
    <w:rsid w:val="00AC22C9"/>
    <w:rsid w:val="00AC2F1A"/>
    <w:rsid w:val="00AC2FB1"/>
    <w:rsid w:val="00AC3010"/>
    <w:rsid w:val="00AC331C"/>
    <w:rsid w:val="00AC3818"/>
    <w:rsid w:val="00AC384B"/>
    <w:rsid w:val="00AC3B72"/>
    <w:rsid w:val="00AC3D96"/>
    <w:rsid w:val="00AC3F74"/>
    <w:rsid w:val="00AC4062"/>
    <w:rsid w:val="00AC40FC"/>
    <w:rsid w:val="00AC420D"/>
    <w:rsid w:val="00AC42F1"/>
    <w:rsid w:val="00AC42FA"/>
    <w:rsid w:val="00AC4353"/>
    <w:rsid w:val="00AC4418"/>
    <w:rsid w:val="00AC4527"/>
    <w:rsid w:val="00AC487B"/>
    <w:rsid w:val="00AC4F7E"/>
    <w:rsid w:val="00AC4FBB"/>
    <w:rsid w:val="00AC5461"/>
    <w:rsid w:val="00AC5571"/>
    <w:rsid w:val="00AC563B"/>
    <w:rsid w:val="00AC5943"/>
    <w:rsid w:val="00AC5F38"/>
    <w:rsid w:val="00AC6064"/>
    <w:rsid w:val="00AC63C4"/>
    <w:rsid w:val="00AC6687"/>
    <w:rsid w:val="00AC66B2"/>
    <w:rsid w:val="00AC6722"/>
    <w:rsid w:val="00AC6803"/>
    <w:rsid w:val="00AC68B9"/>
    <w:rsid w:val="00AC6BA5"/>
    <w:rsid w:val="00AC72E3"/>
    <w:rsid w:val="00AC74B0"/>
    <w:rsid w:val="00AC75CB"/>
    <w:rsid w:val="00AC7750"/>
    <w:rsid w:val="00AC7B19"/>
    <w:rsid w:val="00AC7C20"/>
    <w:rsid w:val="00AC7E9A"/>
    <w:rsid w:val="00AC7EF6"/>
    <w:rsid w:val="00AD008B"/>
    <w:rsid w:val="00AD0758"/>
    <w:rsid w:val="00AD0962"/>
    <w:rsid w:val="00AD0981"/>
    <w:rsid w:val="00AD0A9B"/>
    <w:rsid w:val="00AD1071"/>
    <w:rsid w:val="00AD12FD"/>
    <w:rsid w:val="00AD1741"/>
    <w:rsid w:val="00AD192A"/>
    <w:rsid w:val="00AD1A40"/>
    <w:rsid w:val="00AD1B61"/>
    <w:rsid w:val="00AD202B"/>
    <w:rsid w:val="00AD2041"/>
    <w:rsid w:val="00AD214B"/>
    <w:rsid w:val="00AD2193"/>
    <w:rsid w:val="00AD21F1"/>
    <w:rsid w:val="00AD222E"/>
    <w:rsid w:val="00AD2D09"/>
    <w:rsid w:val="00AD2F52"/>
    <w:rsid w:val="00AD373B"/>
    <w:rsid w:val="00AD3B17"/>
    <w:rsid w:val="00AD3B2A"/>
    <w:rsid w:val="00AD3B9A"/>
    <w:rsid w:val="00AD3CC6"/>
    <w:rsid w:val="00AD3D79"/>
    <w:rsid w:val="00AD44B6"/>
    <w:rsid w:val="00AD4541"/>
    <w:rsid w:val="00AD45E9"/>
    <w:rsid w:val="00AD4790"/>
    <w:rsid w:val="00AD47E6"/>
    <w:rsid w:val="00AD4881"/>
    <w:rsid w:val="00AD4DD9"/>
    <w:rsid w:val="00AD518E"/>
    <w:rsid w:val="00AD519E"/>
    <w:rsid w:val="00AD5755"/>
    <w:rsid w:val="00AD5AFF"/>
    <w:rsid w:val="00AD5C14"/>
    <w:rsid w:val="00AD5E41"/>
    <w:rsid w:val="00AD5E7F"/>
    <w:rsid w:val="00AD667C"/>
    <w:rsid w:val="00AD6EF3"/>
    <w:rsid w:val="00AD736E"/>
    <w:rsid w:val="00AD779D"/>
    <w:rsid w:val="00AD7C1B"/>
    <w:rsid w:val="00AE0B58"/>
    <w:rsid w:val="00AE1001"/>
    <w:rsid w:val="00AE1149"/>
    <w:rsid w:val="00AE11DC"/>
    <w:rsid w:val="00AE12C9"/>
    <w:rsid w:val="00AE1429"/>
    <w:rsid w:val="00AE1819"/>
    <w:rsid w:val="00AE1F3D"/>
    <w:rsid w:val="00AE240A"/>
    <w:rsid w:val="00AE2536"/>
    <w:rsid w:val="00AE2A46"/>
    <w:rsid w:val="00AE2F4F"/>
    <w:rsid w:val="00AE309E"/>
    <w:rsid w:val="00AE33D0"/>
    <w:rsid w:val="00AE3483"/>
    <w:rsid w:val="00AE34B0"/>
    <w:rsid w:val="00AE34BB"/>
    <w:rsid w:val="00AE3A50"/>
    <w:rsid w:val="00AE3A8B"/>
    <w:rsid w:val="00AE3ABC"/>
    <w:rsid w:val="00AE3B1E"/>
    <w:rsid w:val="00AE3D3A"/>
    <w:rsid w:val="00AE412D"/>
    <w:rsid w:val="00AE438E"/>
    <w:rsid w:val="00AE4498"/>
    <w:rsid w:val="00AE4545"/>
    <w:rsid w:val="00AE4A6A"/>
    <w:rsid w:val="00AE4C7B"/>
    <w:rsid w:val="00AE4CAD"/>
    <w:rsid w:val="00AE4CE7"/>
    <w:rsid w:val="00AE4E6E"/>
    <w:rsid w:val="00AE4F0F"/>
    <w:rsid w:val="00AE4FCF"/>
    <w:rsid w:val="00AE50A0"/>
    <w:rsid w:val="00AE54E7"/>
    <w:rsid w:val="00AE5550"/>
    <w:rsid w:val="00AE58E6"/>
    <w:rsid w:val="00AE594D"/>
    <w:rsid w:val="00AE5D4A"/>
    <w:rsid w:val="00AE5F01"/>
    <w:rsid w:val="00AE6175"/>
    <w:rsid w:val="00AE65EA"/>
    <w:rsid w:val="00AE66CD"/>
    <w:rsid w:val="00AE67AB"/>
    <w:rsid w:val="00AE6ED1"/>
    <w:rsid w:val="00AE6ED6"/>
    <w:rsid w:val="00AE6FC4"/>
    <w:rsid w:val="00AE71E1"/>
    <w:rsid w:val="00AE76F8"/>
    <w:rsid w:val="00AE78DB"/>
    <w:rsid w:val="00AE78F6"/>
    <w:rsid w:val="00AE7A74"/>
    <w:rsid w:val="00AE7AAF"/>
    <w:rsid w:val="00AE7AF7"/>
    <w:rsid w:val="00AE7DF1"/>
    <w:rsid w:val="00AF0011"/>
    <w:rsid w:val="00AF011A"/>
    <w:rsid w:val="00AF0249"/>
    <w:rsid w:val="00AF0572"/>
    <w:rsid w:val="00AF0F84"/>
    <w:rsid w:val="00AF1586"/>
    <w:rsid w:val="00AF16F2"/>
    <w:rsid w:val="00AF1840"/>
    <w:rsid w:val="00AF18E4"/>
    <w:rsid w:val="00AF1B5B"/>
    <w:rsid w:val="00AF1BF3"/>
    <w:rsid w:val="00AF1D14"/>
    <w:rsid w:val="00AF1ECC"/>
    <w:rsid w:val="00AF1F91"/>
    <w:rsid w:val="00AF237A"/>
    <w:rsid w:val="00AF23EA"/>
    <w:rsid w:val="00AF2838"/>
    <w:rsid w:val="00AF2870"/>
    <w:rsid w:val="00AF2D05"/>
    <w:rsid w:val="00AF2D10"/>
    <w:rsid w:val="00AF2EDA"/>
    <w:rsid w:val="00AF2EF4"/>
    <w:rsid w:val="00AF3196"/>
    <w:rsid w:val="00AF3794"/>
    <w:rsid w:val="00AF3A54"/>
    <w:rsid w:val="00AF3C6A"/>
    <w:rsid w:val="00AF3FA0"/>
    <w:rsid w:val="00AF44FE"/>
    <w:rsid w:val="00AF454C"/>
    <w:rsid w:val="00AF4570"/>
    <w:rsid w:val="00AF4EA1"/>
    <w:rsid w:val="00AF59A2"/>
    <w:rsid w:val="00AF5D8B"/>
    <w:rsid w:val="00AF5E14"/>
    <w:rsid w:val="00AF61DD"/>
    <w:rsid w:val="00AF6294"/>
    <w:rsid w:val="00AF6870"/>
    <w:rsid w:val="00AF6A37"/>
    <w:rsid w:val="00AF6A6E"/>
    <w:rsid w:val="00AF6AE7"/>
    <w:rsid w:val="00AF7127"/>
    <w:rsid w:val="00AF72C4"/>
    <w:rsid w:val="00AF7634"/>
    <w:rsid w:val="00AF7692"/>
    <w:rsid w:val="00B000D7"/>
    <w:rsid w:val="00B0048B"/>
    <w:rsid w:val="00B0049D"/>
    <w:rsid w:val="00B00B44"/>
    <w:rsid w:val="00B00E63"/>
    <w:rsid w:val="00B01172"/>
    <w:rsid w:val="00B0126A"/>
    <w:rsid w:val="00B0129F"/>
    <w:rsid w:val="00B012C5"/>
    <w:rsid w:val="00B0182C"/>
    <w:rsid w:val="00B0193F"/>
    <w:rsid w:val="00B0201D"/>
    <w:rsid w:val="00B025E8"/>
    <w:rsid w:val="00B02698"/>
    <w:rsid w:val="00B02970"/>
    <w:rsid w:val="00B02C14"/>
    <w:rsid w:val="00B034F0"/>
    <w:rsid w:val="00B03D28"/>
    <w:rsid w:val="00B03F8C"/>
    <w:rsid w:val="00B04420"/>
    <w:rsid w:val="00B04560"/>
    <w:rsid w:val="00B047B4"/>
    <w:rsid w:val="00B049BD"/>
    <w:rsid w:val="00B04B27"/>
    <w:rsid w:val="00B04BD8"/>
    <w:rsid w:val="00B04CDE"/>
    <w:rsid w:val="00B04FE2"/>
    <w:rsid w:val="00B0506B"/>
    <w:rsid w:val="00B050D3"/>
    <w:rsid w:val="00B05364"/>
    <w:rsid w:val="00B055FA"/>
    <w:rsid w:val="00B05741"/>
    <w:rsid w:val="00B05D49"/>
    <w:rsid w:val="00B05EBF"/>
    <w:rsid w:val="00B060F4"/>
    <w:rsid w:val="00B06176"/>
    <w:rsid w:val="00B0635C"/>
    <w:rsid w:val="00B063B8"/>
    <w:rsid w:val="00B06404"/>
    <w:rsid w:val="00B06551"/>
    <w:rsid w:val="00B06885"/>
    <w:rsid w:val="00B069D7"/>
    <w:rsid w:val="00B06A35"/>
    <w:rsid w:val="00B06D5C"/>
    <w:rsid w:val="00B07388"/>
    <w:rsid w:val="00B07953"/>
    <w:rsid w:val="00B079C9"/>
    <w:rsid w:val="00B079DF"/>
    <w:rsid w:val="00B07BFA"/>
    <w:rsid w:val="00B07EC2"/>
    <w:rsid w:val="00B07F81"/>
    <w:rsid w:val="00B0C1DB"/>
    <w:rsid w:val="00B1025A"/>
    <w:rsid w:val="00B10A2C"/>
    <w:rsid w:val="00B10FAF"/>
    <w:rsid w:val="00B115E2"/>
    <w:rsid w:val="00B118F2"/>
    <w:rsid w:val="00B12020"/>
    <w:rsid w:val="00B121B4"/>
    <w:rsid w:val="00B12C57"/>
    <w:rsid w:val="00B12C75"/>
    <w:rsid w:val="00B13251"/>
    <w:rsid w:val="00B13B83"/>
    <w:rsid w:val="00B13C99"/>
    <w:rsid w:val="00B13EC7"/>
    <w:rsid w:val="00B13EF2"/>
    <w:rsid w:val="00B14F20"/>
    <w:rsid w:val="00B14FAE"/>
    <w:rsid w:val="00B150BD"/>
    <w:rsid w:val="00B158FC"/>
    <w:rsid w:val="00B159F6"/>
    <w:rsid w:val="00B15C6E"/>
    <w:rsid w:val="00B15E15"/>
    <w:rsid w:val="00B1621F"/>
    <w:rsid w:val="00B165F2"/>
    <w:rsid w:val="00B1669A"/>
    <w:rsid w:val="00B168E4"/>
    <w:rsid w:val="00B171CA"/>
    <w:rsid w:val="00B175A8"/>
    <w:rsid w:val="00B17651"/>
    <w:rsid w:val="00B17B16"/>
    <w:rsid w:val="00B17B31"/>
    <w:rsid w:val="00B202A3"/>
    <w:rsid w:val="00B20573"/>
    <w:rsid w:val="00B214EC"/>
    <w:rsid w:val="00B21636"/>
    <w:rsid w:val="00B21681"/>
    <w:rsid w:val="00B21976"/>
    <w:rsid w:val="00B21A7E"/>
    <w:rsid w:val="00B21AAD"/>
    <w:rsid w:val="00B21B14"/>
    <w:rsid w:val="00B21BEB"/>
    <w:rsid w:val="00B21E06"/>
    <w:rsid w:val="00B21E92"/>
    <w:rsid w:val="00B220A6"/>
    <w:rsid w:val="00B2251B"/>
    <w:rsid w:val="00B226E7"/>
    <w:rsid w:val="00B227CC"/>
    <w:rsid w:val="00B22884"/>
    <w:rsid w:val="00B22D06"/>
    <w:rsid w:val="00B22F69"/>
    <w:rsid w:val="00B230F7"/>
    <w:rsid w:val="00B23596"/>
    <w:rsid w:val="00B23957"/>
    <w:rsid w:val="00B23AFD"/>
    <w:rsid w:val="00B23BAF"/>
    <w:rsid w:val="00B23E44"/>
    <w:rsid w:val="00B23E6B"/>
    <w:rsid w:val="00B23F36"/>
    <w:rsid w:val="00B23F4E"/>
    <w:rsid w:val="00B242EB"/>
    <w:rsid w:val="00B249BC"/>
    <w:rsid w:val="00B249DB"/>
    <w:rsid w:val="00B251C3"/>
    <w:rsid w:val="00B25493"/>
    <w:rsid w:val="00B2586F"/>
    <w:rsid w:val="00B25C13"/>
    <w:rsid w:val="00B25EBA"/>
    <w:rsid w:val="00B2629D"/>
    <w:rsid w:val="00B26494"/>
    <w:rsid w:val="00B26551"/>
    <w:rsid w:val="00B267A9"/>
    <w:rsid w:val="00B270AF"/>
    <w:rsid w:val="00B2737A"/>
    <w:rsid w:val="00B274BE"/>
    <w:rsid w:val="00B274D7"/>
    <w:rsid w:val="00B27809"/>
    <w:rsid w:val="00B27CA0"/>
    <w:rsid w:val="00B27FA8"/>
    <w:rsid w:val="00B30445"/>
    <w:rsid w:val="00B30703"/>
    <w:rsid w:val="00B30785"/>
    <w:rsid w:val="00B307A8"/>
    <w:rsid w:val="00B30B0D"/>
    <w:rsid w:val="00B30BFE"/>
    <w:rsid w:val="00B30CD6"/>
    <w:rsid w:val="00B30CF7"/>
    <w:rsid w:val="00B311DC"/>
    <w:rsid w:val="00B31535"/>
    <w:rsid w:val="00B31813"/>
    <w:rsid w:val="00B31A1D"/>
    <w:rsid w:val="00B31A73"/>
    <w:rsid w:val="00B31D41"/>
    <w:rsid w:val="00B31E5F"/>
    <w:rsid w:val="00B3264A"/>
    <w:rsid w:val="00B327A3"/>
    <w:rsid w:val="00B32EF1"/>
    <w:rsid w:val="00B32F6C"/>
    <w:rsid w:val="00B331CA"/>
    <w:rsid w:val="00B33496"/>
    <w:rsid w:val="00B34135"/>
    <w:rsid w:val="00B3478A"/>
    <w:rsid w:val="00B35234"/>
    <w:rsid w:val="00B358B1"/>
    <w:rsid w:val="00B35C3A"/>
    <w:rsid w:val="00B35F01"/>
    <w:rsid w:val="00B362D8"/>
    <w:rsid w:val="00B365CD"/>
    <w:rsid w:val="00B368CC"/>
    <w:rsid w:val="00B36B7E"/>
    <w:rsid w:val="00B36E2C"/>
    <w:rsid w:val="00B36F8D"/>
    <w:rsid w:val="00B370F7"/>
    <w:rsid w:val="00B370F9"/>
    <w:rsid w:val="00B371CF"/>
    <w:rsid w:val="00B3774C"/>
    <w:rsid w:val="00B37CF4"/>
    <w:rsid w:val="00B402B3"/>
    <w:rsid w:val="00B40417"/>
    <w:rsid w:val="00B40437"/>
    <w:rsid w:val="00B4077C"/>
    <w:rsid w:val="00B40D5A"/>
    <w:rsid w:val="00B40D7E"/>
    <w:rsid w:val="00B41509"/>
    <w:rsid w:val="00B4162A"/>
    <w:rsid w:val="00B41AC8"/>
    <w:rsid w:val="00B41C3A"/>
    <w:rsid w:val="00B42374"/>
    <w:rsid w:val="00B42EB5"/>
    <w:rsid w:val="00B43004"/>
    <w:rsid w:val="00B43497"/>
    <w:rsid w:val="00B43713"/>
    <w:rsid w:val="00B438AA"/>
    <w:rsid w:val="00B439C1"/>
    <w:rsid w:val="00B43C3E"/>
    <w:rsid w:val="00B43F1F"/>
    <w:rsid w:val="00B44145"/>
    <w:rsid w:val="00B44597"/>
    <w:rsid w:val="00B4462B"/>
    <w:rsid w:val="00B446D1"/>
    <w:rsid w:val="00B44B8B"/>
    <w:rsid w:val="00B45274"/>
    <w:rsid w:val="00B452E7"/>
    <w:rsid w:val="00B452E8"/>
    <w:rsid w:val="00B457C1"/>
    <w:rsid w:val="00B45EE9"/>
    <w:rsid w:val="00B45F05"/>
    <w:rsid w:val="00B46197"/>
    <w:rsid w:val="00B463B8"/>
    <w:rsid w:val="00B4642E"/>
    <w:rsid w:val="00B464F3"/>
    <w:rsid w:val="00B46968"/>
    <w:rsid w:val="00B469E8"/>
    <w:rsid w:val="00B46BE8"/>
    <w:rsid w:val="00B46C20"/>
    <w:rsid w:val="00B46D75"/>
    <w:rsid w:val="00B46E9C"/>
    <w:rsid w:val="00B46EAA"/>
    <w:rsid w:val="00B46FBC"/>
    <w:rsid w:val="00B46FF2"/>
    <w:rsid w:val="00B474C2"/>
    <w:rsid w:val="00B50625"/>
    <w:rsid w:val="00B506A4"/>
    <w:rsid w:val="00B506FA"/>
    <w:rsid w:val="00B50963"/>
    <w:rsid w:val="00B509C1"/>
    <w:rsid w:val="00B509E1"/>
    <w:rsid w:val="00B509FB"/>
    <w:rsid w:val="00B50DD3"/>
    <w:rsid w:val="00B51026"/>
    <w:rsid w:val="00B51207"/>
    <w:rsid w:val="00B515C6"/>
    <w:rsid w:val="00B51829"/>
    <w:rsid w:val="00B51BA1"/>
    <w:rsid w:val="00B51D0B"/>
    <w:rsid w:val="00B51D3B"/>
    <w:rsid w:val="00B51D68"/>
    <w:rsid w:val="00B52364"/>
    <w:rsid w:val="00B52669"/>
    <w:rsid w:val="00B527A5"/>
    <w:rsid w:val="00B529BA"/>
    <w:rsid w:val="00B52B93"/>
    <w:rsid w:val="00B538C9"/>
    <w:rsid w:val="00B541B2"/>
    <w:rsid w:val="00B5428E"/>
    <w:rsid w:val="00B54854"/>
    <w:rsid w:val="00B54B1F"/>
    <w:rsid w:val="00B54BB1"/>
    <w:rsid w:val="00B54EBA"/>
    <w:rsid w:val="00B554DC"/>
    <w:rsid w:val="00B557B1"/>
    <w:rsid w:val="00B5599F"/>
    <w:rsid w:val="00B55CE8"/>
    <w:rsid w:val="00B55DF6"/>
    <w:rsid w:val="00B5636B"/>
    <w:rsid w:val="00B56372"/>
    <w:rsid w:val="00B56575"/>
    <w:rsid w:val="00B56762"/>
    <w:rsid w:val="00B56886"/>
    <w:rsid w:val="00B56A4F"/>
    <w:rsid w:val="00B56B4F"/>
    <w:rsid w:val="00B56BB6"/>
    <w:rsid w:val="00B56CE7"/>
    <w:rsid w:val="00B56E94"/>
    <w:rsid w:val="00B56FFA"/>
    <w:rsid w:val="00B5797D"/>
    <w:rsid w:val="00B57F63"/>
    <w:rsid w:val="00B57F6B"/>
    <w:rsid w:val="00B60670"/>
    <w:rsid w:val="00B60B4E"/>
    <w:rsid w:val="00B60E08"/>
    <w:rsid w:val="00B60F05"/>
    <w:rsid w:val="00B6168D"/>
    <w:rsid w:val="00B617AA"/>
    <w:rsid w:val="00B61DB0"/>
    <w:rsid w:val="00B62478"/>
    <w:rsid w:val="00B627EF"/>
    <w:rsid w:val="00B62975"/>
    <w:rsid w:val="00B629C0"/>
    <w:rsid w:val="00B636EC"/>
    <w:rsid w:val="00B639F2"/>
    <w:rsid w:val="00B63BF7"/>
    <w:rsid w:val="00B63DC1"/>
    <w:rsid w:val="00B647C7"/>
    <w:rsid w:val="00B64805"/>
    <w:rsid w:val="00B648B0"/>
    <w:rsid w:val="00B649BB"/>
    <w:rsid w:val="00B64DA3"/>
    <w:rsid w:val="00B6501E"/>
    <w:rsid w:val="00B6574C"/>
    <w:rsid w:val="00B6581E"/>
    <w:rsid w:val="00B65B86"/>
    <w:rsid w:val="00B65E5A"/>
    <w:rsid w:val="00B6619B"/>
    <w:rsid w:val="00B66441"/>
    <w:rsid w:val="00B664FD"/>
    <w:rsid w:val="00B668AF"/>
    <w:rsid w:val="00B668BF"/>
    <w:rsid w:val="00B668D2"/>
    <w:rsid w:val="00B66A99"/>
    <w:rsid w:val="00B66B0F"/>
    <w:rsid w:val="00B66C49"/>
    <w:rsid w:val="00B67197"/>
    <w:rsid w:val="00B673B7"/>
    <w:rsid w:val="00B6768A"/>
    <w:rsid w:val="00B678EF"/>
    <w:rsid w:val="00B67B85"/>
    <w:rsid w:val="00B67B9D"/>
    <w:rsid w:val="00B67C2E"/>
    <w:rsid w:val="00B70191"/>
    <w:rsid w:val="00B7059A"/>
    <w:rsid w:val="00B71D20"/>
    <w:rsid w:val="00B71F67"/>
    <w:rsid w:val="00B721C1"/>
    <w:rsid w:val="00B721D5"/>
    <w:rsid w:val="00B7244C"/>
    <w:rsid w:val="00B7247A"/>
    <w:rsid w:val="00B72588"/>
    <w:rsid w:val="00B728FB"/>
    <w:rsid w:val="00B729CE"/>
    <w:rsid w:val="00B729DE"/>
    <w:rsid w:val="00B72C75"/>
    <w:rsid w:val="00B72D25"/>
    <w:rsid w:val="00B731F8"/>
    <w:rsid w:val="00B73460"/>
    <w:rsid w:val="00B73461"/>
    <w:rsid w:val="00B738A5"/>
    <w:rsid w:val="00B73B7D"/>
    <w:rsid w:val="00B73C05"/>
    <w:rsid w:val="00B73EA4"/>
    <w:rsid w:val="00B73F83"/>
    <w:rsid w:val="00B741BA"/>
    <w:rsid w:val="00B741F5"/>
    <w:rsid w:val="00B74EF4"/>
    <w:rsid w:val="00B750C4"/>
    <w:rsid w:val="00B75129"/>
    <w:rsid w:val="00B75172"/>
    <w:rsid w:val="00B75604"/>
    <w:rsid w:val="00B765A8"/>
    <w:rsid w:val="00B766B1"/>
    <w:rsid w:val="00B769D1"/>
    <w:rsid w:val="00B76FB8"/>
    <w:rsid w:val="00B772A8"/>
    <w:rsid w:val="00B77562"/>
    <w:rsid w:val="00B777CF"/>
    <w:rsid w:val="00B77942"/>
    <w:rsid w:val="00B80190"/>
    <w:rsid w:val="00B80BC9"/>
    <w:rsid w:val="00B810DF"/>
    <w:rsid w:val="00B8137C"/>
    <w:rsid w:val="00B816F0"/>
    <w:rsid w:val="00B819C5"/>
    <w:rsid w:val="00B81AFC"/>
    <w:rsid w:val="00B82335"/>
    <w:rsid w:val="00B823DA"/>
    <w:rsid w:val="00B825A0"/>
    <w:rsid w:val="00B828D8"/>
    <w:rsid w:val="00B82B46"/>
    <w:rsid w:val="00B82B5F"/>
    <w:rsid w:val="00B82BC6"/>
    <w:rsid w:val="00B82C52"/>
    <w:rsid w:val="00B82E18"/>
    <w:rsid w:val="00B8371B"/>
    <w:rsid w:val="00B8390E"/>
    <w:rsid w:val="00B83F34"/>
    <w:rsid w:val="00B84A15"/>
    <w:rsid w:val="00B84ACB"/>
    <w:rsid w:val="00B85091"/>
    <w:rsid w:val="00B85116"/>
    <w:rsid w:val="00B85589"/>
    <w:rsid w:val="00B858B5"/>
    <w:rsid w:val="00B85CBE"/>
    <w:rsid w:val="00B85DA8"/>
    <w:rsid w:val="00B86631"/>
    <w:rsid w:val="00B868D9"/>
    <w:rsid w:val="00B86AB7"/>
    <w:rsid w:val="00B86C69"/>
    <w:rsid w:val="00B87102"/>
    <w:rsid w:val="00B87207"/>
    <w:rsid w:val="00B872B7"/>
    <w:rsid w:val="00B87410"/>
    <w:rsid w:val="00B8770D"/>
    <w:rsid w:val="00B87924"/>
    <w:rsid w:val="00B879F1"/>
    <w:rsid w:val="00B87E27"/>
    <w:rsid w:val="00B9006D"/>
    <w:rsid w:val="00B9007A"/>
    <w:rsid w:val="00B9037D"/>
    <w:rsid w:val="00B9048F"/>
    <w:rsid w:val="00B9064A"/>
    <w:rsid w:val="00B907F7"/>
    <w:rsid w:val="00B90818"/>
    <w:rsid w:val="00B90853"/>
    <w:rsid w:val="00B90B2E"/>
    <w:rsid w:val="00B90C4F"/>
    <w:rsid w:val="00B90FB0"/>
    <w:rsid w:val="00B91186"/>
    <w:rsid w:val="00B9179E"/>
    <w:rsid w:val="00B9181F"/>
    <w:rsid w:val="00B91936"/>
    <w:rsid w:val="00B91CCE"/>
    <w:rsid w:val="00B9222B"/>
    <w:rsid w:val="00B92467"/>
    <w:rsid w:val="00B925C1"/>
    <w:rsid w:val="00B9279C"/>
    <w:rsid w:val="00B92802"/>
    <w:rsid w:val="00B92ADF"/>
    <w:rsid w:val="00B92EA1"/>
    <w:rsid w:val="00B930E8"/>
    <w:rsid w:val="00B933B4"/>
    <w:rsid w:val="00B935A3"/>
    <w:rsid w:val="00B936B0"/>
    <w:rsid w:val="00B938B2"/>
    <w:rsid w:val="00B93967"/>
    <w:rsid w:val="00B93B3B"/>
    <w:rsid w:val="00B93D04"/>
    <w:rsid w:val="00B93D9D"/>
    <w:rsid w:val="00B93F27"/>
    <w:rsid w:val="00B947F1"/>
    <w:rsid w:val="00B9491F"/>
    <w:rsid w:val="00B94AC9"/>
    <w:rsid w:val="00B94BA3"/>
    <w:rsid w:val="00B94E5F"/>
    <w:rsid w:val="00B94FEC"/>
    <w:rsid w:val="00B950AA"/>
    <w:rsid w:val="00B95A7C"/>
    <w:rsid w:val="00B95AFB"/>
    <w:rsid w:val="00B95B37"/>
    <w:rsid w:val="00B95BCF"/>
    <w:rsid w:val="00B960BF"/>
    <w:rsid w:val="00B963BA"/>
    <w:rsid w:val="00B9646A"/>
    <w:rsid w:val="00B96530"/>
    <w:rsid w:val="00B96899"/>
    <w:rsid w:val="00B97991"/>
    <w:rsid w:val="00BA02E0"/>
    <w:rsid w:val="00BA03C7"/>
    <w:rsid w:val="00BA0650"/>
    <w:rsid w:val="00BA0701"/>
    <w:rsid w:val="00BA0741"/>
    <w:rsid w:val="00BA08AB"/>
    <w:rsid w:val="00BA08B7"/>
    <w:rsid w:val="00BA08EC"/>
    <w:rsid w:val="00BA0933"/>
    <w:rsid w:val="00BA0A66"/>
    <w:rsid w:val="00BA0BF7"/>
    <w:rsid w:val="00BA0C0B"/>
    <w:rsid w:val="00BA0CB3"/>
    <w:rsid w:val="00BA0E90"/>
    <w:rsid w:val="00BA0E9C"/>
    <w:rsid w:val="00BA0F8B"/>
    <w:rsid w:val="00BA1817"/>
    <w:rsid w:val="00BA18D3"/>
    <w:rsid w:val="00BA1EC6"/>
    <w:rsid w:val="00BA1EDF"/>
    <w:rsid w:val="00BA1F48"/>
    <w:rsid w:val="00BA1FA7"/>
    <w:rsid w:val="00BA2221"/>
    <w:rsid w:val="00BA29EE"/>
    <w:rsid w:val="00BA2A2B"/>
    <w:rsid w:val="00BA2AD2"/>
    <w:rsid w:val="00BA2B02"/>
    <w:rsid w:val="00BA2B83"/>
    <w:rsid w:val="00BA2D1D"/>
    <w:rsid w:val="00BA2D6D"/>
    <w:rsid w:val="00BA2FA8"/>
    <w:rsid w:val="00BA356E"/>
    <w:rsid w:val="00BA3809"/>
    <w:rsid w:val="00BA38F3"/>
    <w:rsid w:val="00BA39BF"/>
    <w:rsid w:val="00BA3ACE"/>
    <w:rsid w:val="00BA4203"/>
    <w:rsid w:val="00BA4317"/>
    <w:rsid w:val="00BA4359"/>
    <w:rsid w:val="00BA46F5"/>
    <w:rsid w:val="00BA479A"/>
    <w:rsid w:val="00BA47C4"/>
    <w:rsid w:val="00BA4894"/>
    <w:rsid w:val="00BA4F56"/>
    <w:rsid w:val="00BA59BF"/>
    <w:rsid w:val="00BA5AB7"/>
    <w:rsid w:val="00BA5F32"/>
    <w:rsid w:val="00BA6336"/>
    <w:rsid w:val="00BA68CF"/>
    <w:rsid w:val="00BA72AD"/>
    <w:rsid w:val="00BA7800"/>
    <w:rsid w:val="00BA7855"/>
    <w:rsid w:val="00BA7BAD"/>
    <w:rsid w:val="00BA7E20"/>
    <w:rsid w:val="00BA7F5A"/>
    <w:rsid w:val="00BB01D5"/>
    <w:rsid w:val="00BB089A"/>
    <w:rsid w:val="00BB0CE7"/>
    <w:rsid w:val="00BB0EB5"/>
    <w:rsid w:val="00BB0F31"/>
    <w:rsid w:val="00BB149E"/>
    <w:rsid w:val="00BB1579"/>
    <w:rsid w:val="00BB16CF"/>
    <w:rsid w:val="00BB1852"/>
    <w:rsid w:val="00BB189C"/>
    <w:rsid w:val="00BB1A7E"/>
    <w:rsid w:val="00BB1B7A"/>
    <w:rsid w:val="00BB2253"/>
    <w:rsid w:val="00BB23CA"/>
    <w:rsid w:val="00BB23E2"/>
    <w:rsid w:val="00BB24B8"/>
    <w:rsid w:val="00BB26BE"/>
    <w:rsid w:val="00BB2753"/>
    <w:rsid w:val="00BB27DB"/>
    <w:rsid w:val="00BB2859"/>
    <w:rsid w:val="00BB2CC5"/>
    <w:rsid w:val="00BB2E0A"/>
    <w:rsid w:val="00BB358B"/>
    <w:rsid w:val="00BB3E44"/>
    <w:rsid w:val="00BB4197"/>
    <w:rsid w:val="00BB419F"/>
    <w:rsid w:val="00BB437D"/>
    <w:rsid w:val="00BB4434"/>
    <w:rsid w:val="00BB47A4"/>
    <w:rsid w:val="00BB4857"/>
    <w:rsid w:val="00BB4A46"/>
    <w:rsid w:val="00BB4CB4"/>
    <w:rsid w:val="00BB52CF"/>
    <w:rsid w:val="00BB576B"/>
    <w:rsid w:val="00BB5BEC"/>
    <w:rsid w:val="00BB5CEE"/>
    <w:rsid w:val="00BB5E3E"/>
    <w:rsid w:val="00BB6536"/>
    <w:rsid w:val="00BB6559"/>
    <w:rsid w:val="00BB6CED"/>
    <w:rsid w:val="00BB7077"/>
    <w:rsid w:val="00BB7301"/>
    <w:rsid w:val="00BB7D5A"/>
    <w:rsid w:val="00BB7F53"/>
    <w:rsid w:val="00BC02E7"/>
    <w:rsid w:val="00BC04D0"/>
    <w:rsid w:val="00BC08E1"/>
    <w:rsid w:val="00BC0AD9"/>
    <w:rsid w:val="00BC1524"/>
    <w:rsid w:val="00BC174F"/>
    <w:rsid w:val="00BC1C93"/>
    <w:rsid w:val="00BC1E3D"/>
    <w:rsid w:val="00BC235F"/>
    <w:rsid w:val="00BC241C"/>
    <w:rsid w:val="00BC24C8"/>
    <w:rsid w:val="00BC25FE"/>
    <w:rsid w:val="00BC28C8"/>
    <w:rsid w:val="00BC2FBD"/>
    <w:rsid w:val="00BC35BF"/>
    <w:rsid w:val="00BC3CE3"/>
    <w:rsid w:val="00BC4082"/>
    <w:rsid w:val="00BC463B"/>
    <w:rsid w:val="00BC4693"/>
    <w:rsid w:val="00BC4C9A"/>
    <w:rsid w:val="00BC4DEA"/>
    <w:rsid w:val="00BC5528"/>
    <w:rsid w:val="00BC55FB"/>
    <w:rsid w:val="00BC563A"/>
    <w:rsid w:val="00BC56CE"/>
    <w:rsid w:val="00BC5723"/>
    <w:rsid w:val="00BC57D2"/>
    <w:rsid w:val="00BC591C"/>
    <w:rsid w:val="00BC5924"/>
    <w:rsid w:val="00BC623A"/>
    <w:rsid w:val="00BC64B0"/>
    <w:rsid w:val="00BC653B"/>
    <w:rsid w:val="00BC65F7"/>
    <w:rsid w:val="00BC700E"/>
    <w:rsid w:val="00BC7471"/>
    <w:rsid w:val="00BC7726"/>
    <w:rsid w:val="00BC79D5"/>
    <w:rsid w:val="00BC7D96"/>
    <w:rsid w:val="00BD001B"/>
    <w:rsid w:val="00BD04ED"/>
    <w:rsid w:val="00BD0544"/>
    <w:rsid w:val="00BD127A"/>
    <w:rsid w:val="00BD1421"/>
    <w:rsid w:val="00BD162E"/>
    <w:rsid w:val="00BD175D"/>
    <w:rsid w:val="00BD1899"/>
    <w:rsid w:val="00BD1D47"/>
    <w:rsid w:val="00BD1F50"/>
    <w:rsid w:val="00BD21FE"/>
    <w:rsid w:val="00BD242A"/>
    <w:rsid w:val="00BD2A89"/>
    <w:rsid w:val="00BD2BFA"/>
    <w:rsid w:val="00BD3084"/>
    <w:rsid w:val="00BD3107"/>
    <w:rsid w:val="00BD329C"/>
    <w:rsid w:val="00BD3325"/>
    <w:rsid w:val="00BD3568"/>
    <w:rsid w:val="00BD37F7"/>
    <w:rsid w:val="00BD384D"/>
    <w:rsid w:val="00BD38DF"/>
    <w:rsid w:val="00BD3A4F"/>
    <w:rsid w:val="00BD3B18"/>
    <w:rsid w:val="00BD3B82"/>
    <w:rsid w:val="00BD3FA9"/>
    <w:rsid w:val="00BD40A2"/>
    <w:rsid w:val="00BD427F"/>
    <w:rsid w:val="00BD42E1"/>
    <w:rsid w:val="00BD4355"/>
    <w:rsid w:val="00BD43C0"/>
    <w:rsid w:val="00BD523C"/>
    <w:rsid w:val="00BD536E"/>
    <w:rsid w:val="00BD53BF"/>
    <w:rsid w:val="00BD53DA"/>
    <w:rsid w:val="00BD54DF"/>
    <w:rsid w:val="00BD5DA6"/>
    <w:rsid w:val="00BD5E4A"/>
    <w:rsid w:val="00BD5EB9"/>
    <w:rsid w:val="00BD5F00"/>
    <w:rsid w:val="00BD5F85"/>
    <w:rsid w:val="00BD6001"/>
    <w:rsid w:val="00BD6068"/>
    <w:rsid w:val="00BD6599"/>
    <w:rsid w:val="00BD698B"/>
    <w:rsid w:val="00BD7154"/>
    <w:rsid w:val="00BD780C"/>
    <w:rsid w:val="00BD7887"/>
    <w:rsid w:val="00BD7C32"/>
    <w:rsid w:val="00BD7CBF"/>
    <w:rsid w:val="00BD7E3B"/>
    <w:rsid w:val="00BD7FA8"/>
    <w:rsid w:val="00BE0343"/>
    <w:rsid w:val="00BE05F4"/>
    <w:rsid w:val="00BE06D8"/>
    <w:rsid w:val="00BE0AD8"/>
    <w:rsid w:val="00BE106B"/>
    <w:rsid w:val="00BE139F"/>
    <w:rsid w:val="00BE16C2"/>
    <w:rsid w:val="00BE17CC"/>
    <w:rsid w:val="00BE18CF"/>
    <w:rsid w:val="00BE1B9C"/>
    <w:rsid w:val="00BE1E98"/>
    <w:rsid w:val="00BE21C8"/>
    <w:rsid w:val="00BE288C"/>
    <w:rsid w:val="00BE296A"/>
    <w:rsid w:val="00BE2ADB"/>
    <w:rsid w:val="00BE2B38"/>
    <w:rsid w:val="00BE2B3C"/>
    <w:rsid w:val="00BE3087"/>
    <w:rsid w:val="00BE3374"/>
    <w:rsid w:val="00BE37C1"/>
    <w:rsid w:val="00BE3811"/>
    <w:rsid w:val="00BE3B71"/>
    <w:rsid w:val="00BE3E36"/>
    <w:rsid w:val="00BE4321"/>
    <w:rsid w:val="00BE4389"/>
    <w:rsid w:val="00BE4526"/>
    <w:rsid w:val="00BE4628"/>
    <w:rsid w:val="00BE492D"/>
    <w:rsid w:val="00BE4995"/>
    <w:rsid w:val="00BE49BB"/>
    <w:rsid w:val="00BE4C69"/>
    <w:rsid w:val="00BE4F6A"/>
    <w:rsid w:val="00BE4F7C"/>
    <w:rsid w:val="00BE523E"/>
    <w:rsid w:val="00BE5320"/>
    <w:rsid w:val="00BE591F"/>
    <w:rsid w:val="00BE5AEF"/>
    <w:rsid w:val="00BE5AF0"/>
    <w:rsid w:val="00BE5B52"/>
    <w:rsid w:val="00BE5E81"/>
    <w:rsid w:val="00BE631C"/>
    <w:rsid w:val="00BE632E"/>
    <w:rsid w:val="00BE633C"/>
    <w:rsid w:val="00BE6859"/>
    <w:rsid w:val="00BE69AD"/>
    <w:rsid w:val="00BE69DE"/>
    <w:rsid w:val="00BE6B0F"/>
    <w:rsid w:val="00BE6E8B"/>
    <w:rsid w:val="00BE6F29"/>
    <w:rsid w:val="00BE7225"/>
    <w:rsid w:val="00BE751E"/>
    <w:rsid w:val="00BE7B1D"/>
    <w:rsid w:val="00BE7CA2"/>
    <w:rsid w:val="00BF01CD"/>
    <w:rsid w:val="00BF04C1"/>
    <w:rsid w:val="00BF08A0"/>
    <w:rsid w:val="00BF0A0F"/>
    <w:rsid w:val="00BF0E0A"/>
    <w:rsid w:val="00BF0E55"/>
    <w:rsid w:val="00BF0EF3"/>
    <w:rsid w:val="00BF0F01"/>
    <w:rsid w:val="00BF0F23"/>
    <w:rsid w:val="00BF0F45"/>
    <w:rsid w:val="00BF0F95"/>
    <w:rsid w:val="00BF1111"/>
    <w:rsid w:val="00BF1552"/>
    <w:rsid w:val="00BF1FFB"/>
    <w:rsid w:val="00BF22B0"/>
    <w:rsid w:val="00BF22EE"/>
    <w:rsid w:val="00BF272C"/>
    <w:rsid w:val="00BF2C7B"/>
    <w:rsid w:val="00BF2F01"/>
    <w:rsid w:val="00BF367A"/>
    <w:rsid w:val="00BF3B39"/>
    <w:rsid w:val="00BF3D5E"/>
    <w:rsid w:val="00BF42B5"/>
    <w:rsid w:val="00BF4562"/>
    <w:rsid w:val="00BF4F1B"/>
    <w:rsid w:val="00BF4F4C"/>
    <w:rsid w:val="00BF53F8"/>
    <w:rsid w:val="00BF545F"/>
    <w:rsid w:val="00BF5510"/>
    <w:rsid w:val="00BF568A"/>
    <w:rsid w:val="00BF5DA6"/>
    <w:rsid w:val="00BF6044"/>
    <w:rsid w:val="00BF6454"/>
    <w:rsid w:val="00BF652C"/>
    <w:rsid w:val="00BF6858"/>
    <w:rsid w:val="00BF6F67"/>
    <w:rsid w:val="00BF70E2"/>
    <w:rsid w:val="00BF71BE"/>
    <w:rsid w:val="00BF7575"/>
    <w:rsid w:val="00BF757F"/>
    <w:rsid w:val="00BF7C28"/>
    <w:rsid w:val="00BF7D4E"/>
    <w:rsid w:val="00BF7E43"/>
    <w:rsid w:val="00C00A5E"/>
    <w:rsid w:val="00C00B55"/>
    <w:rsid w:val="00C0150B"/>
    <w:rsid w:val="00C01C89"/>
    <w:rsid w:val="00C01D26"/>
    <w:rsid w:val="00C0203D"/>
    <w:rsid w:val="00C02056"/>
    <w:rsid w:val="00C0214D"/>
    <w:rsid w:val="00C0218E"/>
    <w:rsid w:val="00C0250B"/>
    <w:rsid w:val="00C025D4"/>
    <w:rsid w:val="00C026FE"/>
    <w:rsid w:val="00C02A57"/>
    <w:rsid w:val="00C02C4E"/>
    <w:rsid w:val="00C02CE6"/>
    <w:rsid w:val="00C02D04"/>
    <w:rsid w:val="00C03341"/>
    <w:rsid w:val="00C03821"/>
    <w:rsid w:val="00C03827"/>
    <w:rsid w:val="00C03A06"/>
    <w:rsid w:val="00C03B15"/>
    <w:rsid w:val="00C03C17"/>
    <w:rsid w:val="00C03E8B"/>
    <w:rsid w:val="00C03EF0"/>
    <w:rsid w:val="00C04157"/>
    <w:rsid w:val="00C04457"/>
    <w:rsid w:val="00C04464"/>
    <w:rsid w:val="00C04636"/>
    <w:rsid w:val="00C04648"/>
    <w:rsid w:val="00C0475F"/>
    <w:rsid w:val="00C04889"/>
    <w:rsid w:val="00C049FF"/>
    <w:rsid w:val="00C04A68"/>
    <w:rsid w:val="00C04F6D"/>
    <w:rsid w:val="00C05132"/>
    <w:rsid w:val="00C0516E"/>
    <w:rsid w:val="00C051C0"/>
    <w:rsid w:val="00C054C0"/>
    <w:rsid w:val="00C05539"/>
    <w:rsid w:val="00C05768"/>
    <w:rsid w:val="00C05935"/>
    <w:rsid w:val="00C05C3F"/>
    <w:rsid w:val="00C05C90"/>
    <w:rsid w:val="00C05F29"/>
    <w:rsid w:val="00C062F5"/>
    <w:rsid w:val="00C06695"/>
    <w:rsid w:val="00C068BB"/>
    <w:rsid w:val="00C07005"/>
    <w:rsid w:val="00C0744A"/>
    <w:rsid w:val="00C0750C"/>
    <w:rsid w:val="00C07B2C"/>
    <w:rsid w:val="00C07C0C"/>
    <w:rsid w:val="00C1018D"/>
    <w:rsid w:val="00C101E3"/>
    <w:rsid w:val="00C102AF"/>
    <w:rsid w:val="00C10F0C"/>
    <w:rsid w:val="00C11736"/>
    <w:rsid w:val="00C119CC"/>
    <w:rsid w:val="00C11F0C"/>
    <w:rsid w:val="00C120AA"/>
    <w:rsid w:val="00C126DA"/>
    <w:rsid w:val="00C12920"/>
    <w:rsid w:val="00C12BF8"/>
    <w:rsid w:val="00C12E96"/>
    <w:rsid w:val="00C1323B"/>
    <w:rsid w:val="00C13796"/>
    <w:rsid w:val="00C14AE6"/>
    <w:rsid w:val="00C14F25"/>
    <w:rsid w:val="00C154FA"/>
    <w:rsid w:val="00C15577"/>
    <w:rsid w:val="00C15CA1"/>
    <w:rsid w:val="00C15E15"/>
    <w:rsid w:val="00C16488"/>
    <w:rsid w:val="00C16490"/>
    <w:rsid w:val="00C164E5"/>
    <w:rsid w:val="00C16845"/>
    <w:rsid w:val="00C16A48"/>
    <w:rsid w:val="00C16C65"/>
    <w:rsid w:val="00C16C7A"/>
    <w:rsid w:val="00C17155"/>
    <w:rsid w:val="00C173F8"/>
    <w:rsid w:val="00C17591"/>
    <w:rsid w:val="00C176AD"/>
    <w:rsid w:val="00C1786D"/>
    <w:rsid w:val="00C17981"/>
    <w:rsid w:val="00C17FAB"/>
    <w:rsid w:val="00C207E7"/>
    <w:rsid w:val="00C20A53"/>
    <w:rsid w:val="00C20AA9"/>
    <w:rsid w:val="00C20BB0"/>
    <w:rsid w:val="00C20C35"/>
    <w:rsid w:val="00C20F67"/>
    <w:rsid w:val="00C2110B"/>
    <w:rsid w:val="00C211FD"/>
    <w:rsid w:val="00C2192F"/>
    <w:rsid w:val="00C21A40"/>
    <w:rsid w:val="00C21A63"/>
    <w:rsid w:val="00C21E5C"/>
    <w:rsid w:val="00C22642"/>
    <w:rsid w:val="00C2297A"/>
    <w:rsid w:val="00C22A24"/>
    <w:rsid w:val="00C22B6F"/>
    <w:rsid w:val="00C22E91"/>
    <w:rsid w:val="00C22EAD"/>
    <w:rsid w:val="00C231A0"/>
    <w:rsid w:val="00C2342D"/>
    <w:rsid w:val="00C235BA"/>
    <w:rsid w:val="00C239FF"/>
    <w:rsid w:val="00C24638"/>
    <w:rsid w:val="00C24CE2"/>
    <w:rsid w:val="00C25032"/>
    <w:rsid w:val="00C253B0"/>
    <w:rsid w:val="00C25403"/>
    <w:rsid w:val="00C25673"/>
    <w:rsid w:val="00C2575B"/>
    <w:rsid w:val="00C25CDE"/>
    <w:rsid w:val="00C25D5A"/>
    <w:rsid w:val="00C2621C"/>
    <w:rsid w:val="00C262E7"/>
    <w:rsid w:val="00C264FF"/>
    <w:rsid w:val="00C26616"/>
    <w:rsid w:val="00C26781"/>
    <w:rsid w:val="00C26B8F"/>
    <w:rsid w:val="00C26D7F"/>
    <w:rsid w:val="00C2740F"/>
    <w:rsid w:val="00C2757A"/>
    <w:rsid w:val="00C277BA"/>
    <w:rsid w:val="00C27896"/>
    <w:rsid w:val="00C27A47"/>
    <w:rsid w:val="00C27E0A"/>
    <w:rsid w:val="00C27E3B"/>
    <w:rsid w:val="00C27FC0"/>
    <w:rsid w:val="00C3004A"/>
    <w:rsid w:val="00C3012E"/>
    <w:rsid w:val="00C304D5"/>
    <w:rsid w:val="00C30CE0"/>
    <w:rsid w:val="00C30D45"/>
    <w:rsid w:val="00C3101F"/>
    <w:rsid w:val="00C31083"/>
    <w:rsid w:val="00C3122D"/>
    <w:rsid w:val="00C31606"/>
    <w:rsid w:val="00C31A53"/>
    <w:rsid w:val="00C31EB1"/>
    <w:rsid w:val="00C322FC"/>
    <w:rsid w:val="00C32747"/>
    <w:rsid w:val="00C32810"/>
    <w:rsid w:val="00C328EC"/>
    <w:rsid w:val="00C32934"/>
    <w:rsid w:val="00C329E3"/>
    <w:rsid w:val="00C32E74"/>
    <w:rsid w:val="00C332AE"/>
    <w:rsid w:val="00C333B2"/>
    <w:rsid w:val="00C336B2"/>
    <w:rsid w:val="00C3381E"/>
    <w:rsid w:val="00C33984"/>
    <w:rsid w:val="00C33AB8"/>
    <w:rsid w:val="00C33EC9"/>
    <w:rsid w:val="00C33FA7"/>
    <w:rsid w:val="00C34079"/>
    <w:rsid w:val="00C34195"/>
    <w:rsid w:val="00C343AC"/>
    <w:rsid w:val="00C34BF9"/>
    <w:rsid w:val="00C351B4"/>
    <w:rsid w:val="00C35804"/>
    <w:rsid w:val="00C35A47"/>
    <w:rsid w:val="00C362E6"/>
    <w:rsid w:val="00C365FA"/>
    <w:rsid w:val="00C366F0"/>
    <w:rsid w:val="00C3698E"/>
    <w:rsid w:val="00C36E78"/>
    <w:rsid w:val="00C37462"/>
    <w:rsid w:val="00C37986"/>
    <w:rsid w:val="00C37C4E"/>
    <w:rsid w:val="00C37C72"/>
    <w:rsid w:val="00C40154"/>
    <w:rsid w:val="00C4057F"/>
    <w:rsid w:val="00C406A1"/>
    <w:rsid w:val="00C407C3"/>
    <w:rsid w:val="00C40874"/>
    <w:rsid w:val="00C40DE8"/>
    <w:rsid w:val="00C40F16"/>
    <w:rsid w:val="00C4111A"/>
    <w:rsid w:val="00C41B44"/>
    <w:rsid w:val="00C41FBB"/>
    <w:rsid w:val="00C41FE6"/>
    <w:rsid w:val="00C41FFA"/>
    <w:rsid w:val="00C42203"/>
    <w:rsid w:val="00C423A1"/>
    <w:rsid w:val="00C424BF"/>
    <w:rsid w:val="00C42821"/>
    <w:rsid w:val="00C428DA"/>
    <w:rsid w:val="00C42A69"/>
    <w:rsid w:val="00C42AAB"/>
    <w:rsid w:val="00C42BCA"/>
    <w:rsid w:val="00C43122"/>
    <w:rsid w:val="00C431D9"/>
    <w:rsid w:val="00C438E7"/>
    <w:rsid w:val="00C43D1C"/>
    <w:rsid w:val="00C43DB1"/>
    <w:rsid w:val="00C43DC4"/>
    <w:rsid w:val="00C4407D"/>
    <w:rsid w:val="00C441F5"/>
    <w:rsid w:val="00C442CA"/>
    <w:rsid w:val="00C444B6"/>
    <w:rsid w:val="00C447D9"/>
    <w:rsid w:val="00C44E8A"/>
    <w:rsid w:val="00C45484"/>
    <w:rsid w:val="00C455B1"/>
    <w:rsid w:val="00C455C5"/>
    <w:rsid w:val="00C45B7C"/>
    <w:rsid w:val="00C4640D"/>
    <w:rsid w:val="00C4662A"/>
    <w:rsid w:val="00C46840"/>
    <w:rsid w:val="00C46888"/>
    <w:rsid w:val="00C4699E"/>
    <w:rsid w:val="00C46ADE"/>
    <w:rsid w:val="00C46E9D"/>
    <w:rsid w:val="00C46FCA"/>
    <w:rsid w:val="00C470BB"/>
    <w:rsid w:val="00C4794B"/>
    <w:rsid w:val="00C47A08"/>
    <w:rsid w:val="00C47A8A"/>
    <w:rsid w:val="00C47F46"/>
    <w:rsid w:val="00C50FC4"/>
    <w:rsid w:val="00C511CD"/>
    <w:rsid w:val="00C51283"/>
    <w:rsid w:val="00C51292"/>
    <w:rsid w:val="00C51455"/>
    <w:rsid w:val="00C51522"/>
    <w:rsid w:val="00C51664"/>
    <w:rsid w:val="00C516BB"/>
    <w:rsid w:val="00C51756"/>
    <w:rsid w:val="00C51947"/>
    <w:rsid w:val="00C51972"/>
    <w:rsid w:val="00C5239D"/>
    <w:rsid w:val="00C52750"/>
    <w:rsid w:val="00C52F7B"/>
    <w:rsid w:val="00C53053"/>
    <w:rsid w:val="00C5332B"/>
    <w:rsid w:val="00C5365E"/>
    <w:rsid w:val="00C5383F"/>
    <w:rsid w:val="00C53D7F"/>
    <w:rsid w:val="00C5411A"/>
    <w:rsid w:val="00C54186"/>
    <w:rsid w:val="00C5423D"/>
    <w:rsid w:val="00C5437B"/>
    <w:rsid w:val="00C54515"/>
    <w:rsid w:val="00C548F1"/>
    <w:rsid w:val="00C54A01"/>
    <w:rsid w:val="00C54AA5"/>
    <w:rsid w:val="00C54F18"/>
    <w:rsid w:val="00C5586D"/>
    <w:rsid w:val="00C55CDD"/>
    <w:rsid w:val="00C55D07"/>
    <w:rsid w:val="00C55FB9"/>
    <w:rsid w:val="00C564E6"/>
    <w:rsid w:val="00C5658C"/>
    <w:rsid w:val="00C566FB"/>
    <w:rsid w:val="00C567C1"/>
    <w:rsid w:val="00C56963"/>
    <w:rsid w:val="00C5698A"/>
    <w:rsid w:val="00C573F5"/>
    <w:rsid w:val="00C57428"/>
    <w:rsid w:val="00C574AE"/>
    <w:rsid w:val="00C574DB"/>
    <w:rsid w:val="00C576C4"/>
    <w:rsid w:val="00C57A3C"/>
    <w:rsid w:val="00C57B62"/>
    <w:rsid w:val="00C57DF0"/>
    <w:rsid w:val="00C60422"/>
    <w:rsid w:val="00C60705"/>
    <w:rsid w:val="00C60F1D"/>
    <w:rsid w:val="00C60F3F"/>
    <w:rsid w:val="00C61188"/>
    <w:rsid w:val="00C61520"/>
    <w:rsid w:val="00C616D3"/>
    <w:rsid w:val="00C6175E"/>
    <w:rsid w:val="00C61C4B"/>
    <w:rsid w:val="00C6205E"/>
    <w:rsid w:val="00C622B3"/>
    <w:rsid w:val="00C626C5"/>
    <w:rsid w:val="00C629BD"/>
    <w:rsid w:val="00C63353"/>
    <w:rsid w:val="00C633C4"/>
    <w:rsid w:val="00C635B5"/>
    <w:rsid w:val="00C6379B"/>
    <w:rsid w:val="00C63A6E"/>
    <w:rsid w:val="00C6449F"/>
    <w:rsid w:val="00C645F2"/>
    <w:rsid w:val="00C6463D"/>
    <w:rsid w:val="00C64B25"/>
    <w:rsid w:val="00C64E27"/>
    <w:rsid w:val="00C64F9A"/>
    <w:rsid w:val="00C65957"/>
    <w:rsid w:val="00C65C49"/>
    <w:rsid w:val="00C65CB8"/>
    <w:rsid w:val="00C65D04"/>
    <w:rsid w:val="00C65ED6"/>
    <w:rsid w:val="00C66188"/>
    <w:rsid w:val="00C661F6"/>
    <w:rsid w:val="00C66B33"/>
    <w:rsid w:val="00C66C7E"/>
    <w:rsid w:val="00C66E46"/>
    <w:rsid w:val="00C66EE2"/>
    <w:rsid w:val="00C66FC4"/>
    <w:rsid w:val="00C674FD"/>
    <w:rsid w:val="00C676CC"/>
    <w:rsid w:val="00C67869"/>
    <w:rsid w:val="00C7016D"/>
    <w:rsid w:val="00C7017D"/>
    <w:rsid w:val="00C702AF"/>
    <w:rsid w:val="00C704AF"/>
    <w:rsid w:val="00C70550"/>
    <w:rsid w:val="00C70709"/>
    <w:rsid w:val="00C711AA"/>
    <w:rsid w:val="00C715C1"/>
    <w:rsid w:val="00C71648"/>
    <w:rsid w:val="00C7169E"/>
    <w:rsid w:val="00C716AE"/>
    <w:rsid w:val="00C71911"/>
    <w:rsid w:val="00C71924"/>
    <w:rsid w:val="00C71D85"/>
    <w:rsid w:val="00C71F89"/>
    <w:rsid w:val="00C72787"/>
    <w:rsid w:val="00C72EF5"/>
    <w:rsid w:val="00C73040"/>
    <w:rsid w:val="00C731CC"/>
    <w:rsid w:val="00C7322B"/>
    <w:rsid w:val="00C73291"/>
    <w:rsid w:val="00C733B0"/>
    <w:rsid w:val="00C73740"/>
    <w:rsid w:val="00C73A2F"/>
    <w:rsid w:val="00C73AE2"/>
    <w:rsid w:val="00C73C2C"/>
    <w:rsid w:val="00C73D92"/>
    <w:rsid w:val="00C73EE7"/>
    <w:rsid w:val="00C7406B"/>
    <w:rsid w:val="00C74131"/>
    <w:rsid w:val="00C74B4A"/>
    <w:rsid w:val="00C74F5A"/>
    <w:rsid w:val="00C750CC"/>
    <w:rsid w:val="00C75268"/>
    <w:rsid w:val="00C752E0"/>
    <w:rsid w:val="00C7558C"/>
    <w:rsid w:val="00C75788"/>
    <w:rsid w:val="00C75857"/>
    <w:rsid w:val="00C75AAF"/>
    <w:rsid w:val="00C75D30"/>
    <w:rsid w:val="00C762F4"/>
    <w:rsid w:val="00C76758"/>
    <w:rsid w:val="00C767DE"/>
    <w:rsid w:val="00C769D4"/>
    <w:rsid w:val="00C76B75"/>
    <w:rsid w:val="00C76B8C"/>
    <w:rsid w:val="00C77147"/>
    <w:rsid w:val="00C77720"/>
    <w:rsid w:val="00C77DF9"/>
    <w:rsid w:val="00C77E59"/>
    <w:rsid w:val="00C801A7"/>
    <w:rsid w:val="00C80218"/>
    <w:rsid w:val="00C80237"/>
    <w:rsid w:val="00C80491"/>
    <w:rsid w:val="00C805DA"/>
    <w:rsid w:val="00C805F5"/>
    <w:rsid w:val="00C80618"/>
    <w:rsid w:val="00C80D34"/>
    <w:rsid w:val="00C8117A"/>
    <w:rsid w:val="00C811BB"/>
    <w:rsid w:val="00C81456"/>
    <w:rsid w:val="00C81C15"/>
    <w:rsid w:val="00C81C9C"/>
    <w:rsid w:val="00C81CFC"/>
    <w:rsid w:val="00C81D61"/>
    <w:rsid w:val="00C81DB4"/>
    <w:rsid w:val="00C81F5B"/>
    <w:rsid w:val="00C82109"/>
    <w:rsid w:val="00C823EA"/>
    <w:rsid w:val="00C82825"/>
    <w:rsid w:val="00C82A1E"/>
    <w:rsid w:val="00C82B6C"/>
    <w:rsid w:val="00C82BD6"/>
    <w:rsid w:val="00C82E55"/>
    <w:rsid w:val="00C83449"/>
    <w:rsid w:val="00C8397D"/>
    <w:rsid w:val="00C83F6C"/>
    <w:rsid w:val="00C842A6"/>
    <w:rsid w:val="00C842D1"/>
    <w:rsid w:val="00C843E9"/>
    <w:rsid w:val="00C84531"/>
    <w:rsid w:val="00C84670"/>
    <w:rsid w:val="00C84CB6"/>
    <w:rsid w:val="00C84FE0"/>
    <w:rsid w:val="00C851C4"/>
    <w:rsid w:val="00C851EE"/>
    <w:rsid w:val="00C85602"/>
    <w:rsid w:val="00C85779"/>
    <w:rsid w:val="00C85782"/>
    <w:rsid w:val="00C85C35"/>
    <w:rsid w:val="00C85ECB"/>
    <w:rsid w:val="00C86054"/>
    <w:rsid w:val="00C860E4"/>
    <w:rsid w:val="00C8634B"/>
    <w:rsid w:val="00C86413"/>
    <w:rsid w:val="00C8663D"/>
    <w:rsid w:val="00C8680C"/>
    <w:rsid w:val="00C8695A"/>
    <w:rsid w:val="00C869BF"/>
    <w:rsid w:val="00C86E05"/>
    <w:rsid w:val="00C87321"/>
    <w:rsid w:val="00C873A0"/>
    <w:rsid w:val="00C87A8F"/>
    <w:rsid w:val="00C87FBC"/>
    <w:rsid w:val="00C90257"/>
    <w:rsid w:val="00C90602"/>
    <w:rsid w:val="00C908C3"/>
    <w:rsid w:val="00C909E6"/>
    <w:rsid w:val="00C90FA7"/>
    <w:rsid w:val="00C91BD9"/>
    <w:rsid w:val="00C91CA8"/>
    <w:rsid w:val="00C91E89"/>
    <w:rsid w:val="00C927B4"/>
    <w:rsid w:val="00C9280C"/>
    <w:rsid w:val="00C93209"/>
    <w:rsid w:val="00C932C3"/>
    <w:rsid w:val="00C9370D"/>
    <w:rsid w:val="00C93B34"/>
    <w:rsid w:val="00C93DD4"/>
    <w:rsid w:val="00C9451D"/>
    <w:rsid w:val="00C948D9"/>
    <w:rsid w:val="00C948DB"/>
    <w:rsid w:val="00C94E51"/>
    <w:rsid w:val="00C950CA"/>
    <w:rsid w:val="00C951A5"/>
    <w:rsid w:val="00C954AB"/>
    <w:rsid w:val="00C958FF"/>
    <w:rsid w:val="00C95942"/>
    <w:rsid w:val="00C95B8C"/>
    <w:rsid w:val="00C95BA6"/>
    <w:rsid w:val="00C95C81"/>
    <w:rsid w:val="00C95D8C"/>
    <w:rsid w:val="00C9612A"/>
    <w:rsid w:val="00C96265"/>
    <w:rsid w:val="00C96346"/>
    <w:rsid w:val="00C96448"/>
    <w:rsid w:val="00C966ED"/>
    <w:rsid w:val="00C96BE3"/>
    <w:rsid w:val="00C96DC9"/>
    <w:rsid w:val="00C96EA3"/>
    <w:rsid w:val="00C96EED"/>
    <w:rsid w:val="00C9744D"/>
    <w:rsid w:val="00C974B7"/>
    <w:rsid w:val="00C9758C"/>
    <w:rsid w:val="00C9779A"/>
    <w:rsid w:val="00C9788A"/>
    <w:rsid w:val="00C979E2"/>
    <w:rsid w:val="00C97AA3"/>
    <w:rsid w:val="00C97C5B"/>
    <w:rsid w:val="00C97CD1"/>
    <w:rsid w:val="00C97E64"/>
    <w:rsid w:val="00C97F00"/>
    <w:rsid w:val="00CA0015"/>
    <w:rsid w:val="00CA0465"/>
    <w:rsid w:val="00CA08AF"/>
    <w:rsid w:val="00CA0CD2"/>
    <w:rsid w:val="00CA14F6"/>
    <w:rsid w:val="00CA1562"/>
    <w:rsid w:val="00CA1937"/>
    <w:rsid w:val="00CA19B7"/>
    <w:rsid w:val="00CA1E4D"/>
    <w:rsid w:val="00CA1E55"/>
    <w:rsid w:val="00CA237A"/>
    <w:rsid w:val="00CA24E5"/>
    <w:rsid w:val="00CA26E7"/>
    <w:rsid w:val="00CA2AA9"/>
    <w:rsid w:val="00CA2DC5"/>
    <w:rsid w:val="00CA3383"/>
    <w:rsid w:val="00CA3768"/>
    <w:rsid w:val="00CA3B32"/>
    <w:rsid w:val="00CA3F15"/>
    <w:rsid w:val="00CA4134"/>
    <w:rsid w:val="00CA4143"/>
    <w:rsid w:val="00CA41D4"/>
    <w:rsid w:val="00CA44CA"/>
    <w:rsid w:val="00CA46DE"/>
    <w:rsid w:val="00CA48ED"/>
    <w:rsid w:val="00CA49F6"/>
    <w:rsid w:val="00CA4A6B"/>
    <w:rsid w:val="00CA4BDF"/>
    <w:rsid w:val="00CA574D"/>
    <w:rsid w:val="00CA5754"/>
    <w:rsid w:val="00CA5784"/>
    <w:rsid w:val="00CA582C"/>
    <w:rsid w:val="00CA5878"/>
    <w:rsid w:val="00CA5B65"/>
    <w:rsid w:val="00CA5BB4"/>
    <w:rsid w:val="00CA5D92"/>
    <w:rsid w:val="00CA5E19"/>
    <w:rsid w:val="00CA5ECB"/>
    <w:rsid w:val="00CA5F56"/>
    <w:rsid w:val="00CA621A"/>
    <w:rsid w:val="00CA6876"/>
    <w:rsid w:val="00CA6C16"/>
    <w:rsid w:val="00CA6D51"/>
    <w:rsid w:val="00CA6E4B"/>
    <w:rsid w:val="00CA74C1"/>
    <w:rsid w:val="00CA76E4"/>
    <w:rsid w:val="00CA78A4"/>
    <w:rsid w:val="00CA7A14"/>
    <w:rsid w:val="00CA7A3F"/>
    <w:rsid w:val="00CA7E0D"/>
    <w:rsid w:val="00CB01E8"/>
    <w:rsid w:val="00CB0203"/>
    <w:rsid w:val="00CB0589"/>
    <w:rsid w:val="00CB0953"/>
    <w:rsid w:val="00CB09F1"/>
    <w:rsid w:val="00CB0DCD"/>
    <w:rsid w:val="00CB0EA0"/>
    <w:rsid w:val="00CB0F36"/>
    <w:rsid w:val="00CB0F8B"/>
    <w:rsid w:val="00CB1278"/>
    <w:rsid w:val="00CB14ED"/>
    <w:rsid w:val="00CB156B"/>
    <w:rsid w:val="00CB1866"/>
    <w:rsid w:val="00CB1BDA"/>
    <w:rsid w:val="00CB2046"/>
    <w:rsid w:val="00CB210E"/>
    <w:rsid w:val="00CB256D"/>
    <w:rsid w:val="00CB2680"/>
    <w:rsid w:val="00CB26E8"/>
    <w:rsid w:val="00CB2CC2"/>
    <w:rsid w:val="00CB2D88"/>
    <w:rsid w:val="00CB3918"/>
    <w:rsid w:val="00CB39CC"/>
    <w:rsid w:val="00CB3A6A"/>
    <w:rsid w:val="00CB3FDE"/>
    <w:rsid w:val="00CB40C6"/>
    <w:rsid w:val="00CB4245"/>
    <w:rsid w:val="00CB43FA"/>
    <w:rsid w:val="00CB4434"/>
    <w:rsid w:val="00CB4C3C"/>
    <w:rsid w:val="00CB4D22"/>
    <w:rsid w:val="00CB519E"/>
    <w:rsid w:val="00CB5390"/>
    <w:rsid w:val="00CB542F"/>
    <w:rsid w:val="00CB54F7"/>
    <w:rsid w:val="00CB572D"/>
    <w:rsid w:val="00CB604F"/>
    <w:rsid w:val="00CB6AE2"/>
    <w:rsid w:val="00CB6C90"/>
    <w:rsid w:val="00CB6CBB"/>
    <w:rsid w:val="00CB6EE8"/>
    <w:rsid w:val="00CB6F16"/>
    <w:rsid w:val="00CB6F82"/>
    <w:rsid w:val="00CB730F"/>
    <w:rsid w:val="00CB7B74"/>
    <w:rsid w:val="00CB7D25"/>
    <w:rsid w:val="00CC04CA"/>
    <w:rsid w:val="00CC064B"/>
    <w:rsid w:val="00CC0890"/>
    <w:rsid w:val="00CC0AFE"/>
    <w:rsid w:val="00CC0C0F"/>
    <w:rsid w:val="00CC0E58"/>
    <w:rsid w:val="00CC1102"/>
    <w:rsid w:val="00CC1909"/>
    <w:rsid w:val="00CC1D74"/>
    <w:rsid w:val="00CC1EF4"/>
    <w:rsid w:val="00CC2099"/>
    <w:rsid w:val="00CC21EC"/>
    <w:rsid w:val="00CC2A40"/>
    <w:rsid w:val="00CC2B30"/>
    <w:rsid w:val="00CC2BBC"/>
    <w:rsid w:val="00CC2C6E"/>
    <w:rsid w:val="00CC2EEC"/>
    <w:rsid w:val="00CC382F"/>
    <w:rsid w:val="00CC3A05"/>
    <w:rsid w:val="00CC3EF0"/>
    <w:rsid w:val="00CC3F4E"/>
    <w:rsid w:val="00CC461D"/>
    <w:rsid w:val="00CC46F0"/>
    <w:rsid w:val="00CC47D3"/>
    <w:rsid w:val="00CC511D"/>
    <w:rsid w:val="00CC51F3"/>
    <w:rsid w:val="00CC5974"/>
    <w:rsid w:val="00CC5AD0"/>
    <w:rsid w:val="00CC5CB2"/>
    <w:rsid w:val="00CC5D59"/>
    <w:rsid w:val="00CC61D1"/>
    <w:rsid w:val="00CC61F0"/>
    <w:rsid w:val="00CC61F3"/>
    <w:rsid w:val="00CC6530"/>
    <w:rsid w:val="00CC6772"/>
    <w:rsid w:val="00CC767E"/>
    <w:rsid w:val="00CC781F"/>
    <w:rsid w:val="00CC7978"/>
    <w:rsid w:val="00CC7A8B"/>
    <w:rsid w:val="00CD035C"/>
    <w:rsid w:val="00CD0B04"/>
    <w:rsid w:val="00CD0F9E"/>
    <w:rsid w:val="00CD120D"/>
    <w:rsid w:val="00CD135D"/>
    <w:rsid w:val="00CD17B5"/>
    <w:rsid w:val="00CD1930"/>
    <w:rsid w:val="00CD19B2"/>
    <w:rsid w:val="00CD1DB5"/>
    <w:rsid w:val="00CD227E"/>
    <w:rsid w:val="00CD235E"/>
    <w:rsid w:val="00CD23C0"/>
    <w:rsid w:val="00CD24F0"/>
    <w:rsid w:val="00CD267F"/>
    <w:rsid w:val="00CD27D3"/>
    <w:rsid w:val="00CD29B5"/>
    <w:rsid w:val="00CD2AF2"/>
    <w:rsid w:val="00CD2D6C"/>
    <w:rsid w:val="00CD3269"/>
    <w:rsid w:val="00CD32C4"/>
    <w:rsid w:val="00CD3A02"/>
    <w:rsid w:val="00CD3E91"/>
    <w:rsid w:val="00CD4551"/>
    <w:rsid w:val="00CD4B85"/>
    <w:rsid w:val="00CD556E"/>
    <w:rsid w:val="00CD5637"/>
    <w:rsid w:val="00CD58B1"/>
    <w:rsid w:val="00CD5FA6"/>
    <w:rsid w:val="00CD6242"/>
    <w:rsid w:val="00CD6282"/>
    <w:rsid w:val="00CD6773"/>
    <w:rsid w:val="00CD6782"/>
    <w:rsid w:val="00CD6886"/>
    <w:rsid w:val="00CD6C61"/>
    <w:rsid w:val="00CD6D8B"/>
    <w:rsid w:val="00CD7018"/>
    <w:rsid w:val="00CD728A"/>
    <w:rsid w:val="00CD75CA"/>
    <w:rsid w:val="00CD76A7"/>
    <w:rsid w:val="00CD78A9"/>
    <w:rsid w:val="00CD7923"/>
    <w:rsid w:val="00CD7F67"/>
    <w:rsid w:val="00CE0331"/>
    <w:rsid w:val="00CE039D"/>
    <w:rsid w:val="00CE0451"/>
    <w:rsid w:val="00CE0868"/>
    <w:rsid w:val="00CE0E40"/>
    <w:rsid w:val="00CE0ECB"/>
    <w:rsid w:val="00CE0FBC"/>
    <w:rsid w:val="00CE101E"/>
    <w:rsid w:val="00CE1134"/>
    <w:rsid w:val="00CE17D4"/>
    <w:rsid w:val="00CE1E23"/>
    <w:rsid w:val="00CE22C3"/>
    <w:rsid w:val="00CE22C9"/>
    <w:rsid w:val="00CE266E"/>
    <w:rsid w:val="00CE26A0"/>
    <w:rsid w:val="00CE2969"/>
    <w:rsid w:val="00CE2C1E"/>
    <w:rsid w:val="00CE2D43"/>
    <w:rsid w:val="00CE2F26"/>
    <w:rsid w:val="00CE355C"/>
    <w:rsid w:val="00CE3F87"/>
    <w:rsid w:val="00CE4028"/>
    <w:rsid w:val="00CE40A8"/>
    <w:rsid w:val="00CE451C"/>
    <w:rsid w:val="00CE4568"/>
    <w:rsid w:val="00CE4B44"/>
    <w:rsid w:val="00CE4C7B"/>
    <w:rsid w:val="00CE541F"/>
    <w:rsid w:val="00CE54D7"/>
    <w:rsid w:val="00CE54D8"/>
    <w:rsid w:val="00CE551A"/>
    <w:rsid w:val="00CE5570"/>
    <w:rsid w:val="00CE5649"/>
    <w:rsid w:val="00CE5682"/>
    <w:rsid w:val="00CE59B5"/>
    <w:rsid w:val="00CE5B2B"/>
    <w:rsid w:val="00CE5B3F"/>
    <w:rsid w:val="00CE5E31"/>
    <w:rsid w:val="00CE5EA9"/>
    <w:rsid w:val="00CE6218"/>
    <w:rsid w:val="00CE6457"/>
    <w:rsid w:val="00CE6797"/>
    <w:rsid w:val="00CE74CA"/>
    <w:rsid w:val="00CE76A6"/>
    <w:rsid w:val="00CE7A16"/>
    <w:rsid w:val="00CE7B9E"/>
    <w:rsid w:val="00CE7BCF"/>
    <w:rsid w:val="00CF010E"/>
    <w:rsid w:val="00CF013C"/>
    <w:rsid w:val="00CF01D7"/>
    <w:rsid w:val="00CF026F"/>
    <w:rsid w:val="00CF0487"/>
    <w:rsid w:val="00CF0AD2"/>
    <w:rsid w:val="00CF0D4F"/>
    <w:rsid w:val="00CF0F88"/>
    <w:rsid w:val="00CF0FC5"/>
    <w:rsid w:val="00CF1079"/>
    <w:rsid w:val="00CF1340"/>
    <w:rsid w:val="00CF13FA"/>
    <w:rsid w:val="00CF1523"/>
    <w:rsid w:val="00CF1957"/>
    <w:rsid w:val="00CF19BF"/>
    <w:rsid w:val="00CF1B60"/>
    <w:rsid w:val="00CF2168"/>
    <w:rsid w:val="00CF2176"/>
    <w:rsid w:val="00CF2418"/>
    <w:rsid w:val="00CF2A64"/>
    <w:rsid w:val="00CF2BD6"/>
    <w:rsid w:val="00CF2EDE"/>
    <w:rsid w:val="00CF2EE5"/>
    <w:rsid w:val="00CF38DA"/>
    <w:rsid w:val="00CF3ABD"/>
    <w:rsid w:val="00CF3B52"/>
    <w:rsid w:val="00CF3DF6"/>
    <w:rsid w:val="00CF3E15"/>
    <w:rsid w:val="00CF3F1D"/>
    <w:rsid w:val="00CF4171"/>
    <w:rsid w:val="00CF463A"/>
    <w:rsid w:val="00CF4B76"/>
    <w:rsid w:val="00CF5081"/>
    <w:rsid w:val="00CF5112"/>
    <w:rsid w:val="00CF51C3"/>
    <w:rsid w:val="00CF53C8"/>
    <w:rsid w:val="00CF5508"/>
    <w:rsid w:val="00CF584F"/>
    <w:rsid w:val="00CF5880"/>
    <w:rsid w:val="00CF5997"/>
    <w:rsid w:val="00CF5A0E"/>
    <w:rsid w:val="00CF5C29"/>
    <w:rsid w:val="00CF5FF2"/>
    <w:rsid w:val="00CF622F"/>
    <w:rsid w:val="00CF641D"/>
    <w:rsid w:val="00CF65BB"/>
    <w:rsid w:val="00CF68D8"/>
    <w:rsid w:val="00CF690E"/>
    <w:rsid w:val="00CF6C6A"/>
    <w:rsid w:val="00CF6FD9"/>
    <w:rsid w:val="00CF6FFE"/>
    <w:rsid w:val="00CF7226"/>
    <w:rsid w:val="00CF7239"/>
    <w:rsid w:val="00CF75D8"/>
    <w:rsid w:val="00CF75F4"/>
    <w:rsid w:val="00D00006"/>
    <w:rsid w:val="00D001E8"/>
    <w:rsid w:val="00D00580"/>
    <w:rsid w:val="00D0081B"/>
    <w:rsid w:val="00D00A45"/>
    <w:rsid w:val="00D00CFF"/>
    <w:rsid w:val="00D00E36"/>
    <w:rsid w:val="00D01052"/>
    <w:rsid w:val="00D01401"/>
    <w:rsid w:val="00D01983"/>
    <w:rsid w:val="00D01B73"/>
    <w:rsid w:val="00D01F97"/>
    <w:rsid w:val="00D02039"/>
    <w:rsid w:val="00D0237F"/>
    <w:rsid w:val="00D029C4"/>
    <w:rsid w:val="00D02CA7"/>
    <w:rsid w:val="00D02CF9"/>
    <w:rsid w:val="00D02E83"/>
    <w:rsid w:val="00D0346E"/>
    <w:rsid w:val="00D03522"/>
    <w:rsid w:val="00D038C7"/>
    <w:rsid w:val="00D03A05"/>
    <w:rsid w:val="00D03B6C"/>
    <w:rsid w:val="00D03D60"/>
    <w:rsid w:val="00D04161"/>
    <w:rsid w:val="00D04244"/>
    <w:rsid w:val="00D042FC"/>
    <w:rsid w:val="00D047DF"/>
    <w:rsid w:val="00D0482E"/>
    <w:rsid w:val="00D04C45"/>
    <w:rsid w:val="00D054B3"/>
    <w:rsid w:val="00D057EE"/>
    <w:rsid w:val="00D05A42"/>
    <w:rsid w:val="00D06315"/>
    <w:rsid w:val="00D06560"/>
    <w:rsid w:val="00D06669"/>
    <w:rsid w:val="00D078CF"/>
    <w:rsid w:val="00D07D55"/>
    <w:rsid w:val="00D07F07"/>
    <w:rsid w:val="00D10BD4"/>
    <w:rsid w:val="00D10C25"/>
    <w:rsid w:val="00D10C5D"/>
    <w:rsid w:val="00D10D31"/>
    <w:rsid w:val="00D11457"/>
    <w:rsid w:val="00D11612"/>
    <w:rsid w:val="00D11691"/>
    <w:rsid w:val="00D117F3"/>
    <w:rsid w:val="00D11AC1"/>
    <w:rsid w:val="00D11C3A"/>
    <w:rsid w:val="00D11DA6"/>
    <w:rsid w:val="00D11DF8"/>
    <w:rsid w:val="00D123CB"/>
    <w:rsid w:val="00D12550"/>
    <w:rsid w:val="00D12961"/>
    <w:rsid w:val="00D12A83"/>
    <w:rsid w:val="00D12AAA"/>
    <w:rsid w:val="00D12B1B"/>
    <w:rsid w:val="00D12E16"/>
    <w:rsid w:val="00D13159"/>
    <w:rsid w:val="00D13417"/>
    <w:rsid w:val="00D134BE"/>
    <w:rsid w:val="00D13659"/>
    <w:rsid w:val="00D13861"/>
    <w:rsid w:val="00D13EE5"/>
    <w:rsid w:val="00D142F4"/>
    <w:rsid w:val="00D142F5"/>
    <w:rsid w:val="00D149A5"/>
    <w:rsid w:val="00D14B32"/>
    <w:rsid w:val="00D14E5A"/>
    <w:rsid w:val="00D14E93"/>
    <w:rsid w:val="00D1597E"/>
    <w:rsid w:val="00D15AA0"/>
    <w:rsid w:val="00D15DAB"/>
    <w:rsid w:val="00D1601F"/>
    <w:rsid w:val="00D161D8"/>
    <w:rsid w:val="00D16391"/>
    <w:rsid w:val="00D1692A"/>
    <w:rsid w:val="00D16A64"/>
    <w:rsid w:val="00D16D39"/>
    <w:rsid w:val="00D1707E"/>
    <w:rsid w:val="00D17157"/>
    <w:rsid w:val="00D17354"/>
    <w:rsid w:val="00D17379"/>
    <w:rsid w:val="00D175EB"/>
    <w:rsid w:val="00D1764B"/>
    <w:rsid w:val="00D1783A"/>
    <w:rsid w:val="00D17B15"/>
    <w:rsid w:val="00D17B18"/>
    <w:rsid w:val="00D17F3A"/>
    <w:rsid w:val="00D202AB"/>
    <w:rsid w:val="00D2073B"/>
    <w:rsid w:val="00D20B0D"/>
    <w:rsid w:val="00D20B0E"/>
    <w:rsid w:val="00D20B5F"/>
    <w:rsid w:val="00D20C45"/>
    <w:rsid w:val="00D20DDA"/>
    <w:rsid w:val="00D21248"/>
    <w:rsid w:val="00D21322"/>
    <w:rsid w:val="00D2154C"/>
    <w:rsid w:val="00D21B01"/>
    <w:rsid w:val="00D21F19"/>
    <w:rsid w:val="00D22222"/>
    <w:rsid w:val="00D223DD"/>
    <w:rsid w:val="00D2293F"/>
    <w:rsid w:val="00D22A5E"/>
    <w:rsid w:val="00D22E2A"/>
    <w:rsid w:val="00D22EBF"/>
    <w:rsid w:val="00D22FB1"/>
    <w:rsid w:val="00D234E7"/>
    <w:rsid w:val="00D23E75"/>
    <w:rsid w:val="00D24097"/>
    <w:rsid w:val="00D24287"/>
    <w:rsid w:val="00D243DC"/>
    <w:rsid w:val="00D24942"/>
    <w:rsid w:val="00D24B75"/>
    <w:rsid w:val="00D24D23"/>
    <w:rsid w:val="00D250E0"/>
    <w:rsid w:val="00D25233"/>
    <w:rsid w:val="00D2550D"/>
    <w:rsid w:val="00D25B90"/>
    <w:rsid w:val="00D260B4"/>
    <w:rsid w:val="00D2694D"/>
    <w:rsid w:val="00D26D55"/>
    <w:rsid w:val="00D26E38"/>
    <w:rsid w:val="00D26E60"/>
    <w:rsid w:val="00D26EAE"/>
    <w:rsid w:val="00D27505"/>
    <w:rsid w:val="00D27C13"/>
    <w:rsid w:val="00D27FC2"/>
    <w:rsid w:val="00D3023E"/>
    <w:rsid w:val="00D305AD"/>
    <w:rsid w:val="00D30E38"/>
    <w:rsid w:val="00D310CD"/>
    <w:rsid w:val="00D318B7"/>
    <w:rsid w:val="00D31B80"/>
    <w:rsid w:val="00D31C17"/>
    <w:rsid w:val="00D31E74"/>
    <w:rsid w:val="00D32050"/>
    <w:rsid w:val="00D32436"/>
    <w:rsid w:val="00D3256F"/>
    <w:rsid w:val="00D330A3"/>
    <w:rsid w:val="00D3360E"/>
    <w:rsid w:val="00D3397C"/>
    <w:rsid w:val="00D33C9E"/>
    <w:rsid w:val="00D33D4F"/>
    <w:rsid w:val="00D33F75"/>
    <w:rsid w:val="00D3414D"/>
    <w:rsid w:val="00D347D6"/>
    <w:rsid w:val="00D348CE"/>
    <w:rsid w:val="00D34C32"/>
    <w:rsid w:val="00D35A17"/>
    <w:rsid w:val="00D35B70"/>
    <w:rsid w:val="00D35DBA"/>
    <w:rsid w:val="00D3670C"/>
    <w:rsid w:val="00D3698B"/>
    <w:rsid w:val="00D36A2C"/>
    <w:rsid w:val="00D3731D"/>
    <w:rsid w:val="00D37495"/>
    <w:rsid w:val="00D37535"/>
    <w:rsid w:val="00D3754A"/>
    <w:rsid w:val="00D37984"/>
    <w:rsid w:val="00D40020"/>
    <w:rsid w:val="00D4011F"/>
    <w:rsid w:val="00D40255"/>
    <w:rsid w:val="00D40409"/>
    <w:rsid w:val="00D40735"/>
    <w:rsid w:val="00D40BC6"/>
    <w:rsid w:val="00D40BCA"/>
    <w:rsid w:val="00D40DF6"/>
    <w:rsid w:val="00D41134"/>
    <w:rsid w:val="00D41350"/>
    <w:rsid w:val="00D41992"/>
    <w:rsid w:val="00D42253"/>
    <w:rsid w:val="00D42331"/>
    <w:rsid w:val="00D42795"/>
    <w:rsid w:val="00D42844"/>
    <w:rsid w:val="00D4293E"/>
    <w:rsid w:val="00D429F4"/>
    <w:rsid w:val="00D42A57"/>
    <w:rsid w:val="00D42F46"/>
    <w:rsid w:val="00D42FB9"/>
    <w:rsid w:val="00D43011"/>
    <w:rsid w:val="00D43361"/>
    <w:rsid w:val="00D433DE"/>
    <w:rsid w:val="00D436F9"/>
    <w:rsid w:val="00D437D8"/>
    <w:rsid w:val="00D438E1"/>
    <w:rsid w:val="00D43B03"/>
    <w:rsid w:val="00D442F3"/>
    <w:rsid w:val="00D443B6"/>
    <w:rsid w:val="00D447C4"/>
    <w:rsid w:val="00D4483A"/>
    <w:rsid w:val="00D448BF"/>
    <w:rsid w:val="00D44995"/>
    <w:rsid w:val="00D44D23"/>
    <w:rsid w:val="00D44E61"/>
    <w:rsid w:val="00D44E62"/>
    <w:rsid w:val="00D44ED5"/>
    <w:rsid w:val="00D453A2"/>
    <w:rsid w:val="00D455EC"/>
    <w:rsid w:val="00D4604A"/>
    <w:rsid w:val="00D46929"/>
    <w:rsid w:val="00D46F51"/>
    <w:rsid w:val="00D47203"/>
    <w:rsid w:val="00D4720D"/>
    <w:rsid w:val="00D473A2"/>
    <w:rsid w:val="00D476DA"/>
    <w:rsid w:val="00D47856"/>
    <w:rsid w:val="00D478B8"/>
    <w:rsid w:val="00D47939"/>
    <w:rsid w:val="00D479D9"/>
    <w:rsid w:val="00D47B0E"/>
    <w:rsid w:val="00D47DA8"/>
    <w:rsid w:val="00D5002C"/>
    <w:rsid w:val="00D502BA"/>
    <w:rsid w:val="00D5077E"/>
    <w:rsid w:val="00D507F3"/>
    <w:rsid w:val="00D508E9"/>
    <w:rsid w:val="00D508EF"/>
    <w:rsid w:val="00D50C0D"/>
    <w:rsid w:val="00D50D7F"/>
    <w:rsid w:val="00D50FDA"/>
    <w:rsid w:val="00D5150B"/>
    <w:rsid w:val="00D515BB"/>
    <w:rsid w:val="00D519B0"/>
    <w:rsid w:val="00D51DF7"/>
    <w:rsid w:val="00D51E6F"/>
    <w:rsid w:val="00D52529"/>
    <w:rsid w:val="00D52FD3"/>
    <w:rsid w:val="00D53323"/>
    <w:rsid w:val="00D53378"/>
    <w:rsid w:val="00D534A3"/>
    <w:rsid w:val="00D534CB"/>
    <w:rsid w:val="00D5356B"/>
    <w:rsid w:val="00D535C6"/>
    <w:rsid w:val="00D5370F"/>
    <w:rsid w:val="00D53747"/>
    <w:rsid w:val="00D53C19"/>
    <w:rsid w:val="00D543C0"/>
    <w:rsid w:val="00D543E6"/>
    <w:rsid w:val="00D5467C"/>
    <w:rsid w:val="00D54910"/>
    <w:rsid w:val="00D54FDE"/>
    <w:rsid w:val="00D5508F"/>
    <w:rsid w:val="00D550DA"/>
    <w:rsid w:val="00D5519F"/>
    <w:rsid w:val="00D554FF"/>
    <w:rsid w:val="00D555A5"/>
    <w:rsid w:val="00D55742"/>
    <w:rsid w:val="00D5581E"/>
    <w:rsid w:val="00D5591E"/>
    <w:rsid w:val="00D55D35"/>
    <w:rsid w:val="00D55D8D"/>
    <w:rsid w:val="00D56142"/>
    <w:rsid w:val="00D561DC"/>
    <w:rsid w:val="00D56670"/>
    <w:rsid w:val="00D56E31"/>
    <w:rsid w:val="00D56E64"/>
    <w:rsid w:val="00D56EAA"/>
    <w:rsid w:val="00D572B3"/>
    <w:rsid w:val="00D57390"/>
    <w:rsid w:val="00D575BE"/>
    <w:rsid w:val="00D601D5"/>
    <w:rsid w:val="00D6021A"/>
    <w:rsid w:val="00D60246"/>
    <w:rsid w:val="00D608A2"/>
    <w:rsid w:val="00D608D1"/>
    <w:rsid w:val="00D60B72"/>
    <w:rsid w:val="00D60FDE"/>
    <w:rsid w:val="00D60FF7"/>
    <w:rsid w:val="00D6107F"/>
    <w:rsid w:val="00D61469"/>
    <w:rsid w:val="00D615D5"/>
    <w:rsid w:val="00D61A39"/>
    <w:rsid w:val="00D61BC2"/>
    <w:rsid w:val="00D61BEE"/>
    <w:rsid w:val="00D61C08"/>
    <w:rsid w:val="00D61E02"/>
    <w:rsid w:val="00D622A4"/>
    <w:rsid w:val="00D62EB7"/>
    <w:rsid w:val="00D6300E"/>
    <w:rsid w:val="00D630F4"/>
    <w:rsid w:val="00D634B1"/>
    <w:rsid w:val="00D6351C"/>
    <w:rsid w:val="00D63DE5"/>
    <w:rsid w:val="00D64299"/>
    <w:rsid w:val="00D64AC0"/>
    <w:rsid w:val="00D64E42"/>
    <w:rsid w:val="00D65421"/>
    <w:rsid w:val="00D6595C"/>
    <w:rsid w:val="00D65D7E"/>
    <w:rsid w:val="00D65F2B"/>
    <w:rsid w:val="00D660F8"/>
    <w:rsid w:val="00D6674D"/>
    <w:rsid w:val="00D67419"/>
    <w:rsid w:val="00D676BE"/>
    <w:rsid w:val="00D677A3"/>
    <w:rsid w:val="00D67835"/>
    <w:rsid w:val="00D7011A"/>
    <w:rsid w:val="00D7030E"/>
    <w:rsid w:val="00D7050B"/>
    <w:rsid w:val="00D70696"/>
    <w:rsid w:val="00D7072B"/>
    <w:rsid w:val="00D70B03"/>
    <w:rsid w:val="00D712FE"/>
    <w:rsid w:val="00D71C60"/>
    <w:rsid w:val="00D71D84"/>
    <w:rsid w:val="00D71DE6"/>
    <w:rsid w:val="00D72193"/>
    <w:rsid w:val="00D721B1"/>
    <w:rsid w:val="00D72475"/>
    <w:rsid w:val="00D72903"/>
    <w:rsid w:val="00D729F6"/>
    <w:rsid w:val="00D72B07"/>
    <w:rsid w:val="00D73395"/>
    <w:rsid w:val="00D73644"/>
    <w:rsid w:val="00D73AA6"/>
    <w:rsid w:val="00D7427D"/>
    <w:rsid w:val="00D7440F"/>
    <w:rsid w:val="00D7450B"/>
    <w:rsid w:val="00D745F6"/>
    <w:rsid w:val="00D7466D"/>
    <w:rsid w:val="00D74961"/>
    <w:rsid w:val="00D74C93"/>
    <w:rsid w:val="00D74E5E"/>
    <w:rsid w:val="00D74F43"/>
    <w:rsid w:val="00D750CA"/>
    <w:rsid w:val="00D75119"/>
    <w:rsid w:val="00D75143"/>
    <w:rsid w:val="00D752BA"/>
    <w:rsid w:val="00D752EC"/>
    <w:rsid w:val="00D75690"/>
    <w:rsid w:val="00D75836"/>
    <w:rsid w:val="00D759E0"/>
    <w:rsid w:val="00D75BD1"/>
    <w:rsid w:val="00D75DA1"/>
    <w:rsid w:val="00D76C8E"/>
    <w:rsid w:val="00D76CAC"/>
    <w:rsid w:val="00D77020"/>
    <w:rsid w:val="00D771EA"/>
    <w:rsid w:val="00D772E6"/>
    <w:rsid w:val="00D77549"/>
    <w:rsid w:val="00D7761B"/>
    <w:rsid w:val="00D77CE3"/>
    <w:rsid w:val="00D8052F"/>
    <w:rsid w:val="00D80A2E"/>
    <w:rsid w:val="00D80A67"/>
    <w:rsid w:val="00D80B41"/>
    <w:rsid w:val="00D80B5E"/>
    <w:rsid w:val="00D80C38"/>
    <w:rsid w:val="00D81032"/>
    <w:rsid w:val="00D815FF"/>
    <w:rsid w:val="00D816AD"/>
    <w:rsid w:val="00D81816"/>
    <w:rsid w:val="00D81828"/>
    <w:rsid w:val="00D81E33"/>
    <w:rsid w:val="00D8264E"/>
    <w:rsid w:val="00D827D6"/>
    <w:rsid w:val="00D82988"/>
    <w:rsid w:val="00D82B6A"/>
    <w:rsid w:val="00D82D08"/>
    <w:rsid w:val="00D82DBE"/>
    <w:rsid w:val="00D82E41"/>
    <w:rsid w:val="00D82E8B"/>
    <w:rsid w:val="00D83193"/>
    <w:rsid w:val="00D83323"/>
    <w:rsid w:val="00D8347C"/>
    <w:rsid w:val="00D83576"/>
    <w:rsid w:val="00D83787"/>
    <w:rsid w:val="00D838C4"/>
    <w:rsid w:val="00D83992"/>
    <w:rsid w:val="00D83B91"/>
    <w:rsid w:val="00D83DE5"/>
    <w:rsid w:val="00D841C5"/>
    <w:rsid w:val="00D8438B"/>
    <w:rsid w:val="00D846AB"/>
    <w:rsid w:val="00D8477A"/>
    <w:rsid w:val="00D84BA3"/>
    <w:rsid w:val="00D8531E"/>
    <w:rsid w:val="00D85326"/>
    <w:rsid w:val="00D856CD"/>
    <w:rsid w:val="00D85B7B"/>
    <w:rsid w:val="00D85EF6"/>
    <w:rsid w:val="00D8614E"/>
    <w:rsid w:val="00D861CD"/>
    <w:rsid w:val="00D866E8"/>
    <w:rsid w:val="00D86925"/>
    <w:rsid w:val="00D86C79"/>
    <w:rsid w:val="00D86DEB"/>
    <w:rsid w:val="00D86F0E"/>
    <w:rsid w:val="00D878A2"/>
    <w:rsid w:val="00D87B31"/>
    <w:rsid w:val="00D87D86"/>
    <w:rsid w:val="00D87DF8"/>
    <w:rsid w:val="00D9031F"/>
    <w:rsid w:val="00D90370"/>
    <w:rsid w:val="00D9048E"/>
    <w:rsid w:val="00D90566"/>
    <w:rsid w:val="00D905F4"/>
    <w:rsid w:val="00D9094E"/>
    <w:rsid w:val="00D909D9"/>
    <w:rsid w:val="00D90D14"/>
    <w:rsid w:val="00D91407"/>
    <w:rsid w:val="00D91E6B"/>
    <w:rsid w:val="00D91E80"/>
    <w:rsid w:val="00D9264C"/>
    <w:rsid w:val="00D9271D"/>
    <w:rsid w:val="00D92808"/>
    <w:rsid w:val="00D92A0D"/>
    <w:rsid w:val="00D92A1A"/>
    <w:rsid w:val="00D92BBE"/>
    <w:rsid w:val="00D92C84"/>
    <w:rsid w:val="00D93041"/>
    <w:rsid w:val="00D9323C"/>
    <w:rsid w:val="00D93354"/>
    <w:rsid w:val="00D933C8"/>
    <w:rsid w:val="00D9349E"/>
    <w:rsid w:val="00D936DD"/>
    <w:rsid w:val="00D941A8"/>
    <w:rsid w:val="00D94522"/>
    <w:rsid w:val="00D94BB9"/>
    <w:rsid w:val="00D94DF8"/>
    <w:rsid w:val="00D9504B"/>
    <w:rsid w:val="00D953D7"/>
    <w:rsid w:val="00D95478"/>
    <w:rsid w:val="00D95507"/>
    <w:rsid w:val="00D9567C"/>
    <w:rsid w:val="00D95AC8"/>
    <w:rsid w:val="00D95B75"/>
    <w:rsid w:val="00D95BE9"/>
    <w:rsid w:val="00D95D90"/>
    <w:rsid w:val="00D96692"/>
    <w:rsid w:val="00D968FF"/>
    <w:rsid w:val="00D96C8F"/>
    <w:rsid w:val="00D96E5B"/>
    <w:rsid w:val="00D96FDB"/>
    <w:rsid w:val="00D97360"/>
    <w:rsid w:val="00D97667"/>
    <w:rsid w:val="00D979FD"/>
    <w:rsid w:val="00D97A24"/>
    <w:rsid w:val="00D97B1C"/>
    <w:rsid w:val="00D97BED"/>
    <w:rsid w:val="00D97D55"/>
    <w:rsid w:val="00D97DFB"/>
    <w:rsid w:val="00DA0077"/>
    <w:rsid w:val="00DA05B1"/>
    <w:rsid w:val="00DA081B"/>
    <w:rsid w:val="00DA0C02"/>
    <w:rsid w:val="00DA0CEB"/>
    <w:rsid w:val="00DA0EA4"/>
    <w:rsid w:val="00DA0EB5"/>
    <w:rsid w:val="00DA133E"/>
    <w:rsid w:val="00DA169C"/>
    <w:rsid w:val="00DA19BE"/>
    <w:rsid w:val="00DA19E5"/>
    <w:rsid w:val="00DA1B8C"/>
    <w:rsid w:val="00DA1D03"/>
    <w:rsid w:val="00DA2702"/>
    <w:rsid w:val="00DA2829"/>
    <w:rsid w:val="00DA330D"/>
    <w:rsid w:val="00DA3A21"/>
    <w:rsid w:val="00DA3A2D"/>
    <w:rsid w:val="00DA3BF1"/>
    <w:rsid w:val="00DA3DBA"/>
    <w:rsid w:val="00DA419D"/>
    <w:rsid w:val="00DA4C61"/>
    <w:rsid w:val="00DA505D"/>
    <w:rsid w:val="00DA5291"/>
    <w:rsid w:val="00DA5A6E"/>
    <w:rsid w:val="00DA5BB5"/>
    <w:rsid w:val="00DA5C70"/>
    <w:rsid w:val="00DA5D58"/>
    <w:rsid w:val="00DA5E4C"/>
    <w:rsid w:val="00DA6173"/>
    <w:rsid w:val="00DA61C2"/>
    <w:rsid w:val="00DA61F6"/>
    <w:rsid w:val="00DA694B"/>
    <w:rsid w:val="00DA6B7E"/>
    <w:rsid w:val="00DA7026"/>
    <w:rsid w:val="00DA7029"/>
    <w:rsid w:val="00DA7148"/>
    <w:rsid w:val="00DA7405"/>
    <w:rsid w:val="00DA74CB"/>
    <w:rsid w:val="00DA75AD"/>
    <w:rsid w:val="00DA7946"/>
    <w:rsid w:val="00DA7FAB"/>
    <w:rsid w:val="00DB0296"/>
    <w:rsid w:val="00DB030A"/>
    <w:rsid w:val="00DB03B8"/>
    <w:rsid w:val="00DB04F9"/>
    <w:rsid w:val="00DB05B2"/>
    <w:rsid w:val="00DB05C1"/>
    <w:rsid w:val="00DB065B"/>
    <w:rsid w:val="00DB0BC7"/>
    <w:rsid w:val="00DB0E73"/>
    <w:rsid w:val="00DB1264"/>
    <w:rsid w:val="00DB175B"/>
    <w:rsid w:val="00DB20DC"/>
    <w:rsid w:val="00DB2466"/>
    <w:rsid w:val="00DB2833"/>
    <w:rsid w:val="00DB299A"/>
    <w:rsid w:val="00DB2F86"/>
    <w:rsid w:val="00DB32F7"/>
    <w:rsid w:val="00DB3FD0"/>
    <w:rsid w:val="00DB43F9"/>
    <w:rsid w:val="00DB4A04"/>
    <w:rsid w:val="00DB4AAB"/>
    <w:rsid w:val="00DB4BCC"/>
    <w:rsid w:val="00DB4DC6"/>
    <w:rsid w:val="00DB50BF"/>
    <w:rsid w:val="00DB5404"/>
    <w:rsid w:val="00DB578C"/>
    <w:rsid w:val="00DB5926"/>
    <w:rsid w:val="00DB5DED"/>
    <w:rsid w:val="00DB6513"/>
    <w:rsid w:val="00DB6700"/>
    <w:rsid w:val="00DB6832"/>
    <w:rsid w:val="00DB742B"/>
    <w:rsid w:val="00DB799D"/>
    <w:rsid w:val="00DB7B8B"/>
    <w:rsid w:val="00DB7F62"/>
    <w:rsid w:val="00DC031D"/>
    <w:rsid w:val="00DC040D"/>
    <w:rsid w:val="00DC0729"/>
    <w:rsid w:val="00DC0C68"/>
    <w:rsid w:val="00DC13F0"/>
    <w:rsid w:val="00DC15DB"/>
    <w:rsid w:val="00DC18B5"/>
    <w:rsid w:val="00DC1B2A"/>
    <w:rsid w:val="00DC203F"/>
    <w:rsid w:val="00DC2394"/>
    <w:rsid w:val="00DC2589"/>
    <w:rsid w:val="00DC25C3"/>
    <w:rsid w:val="00DC296F"/>
    <w:rsid w:val="00DC2D82"/>
    <w:rsid w:val="00DC3009"/>
    <w:rsid w:val="00DC303C"/>
    <w:rsid w:val="00DC359C"/>
    <w:rsid w:val="00DC37AC"/>
    <w:rsid w:val="00DC3844"/>
    <w:rsid w:val="00DC3A9A"/>
    <w:rsid w:val="00DC3B3B"/>
    <w:rsid w:val="00DC4113"/>
    <w:rsid w:val="00DC43BF"/>
    <w:rsid w:val="00DC490D"/>
    <w:rsid w:val="00DC50EB"/>
    <w:rsid w:val="00DC5544"/>
    <w:rsid w:val="00DC569A"/>
    <w:rsid w:val="00DC5836"/>
    <w:rsid w:val="00DC5A6E"/>
    <w:rsid w:val="00DC5CD1"/>
    <w:rsid w:val="00DC6052"/>
    <w:rsid w:val="00DC6202"/>
    <w:rsid w:val="00DC623F"/>
    <w:rsid w:val="00DC636D"/>
    <w:rsid w:val="00DC6926"/>
    <w:rsid w:val="00DC6A1A"/>
    <w:rsid w:val="00DC6B8F"/>
    <w:rsid w:val="00DC6BF9"/>
    <w:rsid w:val="00DC701E"/>
    <w:rsid w:val="00DC7290"/>
    <w:rsid w:val="00DC72F0"/>
    <w:rsid w:val="00DC782C"/>
    <w:rsid w:val="00DC7AC6"/>
    <w:rsid w:val="00DC7C29"/>
    <w:rsid w:val="00DD0104"/>
    <w:rsid w:val="00DD0545"/>
    <w:rsid w:val="00DD0A80"/>
    <w:rsid w:val="00DD0AAE"/>
    <w:rsid w:val="00DD0CBF"/>
    <w:rsid w:val="00DD0D39"/>
    <w:rsid w:val="00DD0EC7"/>
    <w:rsid w:val="00DD13AF"/>
    <w:rsid w:val="00DD1BA9"/>
    <w:rsid w:val="00DD1CE3"/>
    <w:rsid w:val="00DD1F9F"/>
    <w:rsid w:val="00DD205C"/>
    <w:rsid w:val="00DD20B2"/>
    <w:rsid w:val="00DD2152"/>
    <w:rsid w:val="00DD295D"/>
    <w:rsid w:val="00DD2B60"/>
    <w:rsid w:val="00DD2E6F"/>
    <w:rsid w:val="00DD2F14"/>
    <w:rsid w:val="00DD30B0"/>
    <w:rsid w:val="00DD3405"/>
    <w:rsid w:val="00DD34AB"/>
    <w:rsid w:val="00DD3714"/>
    <w:rsid w:val="00DD3CE4"/>
    <w:rsid w:val="00DD3F87"/>
    <w:rsid w:val="00DD3FC9"/>
    <w:rsid w:val="00DD490C"/>
    <w:rsid w:val="00DD531D"/>
    <w:rsid w:val="00DD586A"/>
    <w:rsid w:val="00DD58B5"/>
    <w:rsid w:val="00DD5C45"/>
    <w:rsid w:val="00DD60D2"/>
    <w:rsid w:val="00DD60F0"/>
    <w:rsid w:val="00DD618A"/>
    <w:rsid w:val="00DD647F"/>
    <w:rsid w:val="00DD65B9"/>
    <w:rsid w:val="00DD679F"/>
    <w:rsid w:val="00DD6860"/>
    <w:rsid w:val="00DD6AE4"/>
    <w:rsid w:val="00DD6CEA"/>
    <w:rsid w:val="00DD6DF0"/>
    <w:rsid w:val="00DD722E"/>
    <w:rsid w:val="00DD7296"/>
    <w:rsid w:val="00DD7343"/>
    <w:rsid w:val="00DD78CE"/>
    <w:rsid w:val="00DD7AC8"/>
    <w:rsid w:val="00DD7D82"/>
    <w:rsid w:val="00DD7DBE"/>
    <w:rsid w:val="00DD7F13"/>
    <w:rsid w:val="00DE00A6"/>
    <w:rsid w:val="00DE016A"/>
    <w:rsid w:val="00DE072E"/>
    <w:rsid w:val="00DE0AD1"/>
    <w:rsid w:val="00DE0CD1"/>
    <w:rsid w:val="00DE0F71"/>
    <w:rsid w:val="00DE0FC1"/>
    <w:rsid w:val="00DE132E"/>
    <w:rsid w:val="00DE15C0"/>
    <w:rsid w:val="00DE181E"/>
    <w:rsid w:val="00DE1957"/>
    <w:rsid w:val="00DE1CC4"/>
    <w:rsid w:val="00DE208E"/>
    <w:rsid w:val="00DE212E"/>
    <w:rsid w:val="00DE2DD6"/>
    <w:rsid w:val="00DE2F34"/>
    <w:rsid w:val="00DE303E"/>
    <w:rsid w:val="00DE392A"/>
    <w:rsid w:val="00DE3A2B"/>
    <w:rsid w:val="00DE3AC5"/>
    <w:rsid w:val="00DE3C0A"/>
    <w:rsid w:val="00DE3DB9"/>
    <w:rsid w:val="00DE3E2E"/>
    <w:rsid w:val="00DE427E"/>
    <w:rsid w:val="00DE4577"/>
    <w:rsid w:val="00DE45BD"/>
    <w:rsid w:val="00DE4924"/>
    <w:rsid w:val="00DE4EF2"/>
    <w:rsid w:val="00DE51FD"/>
    <w:rsid w:val="00DE553C"/>
    <w:rsid w:val="00DE5A95"/>
    <w:rsid w:val="00DE5AC4"/>
    <w:rsid w:val="00DE5E4F"/>
    <w:rsid w:val="00DE640B"/>
    <w:rsid w:val="00DE6831"/>
    <w:rsid w:val="00DE6956"/>
    <w:rsid w:val="00DE6BC4"/>
    <w:rsid w:val="00DE6C68"/>
    <w:rsid w:val="00DE6EA2"/>
    <w:rsid w:val="00DE6ECA"/>
    <w:rsid w:val="00DE6F9B"/>
    <w:rsid w:val="00DE743E"/>
    <w:rsid w:val="00DE75DE"/>
    <w:rsid w:val="00DE7828"/>
    <w:rsid w:val="00DE7C1B"/>
    <w:rsid w:val="00DF004D"/>
    <w:rsid w:val="00DF0675"/>
    <w:rsid w:val="00DF10B7"/>
    <w:rsid w:val="00DF14A7"/>
    <w:rsid w:val="00DF1A04"/>
    <w:rsid w:val="00DF1D27"/>
    <w:rsid w:val="00DF203D"/>
    <w:rsid w:val="00DF2BBC"/>
    <w:rsid w:val="00DF2FB4"/>
    <w:rsid w:val="00DF317C"/>
    <w:rsid w:val="00DF32CE"/>
    <w:rsid w:val="00DF44C7"/>
    <w:rsid w:val="00DF476D"/>
    <w:rsid w:val="00DF48E1"/>
    <w:rsid w:val="00DF4BB7"/>
    <w:rsid w:val="00DF4D1C"/>
    <w:rsid w:val="00DF537C"/>
    <w:rsid w:val="00DF55FB"/>
    <w:rsid w:val="00DF5676"/>
    <w:rsid w:val="00DF5967"/>
    <w:rsid w:val="00DF6003"/>
    <w:rsid w:val="00DF63F5"/>
    <w:rsid w:val="00DF6647"/>
    <w:rsid w:val="00DF68B0"/>
    <w:rsid w:val="00DF6A9D"/>
    <w:rsid w:val="00DF6D30"/>
    <w:rsid w:val="00DF72E2"/>
    <w:rsid w:val="00DF72F7"/>
    <w:rsid w:val="00DF7E2B"/>
    <w:rsid w:val="00DF7F84"/>
    <w:rsid w:val="00E002E5"/>
    <w:rsid w:val="00E0045A"/>
    <w:rsid w:val="00E0060F"/>
    <w:rsid w:val="00E00627"/>
    <w:rsid w:val="00E00BED"/>
    <w:rsid w:val="00E00CB9"/>
    <w:rsid w:val="00E00EF8"/>
    <w:rsid w:val="00E01046"/>
    <w:rsid w:val="00E01270"/>
    <w:rsid w:val="00E01347"/>
    <w:rsid w:val="00E01435"/>
    <w:rsid w:val="00E02C49"/>
    <w:rsid w:val="00E02CCA"/>
    <w:rsid w:val="00E02E5A"/>
    <w:rsid w:val="00E02F29"/>
    <w:rsid w:val="00E03364"/>
    <w:rsid w:val="00E034C8"/>
    <w:rsid w:val="00E03BDE"/>
    <w:rsid w:val="00E03F8D"/>
    <w:rsid w:val="00E04397"/>
    <w:rsid w:val="00E04CA1"/>
    <w:rsid w:val="00E04D17"/>
    <w:rsid w:val="00E04E88"/>
    <w:rsid w:val="00E04F5E"/>
    <w:rsid w:val="00E05065"/>
    <w:rsid w:val="00E05602"/>
    <w:rsid w:val="00E05A9A"/>
    <w:rsid w:val="00E05CF7"/>
    <w:rsid w:val="00E05E5F"/>
    <w:rsid w:val="00E06086"/>
    <w:rsid w:val="00E06128"/>
    <w:rsid w:val="00E066CA"/>
    <w:rsid w:val="00E066F0"/>
    <w:rsid w:val="00E07448"/>
    <w:rsid w:val="00E07841"/>
    <w:rsid w:val="00E07C92"/>
    <w:rsid w:val="00E07D9B"/>
    <w:rsid w:val="00E10051"/>
    <w:rsid w:val="00E1041F"/>
    <w:rsid w:val="00E10644"/>
    <w:rsid w:val="00E10689"/>
    <w:rsid w:val="00E1070F"/>
    <w:rsid w:val="00E108BE"/>
    <w:rsid w:val="00E10B08"/>
    <w:rsid w:val="00E10B5F"/>
    <w:rsid w:val="00E10E54"/>
    <w:rsid w:val="00E11125"/>
    <w:rsid w:val="00E114FF"/>
    <w:rsid w:val="00E11505"/>
    <w:rsid w:val="00E119BF"/>
    <w:rsid w:val="00E12189"/>
    <w:rsid w:val="00E127FA"/>
    <w:rsid w:val="00E12CF4"/>
    <w:rsid w:val="00E12E3B"/>
    <w:rsid w:val="00E13774"/>
    <w:rsid w:val="00E13A4E"/>
    <w:rsid w:val="00E13E0D"/>
    <w:rsid w:val="00E13FAB"/>
    <w:rsid w:val="00E146DD"/>
    <w:rsid w:val="00E1498A"/>
    <w:rsid w:val="00E14D58"/>
    <w:rsid w:val="00E15ABD"/>
    <w:rsid w:val="00E15DA8"/>
    <w:rsid w:val="00E15DEE"/>
    <w:rsid w:val="00E15E9F"/>
    <w:rsid w:val="00E1601E"/>
    <w:rsid w:val="00E160D7"/>
    <w:rsid w:val="00E1665A"/>
    <w:rsid w:val="00E1672A"/>
    <w:rsid w:val="00E16793"/>
    <w:rsid w:val="00E167C4"/>
    <w:rsid w:val="00E16C55"/>
    <w:rsid w:val="00E16CDB"/>
    <w:rsid w:val="00E17285"/>
    <w:rsid w:val="00E1773A"/>
    <w:rsid w:val="00E17AE1"/>
    <w:rsid w:val="00E17C34"/>
    <w:rsid w:val="00E20017"/>
    <w:rsid w:val="00E200B5"/>
    <w:rsid w:val="00E206FC"/>
    <w:rsid w:val="00E20CB3"/>
    <w:rsid w:val="00E20D6B"/>
    <w:rsid w:val="00E20DBA"/>
    <w:rsid w:val="00E20E26"/>
    <w:rsid w:val="00E20FD8"/>
    <w:rsid w:val="00E2155E"/>
    <w:rsid w:val="00E21C61"/>
    <w:rsid w:val="00E21DB3"/>
    <w:rsid w:val="00E221C3"/>
    <w:rsid w:val="00E22342"/>
    <w:rsid w:val="00E224B2"/>
    <w:rsid w:val="00E22777"/>
    <w:rsid w:val="00E23181"/>
    <w:rsid w:val="00E234BF"/>
    <w:rsid w:val="00E23574"/>
    <w:rsid w:val="00E23A4E"/>
    <w:rsid w:val="00E23B62"/>
    <w:rsid w:val="00E23C7B"/>
    <w:rsid w:val="00E24460"/>
    <w:rsid w:val="00E24488"/>
    <w:rsid w:val="00E24596"/>
    <w:rsid w:val="00E245A8"/>
    <w:rsid w:val="00E247B0"/>
    <w:rsid w:val="00E24A58"/>
    <w:rsid w:val="00E24B20"/>
    <w:rsid w:val="00E24C2D"/>
    <w:rsid w:val="00E24C2F"/>
    <w:rsid w:val="00E24CEB"/>
    <w:rsid w:val="00E24EFB"/>
    <w:rsid w:val="00E25529"/>
    <w:rsid w:val="00E25FA0"/>
    <w:rsid w:val="00E263BF"/>
    <w:rsid w:val="00E2674B"/>
    <w:rsid w:val="00E269EF"/>
    <w:rsid w:val="00E26AB3"/>
    <w:rsid w:val="00E271CC"/>
    <w:rsid w:val="00E271DE"/>
    <w:rsid w:val="00E27275"/>
    <w:rsid w:val="00E272AD"/>
    <w:rsid w:val="00E272D6"/>
    <w:rsid w:val="00E279E3"/>
    <w:rsid w:val="00E27B89"/>
    <w:rsid w:val="00E30006"/>
    <w:rsid w:val="00E3026D"/>
    <w:rsid w:val="00E3044F"/>
    <w:rsid w:val="00E307B3"/>
    <w:rsid w:val="00E30C5C"/>
    <w:rsid w:val="00E30E49"/>
    <w:rsid w:val="00E312E8"/>
    <w:rsid w:val="00E314AF"/>
    <w:rsid w:val="00E315A8"/>
    <w:rsid w:val="00E31883"/>
    <w:rsid w:val="00E319AB"/>
    <w:rsid w:val="00E31D5A"/>
    <w:rsid w:val="00E31E4E"/>
    <w:rsid w:val="00E3205E"/>
    <w:rsid w:val="00E321D8"/>
    <w:rsid w:val="00E32B86"/>
    <w:rsid w:val="00E32DD3"/>
    <w:rsid w:val="00E333F8"/>
    <w:rsid w:val="00E33AF6"/>
    <w:rsid w:val="00E33D73"/>
    <w:rsid w:val="00E3401A"/>
    <w:rsid w:val="00E341D2"/>
    <w:rsid w:val="00E34313"/>
    <w:rsid w:val="00E34509"/>
    <w:rsid w:val="00E34A42"/>
    <w:rsid w:val="00E34C20"/>
    <w:rsid w:val="00E35131"/>
    <w:rsid w:val="00E35414"/>
    <w:rsid w:val="00E35546"/>
    <w:rsid w:val="00E35760"/>
    <w:rsid w:val="00E35DF0"/>
    <w:rsid w:val="00E35EBA"/>
    <w:rsid w:val="00E35F9F"/>
    <w:rsid w:val="00E3628D"/>
    <w:rsid w:val="00E368AB"/>
    <w:rsid w:val="00E36996"/>
    <w:rsid w:val="00E36E82"/>
    <w:rsid w:val="00E373EB"/>
    <w:rsid w:val="00E37473"/>
    <w:rsid w:val="00E37593"/>
    <w:rsid w:val="00E376FF"/>
    <w:rsid w:val="00E37913"/>
    <w:rsid w:val="00E37A0E"/>
    <w:rsid w:val="00E37ADA"/>
    <w:rsid w:val="00E37E65"/>
    <w:rsid w:val="00E37EC6"/>
    <w:rsid w:val="00E40365"/>
    <w:rsid w:val="00E404CC"/>
    <w:rsid w:val="00E4058A"/>
    <w:rsid w:val="00E4065A"/>
    <w:rsid w:val="00E408F4"/>
    <w:rsid w:val="00E40CC9"/>
    <w:rsid w:val="00E40DE6"/>
    <w:rsid w:val="00E41468"/>
    <w:rsid w:val="00E4189F"/>
    <w:rsid w:val="00E41903"/>
    <w:rsid w:val="00E41BA9"/>
    <w:rsid w:val="00E4211C"/>
    <w:rsid w:val="00E42B10"/>
    <w:rsid w:val="00E42C6C"/>
    <w:rsid w:val="00E42E06"/>
    <w:rsid w:val="00E430FE"/>
    <w:rsid w:val="00E435A5"/>
    <w:rsid w:val="00E43ACB"/>
    <w:rsid w:val="00E4412F"/>
    <w:rsid w:val="00E44182"/>
    <w:rsid w:val="00E4419D"/>
    <w:rsid w:val="00E442E9"/>
    <w:rsid w:val="00E44461"/>
    <w:rsid w:val="00E4447B"/>
    <w:rsid w:val="00E44AB8"/>
    <w:rsid w:val="00E44DC8"/>
    <w:rsid w:val="00E455D8"/>
    <w:rsid w:val="00E457DD"/>
    <w:rsid w:val="00E45ED7"/>
    <w:rsid w:val="00E45F0C"/>
    <w:rsid w:val="00E461D2"/>
    <w:rsid w:val="00E46290"/>
    <w:rsid w:val="00E4632A"/>
    <w:rsid w:val="00E46A24"/>
    <w:rsid w:val="00E46B77"/>
    <w:rsid w:val="00E46D01"/>
    <w:rsid w:val="00E46D41"/>
    <w:rsid w:val="00E46EB2"/>
    <w:rsid w:val="00E470F9"/>
    <w:rsid w:val="00E47436"/>
    <w:rsid w:val="00E47AD0"/>
    <w:rsid w:val="00E47D0A"/>
    <w:rsid w:val="00E47F13"/>
    <w:rsid w:val="00E47F69"/>
    <w:rsid w:val="00E500BC"/>
    <w:rsid w:val="00E50103"/>
    <w:rsid w:val="00E50991"/>
    <w:rsid w:val="00E509BB"/>
    <w:rsid w:val="00E50B97"/>
    <w:rsid w:val="00E50BBA"/>
    <w:rsid w:val="00E50BF7"/>
    <w:rsid w:val="00E50FEE"/>
    <w:rsid w:val="00E514C5"/>
    <w:rsid w:val="00E5167A"/>
    <w:rsid w:val="00E518FB"/>
    <w:rsid w:val="00E51AB7"/>
    <w:rsid w:val="00E51C6D"/>
    <w:rsid w:val="00E51D72"/>
    <w:rsid w:val="00E52235"/>
    <w:rsid w:val="00E52509"/>
    <w:rsid w:val="00E52705"/>
    <w:rsid w:val="00E528B7"/>
    <w:rsid w:val="00E534DC"/>
    <w:rsid w:val="00E53800"/>
    <w:rsid w:val="00E53AE6"/>
    <w:rsid w:val="00E53BC2"/>
    <w:rsid w:val="00E54282"/>
    <w:rsid w:val="00E54324"/>
    <w:rsid w:val="00E54402"/>
    <w:rsid w:val="00E5477B"/>
    <w:rsid w:val="00E54A01"/>
    <w:rsid w:val="00E54B0A"/>
    <w:rsid w:val="00E54D7A"/>
    <w:rsid w:val="00E55183"/>
    <w:rsid w:val="00E55216"/>
    <w:rsid w:val="00E55271"/>
    <w:rsid w:val="00E55338"/>
    <w:rsid w:val="00E555B2"/>
    <w:rsid w:val="00E558DF"/>
    <w:rsid w:val="00E55C6B"/>
    <w:rsid w:val="00E55C85"/>
    <w:rsid w:val="00E55EBB"/>
    <w:rsid w:val="00E561BC"/>
    <w:rsid w:val="00E56271"/>
    <w:rsid w:val="00E56297"/>
    <w:rsid w:val="00E5635B"/>
    <w:rsid w:val="00E56530"/>
    <w:rsid w:val="00E56DE9"/>
    <w:rsid w:val="00E56E28"/>
    <w:rsid w:val="00E56EC2"/>
    <w:rsid w:val="00E572C5"/>
    <w:rsid w:val="00E57347"/>
    <w:rsid w:val="00E57797"/>
    <w:rsid w:val="00E57E32"/>
    <w:rsid w:val="00E57F38"/>
    <w:rsid w:val="00E57FB3"/>
    <w:rsid w:val="00E60211"/>
    <w:rsid w:val="00E6027C"/>
    <w:rsid w:val="00E60397"/>
    <w:rsid w:val="00E604AC"/>
    <w:rsid w:val="00E6077E"/>
    <w:rsid w:val="00E60D07"/>
    <w:rsid w:val="00E60F5F"/>
    <w:rsid w:val="00E6100E"/>
    <w:rsid w:val="00E6100F"/>
    <w:rsid w:val="00E61023"/>
    <w:rsid w:val="00E61D1F"/>
    <w:rsid w:val="00E61D53"/>
    <w:rsid w:val="00E61F4E"/>
    <w:rsid w:val="00E62744"/>
    <w:rsid w:val="00E629B6"/>
    <w:rsid w:val="00E635DB"/>
    <w:rsid w:val="00E637C1"/>
    <w:rsid w:val="00E63BB0"/>
    <w:rsid w:val="00E63DDD"/>
    <w:rsid w:val="00E63F69"/>
    <w:rsid w:val="00E64589"/>
    <w:rsid w:val="00E645D1"/>
    <w:rsid w:val="00E64C82"/>
    <w:rsid w:val="00E64EAE"/>
    <w:rsid w:val="00E65346"/>
    <w:rsid w:val="00E655E5"/>
    <w:rsid w:val="00E65638"/>
    <w:rsid w:val="00E657CC"/>
    <w:rsid w:val="00E65D29"/>
    <w:rsid w:val="00E65DCA"/>
    <w:rsid w:val="00E65E58"/>
    <w:rsid w:val="00E6602D"/>
    <w:rsid w:val="00E66ACB"/>
    <w:rsid w:val="00E66D54"/>
    <w:rsid w:val="00E66FD0"/>
    <w:rsid w:val="00E67027"/>
    <w:rsid w:val="00E670DD"/>
    <w:rsid w:val="00E672D6"/>
    <w:rsid w:val="00E67345"/>
    <w:rsid w:val="00E674B7"/>
    <w:rsid w:val="00E674FF"/>
    <w:rsid w:val="00E70040"/>
    <w:rsid w:val="00E700F1"/>
    <w:rsid w:val="00E70377"/>
    <w:rsid w:val="00E7038B"/>
    <w:rsid w:val="00E7063B"/>
    <w:rsid w:val="00E70959"/>
    <w:rsid w:val="00E70BF6"/>
    <w:rsid w:val="00E710E0"/>
    <w:rsid w:val="00E713E2"/>
    <w:rsid w:val="00E716BB"/>
    <w:rsid w:val="00E72778"/>
    <w:rsid w:val="00E727DA"/>
    <w:rsid w:val="00E72828"/>
    <w:rsid w:val="00E7292D"/>
    <w:rsid w:val="00E72A2A"/>
    <w:rsid w:val="00E72A46"/>
    <w:rsid w:val="00E72D32"/>
    <w:rsid w:val="00E72D84"/>
    <w:rsid w:val="00E72DB4"/>
    <w:rsid w:val="00E730F9"/>
    <w:rsid w:val="00E73B69"/>
    <w:rsid w:val="00E73DF7"/>
    <w:rsid w:val="00E7414A"/>
    <w:rsid w:val="00E745BC"/>
    <w:rsid w:val="00E74700"/>
    <w:rsid w:val="00E748C9"/>
    <w:rsid w:val="00E74962"/>
    <w:rsid w:val="00E74E38"/>
    <w:rsid w:val="00E750AA"/>
    <w:rsid w:val="00E7542F"/>
    <w:rsid w:val="00E7563B"/>
    <w:rsid w:val="00E7596F"/>
    <w:rsid w:val="00E76177"/>
    <w:rsid w:val="00E762DB"/>
    <w:rsid w:val="00E76543"/>
    <w:rsid w:val="00E7656B"/>
    <w:rsid w:val="00E767A4"/>
    <w:rsid w:val="00E76DF2"/>
    <w:rsid w:val="00E76E0E"/>
    <w:rsid w:val="00E77216"/>
    <w:rsid w:val="00E778E5"/>
    <w:rsid w:val="00E77936"/>
    <w:rsid w:val="00E77AAF"/>
    <w:rsid w:val="00E77CB5"/>
    <w:rsid w:val="00E804FD"/>
    <w:rsid w:val="00E8076E"/>
    <w:rsid w:val="00E807BE"/>
    <w:rsid w:val="00E8098B"/>
    <w:rsid w:val="00E811CD"/>
    <w:rsid w:val="00E812BC"/>
    <w:rsid w:val="00E813F3"/>
    <w:rsid w:val="00E81411"/>
    <w:rsid w:val="00E817E0"/>
    <w:rsid w:val="00E81A5C"/>
    <w:rsid w:val="00E81EB4"/>
    <w:rsid w:val="00E81F5A"/>
    <w:rsid w:val="00E8203F"/>
    <w:rsid w:val="00E82571"/>
    <w:rsid w:val="00E826F3"/>
    <w:rsid w:val="00E82D50"/>
    <w:rsid w:val="00E8323C"/>
    <w:rsid w:val="00E83678"/>
    <w:rsid w:val="00E83DD9"/>
    <w:rsid w:val="00E841F5"/>
    <w:rsid w:val="00E8467E"/>
    <w:rsid w:val="00E84700"/>
    <w:rsid w:val="00E84BD5"/>
    <w:rsid w:val="00E84D1F"/>
    <w:rsid w:val="00E8533C"/>
    <w:rsid w:val="00E855E9"/>
    <w:rsid w:val="00E855F9"/>
    <w:rsid w:val="00E85DA2"/>
    <w:rsid w:val="00E86194"/>
    <w:rsid w:val="00E8643E"/>
    <w:rsid w:val="00E86959"/>
    <w:rsid w:val="00E86C0A"/>
    <w:rsid w:val="00E86C35"/>
    <w:rsid w:val="00E87078"/>
    <w:rsid w:val="00E8783B"/>
    <w:rsid w:val="00E90053"/>
    <w:rsid w:val="00E90152"/>
    <w:rsid w:val="00E90256"/>
    <w:rsid w:val="00E904B7"/>
    <w:rsid w:val="00E90525"/>
    <w:rsid w:val="00E9062A"/>
    <w:rsid w:val="00E9098F"/>
    <w:rsid w:val="00E90A64"/>
    <w:rsid w:val="00E90CEE"/>
    <w:rsid w:val="00E90D0F"/>
    <w:rsid w:val="00E90D39"/>
    <w:rsid w:val="00E910DE"/>
    <w:rsid w:val="00E911BA"/>
    <w:rsid w:val="00E91262"/>
    <w:rsid w:val="00E91364"/>
    <w:rsid w:val="00E9140D"/>
    <w:rsid w:val="00E914A2"/>
    <w:rsid w:val="00E9155D"/>
    <w:rsid w:val="00E91C1A"/>
    <w:rsid w:val="00E91E6F"/>
    <w:rsid w:val="00E92107"/>
    <w:rsid w:val="00E924B9"/>
    <w:rsid w:val="00E92554"/>
    <w:rsid w:val="00E9256A"/>
    <w:rsid w:val="00E92839"/>
    <w:rsid w:val="00E928D2"/>
    <w:rsid w:val="00E92CDF"/>
    <w:rsid w:val="00E93435"/>
    <w:rsid w:val="00E93681"/>
    <w:rsid w:val="00E93C1C"/>
    <w:rsid w:val="00E93CD1"/>
    <w:rsid w:val="00E93F58"/>
    <w:rsid w:val="00E9419C"/>
    <w:rsid w:val="00E94B31"/>
    <w:rsid w:val="00E94D4C"/>
    <w:rsid w:val="00E94F9F"/>
    <w:rsid w:val="00E95324"/>
    <w:rsid w:val="00E95491"/>
    <w:rsid w:val="00E95725"/>
    <w:rsid w:val="00E95A58"/>
    <w:rsid w:val="00E95BF6"/>
    <w:rsid w:val="00E95C30"/>
    <w:rsid w:val="00E95D3C"/>
    <w:rsid w:val="00E95FC3"/>
    <w:rsid w:val="00E9603D"/>
    <w:rsid w:val="00E9614D"/>
    <w:rsid w:val="00E965CC"/>
    <w:rsid w:val="00E966A5"/>
    <w:rsid w:val="00E96CD9"/>
    <w:rsid w:val="00E9745E"/>
    <w:rsid w:val="00E976C8"/>
    <w:rsid w:val="00E977A2"/>
    <w:rsid w:val="00E97C1E"/>
    <w:rsid w:val="00E97D9A"/>
    <w:rsid w:val="00E97EE0"/>
    <w:rsid w:val="00E97FE0"/>
    <w:rsid w:val="00EA014E"/>
    <w:rsid w:val="00EA0710"/>
    <w:rsid w:val="00EA09CE"/>
    <w:rsid w:val="00EA13AB"/>
    <w:rsid w:val="00EA151C"/>
    <w:rsid w:val="00EA15CD"/>
    <w:rsid w:val="00EA177C"/>
    <w:rsid w:val="00EA178A"/>
    <w:rsid w:val="00EA1E00"/>
    <w:rsid w:val="00EA1FD9"/>
    <w:rsid w:val="00EA250F"/>
    <w:rsid w:val="00EA2C5E"/>
    <w:rsid w:val="00EA2F5A"/>
    <w:rsid w:val="00EA31EA"/>
    <w:rsid w:val="00EA33A5"/>
    <w:rsid w:val="00EA34F8"/>
    <w:rsid w:val="00EA35FA"/>
    <w:rsid w:val="00EA380C"/>
    <w:rsid w:val="00EA3A73"/>
    <w:rsid w:val="00EA3B96"/>
    <w:rsid w:val="00EA3FB3"/>
    <w:rsid w:val="00EA40F8"/>
    <w:rsid w:val="00EA4286"/>
    <w:rsid w:val="00EA429B"/>
    <w:rsid w:val="00EA42CB"/>
    <w:rsid w:val="00EA435F"/>
    <w:rsid w:val="00EA4C74"/>
    <w:rsid w:val="00EA5169"/>
    <w:rsid w:val="00EA594B"/>
    <w:rsid w:val="00EA6B6A"/>
    <w:rsid w:val="00EA7296"/>
    <w:rsid w:val="00EA72A2"/>
    <w:rsid w:val="00EA72C8"/>
    <w:rsid w:val="00EA79D1"/>
    <w:rsid w:val="00EA7BCF"/>
    <w:rsid w:val="00EA7D16"/>
    <w:rsid w:val="00EA7F5C"/>
    <w:rsid w:val="00EB01A4"/>
    <w:rsid w:val="00EB020C"/>
    <w:rsid w:val="00EB02BE"/>
    <w:rsid w:val="00EB1CE5"/>
    <w:rsid w:val="00EB1D0A"/>
    <w:rsid w:val="00EB1D83"/>
    <w:rsid w:val="00EB1E83"/>
    <w:rsid w:val="00EB1F11"/>
    <w:rsid w:val="00EB1F47"/>
    <w:rsid w:val="00EB26C4"/>
    <w:rsid w:val="00EB274F"/>
    <w:rsid w:val="00EB305E"/>
    <w:rsid w:val="00EB33C2"/>
    <w:rsid w:val="00EB3644"/>
    <w:rsid w:val="00EB397E"/>
    <w:rsid w:val="00EB3A8E"/>
    <w:rsid w:val="00EB3E0E"/>
    <w:rsid w:val="00EB40C2"/>
    <w:rsid w:val="00EB4486"/>
    <w:rsid w:val="00EB46E3"/>
    <w:rsid w:val="00EB4996"/>
    <w:rsid w:val="00EB4AA4"/>
    <w:rsid w:val="00EB4FB6"/>
    <w:rsid w:val="00EB509E"/>
    <w:rsid w:val="00EB5B9B"/>
    <w:rsid w:val="00EB5D24"/>
    <w:rsid w:val="00EB5D2E"/>
    <w:rsid w:val="00EB5E39"/>
    <w:rsid w:val="00EB6009"/>
    <w:rsid w:val="00EB6205"/>
    <w:rsid w:val="00EB6353"/>
    <w:rsid w:val="00EB6701"/>
    <w:rsid w:val="00EB674E"/>
    <w:rsid w:val="00EB6E5C"/>
    <w:rsid w:val="00EB6F79"/>
    <w:rsid w:val="00EB71B2"/>
    <w:rsid w:val="00EB7401"/>
    <w:rsid w:val="00EB74D1"/>
    <w:rsid w:val="00EB7DEE"/>
    <w:rsid w:val="00EC027E"/>
    <w:rsid w:val="00EC02B3"/>
    <w:rsid w:val="00EC03CB"/>
    <w:rsid w:val="00EC0780"/>
    <w:rsid w:val="00EC08DA"/>
    <w:rsid w:val="00EC106D"/>
    <w:rsid w:val="00EC1208"/>
    <w:rsid w:val="00EC129D"/>
    <w:rsid w:val="00EC148D"/>
    <w:rsid w:val="00EC14D8"/>
    <w:rsid w:val="00EC1758"/>
    <w:rsid w:val="00EC19C9"/>
    <w:rsid w:val="00EC1A7A"/>
    <w:rsid w:val="00EC1C09"/>
    <w:rsid w:val="00EC1E30"/>
    <w:rsid w:val="00EC1EBD"/>
    <w:rsid w:val="00EC23F1"/>
    <w:rsid w:val="00EC24B6"/>
    <w:rsid w:val="00EC2529"/>
    <w:rsid w:val="00EC27B1"/>
    <w:rsid w:val="00EC29CC"/>
    <w:rsid w:val="00EC2D36"/>
    <w:rsid w:val="00EC2D55"/>
    <w:rsid w:val="00EC2D84"/>
    <w:rsid w:val="00EC2F4A"/>
    <w:rsid w:val="00EC305E"/>
    <w:rsid w:val="00EC4013"/>
    <w:rsid w:val="00EC40A7"/>
    <w:rsid w:val="00EC40AC"/>
    <w:rsid w:val="00EC41C5"/>
    <w:rsid w:val="00EC43BD"/>
    <w:rsid w:val="00EC4D16"/>
    <w:rsid w:val="00EC4E24"/>
    <w:rsid w:val="00EC5056"/>
    <w:rsid w:val="00EC5086"/>
    <w:rsid w:val="00EC5087"/>
    <w:rsid w:val="00EC51CF"/>
    <w:rsid w:val="00EC5BD2"/>
    <w:rsid w:val="00EC5C84"/>
    <w:rsid w:val="00EC5D20"/>
    <w:rsid w:val="00EC6068"/>
    <w:rsid w:val="00EC6575"/>
    <w:rsid w:val="00EC66CE"/>
    <w:rsid w:val="00EC6767"/>
    <w:rsid w:val="00EC697F"/>
    <w:rsid w:val="00EC6BED"/>
    <w:rsid w:val="00EC710E"/>
    <w:rsid w:val="00EC72D4"/>
    <w:rsid w:val="00EC736E"/>
    <w:rsid w:val="00EC7524"/>
    <w:rsid w:val="00EC76F5"/>
    <w:rsid w:val="00EC7798"/>
    <w:rsid w:val="00EC7818"/>
    <w:rsid w:val="00EC7B77"/>
    <w:rsid w:val="00EC7C55"/>
    <w:rsid w:val="00EC7CE1"/>
    <w:rsid w:val="00EC7CE4"/>
    <w:rsid w:val="00EC7DA2"/>
    <w:rsid w:val="00EC7F5C"/>
    <w:rsid w:val="00ED00C8"/>
    <w:rsid w:val="00ED03A7"/>
    <w:rsid w:val="00ED09AA"/>
    <w:rsid w:val="00ED0B79"/>
    <w:rsid w:val="00ED0BFC"/>
    <w:rsid w:val="00ED105D"/>
    <w:rsid w:val="00ED1302"/>
    <w:rsid w:val="00ED1968"/>
    <w:rsid w:val="00ED1AC7"/>
    <w:rsid w:val="00ED1E4C"/>
    <w:rsid w:val="00ED2B7D"/>
    <w:rsid w:val="00ED2E0B"/>
    <w:rsid w:val="00ED2EB0"/>
    <w:rsid w:val="00ED2F6F"/>
    <w:rsid w:val="00ED30E8"/>
    <w:rsid w:val="00ED3503"/>
    <w:rsid w:val="00ED364B"/>
    <w:rsid w:val="00ED378E"/>
    <w:rsid w:val="00ED3882"/>
    <w:rsid w:val="00ED3B04"/>
    <w:rsid w:val="00ED3B51"/>
    <w:rsid w:val="00ED3C6D"/>
    <w:rsid w:val="00ED3CDB"/>
    <w:rsid w:val="00ED3F97"/>
    <w:rsid w:val="00ED42F4"/>
    <w:rsid w:val="00ED453C"/>
    <w:rsid w:val="00ED4A88"/>
    <w:rsid w:val="00ED4B5B"/>
    <w:rsid w:val="00ED4C8B"/>
    <w:rsid w:val="00ED4D6F"/>
    <w:rsid w:val="00ED5344"/>
    <w:rsid w:val="00ED5429"/>
    <w:rsid w:val="00ED58AF"/>
    <w:rsid w:val="00ED5B1A"/>
    <w:rsid w:val="00ED5BC0"/>
    <w:rsid w:val="00ED5BD6"/>
    <w:rsid w:val="00ED5C0F"/>
    <w:rsid w:val="00ED5E15"/>
    <w:rsid w:val="00ED5F3C"/>
    <w:rsid w:val="00ED6326"/>
    <w:rsid w:val="00ED6999"/>
    <w:rsid w:val="00ED6F25"/>
    <w:rsid w:val="00ED71CE"/>
    <w:rsid w:val="00ED79A5"/>
    <w:rsid w:val="00ED7B98"/>
    <w:rsid w:val="00ED7CD7"/>
    <w:rsid w:val="00ED7E69"/>
    <w:rsid w:val="00ED7FAC"/>
    <w:rsid w:val="00EE06BF"/>
    <w:rsid w:val="00EE090D"/>
    <w:rsid w:val="00EE0C48"/>
    <w:rsid w:val="00EE0CF3"/>
    <w:rsid w:val="00EE0FB8"/>
    <w:rsid w:val="00EE11B8"/>
    <w:rsid w:val="00EE13C2"/>
    <w:rsid w:val="00EE15F7"/>
    <w:rsid w:val="00EE1958"/>
    <w:rsid w:val="00EE1A8C"/>
    <w:rsid w:val="00EE1EFE"/>
    <w:rsid w:val="00EE1FC8"/>
    <w:rsid w:val="00EE2502"/>
    <w:rsid w:val="00EE2A53"/>
    <w:rsid w:val="00EE2FE7"/>
    <w:rsid w:val="00EE316B"/>
    <w:rsid w:val="00EE32A8"/>
    <w:rsid w:val="00EE3362"/>
    <w:rsid w:val="00EE3398"/>
    <w:rsid w:val="00EE343D"/>
    <w:rsid w:val="00EE3509"/>
    <w:rsid w:val="00EE3734"/>
    <w:rsid w:val="00EE3968"/>
    <w:rsid w:val="00EE3A32"/>
    <w:rsid w:val="00EE3CC0"/>
    <w:rsid w:val="00EE3D83"/>
    <w:rsid w:val="00EE3E83"/>
    <w:rsid w:val="00EE3F3B"/>
    <w:rsid w:val="00EE41CC"/>
    <w:rsid w:val="00EE43ED"/>
    <w:rsid w:val="00EE4613"/>
    <w:rsid w:val="00EE4724"/>
    <w:rsid w:val="00EE48C0"/>
    <w:rsid w:val="00EE48CE"/>
    <w:rsid w:val="00EE4948"/>
    <w:rsid w:val="00EE4AC4"/>
    <w:rsid w:val="00EE4E78"/>
    <w:rsid w:val="00EE4EF4"/>
    <w:rsid w:val="00EE4F3F"/>
    <w:rsid w:val="00EE5293"/>
    <w:rsid w:val="00EE56CC"/>
    <w:rsid w:val="00EE5784"/>
    <w:rsid w:val="00EE5818"/>
    <w:rsid w:val="00EE59EE"/>
    <w:rsid w:val="00EE5A94"/>
    <w:rsid w:val="00EE5AD7"/>
    <w:rsid w:val="00EE652E"/>
    <w:rsid w:val="00EE69D3"/>
    <w:rsid w:val="00EE6A70"/>
    <w:rsid w:val="00EE6D30"/>
    <w:rsid w:val="00EE6E7D"/>
    <w:rsid w:val="00EE70F7"/>
    <w:rsid w:val="00EE78FB"/>
    <w:rsid w:val="00EE7ADE"/>
    <w:rsid w:val="00EE7B3C"/>
    <w:rsid w:val="00EF00E8"/>
    <w:rsid w:val="00EF0287"/>
    <w:rsid w:val="00EF040A"/>
    <w:rsid w:val="00EF042E"/>
    <w:rsid w:val="00EF0CC2"/>
    <w:rsid w:val="00EF1131"/>
    <w:rsid w:val="00EF17B6"/>
    <w:rsid w:val="00EF18A6"/>
    <w:rsid w:val="00EF1905"/>
    <w:rsid w:val="00EF1A68"/>
    <w:rsid w:val="00EF1E39"/>
    <w:rsid w:val="00EF1E5F"/>
    <w:rsid w:val="00EF1EEF"/>
    <w:rsid w:val="00EF1F06"/>
    <w:rsid w:val="00EF2399"/>
    <w:rsid w:val="00EF29AD"/>
    <w:rsid w:val="00EF2EE7"/>
    <w:rsid w:val="00EF2FF1"/>
    <w:rsid w:val="00EF35D9"/>
    <w:rsid w:val="00EF37E2"/>
    <w:rsid w:val="00EF3807"/>
    <w:rsid w:val="00EF3C82"/>
    <w:rsid w:val="00EF4042"/>
    <w:rsid w:val="00EF4076"/>
    <w:rsid w:val="00EF4299"/>
    <w:rsid w:val="00EF44C3"/>
    <w:rsid w:val="00EF4501"/>
    <w:rsid w:val="00EF47CE"/>
    <w:rsid w:val="00EF4835"/>
    <w:rsid w:val="00EF49E7"/>
    <w:rsid w:val="00EF4A60"/>
    <w:rsid w:val="00EF4EC1"/>
    <w:rsid w:val="00EF503A"/>
    <w:rsid w:val="00EF53D4"/>
    <w:rsid w:val="00EF55A1"/>
    <w:rsid w:val="00EF59CC"/>
    <w:rsid w:val="00EF5AE8"/>
    <w:rsid w:val="00EF64D0"/>
    <w:rsid w:val="00EF6878"/>
    <w:rsid w:val="00EF68B4"/>
    <w:rsid w:val="00EF6D97"/>
    <w:rsid w:val="00EF72F6"/>
    <w:rsid w:val="00EF7448"/>
    <w:rsid w:val="00F00424"/>
    <w:rsid w:val="00F004C5"/>
    <w:rsid w:val="00F00542"/>
    <w:rsid w:val="00F005CB"/>
    <w:rsid w:val="00F0072D"/>
    <w:rsid w:val="00F00985"/>
    <w:rsid w:val="00F009AE"/>
    <w:rsid w:val="00F00B57"/>
    <w:rsid w:val="00F00B65"/>
    <w:rsid w:val="00F00CEB"/>
    <w:rsid w:val="00F00E8E"/>
    <w:rsid w:val="00F0186A"/>
    <w:rsid w:val="00F01A2B"/>
    <w:rsid w:val="00F01FDE"/>
    <w:rsid w:val="00F021A4"/>
    <w:rsid w:val="00F022A4"/>
    <w:rsid w:val="00F0253E"/>
    <w:rsid w:val="00F0271E"/>
    <w:rsid w:val="00F02730"/>
    <w:rsid w:val="00F02742"/>
    <w:rsid w:val="00F02A82"/>
    <w:rsid w:val="00F039D2"/>
    <w:rsid w:val="00F03ADE"/>
    <w:rsid w:val="00F03CE6"/>
    <w:rsid w:val="00F03E4F"/>
    <w:rsid w:val="00F041D4"/>
    <w:rsid w:val="00F04668"/>
    <w:rsid w:val="00F049DE"/>
    <w:rsid w:val="00F049EF"/>
    <w:rsid w:val="00F04D31"/>
    <w:rsid w:val="00F051E8"/>
    <w:rsid w:val="00F0554D"/>
    <w:rsid w:val="00F0565C"/>
    <w:rsid w:val="00F05722"/>
    <w:rsid w:val="00F05754"/>
    <w:rsid w:val="00F0575B"/>
    <w:rsid w:val="00F05921"/>
    <w:rsid w:val="00F05C19"/>
    <w:rsid w:val="00F06002"/>
    <w:rsid w:val="00F061AC"/>
    <w:rsid w:val="00F061FA"/>
    <w:rsid w:val="00F062AB"/>
    <w:rsid w:val="00F066D6"/>
    <w:rsid w:val="00F06943"/>
    <w:rsid w:val="00F06BE0"/>
    <w:rsid w:val="00F06D23"/>
    <w:rsid w:val="00F06D31"/>
    <w:rsid w:val="00F06D34"/>
    <w:rsid w:val="00F06ED2"/>
    <w:rsid w:val="00F06F73"/>
    <w:rsid w:val="00F072CC"/>
    <w:rsid w:val="00F07E7D"/>
    <w:rsid w:val="00F107C7"/>
    <w:rsid w:val="00F107E9"/>
    <w:rsid w:val="00F10809"/>
    <w:rsid w:val="00F11422"/>
    <w:rsid w:val="00F1225E"/>
    <w:rsid w:val="00F125A3"/>
    <w:rsid w:val="00F125A5"/>
    <w:rsid w:val="00F12C4F"/>
    <w:rsid w:val="00F12FD0"/>
    <w:rsid w:val="00F13B4C"/>
    <w:rsid w:val="00F1430D"/>
    <w:rsid w:val="00F1435A"/>
    <w:rsid w:val="00F143EA"/>
    <w:rsid w:val="00F14DD0"/>
    <w:rsid w:val="00F153C6"/>
    <w:rsid w:val="00F15598"/>
    <w:rsid w:val="00F15DBE"/>
    <w:rsid w:val="00F1607C"/>
    <w:rsid w:val="00F16087"/>
    <w:rsid w:val="00F16316"/>
    <w:rsid w:val="00F16384"/>
    <w:rsid w:val="00F1640D"/>
    <w:rsid w:val="00F16410"/>
    <w:rsid w:val="00F16586"/>
    <w:rsid w:val="00F1675D"/>
    <w:rsid w:val="00F16844"/>
    <w:rsid w:val="00F16D72"/>
    <w:rsid w:val="00F1700F"/>
    <w:rsid w:val="00F17337"/>
    <w:rsid w:val="00F17516"/>
    <w:rsid w:val="00F179FB"/>
    <w:rsid w:val="00F17BC5"/>
    <w:rsid w:val="00F20095"/>
    <w:rsid w:val="00F202B6"/>
    <w:rsid w:val="00F2065C"/>
    <w:rsid w:val="00F20753"/>
    <w:rsid w:val="00F20881"/>
    <w:rsid w:val="00F2098F"/>
    <w:rsid w:val="00F20BC1"/>
    <w:rsid w:val="00F20BF5"/>
    <w:rsid w:val="00F21142"/>
    <w:rsid w:val="00F216DA"/>
    <w:rsid w:val="00F2170D"/>
    <w:rsid w:val="00F2175E"/>
    <w:rsid w:val="00F2176A"/>
    <w:rsid w:val="00F21AC7"/>
    <w:rsid w:val="00F21E22"/>
    <w:rsid w:val="00F2214B"/>
    <w:rsid w:val="00F22BAD"/>
    <w:rsid w:val="00F22CE6"/>
    <w:rsid w:val="00F22F22"/>
    <w:rsid w:val="00F230A1"/>
    <w:rsid w:val="00F231BC"/>
    <w:rsid w:val="00F232C3"/>
    <w:rsid w:val="00F234DB"/>
    <w:rsid w:val="00F23B31"/>
    <w:rsid w:val="00F23F61"/>
    <w:rsid w:val="00F24142"/>
    <w:rsid w:val="00F242E8"/>
    <w:rsid w:val="00F24955"/>
    <w:rsid w:val="00F24AF3"/>
    <w:rsid w:val="00F24E2E"/>
    <w:rsid w:val="00F25216"/>
    <w:rsid w:val="00F25CD3"/>
    <w:rsid w:val="00F25F17"/>
    <w:rsid w:val="00F26180"/>
    <w:rsid w:val="00F26591"/>
    <w:rsid w:val="00F26600"/>
    <w:rsid w:val="00F26A40"/>
    <w:rsid w:val="00F26BDF"/>
    <w:rsid w:val="00F27090"/>
    <w:rsid w:val="00F271AE"/>
    <w:rsid w:val="00F27265"/>
    <w:rsid w:val="00F2787D"/>
    <w:rsid w:val="00F27CAE"/>
    <w:rsid w:val="00F27EC1"/>
    <w:rsid w:val="00F27FC2"/>
    <w:rsid w:val="00F30030"/>
    <w:rsid w:val="00F3065E"/>
    <w:rsid w:val="00F30750"/>
    <w:rsid w:val="00F30B0D"/>
    <w:rsid w:val="00F30B1A"/>
    <w:rsid w:val="00F30C59"/>
    <w:rsid w:val="00F30DEB"/>
    <w:rsid w:val="00F30E20"/>
    <w:rsid w:val="00F3164D"/>
    <w:rsid w:val="00F31A55"/>
    <w:rsid w:val="00F31A90"/>
    <w:rsid w:val="00F31B36"/>
    <w:rsid w:val="00F3206A"/>
    <w:rsid w:val="00F32AAF"/>
    <w:rsid w:val="00F32CD2"/>
    <w:rsid w:val="00F32CE1"/>
    <w:rsid w:val="00F32F8D"/>
    <w:rsid w:val="00F330A6"/>
    <w:rsid w:val="00F33146"/>
    <w:rsid w:val="00F33179"/>
    <w:rsid w:val="00F33446"/>
    <w:rsid w:val="00F33A14"/>
    <w:rsid w:val="00F33B93"/>
    <w:rsid w:val="00F33D66"/>
    <w:rsid w:val="00F33E4A"/>
    <w:rsid w:val="00F34684"/>
    <w:rsid w:val="00F348DA"/>
    <w:rsid w:val="00F34AC8"/>
    <w:rsid w:val="00F34AFC"/>
    <w:rsid w:val="00F34CD9"/>
    <w:rsid w:val="00F350FD"/>
    <w:rsid w:val="00F352CA"/>
    <w:rsid w:val="00F352DB"/>
    <w:rsid w:val="00F355EB"/>
    <w:rsid w:val="00F358C9"/>
    <w:rsid w:val="00F35CE9"/>
    <w:rsid w:val="00F35DD4"/>
    <w:rsid w:val="00F36066"/>
    <w:rsid w:val="00F36492"/>
    <w:rsid w:val="00F36CA6"/>
    <w:rsid w:val="00F3703E"/>
    <w:rsid w:val="00F375DA"/>
    <w:rsid w:val="00F376A0"/>
    <w:rsid w:val="00F3780B"/>
    <w:rsid w:val="00F37819"/>
    <w:rsid w:val="00F378C6"/>
    <w:rsid w:val="00F37AC7"/>
    <w:rsid w:val="00F4053B"/>
    <w:rsid w:val="00F405C7"/>
    <w:rsid w:val="00F406CB"/>
    <w:rsid w:val="00F40A70"/>
    <w:rsid w:val="00F40CFF"/>
    <w:rsid w:val="00F412FE"/>
    <w:rsid w:val="00F41734"/>
    <w:rsid w:val="00F418C8"/>
    <w:rsid w:val="00F418F8"/>
    <w:rsid w:val="00F41A62"/>
    <w:rsid w:val="00F41A9D"/>
    <w:rsid w:val="00F41DDF"/>
    <w:rsid w:val="00F41F24"/>
    <w:rsid w:val="00F42324"/>
    <w:rsid w:val="00F4243D"/>
    <w:rsid w:val="00F42952"/>
    <w:rsid w:val="00F431E9"/>
    <w:rsid w:val="00F4336D"/>
    <w:rsid w:val="00F43768"/>
    <w:rsid w:val="00F43B64"/>
    <w:rsid w:val="00F43D50"/>
    <w:rsid w:val="00F43D88"/>
    <w:rsid w:val="00F441E2"/>
    <w:rsid w:val="00F446EC"/>
    <w:rsid w:val="00F44A18"/>
    <w:rsid w:val="00F44A50"/>
    <w:rsid w:val="00F44D7B"/>
    <w:rsid w:val="00F44E06"/>
    <w:rsid w:val="00F44FFB"/>
    <w:rsid w:val="00F451B5"/>
    <w:rsid w:val="00F45210"/>
    <w:rsid w:val="00F4558C"/>
    <w:rsid w:val="00F45DEE"/>
    <w:rsid w:val="00F46132"/>
    <w:rsid w:val="00F46530"/>
    <w:rsid w:val="00F4657F"/>
    <w:rsid w:val="00F469F8"/>
    <w:rsid w:val="00F46CCD"/>
    <w:rsid w:val="00F46F3E"/>
    <w:rsid w:val="00F46F4E"/>
    <w:rsid w:val="00F47625"/>
    <w:rsid w:val="00F47773"/>
    <w:rsid w:val="00F4778C"/>
    <w:rsid w:val="00F47A3F"/>
    <w:rsid w:val="00F47A7E"/>
    <w:rsid w:val="00F47C63"/>
    <w:rsid w:val="00F47D95"/>
    <w:rsid w:val="00F47DDB"/>
    <w:rsid w:val="00F508A5"/>
    <w:rsid w:val="00F50B53"/>
    <w:rsid w:val="00F50D23"/>
    <w:rsid w:val="00F510E6"/>
    <w:rsid w:val="00F51369"/>
    <w:rsid w:val="00F51706"/>
    <w:rsid w:val="00F51B14"/>
    <w:rsid w:val="00F51CA2"/>
    <w:rsid w:val="00F52546"/>
    <w:rsid w:val="00F529B9"/>
    <w:rsid w:val="00F52C7B"/>
    <w:rsid w:val="00F52D1B"/>
    <w:rsid w:val="00F52D46"/>
    <w:rsid w:val="00F53067"/>
    <w:rsid w:val="00F53160"/>
    <w:rsid w:val="00F5317A"/>
    <w:rsid w:val="00F53192"/>
    <w:rsid w:val="00F53240"/>
    <w:rsid w:val="00F5337F"/>
    <w:rsid w:val="00F53412"/>
    <w:rsid w:val="00F53509"/>
    <w:rsid w:val="00F53547"/>
    <w:rsid w:val="00F537E9"/>
    <w:rsid w:val="00F538D5"/>
    <w:rsid w:val="00F53A5A"/>
    <w:rsid w:val="00F54053"/>
    <w:rsid w:val="00F5422C"/>
    <w:rsid w:val="00F54406"/>
    <w:rsid w:val="00F544EF"/>
    <w:rsid w:val="00F549F1"/>
    <w:rsid w:val="00F54A67"/>
    <w:rsid w:val="00F54B6F"/>
    <w:rsid w:val="00F54EAD"/>
    <w:rsid w:val="00F55193"/>
    <w:rsid w:val="00F559BD"/>
    <w:rsid w:val="00F55AEF"/>
    <w:rsid w:val="00F55BBC"/>
    <w:rsid w:val="00F560E9"/>
    <w:rsid w:val="00F565AE"/>
    <w:rsid w:val="00F56643"/>
    <w:rsid w:val="00F56CB5"/>
    <w:rsid w:val="00F573AB"/>
    <w:rsid w:val="00F57409"/>
    <w:rsid w:val="00F576A8"/>
    <w:rsid w:val="00F5780B"/>
    <w:rsid w:val="00F579E6"/>
    <w:rsid w:val="00F57D8C"/>
    <w:rsid w:val="00F57E21"/>
    <w:rsid w:val="00F57FA2"/>
    <w:rsid w:val="00F6007A"/>
    <w:rsid w:val="00F60140"/>
    <w:rsid w:val="00F60499"/>
    <w:rsid w:val="00F6085A"/>
    <w:rsid w:val="00F60ABD"/>
    <w:rsid w:val="00F60B71"/>
    <w:rsid w:val="00F6100B"/>
    <w:rsid w:val="00F6118E"/>
    <w:rsid w:val="00F612FE"/>
    <w:rsid w:val="00F613EC"/>
    <w:rsid w:val="00F61920"/>
    <w:rsid w:val="00F62116"/>
    <w:rsid w:val="00F62260"/>
    <w:rsid w:val="00F62B95"/>
    <w:rsid w:val="00F62D1D"/>
    <w:rsid w:val="00F639FF"/>
    <w:rsid w:val="00F63AF0"/>
    <w:rsid w:val="00F63BC1"/>
    <w:rsid w:val="00F6403F"/>
    <w:rsid w:val="00F64590"/>
    <w:rsid w:val="00F65135"/>
    <w:rsid w:val="00F6521C"/>
    <w:rsid w:val="00F6569A"/>
    <w:rsid w:val="00F65769"/>
    <w:rsid w:val="00F657DB"/>
    <w:rsid w:val="00F657F0"/>
    <w:rsid w:val="00F658AA"/>
    <w:rsid w:val="00F65BB5"/>
    <w:rsid w:val="00F65BED"/>
    <w:rsid w:val="00F65D1D"/>
    <w:rsid w:val="00F65DD8"/>
    <w:rsid w:val="00F661C8"/>
    <w:rsid w:val="00F66510"/>
    <w:rsid w:val="00F666C0"/>
    <w:rsid w:val="00F668E2"/>
    <w:rsid w:val="00F66900"/>
    <w:rsid w:val="00F66926"/>
    <w:rsid w:val="00F66B7C"/>
    <w:rsid w:val="00F67620"/>
    <w:rsid w:val="00F67952"/>
    <w:rsid w:val="00F67999"/>
    <w:rsid w:val="00F67CF7"/>
    <w:rsid w:val="00F701A1"/>
    <w:rsid w:val="00F70246"/>
    <w:rsid w:val="00F7041A"/>
    <w:rsid w:val="00F70449"/>
    <w:rsid w:val="00F70468"/>
    <w:rsid w:val="00F704D6"/>
    <w:rsid w:val="00F704D9"/>
    <w:rsid w:val="00F704F5"/>
    <w:rsid w:val="00F7074F"/>
    <w:rsid w:val="00F708AE"/>
    <w:rsid w:val="00F70ABD"/>
    <w:rsid w:val="00F70C3D"/>
    <w:rsid w:val="00F70E1C"/>
    <w:rsid w:val="00F70F54"/>
    <w:rsid w:val="00F7118C"/>
    <w:rsid w:val="00F711F8"/>
    <w:rsid w:val="00F714B4"/>
    <w:rsid w:val="00F71ED5"/>
    <w:rsid w:val="00F72890"/>
    <w:rsid w:val="00F72C0C"/>
    <w:rsid w:val="00F72FEF"/>
    <w:rsid w:val="00F7301E"/>
    <w:rsid w:val="00F731BA"/>
    <w:rsid w:val="00F731F3"/>
    <w:rsid w:val="00F73657"/>
    <w:rsid w:val="00F73A10"/>
    <w:rsid w:val="00F73E10"/>
    <w:rsid w:val="00F7400A"/>
    <w:rsid w:val="00F74092"/>
    <w:rsid w:val="00F7416F"/>
    <w:rsid w:val="00F74342"/>
    <w:rsid w:val="00F743CC"/>
    <w:rsid w:val="00F74FBE"/>
    <w:rsid w:val="00F75059"/>
    <w:rsid w:val="00F7510A"/>
    <w:rsid w:val="00F7511D"/>
    <w:rsid w:val="00F75120"/>
    <w:rsid w:val="00F757C2"/>
    <w:rsid w:val="00F7588A"/>
    <w:rsid w:val="00F758E3"/>
    <w:rsid w:val="00F758E6"/>
    <w:rsid w:val="00F7595C"/>
    <w:rsid w:val="00F759D4"/>
    <w:rsid w:val="00F75AC4"/>
    <w:rsid w:val="00F76085"/>
    <w:rsid w:val="00F762AB"/>
    <w:rsid w:val="00F76773"/>
    <w:rsid w:val="00F76971"/>
    <w:rsid w:val="00F76A78"/>
    <w:rsid w:val="00F76B26"/>
    <w:rsid w:val="00F7713D"/>
    <w:rsid w:val="00F7735B"/>
    <w:rsid w:val="00F776A6"/>
    <w:rsid w:val="00F77861"/>
    <w:rsid w:val="00F778DD"/>
    <w:rsid w:val="00F77BBD"/>
    <w:rsid w:val="00F807B3"/>
    <w:rsid w:val="00F808F3"/>
    <w:rsid w:val="00F80925"/>
    <w:rsid w:val="00F80BCF"/>
    <w:rsid w:val="00F80E5A"/>
    <w:rsid w:val="00F80F84"/>
    <w:rsid w:val="00F811FC"/>
    <w:rsid w:val="00F81513"/>
    <w:rsid w:val="00F81B52"/>
    <w:rsid w:val="00F81C67"/>
    <w:rsid w:val="00F820B2"/>
    <w:rsid w:val="00F82959"/>
    <w:rsid w:val="00F82A79"/>
    <w:rsid w:val="00F82B83"/>
    <w:rsid w:val="00F82BEA"/>
    <w:rsid w:val="00F82EBC"/>
    <w:rsid w:val="00F82FFA"/>
    <w:rsid w:val="00F833EF"/>
    <w:rsid w:val="00F8370F"/>
    <w:rsid w:val="00F83731"/>
    <w:rsid w:val="00F83AEB"/>
    <w:rsid w:val="00F84234"/>
    <w:rsid w:val="00F84471"/>
    <w:rsid w:val="00F844B3"/>
    <w:rsid w:val="00F846CE"/>
    <w:rsid w:val="00F848E0"/>
    <w:rsid w:val="00F849D1"/>
    <w:rsid w:val="00F84B2E"/>
    <w:rsid w:val="00F84D67"/>
    <w:rsid w:val="00F84EBE"/>
    <w:rsid w:val="00F8514B"/>
    <w:rsid w:val="00F8547E"/>
    <w:rsid w:val="00F85892"/>
    <w:rsid w:val="00F86EC5"/>
    <w:rsid w:val="00F86F13"/>
    <w:rsid w:val="00F8779E"/>
    <w:rsid w:val="00F87C2F"/>
    <w:rsid w:val="00F87C7D"/>
    <w:rsid w:val="00F87EAE"/>
    <w:rsid w:val="00F87FCB"/>
    <w:rsid w:val="00F9022B"/>
    <w:rsid w:val="00F90363"/>
    <w:rsid w:val="00F903B0"/>
    <w:rsid w:val="00F9097E"/>
    <w:rsid w:val="00F90B39"/>
    <w:rsid w:val="00F90B82"/>
    <w:rsid w:val="00F90CAC"/>
    <w:rsid w:val="00F90D8F"/>
    <w:rsid w:val="00F90DEC"/>
    <w:rsid w:val="00F90ECD"/>
    <w:rsid w:val="00F91251"/>
    <w:rsid w:val="00F912B6"/>
    <w:rsid w:val="00F91A61"/>
    <w:rsid w:val="00F91BD7"/>
    <w:rsid w:val="00F91F7B"/>
    <w:rsid w:val="00F92375"/>
    <w:rsid w:val="00F9255A"/>
    <w:rsid w:val="00F92655"/>
    <w:rsid w:val="00F926E5"/>
    <w:rsid w:val="00F9272D"/>
    <w:rsid w:val="00F927DD"/>
    <w:rsid w:val="00F92AAB"/>
    <w:rsid w:val="00F92C4A"/>
    <w:rsid w:val="00F92CC8"/>
    <w:rsid w:val="00F92D98"/>
    <w:rsid w:val="00F92FC3"/>
    <w:rsid w:val="00F93292"/>
    <w:rsid w:val="00F93645"/>
    <w:rsid w:val="00F93DA1"/>
    <w:rsid w:val="00F93E22"/>
    <w:rsid w:val="00F93ED4"/>
    <w:rsid w:val="00F9409D"/>
    <w:rsid w:val="00F940C6"/>
    <w:rsid w:val="00F947A8"/>
    <w:rsid w:val="00F94B96"/>
    <w:rsid w:val="00F9557A"/>
    <w:rsid w:val="00F95B60"/>
    <w:rsid w:val="00F95E89"/>
    <w:rsid w:val="00F95EE1"/>
    <w:rsid w:val="00F95F65"/>
    <w:rsid w:val="00F96126"/>
    <w:rsid w:val="00F96371"/>
    <w:rsid w:val="00F9659A"/>
    <w:rsid w:val="00F9760F"/>
    <w:rsid w:val="00F9789D"/>
    <w:rsid w:val="00F97A98"/>
    <w:rsid w:val="00F97ED8"/>
    <w:rsid w:val="00FA00EC"/>
    <w:rsid w:val="00FA00FB"/>
    <w:rsid w:val="00FA0161"/>
    <w:rsid w:val="00FA085E"/>
    <w:rsid w:val="00FA0964"/>
    <w:rsid w:val="00FA09C9"/>
    <w:rsid w:val="00FA0B7C"/>
    <w:rsid w:val="00FA0FDD"/>
    <w:rsid w:val="00FA10AC"/>
    <w:rsid w:val="00FA10CC"/>
    <w:rsid w:val="00FA1196"/>
    <w:rsid w:val="00FA14A4"/>
    <w:rsid w:val="00FA173D"/>
    <w:rsid w:val="00FA1A70"/>
    <w:rsid w:val="00FA1AC5"/>
    <w:rsid w:val="00FA1B2C"/>
    <w:rsid w:val="00FA1EA9"/>
    <w:rsid w:val="00FA1EAF"/>
    <w:rsid w:val="00FA208E"/>
    <w:rsid w:val="00FA25CD"/>
    <w:rsid w:val="00FA26B9"/>
    <w:rsid w:val="00FA2767"/>
    <w:rsid w:val="00FA28A8"/>
    <w:rsid w:val="00FA28AB"/>
    <w:rsid w:val="00FA3291"/>
    <w:rsid w:val="00FA334F"/>
    <w:rsid w:val="00FA369B"/>
    <w:rsid w:val="00FA3A25"/>
    <w:rsid w:val="00FA3A2A"/>
    <w:rsid w:val="00FA4818"/>
    <w:rsid w:val="00FA4B4E"/>
    <w:rsid w:val="00FA4CFE"/>
    <w:rsid w:val="00FA527F"/>
    <w:rsid w:val="00FA5524"/>
    <w:rsid w:val="00FA55BE"/>
    <w:rsid w:val="00FA592A"/>
    <w:rsid w:val="00FA5EFF"/>
    <w:rsid w:val="00FA5FCE"/>
    <w:rsid w:val="00FA610F"/>
    <w:rsid w:val="00FA61D2"/>
    <w:rsid w:val="00FA6719"/>
    <w:rsid w:val="00FA6735"/>
    <w:rsid w:val="00FA729B"/>
    <w:rsid w:val="00FA7831"/>
    <w:rsid w:val="00FA7B01"/>
    <w:rsid w:val="00FA7C5A"/>
    <w:rsid w:val="00FA7C71"/>
    <w:rsid w:val="00FA7F12"/>
    <w:rsid w:val="00FA7F6E"/>
    <w:rsid w:val="00FA7FDE"/>
    <w:rsid w:val="00FA7FE6"/>
    <w:rsid w:val="00FB0231"/>
    <w:rsid w:val="00FB0484"/>
    <w:rsid w:val="00FB075E"/>
    <w:rsid w:val="00FB08F4"/>
    <w:rsid w:val="00FB09BE"/>
    <w:rsid w:val="00FB0AD5"/>
    <w:rsid w:val="00FB0B91"/>
    <w:rsid w:val="00FB0D85"/>
    <w:rsid w:val="00FB1194"/>
    <w:rsid w:val="00FB154C"/>
    <w:rsid w:val="00FB181A"/>
    <w:rsid w:val="00FB183D"/>
    <w:rsid w:val="00FB1A0F"/>
    <w:rsid w:val="00FB1A94"/>
    <w:rsid w:val="00FB1F5B"/>
    <w:rsid w:val="00FB229E"/>
    <w:rsid w:val="00FB2463"/>
    <w:rsid w:val="00FB288D"/>
    <w:rsid w:val="00FB2B3C"/>
    <w:rsid w:val="00FB32A5"/>
    <w:rsid w:val="00FB32C2"/>
    <w:rsid w:val="00FB3349"/>
    <w:rsid w:val="00FB33C6"/>
    <w:rsid w:val="00FB420C"/>
    <w:rsid w:val="00FB4506"/>
    <w:rsid w:val="00FB48A1"/>
    <w:rsid w:val="00FB4976"/>
    <w:rsid w:val="00FB4AB9"/>
    <w:rsid w:val="00FB4E2F"/>
    <w:rsid w:val="00FB50EC"/>
    <w:rsid w:val="00FB53EB"/>
    <w:rsid w:val="00FB544E"/>
    <w:rsid w:val="00FB54EC"/>
    <w:rsid w:val="00FB5CCF"/>
    <w:rsid w:val="00FB5DFA"/>
    <w:rsid w:val="00FB5EE6"/>
    <w:rsid w:val="00FB6074"/>
    <w:rsid w:val="00FB615A"/>
    <w:rsid w:val="00FB6202"/>
    <w:rsid w:val="00FB628C"/>
    <w:rsid w:val="00FB65D9"/>
    <w:rsid w:val="00FB68CC"/>
    <w:rsid w:val="00FB68D9"/>
    <w:rsid w:val="00FB6BC3"/>
    <w:rsid w:val="00FB7322"/>
    <w:rsid w:val="00FB7441"/>
    <w:rsid w:val="00FB7826"/>
    <w:rsid w:val="00FB7A3A"/>
    <w:rsid w:val="00FB7B77"/>
    <w:rsid w:val="00FC05E1"/>
    <w:rsid w:val="00FC0856"/>
    <w:rsid w:val="00FC0E6E"/>
    <w:rsid w:val="00FC133D"/>
    <w:rsid w:val="00FC1574"/>
    <w:rsid w:val="00FC15CF"/>
    <w:rsid w:val="00FC191E"/>
    <w:rsid w:val="00FC1F83"/>
    <w:rsid w:val="00FC2203"/>
    <w:rsid w:val="00FC244E"/>
    <w:rsid w:val="00FC2490"/>
    <w:rsid w:val="00FC2C80"/>
    <w:rsid w:val="00FC2C93"/>
    <w:rsid w:val="00FC2D11"/>
    <w:rsid w:val="00FC3333"/>
    <w:rsid w:val="00FC34EB"/>
    <w:rsid w:val="00FC35D9"/>
    <w:rsid w:val="00FC3805"/>
    <w:rsid w:val="00FC38FC"/>
    <w:rsid w:val="00FC3A9C"/>
    <w:rsid w:val="00FC3CCF"/>
    <w:rsid w:val="00FC40C0"/>
    <w:rsid w:val="00FC4151"/>
    <w:rsid w:val="00FC43F7"/>
    <w:rsid w:val="00FC48BE"/>
    <w:rsid w:val="00FC48E6"/>
    <w:rsid w:val="00FC4E56"/>
    <w:rsid w:val="00FC4E8A"/>
    <w:rsid w:val="00FC4EC4"/>
    <w:rsid w:val="00FC5117"/>
    <w:rsid w:val="00FC52AD"/>
    <w:rsid w:val="00FC5389"/>
    <w:rsid w:val="00FC553A"/>
    <w:rsid w:val="00FC56C2"/>
    <w:rsid w:val="00FC5895"/>
    <w:rsid w:val="00FC5930"/>
    <w:rsid w:val="00FC5A72"/>
    <w:rsid w:val="00FC5C0D"/>
    <w:rsid w:val="00FC5C7C"/>
    <w:rsid w:val="00FC5DE1"/>
    <w:rsid w:val="00FC5F42"/>
    <w:rsid w:val="00FC5F43"/>
    <w:rsid w:val="00FC6031"/>
    <w:rsid w:val="00FC6050"/>
    <w:rsid w:val="00FC63BE"/>
    <w:rsid w:val="00FC676B"/>
    <w:rsid w:val="00FC6A6A"/>
    <w:rsid w:val="00FC6B17"/>
    <w:rsid w:val="00FC74FD"/>
    <w:rsid w:val="00FC78B0"/>
    <w:rsid w:val="00FC7AD6"/>
    <w:rsid w:val="00FC7E43"/>
    <w:rsid w:val="00FD036B"/>
    <w:rsid w:val="00FD03A1"/>
    <w:rsid w:val="00FD0AE6"/>
    <w:rsid w:val="00FD0E93"/>
    <w:rsid w:val="00FD10AC"/>
    <w:rsid w:val="00FD1ADC"/>
    <w:rsid w:val="00FD1CAE"/>
    <w:rsid w:val="00FD1EC9"/>
    <w:rsid w:val="00FD203C"/>
    <w:rsid w:val="00FD23BC"/>
    <w:rsid w:val="00FD29DE"/>
    <w:rsid w:val="00FD2B15"/>
    <w:rsid w:val="00FD3198"/>
    <w:rsid w:val="00FD353D"/>
    <w:rsid w:val="00FD3BB1"/>
    <w:rsid w:val="00FD40CF"/>
    <w:rsid w:val="00FD4286"/>
    <w:rsid w:val="00FD446D"/>
    <w:rsid w:val="00FD4BAD"/>
    <w:rsid w:val="00FD5027"/>
    <w:rsid w:val="00FD506E"/>
    <w:rsid w:val="00FD50E8"/>
    <w:rsid w:val="00FD52CC"/>
    <w:rsid w:val="00FD5370"/>
    <w:rsid w:val="00FD53F8"/>
    <w:rsid w:val="00FD5560"/>
    <w:rsid w:val="00FD58E2"/>
    <w:rsid w:val="00FD5951"/>
    <w:rsid w:val="00FD5AC2"/>
    <w:rsid w:val="00FD5C99"/>
    <w:rsid w:val="00FD5EC2"/>
    <w:rsid w:val="00FD6040"/>
    <w:rsid w:val="00FD60BE"/>
    <w:rsid w:val="00FD6365"/>
    <w:rsid w:val="00FD6420"/>
    <w:rsid w:val="00FD6950"/>
    <w:rsid w:val="00FD69F8"/>
    <w:rsid w:val="00FD6C14"/>
    <w:rsid w:val="00FD6D2F"/>
    <w:rsid w:val="00FD772A"/>
    <w:rsid w:val="00FD7877"/>
    <w:rsid w:val="00FD794D"/>
    <w:rsid w:val="00FD799F"/>
    <w:rsid w:val="00FD7B67"/>
    <w:rsid w:val="00FE0302"/>
    <w:rsid w:val="00FE04E0"/>
    <w:rsid w:val="00FE0621"/>
    <w:rsid w:val="00FE0931"/>
    <w:rsid w:val="00FE0ADA"/>
    <w:rsid w:val="00FE0B6C"/>
    <w:rsid w:val="00FE0CBE"/>
    <w:rsid w:val="00FE0CC3"/>
    <w:rsid w:val="00FE0FD4"/>
    <w:rsid w:val="00FE1BEF"/>
    <w:rsid w:val="00FE204C"/>
    <w:rsid w:val="00FE2308"/>
    <w:rsid w:val="00FE26A7"/>
    <w:rsid w:val="00FE27FC"/>
    <w:rsid w:val="00FE2958"/>
    <w:rsid w:val="00FE2ADE"/>
    <w:rsid w:val="00FE2F68"/>
    <w:rsid w:val="00FE3073"/>
    <w:rsid w:val="00FE3738"/>
    <w:rsid w:val="00FE399D"/>
    <w:rsid w:val="00FE3C56"/>
    <w:rsid w:val="00FE3E31"/>
    <w:rsid w:val="00FE4924"/>
    <w:rsid w:val="00FE4A50"/>
    <w:rsid w:val="00FE4BF8"/>
    <w:rsid w:val="00FE4D61"/>
    <w:rsid w:val="00FE4FEB"/>
    <w:rsid w:val="00FE517C"/>
    <w:rsid w:val="00FE58D3"/>
    <w:rsid w:val="00FE5B47"/>
    <w:rsid w:val="00FE5BB6"/>
    <w:rsid w:val="00FE5BBF"/>
    <w:rsid w:val="00FE5DE0"/>
    <w:rsid w:val="00FE5F0B"/>
    <w:rsid w:val="00FE6004"/>
    <w:rsid w:val="00FE67F9"/>
    <w:rsid w:val="00FE6AB8"/>
    <w:rsid w:val="00FE6D50"/>
    <w:rsid w:val="00FE6EAA"/>
    <w:rsid w:val="00FE7155"/>
    <w:rsid w:val="00FE73E2"/>
    <w:rsid w:val="00FE7874"/>
    <w:rsid w:val="00FE7CA7"/>
    <w:rsid w:val="00FE7D17"/>
    <w:rsid w:val="00FF0335"/>
    <w:rsid w:val="00FF0641"/>
    <w:rsid w:val="00FF06B6"/>
    <w:rsid w:val="00FF0859"/>
    <w:rsid w:val="00FF0C57"/>
    <w:rsid w:val="00FF0C90"/>
    <w:rsid w:val="00FF0E05"/>
    <w:rsid w:val="00FF104A"/>
    <w:rsid w:val="00FF12C3"/>
    <w:rsid w:val="00FF1BB7"/>
    <w:rsid w:val="00FF1E63"/>
    <w:rsid w:val="00FF1F20"/>
    <w:rsid w:val="00FF232E"/>
    <w:rsid w:val="00FF2332"/>
    <w:rsid w:val="00FF27F7"/>
    <w:rsid w:val="00FF2F7D"/>
    <w:rsid w:val="00FF3215"/>
    <w:rsid w:val="00FF33B5"/>
    <w:rsid w:val="00FF3461"/>
    <w:rsid w:val="00FF393E"/>
    <w:rsid w:val="00FF3B1E"/>
    <w:rsid w:val="00FF3E57"/>
    <w:rsid w:val="00FF3E96"/>
    <w:rsid w:val="00FF3F48"/>
    <w:rsid w:val="00FF4048"/>
    <w:rsid w:val="00FF414A"/>
    <w:rsid w:val="00FF4221"/>
    <w:rsid w:val="00FF49B5"/>
    <w:rsid w:val="00FF4C71"/>
    <w:rsid w:val="00FF4CEC"/>
    <w:rsid w:val="00FF4ECC"/>
    <w:rsid w:val="00FF5162"/>
    <w:rsid w:val="00FF5187"/>
    <w:rsid w:val="00FF53E3"/>
    <w:rsid w:val="00FF6341"/>
    <w:rsid w:val="00FF6A70"/>
    <w:rsid w:val="00FF719C"/>
    <w:rsid w:val="00FF729B"/>
    <w:rsid w:val="00FF7496"/>
    <w:rsid w:val="00FF76ED"/>
    <w:rsid w:val="00FF7BD9"/>
    <w:rsid w:val="00FF7CC1"/>
    <w:rsid w:val="016CFC89"/>
    <w:rsid w:val="01ED55F6"/>
    <w:rsid w:val="0207B43C"/>
    <w:rsid w:val="02533383"/>
    <w:rsid w:val="027F9B31"/>
    <w:rsid w:val="031BA99D"/>
    <w:rsid w:val="035C9472"/>
    <w:rsid w:val="038A7FCF"/>
    <w:rsid w:val="0470C2E5"/>
    <w:rsid w:val="04968CB3"/>
    <w:rsid w:val="04FB29AF"/>
    <w:rsid w:val="053C9243"/>
    <w:rsid w:val="057780E0"/>
    <w:rsid w:val="05C76D2B"/>
    <w:rsid w:val="05DA5AA4"/>
    <w:rsid w:val="064A3F4B"/>
    <w:rsid w:val="0698F98D"/>
    <w:rsid w:val="078D3B58"/>
    <w:rsid w:val="089D749F"/>
    <w:rsid w:val="08AB8620"/>
    <w:rsid w:val="08C9EBE4"/>
    <w:rsid w:val="08D48243"/>
    <w:rsid w:val="08FFA4BB"/>
    <w:rsid w:val="0908D7B6"/>
    <w:rsid w:val="0A2F8EE2"/>
    <w:rsid w:val="0AE13CC9"/>
    <w:rsid w:val="0BC3CC03"/>
    <w:rsid w:val="0BFCA549"/>
    <w:rsid w:val="0C72DCF1"/>
    <w:rsid w:val="0CB458BA"/>
    <w:rsid w:val="0CFA4F61"/>
    <w:rsid w:val="0D30C91C"/>
    <w:rsid w:val="0D630294"/>
    <w:rsid w:val="0E17F1AA"/>
    <w:rsid w:val="0E886CBF"/>
    <w:rsid w:val="0F294BDE"/>
    <w:rsid w:val="0F8B5CF6"/>
    <w:rsid w:val="0FC20896"/>
    <w:rsid w:val="10893FB7"/>
    <w:rsid w:val="10BDA38E"/>
    <w:rsid w:val="10DEBB7F"/>
    <w:rsid w:val="10F16893"/>
    <w:rsid w:val="11435C43"/>
    <w:rsid w:val="123F9BC2"/>
    <w:rsid w:val="12A94317"/>
    <w:rsid w:val="137A2E96"/>
    <w:rsid w:val="13B44425"/>
    <w:rsid w:val="13C98F10"/>
    <w:rsid w:val="13CDE799"/>
    <w:rsid w:val="14786974"/>
    <w:rsid w:val="1498D060"/>
    <w:rsid w:val="14A87996"/>
    <w:rsid w:val="14B6AB3D"/>
    <w:rsid w:val="14CB3A18"/>
    <w:rsid w:val="1512E88D"/>
    <w:rsid w:val="154EF0A6"/>
    <w:rsid w:val="16084FAC"/>
    <w:rsid w:val="161E57F3"/>
    <w:rsid w:val="16402EB5"/>
    <w:rsid w:val="16FE2144"/>
    <w:rsid w:val="1738E394"/>
    <w:rsid w:val="18238EF1"/>
    <w:rsid w:val="182DF200"/>
    <w:rsid w:val="18757729"/>
    <w:rsid w:val="18BB337C"/>
    <w:rsid w:val="19D174FD"/>
    <w:rsid w:val="1A787835"/>
    <w:rsid w:val="1AB8C564"/>
    <w:rsid w:val="1BF21405"/>
    <w:rsid w:val="1BFE7BAC"/>
    <w:rsid w:val="1C1C507E"/>
    <w:rsid w:val="1CEA8762"/>
    <w:rsid w:val="1CFE3513"/>
    <w:rsid w:val="1CFED2DA"/>
    <w:rsid w:val="1D14C966"/>
    <w:rsid w:val="1D17B646"/>
    <w:rsid w:val="1D2A3415"/>
    <w:rsid w:val="1D2BAABD"/>
    <w:rsid w:val="1DBEC42B"/>
    <w:rsid w:val="1DC4F4EE"/>
    <w:rsid w:val="1DD3107C"/>
    <w:rsid w:val="1DDA8701"/>
    <w:rsid w:val="1E11DB2B"/>
    <w:rsid w:val="1E986260"/>
    <w:rsid w:val="1EED283D"/>
    <w:rsid w:val="1EFD895A"/>
    <w:rsid w:val="1F5A2F4A"/>
    <w:rsid w:val="1FCC3A53"/>
    <w:rsid w:val="206B92D4"/>
    <w:rsid w:val="20BA2F80"/>
    <w:rsid w:val="20F7FA52"/>
    <w:rsid w:val="20FDF573"/>
    <w:rsid w:val="210380E9"/>
    <w:rsid w:val="212756F5"/>
    <w:rsid w:val="21E484C3"/>
    <w:rsid w:val="222AA04D"/>
    <w:rsid w:val="229DEBFD"/>
    <w:rsid w:val="22BDE46F"/>
    <w:rsid w:val="232FBC72"/>
    <w:rsid w:val="2393B8A0"/>
    <w:rsid w:val="23C395A1"/>
    <w:rsid w:val="23C3A263"/>
    <w:rsid w:val="23F2CF89"/>
    <w:rsid w:val="24093945"/>
    <w:rsid w:val="24528DA4"/>
    <w:rsid w:val="24A00678"/>
    <w:rsid w:val="25365660"/>
    <w:rsid w:val="255223C8"/>
    <w:rsid w:val="25674FF2"/>
    <w:rsid w:val="261FFD1F"/>
    <w:rsid w:val="26CFD0A9"/>
    <w:rsid w:val="272C90FF"/>
    <w:rsid w:val="27FB6F7B"/>
    <w:rsid w:val="28002707"/>
    <w:rsid w:val="28309E3D"/>
    <w:rsid w:val="28469677"/>
    <w:rsid w:val="285AC315"/>
    <w:rsid w:val="28EA2DA9"/>
    <w:rsid w:val="29CE4F7C"/>
    <w:rsid w:val="2A412D4F"/>
    <w:rsid w:val="2A9E86DE"/>
    <w:rsid w:val="2B369B71"/>
    <w:rsid w:val="2B8B3305"/>
    <w:rsid w:val="2BD5E03D"/>
    <w:rsid w:val="2C3D4113"/>
    <w:rsid w:val="2C92A964"/>
    <w:rsid w:val="2C9F0493"/>
    <w:rsid w:val="2CD7BEFF"/>
    <w:rsid w:val="2D299F2A"/>
    <w:rsid w:val="2D57CE8C"/>
    <w:rsid w:val="2DDDB7A0"/>
    <w:rsid w:val="2F4DFD8B"/>
    <w:rsid w:val="2F5B5338"/>
    <w:rsid w:val="2F7B8330"/>
    <w:rsid w:val="2FF67657"/>
    <w:rsid w:val="2FFD22FB"/>
    <w:rsid w:val="30232B43"/>
    <w:rsid w:val="30B00A12"/>
    <w:rsid w:val="31065DA2"/>
    <w:rsid w:val="320003CD"/>
    <w:rsid w:val="3248E475"/>
    <w:rsid w:val="32736C2C"/>
    <w:rsid w:val="32A4AA7E"/>
    <w:rsid w:val="32C99DF0"/>
    <w:rsid w:val="331E11BC"/>
    <w:rsid w:val="332AAC82"/>
    <w:rsid w:val="33B05CA9"/>
    <w:rsid w:val="33B8BE11"/>
    <w:rsid w:val="34143BD7"/>
    <w:rsid w:val="34B0B6B4"/>
    <w:rsid w:val="3511BE2E"/>
    <w:rsid w:val="35444E4E"/>
    <w:rsid w:val="359083A8"/>
    <w:rsid w:val="36020DC4"/>
    <w:rsid w:val="36022F36"/>
    <w:rsid w:val="36891345"/>
    <w:rsid w:val="36F9AE83"/>
    <w:rsid w:val="371B677D"/>
    <w:rsid w:val="373B48B1"/>
    <w:rsid w:val="3753F404"/>
    <w:rsid w:val="37F4F227"/>
    <w:rsid w:val="38568F4B"/>
    <w:rsid w:val="385CE0A8"/>
    <w:rsid w:val="3915723C"/>
    <w:rsid w:val="393E007C"/>
    <w:rsid w:val="3971A04F"/>
    <w:rsid w:val="39DCC777"/>
    <w:rsid w:val="39F1CF40"/>
    <w:rsid w:val="3A07CAFD"/>
    <w:rsid w:val="3AAF9770"/>
    <w:rsid w:val="3B4A2CA1"/>
    <w:rsid w:val="3BAF6C0C"/>
    <w:rsid w:val="3BD4D93E"/>
    <w:rsid w:val="3C227D75"/>
    <w:rsid w:val="3C2FB5BE"/>
    <w:rsid w:val="3C4433D0"/>
    <w:rsid w:val="3C4B54FF"/>
    <w:rsid w:val="3CB6DEB4"/>
    <w:rsid w:val="3CF4D6D1"/>
    <w:rsid w:val="3D1CEC3C"/>
    <w:rsid w:val="3DE44491"/>
    <w:rsid w:val="3E18A3E3"/>
    <w:rsid w:val="3E452C8D"/>
    <w:rsid w:val="3E706186"/>
    <w:rsid w:val="3E7781D2"/>
    <w:rsid w:val="3E92B224"/>
    <w:rsid w:val="3F379DEF"/>
    <w:rsid w:val="3F56C316"/>
    <w:rsid w:val="3FEAA987"/>
    <w:rsid w:val="405FFE36"/>
    <w:rsid w:val="4077EE29"/>
    <w:rsid w:val="41BC9E7A"/>
    <w:rsid w:val="41D5FD62"/>
    <w:rsid w:val="422D02E8"/>
    <w:rsid w:val="4271AC17"/>
    <w:rsid w:val="428CB93C"/>
    <w:rsid w:val="430538A0"/>
    <w:rsid w:val="4373CBDE"/>
    <w:rsid w:val="43C45D3C"/>
    <w:rsid w:val="43CE199F"/>
    <w:rsid w:val="4406023A"/>
    <w:rsid w:val="444ABCDA"/>
    <w:rsid w:val="448CD84F"/>
    <w:rsid w:val="44C2F221"/>
    <w:rsid w:val="452D2B09"/>
    <w:rsid w:val="454726F0"/>
    <w:rsid w:val="458635F0"/>
    <w:rsid w:val="46119A32"/>
    <w:rsid w:val="469AA87E"/>
    <w:rsid w:val="469F48CA"/>
    <w:rsid w:val="46A99E08"/>
    <w:rsid w:val="4723BF5D"/>
    <w:rsid w:val="4746534C"/>
    <w:rsid w:val="477C8ECE"/>
    <w:rsid w:val="481FB922"/>
    <w:rsid w:val="48924BFE"/>
    <w:rsid w:val="49574576"/>
    <w:rsid w:val="498D18EF"/>
    <w:rsid w:val="49AC093D"/>
    <w:rsid w:val="49D75AFB"/>
    <w:rsid w:val="49F3109E"/>
    <w:rsid w:val="4A0571C8"/>
    <w:rsid w:val="4A4166C5"/>
    <w:rsid w:val="4A94A5B7"/>
    <w:rsid w:val="4B086B61"/>
    <w:rsid w:val="4B2FDCE9"/>
    <w:rsid w:val="4B39CA9D"/>
    <w:rsid w:val="4B46BAE8"/>
    <w:rsid w:val="4B80C9FE"/>
    <w:rsid w:val="4BAA790F"/>
    <w:rsid w:val="4CD2640E"/>
    <w:rsid w:val="4CEEA224"/>
    <w:rsid w:val="4CEEC6AB"/>
    <w:rsid w:val="4D24D14C"/>
    <w:rsid w:val="4D8ABC13"/>
    <w:rsid w:val="4DADE214"/>
    <w:rsid w:val="4E36EEDD"/>
    <w:rsid w:val="4E97320C"/>
    <w:rsid w:val="4F0A1DE3"/>
    <w:rsid w:val="4F0B4CE9"/>
    <w:rsid w:val="4F6A7B24"/>
    <w:rsid w:val="5102B60F"/>
    <w:rsid w:val="51CA6466"/>
    <w:rsid w:val="5232D2C5"/>
    <w:rsid w:val="524F1771"/>
    <w:rsid w:val="526E9403"/>
    <w:rsid w:val="52E5F076"/>
    <w:rsid w:val="52EAE9FF"/>
    <w:rsid w:val="5303A120"/>
    <w:rsid w:val="531C9031"/>
    <w:rsid w:val="5321A2DD"/>
    <w:rsid w:val="537824F6"/>
    <w:rsid w:val="5388CC50"/>
    <w:rsid w:val="53B918B1"/>
    <w:rsid w:val="53D19CC7"/>
    <w:rsid w:val="53FADA00"/>
    <w:rsid w:val="5454C860"/>
    <w:rsid w:val="545FD160"/>
    <w:rsid w:val="5481685F"/>
    <w:rsid w:val="5489087F"/>
    <w:rsid w:val="54C09D79"/>
    <w:rsid w:val="54C867C6"/>
    <w:rsid w:val="550510B1"/>
    <w:rsid w:val="553B650F"/>
    <w:rsid w:val="55A90983"/>
    <w:rsid w:val="55BC7648"/>
    <w:rsid w:val="55E77446"/>
    <w:rsid w:val="562A86B9"/>
    <w:rsid w:val="565744E6"/>
    <w:rsid w:val="566A55BF"/>
    <w:rsid w:val="572DBA63"/>
    <w:rsid w:val="57356E04"/>
    <w:rsid w:val="5822BDEF"/>
    <w:rsid w:val="58B0B77B"/>
    <w:rsid w:val="5900D0CE"/>
    <w:rsid w:val="597ED803"/>
    <w:rsid w:val="59864804"/>
    <w:rsid w:val="59870D46"/>
    <w:rsid w:val="59896359"/>
    <w:rsid w:val="59BC5AB2"/>
    <w:rsid w:val="5A17DAA4"/>
    <w:rsid w:val="5A63D3D7"/>
    <w:rsid w:val="5A75B322"/>
    <w:rsid w:val="5A9416E5"/>
    <w:rsid w:val="5AEDAA42"/>
    <w:rsid w:val="5B029128"/>
    <w:rsid w:val="5B0DC5CD"/>
    <w:rsid w:val="5B182418"/>
    <w:rsid w:val="5B244395"/>
    <w:rsid w:val="5B58B4DF"/>
    <w:rsid w:val="5B8EE883"/>
    <w:rsid w:val="5E888935"/>
    <w:rsid w:val="5F53792F"/>
    <w:rsid w:val="5F794D7B"/>
    <w:rsid w:val="5FACD91B"/>
    <w:rsid w:val="6078CAF1"/>
    <w:rsid w:val="61066BDD"/>
    <w:rsid w:val="6140A296"/>
    <w:rsid w:val="61632340"/>
    <w:rsid w:val="61C400C9"/>
    <w:rsid w:val="61D37E48"/>
    <w:rsid w:val="61D6DDBF"/>
    <w:rsid w:val="61D9BDA9"/>
    <w:rsid w:val="6213EFCD"/>
    <w:rsid w:val="62EF6559"/>
    <w:rsid w:val="6385C493"/>
    <w:rsid w:val="63D614D5"/>
    <w:rsid w:val="63F0F63A"/>
    <w:rsid w:val="64836B2F"/>
    <w:rsid w:val="64A3408A"/>
    <w:rsid w:val="64F39230"/>
    <w:rsid w:val="65F2E2C9"/>
    <w:rsid w:val="66A95AE7"/>
    <w:rsid w:val="66AA309D"/>
    <w:rsid w:val="66EA7F10"/>
    <w:rsid w:val="670EFC91"/>
    <w:rsid w:val="67C7F7DD"/>
    <w:rsid w:val="67DC9CF4"/>
    <w:rsid w:val="6840C339"/>
    <w:rsid w:val="68F7636C"/>
    <w:rsid w:val="68FC29D4"/>
    <w:rsid w:val="691C0BB9"/>
    <w:rsid w:val="694AD7E7"/>
    <w:rsid w:val="69596279"/>
    <w:rsid w:val="69E32BDD"/>
    <w:rsid w:val="69F47D7B"/>
    <w:rsid w:val="6A05054A"/>
    <w:rsid w:val="6A0FC1B1"/>
    <w:rsid w:val="6ADF3A9C"/>
    <w:rsid w:val="6AF388A9"/>
    <w:rsid w:val="6B58CD67"/>
    <w:rsid w:val="6C2E5AE1"/>
    <w:rsid w:val="6C4939FE"/>
    <w:rsid w:val="6CE9D341"/>
    <w:rsid w:val="6D5C4C80"/>
    <w:rsid w:val="6D9FA0EE"/>
    <w:rsid w:val="6E4ACB57"/>
    <w:rsid w:val="6EC71E51"/>
    <w:rsid w:val="6ECDF8A4"/>
    <w:rsid w:val="6F3D77C1"/>
    <w:rsid w:val="6F43197D"/>
    <w:rsid w:val="6F614393"/>
    <w:rsid w:val="6F8764BC"/>
    <w:rsid w:val="6F9DC67D"/>
    <w:rsid w:val="6F9E915E"/>
    <w:rsid w:val="6FD71FC9"/>
    <w:rsid w:val="7090A85F"/>
    <w:rsid w:val="70F89DE3"/>
    <w:rsid w:val="7207CBDB"/>
    <w:rsid w:val="727E0D6D"/>
    <w:rsid w:val="729F8574"/>
    <w:rsid w:val="72B977C9"/>
    <w:rsid w:val="73BBDAAD"/>
    <w:rsid w:val="73FCBA20"/>
    <w:rsid w:val="748FA4AF"/>
    <w:rsid w:val="751F1306"/>
    <w:rsid w:val="75CCC6B1"/>
    <w:rsid w:val="763EB329"/>
    <w:rsid w:val="7794F36F"/>
    <w:rsid w:val="77C660C6"/>
    <w:rsid w:val="77E7F6C2"/>
    <w:rsid w:val="782719D0"/>
    <w:rsid w:val="78C29E3D"/>
    <w:rsid w:val="79640123"/>
    <w:rsid w:val="796C137E"/>
    <w:rsid w:val="798F50C3"/>
    <w:rsid w:val="79C8CDE9"/>
    <w:rsid w:val="79F8AA00"/>
    <w:rsid w:val="7A2084CF"/>
    <w:rsid w:val="7A9990C4"/>
    <w:rsid w:val="7AC1CFD7"/>
    <w:rsid w:val="7AFC0991"/>
    <w:rsid w:val="7BACD4E9"/>
    <w:rsid w:val="7CE0D348"/>
    <w:rsid w:val="7CE5937C"/>
    <w:rsid w:val="7D3B0B77"/>
    <w:rsid w:val="7D6E03F4"/>
    <w:rsid w:val="7D6F1876"/>
    <w:rsid w:val="7E1674B6"/>
    <w:rsid w:val="7E1A41C4"/>
    <w:rsid w:val="7E420D8D"/>
    <w:rsid w:val="7E6D289C"/>
    <w:rsid w:val="7E702F73"/>
    <w:rsid w:val="7F1BE27A"/>
    <w:rsid w:val="7F45FB26"/>
    <w:rsid w:val="7F50EFEA"/>
    <w:rsid w:val="7F575ADF"/>
    <w:rsid w:val="7FC49241"/>
    <w:rsid w:val="7FEA32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uiPriority="2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Normal"/>
    <w:next w:val="Normal"/>
    <w:link w:val="Heading1Char"/>
    <w:qFormat/>
    <w:rsid w:val="00356C20"/>
    <w:pPr>
      <w:keepNext/>
      <w:keepLines/>
      <w:spacing w:before="240" w:after="480"/>
      <w:outlineLvl w:val="0"/>
    </w:pPr>
    <w:rPr>
      <w:rFonts w:asciiTheme="majorHAnsi" w:eastAsiaTheme="majorEastAsia" w:hAnsiTheme="majorHAnsi" w:cstheme="majorBidi"/>
      <w:b/>
      <w:color w:val="359D9A"/>
      <w:sz w:val="48"/>
      <w:szCs w:val="32"/>
    </w:rPr>
  </w:style>
  <w:style w:type="paragraph" w:styleId="Heading2">
    <w:name w:val="heading 2"/>
    <w:basedOn w:val="Normal"/>
    <w:next w:val="Normal"/>
    <w:link w:val="Heading2Char"/>
    <w:uiPriority w:val="9"/>
    <w:qFormat/>
    <w:rsid w:val="00C46888"/>
    <w:pPr>
      <w:keepNext/>
      <w:keepLines/>
      <w:pBdr>
        <w:top w:val="single" w:sz="4" w:space="4" w:color="808080" w:themeColor="background1" w:themeShade="80"/>
        <w:bottom w:val="single" w:sz="4" w:space="4" w:color="808080" w:themeColor="background1" w:themeShade="80"/>
      </w:pBdr>
      <w:spacing w:before="240" w:after="240"/>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uiPriority w:val="9"/>
    <w:qFormat/>
    <w:rsid w:val="000135F9"/>
    <w:pPr>
      <w:keepNext/>
      <w:keepLines/>
      <w:spacing w:before="240" w:after="240"/>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uiPriority w:val="9"/>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uiPriority w:val="9"/>
    <w:qFormat/>
    <w:rsid w:val="000C6069"/>
    <w:pPr>
      <w:keepNext/>
      <w:keepLines/>
      <w:spacing w:line="276" w:lineRule="auto"/>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9"/>
    <w:semiHidden/>
    <w:qFormat/>
    <w:rsid w:val="0090794D"/>
    <w:pPr>
      <w:keepNext/>
      <w:keepLines/>
      <w:spacing w:before="40" w:after="0"/>
      <w:outlineLvl w:val="5"/>
    </w:pPr>
    <w:rPr>
      <w:rFonts w:asciiTheme="majorHAnsi" w:eastAsiaTheme="majorEastAsia" w:hAnsiTheme="majorHAnsi" w:cstheme="majorBidi"/>
      <w:color w:val="816019" w:themeColor="accent1" w:themeShade="7F"/>
    </w:rPr>
  </w:style>
  <w:style w:type="paragraph" w:styleId="Heading7">
    <w:name w:val="heading 7"/>
    <w:basedOn w:val="Normal"/>
    <w:next w:val="Normal"/>
    <w:link w:val="Heading7Char"/>
    <w:uiPriority w:val="9"/>
    <w:semiHidden/>
    <w:unhideWhenUsed/>
    <w:qFormat/>
    <w:rsid w:val="00FC5A72"/>
    <w:pPr>
      <w:keepNext/>
      <w:keepLines/>
      <w:spacing w:before="40" w:after="0"/>
      <w:outlineLvl w:val="6"/>
    </w:pPr>
    <w:rPr>
      <w:rFonts w:asciiTheme="majorHAnsi" w:eastAsiaTheme="majorEastAsia" w:hAnsiTheme="majorHAnsi" w:cstheme="majorBidi"/>
      <w:i/>
      <w:iCs/>
      <w:color w:val="816019" w:themeColor="accent1" w:themeShade="7F"/>
      <w:sz w:val="22"/>
      <w:lang w:eastAsia="ja-JP"/>
    </w:rPr>
  </w:style>
  <w:style w:type="paragraph" w:styleId="Heading8">
    <w:name w:val="heading 8"/>
    <w:basedOn w:val="Normal"/>
    <w:next w:val="Normal"/>
    <w:link w:val="Heading8Char"/>
    <w:uiPriority w:val="9"/>
    <w:semiHidden/>
    <w:unhideWhenUsed/>
    <w:qFormat/>
    <w:rsid w:val="00FC5A72"/>
    <w:pPr>
      <w:keepNext/>
      <w:keepLines/>
      <w:spacing w:before="40" w:after="0"/>
      <w:outlineLvl w:val="7"/>
    </w:pPr>
    <w:rPr>
      <w:rFonts w:asciiTheme="majorHAnsi" w:eastAsiaTheme="majorEastAsia" w:hAnsiTheme="majorHAnsi" w:cstheme="majorBidi"/>
      <w:color w:val="272727" w:themeColor="text1" w:themeTint="D8"/>
      <w:sz w:val="21"/>
      <w:szCs w:val="21"/>
      <w:lang w:eastAsia="ja-JP"/>
    </w:rPr>
  </w:style>
  <w:style w:type="paragraph" w:styleId="Heading9">
    <w:name w:val="heading 9"/>
    <w:basedOn w:val="Normal"/>
    <w:next w:val="Normal"/>
    <w:link w:val="Heading9Char"/>
    <w:uiPriority w:val="9"/>
    <w:semiHidden/>
    <w:unhideWhenUsed/>
    <w:qFormat/>
    <w:rsid w:val="00FC5A72"/>
    <w:pPr>
      <w:keepNext/>
      <w:keepLines/>
      <w:spacing w:before="40" w:after="0"/>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6C20"/>
    <w:rPr>
      <w:rFonts w:asciiTheme="majorHAnsi" w:eastAsiaTheme="majorEastAsia" w:hAnsiTheme="majorHAnsi" w:cstheme="majorBidi"/>
      <w:b/>
      <w:color w:val="359D9A"/>
      <w:sz w:val="48"/>
      <w:szCs w:val="32"/>
    </w:rPr>
  </w:style>
  <w:style w:type="paragraph" w:customStyle="1" w:styleId="BodyText1">
    <w:name w:val="Body Text 1"/>
    <w:link w:val="BodyText1Char"/>
    <w:uiPriority w:val="2"/>
    <w:qFormat/>
    <w:rsid w:val="00AF7692"/>
    <w:pPr>
      <w:spacing w:before="120" w:after="120" w:line="276" w:lineRule="auto"/>
    </w:pPr>
  </w:style>
  <w:style w:type="character" w:customStyle="1" w:styleId="Heading2Char">
    <w:name w:val="Heading 2 Char"/>
    <w:basedOn w:val="DefaultParagraphFont"/>
    <w:link w:val="Heading2"/>
    <w:uiPriority w:val="9"/>
    <w:rsid w:val="00C46888"/>
    <w:rPr>
      <w:rFonts w:asciiTheme="majorHAnsi" w:eastAsiaTheme="majorEastAsia" w:hAnsiTheme="majorHAnsi" w:cstheme="majorBidi"/>
      <w:b/>
      <w:bCs/>
      <w:color w:val="000000" w:themeColor="text1"/>
      <w:sz w:val="24"/>
      <w:szCs w:val="26"/>
    </w:rPr>
  </w:style>
  <w:style w:type="paragraph" w:customStyle="1" w:styleId="Bodybullet1">
    <w:name w:val="Body bullet 1"/>
    <w:link w:val="Bodybullet1Char"/>
    <w:uiPriority w:val="2"/>
    <w:qFormat/>
    <w:rsid w:val="007C1DD0"/>
    <w:pPr>
      <w:numPr>
        <w:numId w:val="7"/>
      </w:numPr>
      <w:spacing w:before="120" w:after="120" w:line="276" w:lineRule="auto"/>
    </w:pPr>
  </w:style>
  <w:style w:type="paragraph" w:customStyle="1" w:styleId="Bodybullet2">
    <w:name w:val="Body bullet 2"/>
    <w:next w:val="Normal"/>
    <w:uiPriority w:val="99"/>
    <w:semiHidden/>
    <w:qFormat/>
    <w:rsid w:val="0030644C"/>
    <w:pPr>
      <w:numPr>
        <w:numId w:val="1"/>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uiPriority w:val="99"/>
    <w:qFormat/>
    <w:rsid w:val="002B2058"/>
    <w:pPr>
      <w:spacing w:before="240" w:after="240" w:line="240" w:lineRule="auto"/>
    </w:pPr>
    <w:rPr>
      <w:rFonts w:asciiTheme="majorHAnsi" w:eastAsiaTheme="majorEastAsia" w:hAnsiTheme="majorHAnsi" w:cstheme="majorBidi"/>
      <w:b/>
      <w:color w:val="359D9A" w:themeColor="accent2"/>
      <w:sz w:val="56"/>
      <w:szCs w:val="56"/>
    </w:rPr>
  </w:style>
  <w:style w:type="character" w:customStyle="1" w:styleId="Heading3Char">
    <w:name w:val="Heading 3 Char"/>
    <w:basedOn w:val="DefaultParagraphFont"/>
    <w:link w:val="Heading3"/>
    <w:uiPriority w:val="9"/>
    <w:rsid w:val="000135F9"/>
    <w:rPr>
      <w:rFonts w:eastAsiaTheme="majorEastAsia" w:cstheme="majorBidi"/>
      <w:b/>
      <w:color w:val="000000" w:themeColor="text1"/>
      <w:sz w:val="24"/>
      <w:szCs w:val="24"/>
    </w:rPr>
  </w:style>
  <w:style w:type="paragraph" w:styleId="TOC1">
    <w:name w:val="toc 1"/>
    <w:basedOn w:val="Normal"/>
    <w:next w:val="Normal"/>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135F9"/>
    <w:rPr>
      <w:color w:val="000000" w:themeColor="text1"/>
      <w:lang w:val="en-AU"/>
    </w:rPr>
  </w:style>
  <w:style w:type="paragraph" w:styleId="Header">
    <w:name w:val="header"/>
    <w:basedOn w:val="Normal"/>
    <w:link w:val="HeaderChar"/>
    <w:autoRedefine/>
    <w:uiPriority w:val="99"/>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rsid w:val="00AE67AB"/>
    <w:rPr>
      <w:rFonts w:ascii="Arial" w:hAnsi="Arial"/>
      <w:color w:val="808080" w:themeColor="background1" w:themeShade="80"/>
      <w:sz w:val="16"/>
    </w:rPr>
  </w:style>
  <w:style w:type="paragraph" w:styleId="Footer">
    <w:name w:val="footer"/>
    <w:basedOn w:val="BodyText1"/>
    <w:link w:val="FooterChar"/>
    <w:uiPriority w:val="99"/>
    <w:unhideWhenUsed/>
    <w:qFormat/>
    <w:rsid w:val="007120F0"/>
    <w:rPr>
      <w:color w:val="0D0D0D" w:themeColor="text1" w:themeTint="F2"/>
      <w:sz w:val="18"/>
      <w:szCs w:val="18"/>
    </w:rPr>
  </w:style>
  <w:style w:type="character" w:customStyle="1" w:styleId="FooterChar">
    <w:name w:val="Footer Char"/>
    <w:basedOn w:val="DefaultParagraphFont"/>
    <w:link w:val="Footer"/>
    <w:uiPriority w:val="99"/>
    <w:rsid w:val="007120F0"/>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uiPriority w:val="11"/>
    <w:qFormat/>
    <w:rsid w:val="00B46FBC"/>
    <w:pPr>
      <w:spacing w:before="120" w:after="120" w:line="240" w:lineRule="auto"/>
    </w:pPr>
    <w:rPr>
      <w:rFonts w:asciiTheme="majorHAnsi" w:hAnsiTheme="majorHAnsi"/>
      <w:b/>
      <w:color w:val="000000" w:themeColor="text1"/>
      <w:sz w:val="20"/>
    </w:rPr>
  </w:style>
  <w:style w:type="paragraph" w:customStyle="1" w:styleId="Tablebodytext">
    <w:name w:val="Table body text"/>
    <w:uiPriority w:val="12"/>
    <w:qFormat/>
    <w:rsid w:val="003B78B4"/>
    <w:pPr>
      <w:spacing w:before="60" w:after="60" w:line="240" w:lineRule="auto"/>
    </w:pPr>
    <w:rPr>
      <w:color w:val="000000" w:themeColor="text1"/>
      <w:sz w:val="20"/>
    </w:rPr>
  </w:style>
  <w:style w:type="paragraph" w:customStyle="1" w:styleId="Tablebullet1">
    <w:name w:val="Table bullet 1"/>
    <w:basedOn w:val="Bodybullet1"/>
    <w:next w:val="BodyText1"/>
    <w:uiPriority w:val="12"/>
    <w:qFormat/>
    <w:rsid w:val="005E1D9F"/>
    <w:pPr>
      <w:spacing w:before="0" w:after="0"/>
    </w:pPr>
    <w:rPr>
      <w:rFonts w:eastAsia="Times New Roman" w:cstheme="minorHAnsi"/>
      <w:sz w:val="20"/>
      <w:szCs w:val="20"/>
      <w:lang w:eastAsia="ja-JP"/>
    </w:rPr>
  </w:style>
  <w:style w:type="paragraph" w:customStyle="1" w:styleId="Tablebullet2">
    <w:name w:val="Table bullet 2"/>
    <w:next w:val="BodyText1"/>
    <w:uiPriority w:val="12"/>
    <w:qFormat/>
    <w:rsid w:val="00DE1CC4"/>
    <w:pPr>
      <w:numPr>
        <w:numId w:val="2"/>
      </w:numPr>
      <w:spacing w:before="40" w:after="40" w:line="240" w:lineRule="auto"/>
    </w:pPr>
    <w:rPr>
      <w:sz w:val="20"/>
      <w:szCs w:val="24"/>
      <w:lang w:val="en-US" w:eastAsia="ja-JP"/>
    </w:rPr>
  </w:style>
  <w:style w:type="paragraph" w:customStyle="1" w:styleId="Numberedlist1">
    <w:name w:val="Numbered list 1"/>
    <w:uiPriority w:val="7"/>
    <w:qFormat/>
    <w:rsid w:val="007C1DD0"/>
    <w:pPr>
      <w:numPr>
        <w:numId w:val="3"/>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uiPriority w:val="10"/>
    <w:qFormat/>
    <w:rsid w:val="000C6069"/>
    <w:pPr>
      <w:spacing w:before="240" w:after="240" w:line="240" w:lineRule="auto"/>
    </w:pPr>
    <w:rPr>
      <w:i/>
      <w:color w:val="000000" w:themeColor="text1"/>
      <w:sz w:val="24"/>
    </w:rPr>
  </w:style>
  <w:style w:type="paragraph" w:customStyle="1" w:styleId="Numberedlistabc">
    <w:name w:val="Numbered list_abc"/>
    <w:uiPriority w:val="9"/>
    <w:qFormat/>
    <w:rsid w:val="007C1DD0"/>
    <w:pPr>
      <w:numPr>
        <w:numId w:val="4"/>
      </w:numPr>
      <w:spacing w:before="120" w:after="120" w:line="240" w:lineRule="auto"/>
      <w:ind w:left="1139" w:hanging="357"/>
    </w:pPr>
  </w:style>
  <w:style w:type="paragraph" w:customStyle="1" w:styleId="Numberedlistii">
    <w:name w:val="Numbered list_ii"/>
    <w:uiPriority w:val="9"/>
    <w:qFormat/>
    <w:rsid w:val="009C45A4"/>
    <w:pPr>
      <w:numPr>
        <w:ilvl w:val="2"/>
        <w:numId w:val="4"/>
      </w:numPr>
      <w:spacing w:before="120" w:after="120" w:line="240" w:lineRule="auto"/>
      <w:ind w:left="1531" w:hanging="284"/>
    </w:pPr>
    <w:rPr>
      <w:sz w:val="24"/>
    </w:rPr>
  </w:style>
  <w:style w:type="paragraph" w:customStyle="1" w:styleId="Figuretext">
    <w:name w:val="Figure text"/>
    <w:uiPriority w:val="13"/>
    <w:qFormat/>
    <w:rsid w:val="00461BAC"/>
    <w:pPr>
      <w:spacing w:before="60" w:after="240" w:line="240" w:lineRule="auto"/>
    </w:pPr>
    <w:rPr>
      <w:i/>
      <w:sz w:val="20"/>
    </w:rPr>
  </w:style>
  <w:style w:type="paragraph" w:customStyle="1" w:styleId="Heading2Noshow">
    <w:name w:val="Heading 2_No show"/>
    <w:uiPriority w:val="99"/>
    <w:qFormat/>
    <w:rsid w:val="0008352D"/>
    <w:pPr>
      <w:spacing w:beforeLines="200" w:before="480" w:after="100" w:afterAutospacing="1" w:line="240" w:lineRule="auto"/>
    </w:pPr>
    <w:rPr>
      <w:rFonts w:asciiTheme="majorHAnsi" w:eastAsiaTheme="majorEastAsia" w:hAnsiTheme="majorHAnsi" w:cstheme="majorBidi"/>
      <w:b/>
      <w:bCs/>
      <w:color w:val="FFFFFF" w:themeColor="background1"/>
      <w:sz w:val="32"/>
      <w:szCs w:val="26"/>
    </w:rPr>
  </w:style>
  <w:style w:type="paragraph" w:styleId="FootnoteText">
    <w:name w:val="footnote text"/>
    <w:basedOn w:val="Normal"/>
    <w:link w:val="FootnoteTextChar"/>
    <w:uiPriority w:val="99"/>
    <w:unhideWhenUsed/>
    <w:rsid w:val="001814BA"/>
    <w:pPr>
      <w:spacing w:before="0" w:after="0"/>
    </w:pPr>
    <w:rPr>
      <w:szCs w:val="20"/>
    </w:rPr>
  </w:style>
  <w:style w:type="character" w:customStyle="1" w:styleId="FootnoteTextChar">
    <w:name w:val="Footnote Text Char"/>
    <w:basedOn w:val="DefaultParagraphFont"/>
    <w:link w:val="FootnoteText"/>
    <w:uiPriority w:val="99"/>
    <w:rsid w:val="001814BA"/>
    <w:rPr>
      <w:rFonts w:ascii="Arial" w:hAnsi="Arial"/>
      <w:sz w:val="20"/>
      <w:szCs w:val="20"/>
    </w:rPr>
  </w:style>
  <w:style w:type="character" w:styleId="FootnoteReference">
    <w:name w:val="footnote reference"/>
    <w:basedOn w:val="DefaultParagraphFont"/>
    <w:uiPriority w:val="99"/>
    <w:unhideWhenUsed/>
    <w:qFormat/>
    <w:rsid w:val="000135F9"/>
    <w:rPr>
      <w:rFonts w:asciiTheme="minorHAnsi" w:hAnsiTheme="minorHAnsi"/>
      <w:color w:val="0D0D0D" w:themeColor="text1" w:themeTint="F2"/>
      <w:sz w:val="18"/>
      <w:bdr w:val="none" w:sz="0" w:space="0" w:color="auto"/>
      <w:vertAlign w:val="superscript"/>
      <w:lang w:val="en-AU"/>
    </w:rPr>
  </w:style>
  <w:style w:type="paragraph" w:customStyle="1" w:styleId="FootnoteText1">
    <w:name w:val="Footnote Text1"/>
    <w:uiPriority w:val="99"/>
    <w:qFormat/>
    <w:rsid w:val="007C1DD0"/>
    <w:pPr>
      <w:spacing w:before="60" w:after="60" w:line="240" w:lineRule="auto"/>
    </w:pPr>
    <w:rPr>
      <w:szCs w:val="20"/>
    </w:rPr>
  </w:style>
  <w:style w:type="paragraph" w:styleId="Title">
    <w:name w:val="Title"/>
    <w:basedOn w:val="Normal"/>
    <w:next w:val="Normal"/>
    <w:link w:val="TitleChar"/>
    <w:uiPriority w:val="10"/>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E67AB"/>
    <w:rPr>
      <w:rFonts w:eastAsiaTheme="minorEastAsia"/>
      <w:color w:val="5A5A5A" w:themeColor="text1" w:themeTint="A5"/>
      <w:spacing w:val="15"/>
    </w:rPr>
  </w:style>
  <w:style w:type="paragraph" w:customStyle="1" w:styleId="Bodycopy">
    <w:name w:val="Body copy"/>
    <w:basedOn w:val="Normal"/>
    <w:uiPriority w:val="99"/>
    <w:semiHidden/>
    <w:qFormat/>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uiPriority w:val="9"/>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uiPriority w:val="9"/>
    <w:rsid w:val="000C6069"/>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9"/>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00B8F5"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332A8D"/>
    <w:rPr>
      <w:rFonts w:ascii="Arial" w:hAnsi="Arial"/>
      <w:i/>
      <w:iCs/>
      <w:color w:val="404040" w:themeColor="text1" w:themeTint="BF"/>
      <w:sz w:val="20"/>
    </w:rPr>
  </w:style>
  <w:style w:type="paragraph" w:customStyle="1" w:styleId="Bullet2ndlevel">
    <w:name w:val="Bullet 2nd level"/>
    <w:basedOn w:val="Normal"/>
    <w:link w:val="Bullet2ndlevelChar"/>
    <w:uiPriority w:val="2"/>
    <w:qFormat/>
    <w:rsid w:val="00CB0F8B"/>
    <w:pPr>
      <w:numPr>
        <w:numId w:val="5"/>
      </w:numPr>
      <w:tabs>
        <w:tab w:val="clear" w:pos="340"/>
        <w:tab w:val="num" w:pos="709"/>
      </w:tabs>
      <w:ind w:firstLine="86"/>
    </w:pPr>
    <w:rPr>
      <w:rFonts w:asciiTheme="minorHAnsi" w:hAnsiTheme="minorHAnsi" w:cs="Arial"/>
      <w:sz w:val="22"/>
    </w:rPr>
  </w:style>
  <w:style w:type="paragraph" w:customStyle="1" w:styleId="Bullet3rdlevel">
    <w:name w:val="Bullet 3rd level"/>
    <w:basedOn w:val="Normal"/>
    <w:uiPriority w:val="2"/>
    <w:qFormat/>
    <w:rsid w:val="007C1DD0"/>
    <w:pPr>
      <w:numPr>
        <w:numId w:val="6"/>
      </w:numPr>
      <w:tabs>
        <w:tab w:val="num" w:pos="993"/>
      </w:tabs>
      <w:ind w:left="908" w:hanging="284"/>
    </w:pPr>
    <w:rPr>
      <w:rFonts w:asciiTheme="minorHAnsi" w:hAnsiTheme="minorHAnsi" w:cstheme="minorHAnsi"/>
      <w:sz w:val="22"/>
    </w:rPr>
  </w:style>
  <w:style w:type="paragraph" w:customStyle="1" w:styleId="Contactus">
    <w:name w:val="Contact us"/>
    <w:basedOn w:val="Normal"/>
    <w:uiPriority w:val="14"/>
    <w:qFormat/>
    <w:rsid w:val="000C6069"/>
    <w:pPr>
      <w:spacing w:beforeLines="4000" w:before="9600" w:after="0"/>
    </w:pPr>
    <w:rPr>
      <w:rFonts w:asciiTheme="majorHAnsi" w:hAnsiTheme="majorHAnsi" w:cs="Segoe UI"/>
      <w:b/>
      <w:color w:val="359D9A"/>
      <w:sz w:val="44"/>
    </w:rPr>
  </w:style>
  <w:style w:type="paragraph" w:customStyle="1" w:styleId="backcoverdetails">
    <w:name w:val="back cover details"/>
    <w:basedOn w:val="Normal"/>
    <w:uiPriority w:val="14"/>
    <w:qFormat/>
    <w:rsid w:val="000C6069"/>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rsid w:val="00E06128"/>
  </w:style>
  <w:style w:type="character" w:customStyle="1" w:styleId="TableheadingChar">
    <w:name w:val="Table heading Char"/>
    <w:basedOn w:val="DefaultParagraphFont"/>
    <w:link w:val="Tableheading"/>
    <w:uiPriority w:val="11"/>
    <w:rsid w:val="00B46FBC"/>
    <w:rPr>
      <w:rFonts w:asciiTheme="majorHAnsi" w:hAnsiTheme="majorHAnsi"/>
      <w:b/>
      <w:color w:val="000000" w:themeColor="text1"/>
      <w:sz w:val="20"/>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rsid w:val="009C45A4"/>
    <w:rPr>
      <w:i/>
      <w:iCs/>
      <w:color w:val="5271FF" w:themeColor="text2"/>
      <w:sz w:val="20"/>
    </w:rPr>
  </w:style>
  <w:style w:type="table" w:customStyle="1" w:styleId="Table1">
    <w:name w:val="Table 1"/>
    <w:basedOn w:val="TableNormal"/>
    <w:uiPriority w:val="99"/>
    <w:rsid w:val="00D54FDE"/>
    <w:pPr>
      <w:spacing w:after="0" w:line="240" w:lineRule="auto"/>
    </w:pPr>
    <w:tblPr/>
  </w:style>
  <w:style w:type="paragraph" w:customStyle="1" w:styleId="Coverheading1">
    <w:name w:val="Cover heading 1"/>
    <w:next w:val="BodyText1"/>
    <w:uiPriority w:val="99"/>
    <w:qFormat/>
    <w:rsid w:val="00294000"/>
    <w:rPr>
      <w:rFonts w:ascii="Arial" w:hAnsi="Arial"/>
      <w:b/>
      <w:color w:val="404040" w:themeColor="text1" w:themeTint="BF"/>
      <w:sz w:val="72"/>
    </w:rPr>
  </w:style>
  <w:style w:type="paragraph" w:customStyle="1" w:styleId="Coversubheading">
    <w:name w:val="Cover subheading"/>
    <w:basedOn w:val="Normal"/>
    <w:next w:val="BodyText"/>
    <w:uiPriority w:val="99"/>
    <w:qFormat/>
    <w:rsid w:val="00294000"/>
    <w:rPr>
      <w:b/>
      <w:color w:val="404040" w:themeColor="text1" w:themeTint="BF"/>
      <w:sz w:val="28"/>
    </w:rPr>
  </w:style>
  <w:style w:type="paragraph" w:styleId="BodyText">
    <w:name w:val="Body Text"/>
    <w:basedOn w:val="Normal"/>
    <w:link w:val="BodyTextChar"/>
    <w:uiPriority w:val="99"/>
    <w:semiHidden/>
    <w:unhideWhenUsed/>
    <w:rsid w:val="00294000"/>
  </w:style>
  <w:style w:type="character" w:customStyle="1" w:styleId="BodyTextChar">
    <w:name w:val="Body Text Char"/>
    <w:basedOn w:val="DefaultParagraphFont"/>
    <w:link w:val="BodyText"/>
    <w:uiPriority w:val="99"/>
    <w:semiHidden/>
    <w:rsid w:val="00294000"/>
    <w:rPr>
      <w:rFonts w:ascii="Arial" w:hAnsi="Arial"/>
      <w:sz w:val="20"/>
    </w:rPr>
  </w:style>
  <w:style w:type="character" w:customStyle="1" w:styleId="Hyperlink1">
    <w:name w:val="Hyperlink1"/>
    <w:uiPriority w:val="99"/>
    <w:unhideWhenUsed/>
    <w:qFormat/>
    <w:rsid w:val="00FA208E"/>
    <w:rPr>
      <w:rFonts w:ascii="Arial" w:hAnsi="Arial" w:cs="Arial"/>
      <w:color w:val="00338D" w:themeColor="accent3"/>
      <w:sz w:val="22"/>
      <w:szCs w:val="28"/>
    </w:rPr>
  </w:style>
  <w:style w:type="character" w:customStyle="1" w:styleId="BulletsChar">
    <w:name w:val="Bullets Char"/>
    <w:basedOn w:val="DefaultParagraphFont"/>
    <w:link w:val="Bullets"/>
    <w:uiPriority w:val="99"/>
    <w:locked/>
    <w:rsid w:val="00357975"/>
    <w:rPr>
      <w:rFonts w:ascii="Arial" w:hAnsi="Arial"/>
    </w:rPr>
  </w:style>
  <w:style w:type="paragraph" w:customStyle="1" w:styleId="Bullets">
    <w:name w:val="Bullets"/>
    <w:basedOn w:val="ListParagraph"/>
    <w:link w:val="BulletsChar"/>
    <w:uiPriority w:val="99"/>
    <w:qFormat/>
    <w:rsid w:val="00357975"/>
    <w:pPr>
      <w:numPr>
        <w:numId w:val="8"/>
      </w:numPr>
      <w:spacing w:before="0" w:after="0"/>
    </w:pPr>
    <w:rPr>
      <w:sz w:val="22"/>
    </w:rPr>
  </w:style>
  <w:style w:type="paragraph" w:styleId="ListParagraph">
    <w:name w:val="List Paragraph"/>
    <w:aliases w:val="List Paragraph1,List Paragraph11,List Paragraph Number,Bullet point,Recommendation,L,Content descriptions,Bullet Point,dot point List Paragraph,LP-DO NOT USE,Figure_name,Equipment,Numbered Indented Text,Bullet- First level,Listenabsatz1"/>
    <w:basedOn w:val="Normal"/>
    <w:link w:val="ListParagraphChar"/>
    <w:uiPriority w:val="34"/>
    <w:qFormat/>
    <w:rsid w:val="00357975"/>
    <w:pPr>
      <w:ind w:left="720"/>
      <w:contextualSpacing/>
    </w:pPr>
  </w:style>
  <w:style w:type="paragraph" w:styleId="Caption">
    <w:name w:val="caption"/>
    <w:basedOn w:val="Normal"/>
    <w:next w:val="Normal"/>
    <w:uiPriority w:val="35"/>
    <w:unhideWhenUsed/>
    <w:qFormat/>
    <w:rsid w:val="000E76B6"/>
    <w:pPr>
      <w:spacing w:before="200" w:line="280" w:lineRule="atLeast"/>
    </w:pPr>
    <w:rPr>
      <w:rFonts w:eastAsia="Times New Roman" w:cs="Times New Roman"/>
      <w:b/>
      <w:bCs/>
      <w:color w:val="000000" w:themeColor="text1"/>
      <w:sz w:val="22"/>
    </w:rPr>
  </w:style>
  <w:style w:type="character" w:customStyle="1" w:styleId="normaltextrun">
    <w:name w:val="normaltextrun"/>
    <w:basedOn w:val="DefaultParagraphFont"/>
    <w:rsid w:val="00C72EF5"/>
  </w:style>
  <w:style w:type="table" w:styleId="GridTable4-Accent6">
    <w:name w:val="Grid Table 4 Accent 6"/>
    <w:basedOn w:val="TableNormal"/>
    <w:uiPriority w:val="49"/>
    <w:rsid w:val="00FC5A72"/>
    <w:pPr>
      <w:spacing w:after="0" w:line="240" w:lineRule="auto"/>
    </w:pPr>
    <w:tblPr>
      <w:tblStyleRowBandSize w:val="1"/>
      <w:tblStyleColBandSize w:val="1"/>
      <w:tblBorders>
        <w:top w:val="single" w:sz="4" w:space="0" w:color="B5E6E5" w:themeColor="accent6" w:themeTint="99"/>
        <w:left w:val="single" w:sz="4" w:space="0" w:color="B5E6E5" w:themeColor="accent6" w:themeTint="99"/>
        <w:bottom w:val="single" w:sz="4" w:space="0" w:color="B5E6E5" w:themeColor="accent6" w:themeTint="99"/>
        <w:right w:val="single" w:sz="4" w:space="0" w:color="B5E6E5" w:themeColor="accent6" w:themeTint="99"/>
        <w:insideH w:val="single" w:sz="4" w:space="0" w:color="B5E6E5" w:themeColor="accent6" w:themeTint="99"/>
        <w:insideV w:val="single" w:sz="4" w:space="0" w:color="B5E6E5" w:themeColor="accent6" w:themeTint="99"/>
      </w:tblBorders>
    </w:tblPr>
    <w:tblStylePr w:type="firstRow">
      <w:rPr>
        <w:b/>
        <w:bCs/>
        <w:color w:val="FFFFFF" w:themeColor="background1"/>
      </w:rPr>
      <w:tblPr/>
      <w:tcPr>
        <w:tcBorders>
          <w:top w:val="single" w:sz="4" w:space="0" w:color="85D6D4" w:themeColor="accent6"/>
          <w:left w:val="single" w:sz="4" w:space="0" w:color="85D6D4" w:themeColor="accent6"/>
          <w:bottom w:val="single" w:sz="4" w:space="0" w:color="85D6D4" w:themeColor="accent6"/>
          <w:right w:val="single" w:sz="4" w:space="0" w:color="85D6D4" w:themeColor="accent6"/>
          <w:insideH w:val="nil"/>
          <w:insideV w:val="nil"/>
        </w:tcBorders>
        <w:shd w:val="clear" w:color="auto" w:fill="85D6D4" w:themeFill="accent6"/>
      </w:tcPr>
    </w:tblStylePr>
    <w:tblStylePr w:type="lastRow">
      <w:rPr>
        <w:b/>
        <w:bCs/>
      </w:rPr>
      <w:tblPr/>
      <w:tcPr>
        <w:tcBorders>
          <w:top w:val="double" w:sz="4" w:space="0" w:color="85D6D4" w:themeColor="accent6"/>
        </w:tcBorders>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character" w:customStyle="1" w:styleId="Heading7Char">
    <w:name w:val="Heading 7 Char"/>
    <w:basedOn w:val="DefaultParagraphFont"/>
    <w:link w:val="Heading7"/>
    <w:uiPriority w:val="9"/>
    <w:semiHidden/>
    <w:rsid w:val="00FC5A72"/>
    <w:rPr>
      <w:rFonts w:asciiTheme="majorHAnsi" w:eastAsiaTheme="majorEastAsia" w:hAnsiTheme="majorHAnsi" w:cstheme="majorBidi"/>
      <w:i/>
      <w:iCs/>
      <w:color w:val="816019" w:themeColor="accent1" w:themeShade="7F"/>
      <w:lang w:eastAsia="ja-JP"/>
    </w:rPr>
  </w:style>
  <w:style w:type="character" w:customStyle="1" w:styleId="Heading8Char">
    <w:name w:val="Heading 8 Char"/>
    <w:basedOn w:val="DefaultParagraphFont"/>
    <w:link w:val="Heading8"/>
    <w:uiPriority w:val="9"/>
    <w:semiHidden/>
    <w:rsid w:val="00FC5A72"/>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FC5A72"/>
    <w:rPr>
      <w:rFonts w:asciiTheme="majorHAnsi" w:eastAsiaTheme="majorEastAsia" w:hAnsiTheme="majorHAnsi" w:cstheme="majorBidi"/>
      <w:i/>
      <w:iCs/>
      <w:color w:val="272727" w:themeColor="text1" w:themeTint="D8"/>
      <w:sz w:val="21"/>
      <w:szCs w:val="21"/>
      <w:lang w:eastAsia="ja-JP"/>
    </w:rPr>
  </w:style>
  <w:style w:type="character" w:styleId="Emphasis">
    <w:name w:val="Emphasis"/>
    <w:basedOn w:val="DefaultParagraphFont"/>
    <w:uiPriority w:val="20"/>
    <w:qFormat/>
    <w:rsid w:val="00FC5A72"/>
    <w:rPr>
      <w:rFonts w:ascii="Times New Roman" w:hAnsi="Times New Roman" w:cs="Times New Roman" w:hint="default"/>
      <w:i/>
      <w:iCs/>
    </w:rPr>
  </w:style>
  <w:style w:type="paragraph" w:customStyle="1" w:styleId="msonormal0">
    <w:name w:val="msonormal"/>
    <w:basedOn w:val="Normal"/>
    <w:uiPriority w:val="99"/>
    <w:semiHidden/>
    <w:rsid w:val="00FC5A72"/>
    <w:pPr>
      <w:spacing w:before="100" w:beforeAutospacing="1" w:after="100" w:afterAutospacing="1"/>
    </w:pPr>
    <w:rPr>
      <w:rFonts w:ascii="Times New Roman" w:eastAsia="Times New Roman" w:hAnsi="Times New Roman" w:cs="Times New Roman"/>
      <w:sz w:val="22"/>
      <w:lang w:eastAsia="en-AU"/>
    </w:rPr>
  </w:style>
  <w:style w:type="paragraph" w:styleId="NormalWeb">
    <w:name w:val="Normal (Web)"/>
    <w:basedOn w:val="Normal"/>
    <w:uiPriority w:val="99"/>
    <w:unhideWhenUsed/>
    <w:rsid w:val="00FC5A72"/>
    <w:rPr>
      <w:rFonts w:ascii="Times New Roman" w:hAnsi="Times New Roman" w:cs="Times New Roman"/>
      <w:sz w:val="24"/>
      <w:szCs w:val="24"/>
      <w:lang w:eastAsia="ja-JP"/>
    </w:rPr>
  </w:style>
  <w:style w:type="paragraph" w:styleId="TOC3">
    <w:name w:val="toc 3"/>
    <w:basedOn w:val="Normal"/>
    <w:next w:val="Normal"/>
    <w:autoRedefine/>
    <w:uiPriority w:val="39"/>
    <w:semiHidden/>
    <w:unhideWhenUsed/>
    <w:rsid w:val="00FC5A72"/>
    <w:pPr>
      <w:spacing w:after="100"/>
      <w:ind w:left="400"/>
    </w:pPr>
    <w:rPr>
      <w:sz w:val="22"/>
      <w:lang w:eastAsia="ja-JP"/>
    </w:rPr>
  </w:style>
  <w:style w:type="paragraph" w:styleId="TOC4">
    <w:name w:val="toc 4"/>
    <w:basedOn w:val="Normal"/>
    <w:next w:val="Normal"/>
    <w:autoRedefine/>
    <w:uiPriority w:val="39"/>
    <w:semiHidden/>
    <w:unhideWhenUsed/>
    <w:rsid w:val="00FC5A72"/>
    <w:pPr>
      <w:spacing w:before="0" w:after="100" w:line="256" w:lineRule="auto"/>
      <w:ind w:left="660"/>
    </w:pPr>
    <w:rPr>
      <w:rFonts w:asciiTheme="minorHAnsi" w:eastAsiaTheme="minorEastAsia" w:hAnsiTheme="minorHAnsi" w:cs="Times New Roman"/>
      <w:sz w:val="22"/>
      <w:lang w:eastAsia="en-AU"/>
    </w:rPr>
  </w:style>
  <w:style w:type="paragraph" w:styleId="TOC5">
    <w:name w:val="toc 5"/>
    <w:basedOn w:val="Normal"/>
    <w:next w:val="Normal"/>
    <w:autoRedefine/>
    <w:uiPriority w:val="39"/>
    <w:semiHidden/>
    <w:unhideWhenUsed/>
    <w:rsid w:val="00FC5A72"/>
    <w:pPr>
      <w:spacing w:before="0" w:after="100" w:line="256" w:lineRule="auto"/>
      <w:ind w:left="880"/>
    </w:pPr>
    <w:rPr>
      <w:rFonts w:asciiTheme="minorHAnsi" w:eastAsiaTheme="minorEastAsia" w:hAnsiTheme="minorHAnsi" w:cs="Times New Roman"/>
      <w:sz w:val="22"/>
      <w:lang w:eastAsia="en-AU"/>
    </w:rPr>
  </w:style>
  <w:style w:type="paragraph" w:styleId="TOC6">
    <w:name w:val="toc 6"/>
    <w:basedOn w:val="Normal"/>
    <w:next w:val="Normal"/>
    <w:autoRedefine/>
    <w:uiPriority w:val="39"/>
    <w:semiHidden/>
    <w:unhideWhenUsed/>
    <w:rsid w:val="00FC5A72"/>
    <w:pPr>
      <w:spacing w:before="0" w:after="100" w:line="256" w:lineRule="auto"/>
      <w:ind w:left="1100"/>
    </w:pPr>
    <w:rPr>
      <w:rFonts w:asciiTheme="minorHAnsi" w:eastAsiaTheme="minorEastAsia" w:hAnsiTheme="minorHAnsi" w:cs="Times New Roman"/>
      <w:sz w:val="22"/>
      <w:lang w:eastAsia="en-AU"/>
    </w:rPr>
  </w:style>
  <w:style w:type="paragraph" w:styleId="TOC7">
    <w:name w:val="toc 7"/>
    <w:basedOn w:val="Normal"/>
    <w:next w:val="Normal"/>
    <w:autoRedefine/>
    <w:uiPriority w:val="39"/>
    <w:semiHidden/>
    <w:unhideWhenUsed/>
    <w:rsid w:val="00FC5A72"/>
    <w:pPr>
      <w:spacing w:before="0" w:after="100" w:line="256" w:lineRule="auto"/>
      <w:ind w:left="1320"/>
    </w:pPr>
    <w:rPr>
      <w:rFonts w:asciiTheme="minorHAnsi" w:eastAsiaTheme="minorEastAsia" w:hAnsiTheme="minorHAnsi" w:cs="Times New Roman"/>
      <w:sz w:val="22"/>
      <w:lang w:eastAsia="en-AU"/>
    </w:rPr>
  </w:style>
  <w:style w:type="paragraph" w:styleId="TOC8">
    <w:name w:val="toc 8"/>
    <w:basedOn w:val="Normal"/>
    <w:next w:val="Normal"/>
    <w:autoRedefine/>
    <w:uiPriority w:val="39"/>
    <w:semiHidden/>
    <w:unhideWhenUsed/>
    <w:rsid w:val="00FC5A72"/>
    <w:pPr>
      <w:spacing w:before="0" w:after="100" w:line="256" w:lineRule="auto"/>
      <w:ind w:left="1540"/>
    </w:pPr>
    <w:rPr>
      <w:rFonts w:asciiTheme="minorHAnsi" w:eastAsiaTheme="minorEastAsia" w:hAnsiTheme="minorHAnsi" w:cs="Times New Roman"/>
      <w:sz w:val="22"/>
      <w:lang w:eastAsia="en-AU"/>
    </w:rPr>
  </w:style>
  <w:style w:type="paragraph" w:styleId="TOC9">
    <w:name w:val="toc 9"/>
    <w:basedOn w:val="Normal"/>
    <w:next w:val="Normal"/>
    <w:autoRedefine/>
    <w:uiPriority w:val="39"/>
    <w:semiHidden/>
    <w:unhideWhenUsed/>
    <w:rsid w:val="00FC5A72"/>
    <w:pPr>
      <w:spacing w:before="0" w:after="100" w:line="256" w:lineRule="auto"/>
      <w:ind w:left="1760"/>
    </w:pPr>
    <w:rPr>
      <w:rFonts w:asciiTheme="minorHAnsi" w:eastAsiaTheme="minorEastAsia" w:hAnsiTheme="minorHAnsi" w:cs="Times New Roman"/>
      <w:sz w:val="22"/>
      <w:lang w:eastAsia="en-AU"/>
    </w:rPr>
  </w:style>
  <w:style w:type="paragraph" w:styleId="CommentText">
    <w:name w:val="annotation text"/>
    <w:basedOn w:val="Normal"/>
    <w:link w:val="CommentTextChar"/>
    <w:uiPriority w:val="99"/>
    <w:unhideWhenUsed/>
    <w:rsid w:val="00FC5A72"/>
    <w:rPr>
      <w:sz w:val="22"/>
      <w:szCs w:val="20"/>
      <w:lang w:eastAsia="ja-JP"/>
    </w:rPr>
  </w:style>
  <w:style w:type="character" w:customStyle="1" w:styleId="CommentTextChar">
    <w:name w:val="Comment Text Char"/>
    <w:basedOn w:val="DefaultParagraphFont"/>
    <w:link w:val="CommentText"/>
    <w:uiPriority w:val="99"/>
    <w:rsid w:val="00FC5A72"/>
    <w:rPr>
      <w:rFonts w:ascii="Arial" w:hAnsi="Arial"/>
      <w:szCs w:val="20"/>
      <w:lang w:eastAsia="ja-JP"/>
    </w:rPr>
  </w:style>
  <w:style w:type="paragraph" w:styleId="TableofFigures">
    <w:name w:val="table of figures"/>
    <w:basedOn w:val="Normal"/>
    <w:next w:val="Normal"/>
    <w:uiPriority w:val="99"/>
    <w:unhideWhenUsed/>
    <w:rsid w:val="00FC5A72"/>
    <w:pPr>
      <w:spacing w:before="180" w:after="0" w:line="280" w:lineRule="atLeast"/>
      <w:ind w:left="907" w:hanging="907"/>
    </w:pPr>
    <w:rPr>
      <w:rFonts w:asciiTheme="minorHAnsi" w:eastAsia="Times New Roman" w:hAnsiTheme="minorHAnsi" w:cs="Times New Roman"/>
      <w:sz w:val="22"/>
    </w:rPr>
  </w:style>
  <w:style w:type="paragraph" w:styleId="EndnoteText">
    <w:name w:val="endnote text"/>
    <w:basedOn w:val="Normal"/>
    <w:link w:val="EndnoteTextChar"/>
    <w:uiPriority w:val="99"/>
    <w:semiHidden/>
    <w:unhideWhenUsed/>
    <w:rsid w:val="00FC5A72"/>
    <w:pPr>
      <w:spacing w:after="0" w:line="256" w:lineRule="auto"/>
    </w:pPr>
    <w:rPr>
      <w:rFonts w:asciiTheme="minorHAnsi" w:eastAsia="Times New Roman" w:hAnsiTheme="minorHAnsi" w:cs="Times New Roman"/>
      <w:sz w:val="22"/>
    </w:rPr>
  </w:style>
  <w:style w:type="character" w:customStyle="1" w:styleId="EndnoteTextChar">
    <w:name w:val="Endnote Text Char"/>
    <w:basedOn w:val="DefaultParagraphFont"/>
    <w:link w:val="EndnoteText"/>
    <w:uiPriority w:val="99"/>
    <w:semiHidden/>
    <w:rsid w:val="00FC5A72"/>
    <w:rPr>
      <w:rFonts w:eastAsia="Times New Roman" w:cs="Times New Roman"/>
    </w:rPr>
  </w:style>
  <w:style w:type="paragraph" w:styleId="ListBullet">
    <w:name w:val="List Bullet"/>
    <w:basedOn w:val="Normal"/>
    <w:uiPriority w:val="99"/>
    <w:semiHidden/>
    <w:unhideWhenUsed/>
    <w:qFormat/>
    <w:rsid w:val="00FC5A72"/>
    <w:pPr>
      <w:spacing w:before="0" w:after="200" w:line="276" w:lineRule="auto"/>
      <w:ind w:left="369" w:hanging="369"/>
    </w:pPr>
    <w:rPr>
      <w:rFonts w:eastAsia="Calibri" w:cs="Times New Roman"/>
      <w:sz w:val="22"/>
    </w:rPr>
  </w:style>
  <w:style w:type="paragraph" w:styleId="ListBullet2">
    <w:name w:val="List Bullet 2"/>
    <w:basedOn w:val="Normal"/>
    <w:uiPriority w:val="99"/>
    <w:semiHidden/>
    <w:unhideWhenUsed/>
    <w:rsid w:val="00FC5A72"/>
    <w:pPr>
      <w:spacing w:before="0" w:after="200" w:line="276" w:lineRule="auto"/>
      <w:ind w:left="737" w:hanging="368"/>
    </w:pPr>
    <w:rPr>
      <w:rFonts w:eastAsia="Calibri" w:cs="Times New Roman"/>
      <w:sz w:val="22"/>
    </w:rPr>
  </w:style>
  <w:style w:type="paragraph" w:styleId="ListBullet3">
    <w:name w:val="List Bullet 3"/>
    <w:basedOn w:val="Normal"/>
    <w:uiPriority w:val="99"/>
    <w:semiHidden/>
    <w:unhideWhenUsed/>
    <w:rsid w:val="00FC5A72"/>
    <w:pPr>
      <w:spacing w:before="0" w:after="200" w:line="276" w:lineRule="auto"/>
      <w:ind w:left="1106" w:hanging="369"/>
    </w:pPr>
    <w:rPr>
      <w:rFonts w:eastAsia="Calibri" w:cs="Times New Roman"/>
      <w:sz w:val="22"/>
    </w:rPr>
  </w:style>
  <w:style w:type="paragraph" w:styleId="ListBullet4">
    <w:name w:val="List Bullet 4"/>
    <w:basedOn w:val="Normal"/>
    <w:uiPriority w:val="99"/>
    <w:semiHidden/>
    <w:unhideWhenUsed/>
    <w:rsid w:val="00FC5A72"/>
    <w:pPr>
      <w:spacing w:before="0" w:after="200" w:line="276" w:lineRule="auto"/>
      <w:ind w:left="1474" w:hanging="368"/>
    </w:pPr>
    <w:rPr>
      <w:rFonts w:eastAsia="Calibri" w:cs="Times New Roman"/>
      <w:sz w:val="22"/>
    </w:rPr>
  </w:style>
  <w:style w:type="paragraph" w:styleId="ListBullet5">
    <w:name w:val="List Bullet 5"/>
    <w:basedOn w:val="Normal"/>
    <w:uiPriority w:val="99"/>
    <w:semiHidden/>
    <w:unhideWhenUsed/>
    <w:rsid w:val="00FC5A72"/>
    <w:pPr>
      <w:spacing w:before="0" w:after="200" w:line="276" w:lineRule="auto"/>
      <w:ind w:left="1800" w:hanging="360"/>
    </w:pPr>
    <w:rPr>
      <w:rFonts w:eastAsia="Calibri" w:cs="Times New Roman"/>
      <w:sz w:val="22"/>
    </w:rPr>
  </w:style>
  <w:style w:type="paragraph" w:styleId="CommentSubject">
    <w:name w:val="annotation subject"/>
    <w:basedOn w:val="CommentText"/>
    <w:next w:val="CommentText"/>
    <w:link w:val="CommentSubjectChar"/>
    <w:uiPriority w:val="99"/>
    <w:semiHidden/>
    <w:unhideWhenUsed/>
    <w:rsid w:val="00FC5A72"/>
    <w:rPr>
      <w:b/>
      <w:bCs/>
    </w:rPr>
  </w:style>
  <w:style w:type="character" w:customStyle="1" w:styleId="CommentSubjectChar">
    <w:name w:val="Comment Subject Char"/>
    <w:basedOn w:val="CommentTextChar"/>
    <w:link w:val="CommentSubject"/>
    <w:uiPriority w:val="99"/>
    <w:semiHidden/>
    <w:rsid w:val="00FC5A72"/>
    <w:rPr>
      <w:rFonts w:ascii="Arial" w:hAnsi="Arial"/>
      <w:b/>
      <w:bCs/>
      <w:szCs w:val="20"/>
      <w:lang w:eastAsia="ja-JP"/>
    </w:rPr>
  </w:style>
  <w:style w:type="character" w:customStyle="1" w:styleId="ListParagraphChar">
    <w:name w:val="List Paragraph Char"/>
    <w:aliases w:val="List Paragraph1 Char,List Paragraph11 Char,List Paragraph Number Char,Bullet point Char,Recommendation Char,L Char,Content descriptions Char,Bullet Point Char,dot point List Paragraph Char,LP-DO NOT USE Char,Figure_name Char"/>
    <w:basedOn w:val="DefaultParagraphFont"/>
    <w:link w:val="ListParagraph"/>
    <w:uiPriority w:val="34"/>
    <w:locked/>
    <w:rsid w:val="00FC5A72"/>
    <w:rPr>
      <w:rFonts w:ascii="Arial" w:hAnsi="Arial"/>
      <w:sz w:val="20"/>
    </w:rPr>
  </w:style>
  <w:style w:type="paragraph" w:styleId="TOCHeading">
    <w:name w:val="TOC Heading"/>
    <w:basedOn w:val="Heading1"/>
    <w:next w:val="Normal"/>
    <w:uiPriority w:val="39"/>
    <w:semiHidden/>
    <w:unhideWhenUsed/>
    <w:qFormat/>
    <w:rsid w:val="00FC5A72"/>
    <w:pPr>
      <w:spacing w:after="0" w:line="256" w:lineRule="auto"/>
      <w:outlineLvl w:val="9"/>
    </w:pPr>
    <w:rPr>
      <w:rFonts w:ascii="Arial" w:hAnsi="Arial"/>
      <w:b w:val="0"/>
      <w:color w:val="C39125" w:themeColor="accent1" w:themeShade="BF"/>
      <w:sz w:val="32"/>
    </w:rPr>
  </w:style>
  <w:style w:type="paragraph" w:customStyle="1" w:styleId="paragraph">
    <w:name w:val="paragraph"/>
    <w:basedOn w:val="Normal"/>
    <w:rsid w:val="00FC5A72"/>
    <w:pPr>
      <w:spacing w:before="100" w:beforeAutospacing="1" w:after="100" w:afterAutospacing="1"/>
    </w:pPr>
    <w:rPr>
      <w:rFonts w:ascii="Times New Roman" w:eastAsia="Times New Roman" w:hAnsi="Times New Roman" w:cs="Times New Roman"/>
      <w:sz w:val="22"/>
      <w:lang w:eastAsia="en-AU"/>
    </w:rPr>
  </w:style>
  <w:style w:type="paragraph" w:customStyle="1" w:styleId="outlineelement">
    <w:name w:val="outlineelement"/>
    <w:basedOn w:val="Normal"/>
    <w:uiPriority w:val="99"/>
    <w:semiHidden/>
    <w:rsid w:val="00FC5A72"/>
    <w:pPr>
      <w:spacing w:before="100" w:beforeAutospacing="1" w:after="100" w:afterAutospacing="1"/>
    </w:pPr>
    <w:rPr>
      <w:rFonts w:ascii="Times New Roman" w:eastAsia="Times New Roman" w:hAnsi="Times New Roman" w:cs="Times New Roman"/>
      <w:sz w:val="22"/>
      <w:lang w:eastAsia="en-AU"/>
    </w:rPr>
  </w:style>
  <w:style w:type="paragraph" w:customStyle="1" w:styleId="Calloutbox">
    <w:name w:val="Call out box"/>
    <w:basedOn w:val="Normal"/>
    <w:uiPriority w:val="99"/>
    <w:semiHidden/>
    <w:qFormat/>
    <w:rsid w:val="00FC5A72"/>
    <w:pPr>
      <w:pBdr>
        <w:top w:val="single" w:sz="4" w:space="6" w:color="C6ECEA" w:themeColor="accent2" w:themeTint="40"/>
        <w:left w:val="single" w:sz="4" w:space="4" w:color="C6ECEA" w:themeColor="accent2" w:themeTint="40"/>
        <w:bottom w:val="single" w:sz="4" w:space="6" w:color="C6ECEA" w:themeColor="accent2" w:themeTint="40"/>
        <w:right w:val="single" w:sz="4" w:space="4" w:color="C6ECEA" w:themeColor="accent2" w:themeTint="40"/>
      </w:pBdr>
      <w:shd w:val="clear" w:color="auto" w:fill="C6ECEA" w:themeFill="accent2" w:themeFillTint="40"/>
      <w:spacing w:before="0" w:after="160" w:line="254" w:lineRule="auto"/>
      <w:contextualSpacing/>
    </w:pPr>
    <w:rPr>
      <w:sz w:val="22"/>
      <w:lang w:eastAsia="ja-JP"/>
    </w:rPr>
  </w:style>
  <w:style w:type="character" w:customStyle="1" w:styleId="NumberedHeading1Char">
    <w:name w:val="Numbered Heading 1 Char"/>
    <w:basedOn w:val="Heading1Char"/>
    <w:link w:val="NumberedHeading1"/>
    <w:uiPriority w:val="99"/>
    <w:semiHidden/>
    <w:locked/>
    <w:rsid w:val="00FC5A72"/>
    <w:rPr>
      <w:rFonts w:ascii="Arial" w:eastAsiaTheme="majorEastAsia" w:hAnsi="Arial" w:cstheme="majorBidi"/>
      <w:b w:val="0"/>
      <w:color w:val="359D9A"/>
      <w:sz w:val="48"/>
      <w:szCs w:val="32"/>
      <w:lang w:eastAsia="ja-JP"/>
    </w:rPr>
  </w:style>
  <w:style w:type="paragraph" w:customStyle="1" w:styleId="NumberedHeading1">
    <w:name w:val="Numbered Heading 1"/>
    <w:basedOn w:val="Heading1"/>
    <w:link w:val="NumberedHeading1Char"/>
    <w:uiPriority w:val="99"/>
    <w:semiHidden/>
    <w:qFormat/>
    <w:rsid w:val="00FC5A72"/>
    <w:pPr>
      <w:spacing w:before="480" w:after="240"/>
      <w:ind w:left="360" w:hanging="360"/>
    </w:pPr>
    <w:rPr>
      <w:rFonts w:ascii="Arial" w:hAnsi="Arial"/>
      <w:b w:val="0"/>
      <w:lang w:eastAsia="ja-JP"/>
    </w:rPr>
  </w:style>
  <w:style w:type="character" w:customStyle="1" w:styleId="NumberedHeading2Char">
    <w:name w:val="Numbered Heading 2 Char"/>
    <w:basedOn w:val="NumberedHeading1Char"/>
    <w:link w:val="NumberedHeading2"/>
    <w:uiPriority w:val="99"/>
    <w:semiHidden/>
    <w:locked/>
    <w:rsid w:val="00FC5A72"/>
    <w:rPr>
      <w:rFonts w:ascii="Arial" w:eastAsiaTheme="majorEastAsia" w:hAnsi="Arial" w:cstheme="minorHAnsi"/>
      <w:b w:val="0"/>
      <w:color w:val="359D9A"/>
      <w:sz w:val="24"/>
      <w:szCs w:val="32"/>
      <w:lang w:eastAsia="ja-JP"/>
    </w:rPr>
  </w:style>
  <w:style w:type="paragraph" w:customStyle="1" w:styleId="NumberedHeading2">
    <w:name w:val="Numbered Heading 2"/>
    <w:basedOn w:val="NumberedHeading1"/>
    <w:link w:val="NumberedHeading2Char"/>
    <w:uiPriority w:val="99"/>
    <w:semiHidden/>
    <w:qFormat/>
    <w:rsid w:val="00FC5A72"/>
    <w:pPr>
      <w:numPr>
        <w:numId w:val="9"/>
      </w:numPr>
    </w:pPr>
    <w:rPr>
      <w:rFonts w:cstheme="minorHAnsi"/>
      <w:sz w:val="24"/>
    </w:rPr>
  </w:style>
  <w:style w:type="character" w:customStyle="1" w:styleId="UnfilteredthoughtsChar">
    <w:name w:val="Unfiltered thoughts Char"/>
    <w:basedOn w:val="ListParagraphChar"/>
    <w:link w:val="Unfilteredthoughts"/>
    <w:uiPriority w:val="99"/>
    <w:semiHidden/>
    <w:locked/>
    <w:rsid w:val="00FC5A72"/>
    <w:rPr>
      <w:rFonts w:ascii="Arial" w:hAnsi="Arial"/>
      <w:color w:val="2D77FD" w:themeColor="accent5" w:themeShade="BF"/>
      <w:sz w:val="20"/>
    </w:rPr>
  </w:style>
  <w:style w:type="paragraph" w:customStyle="1" w:styleId="Unfilteredthoughts">
    <w:name w:val="Unfiltered thoughts"/>
    <w:basedOn w:val="ListParagraph"/>
    <w:link w:val="UnfilteredthoughtsChar"/>
    <w:uiPriority w:val="99"/>
    <w:semiHidden/>
    <w:qFormat/>
    <w:rsid w:val="00FC5A72"/>
    <w:pPr>
      <w:numPr>
        <w:numId w:val="10"/>
      </w:numPr>
    </w:pPr>
    <w:rPr>
      <w:color w:val="2D77FD" w:themeColor="accent5" w:themeShade="BF"/>
    </w:rPr>
  </w:style>
  <w:style w:type="paragraph" w:customStyle="1" w:styleId="NormalIndented">
    <w:name w:val="Normal Indented"/>
    <w:basedOn w:val="Normal"/>
    <w:uiPriority w:val="1"/>
    <w:semiHidden/>
    <w:qFormat/>
    <w:rsid w:val="00FC5A72"/>
    <w:pPr>
      <w:spacing w:before="180" w:after="60" w:line="280" w:lineRule="atLeast"/>
      <w:ind w:left="284"/>
    </w:pPr>
    <w:rPr>
      <w:rFonts w:asciiTheme="minorHAnsi" w:eastAsia="Times New Roman" w:hAnsiTheme="minorHAnsi" w:cs="Times New Roman"/>
      <w:sz w:val="22"/>
    </w:rPr>
  </w:style>
  <w:style w:type="paragraph" w:customStyle="1" w:styleId="Bullet1">
    <w:name w:val="Bullet 1"/>
    <w:basedOn w:val="Normal"/>
    <w:uiPriority w:val="1"/>
    <w:semiHidden/>
    <w:qFormat/>
    <w:rsid w:val="00FC5A72"/>
    <w:pPr>
      <w:numPr>
        <w:numId w:val="11"/>
      </w:numPr>
      <w:spacing w:after="60" w:line="280" w:lineRule="atLeast"/>
    </w:pPr>
    <w:rPr>
      <w:rFonts w:asciiTheme="minorHAnsi" w:eastAsia="Times New Roman" w:hAnsiTheme="minorHAnsi" w:cs="Times New Roman"/>
      <w:sz w:val="22"/>
    </w:rPr>
  </w:style>
  <w:style w:type="paragraph" w:customStyle="1" w:styleId="Bullet2">
    <w:name w:val="Bullet 2"/>
    <w:basedOn w:val="Bullet1"/>
    <w:uiPriority w:val="1"/>
    <w:semiHidden/>
    <w:qFormat/>
    <w:rsid w:val="00FC5A72"/>
  </w:style>
  <w:style w:type="paragraph" w:customStyle="1" w:styleId="Bullet3">
    <w:name w:val="Bullet 3"/>
    <w:basedOn w:val="Bullet2"/>
    <w:uiPriority w:val="1"/>
    <w:semiHidden/>
    <w:qFormat/>
    <w:rsid w:val="00FC5A72"/>
  </w:style>
  <w:style w:type="paragraph" w:customStyle="1" w:styleId="NumberedList10">
    <w:name w:val="Numbered List 1"/>
    <w:basedOn w:val="Normal"/>
    <w:uiPriority w:val="1"/>
    <w:semiHidden/>
    <w:qFormat/>
    <w:rsid w:val="00FC5A72"/>
    <w:pPr>
      <w:spacing w:before="180" w:after="60" w:line="280" w:lineRule="atLeast"/>
      <w:ind w:left="397" w:hanging="397"/>
    </w:pPr>
    <w:rPr>
      <w:rFonts w:asciiTheme="minorHAnsi" w:eastAsia="Times New Roman" w:hAnsiTheme="minorHAnsi" w:cs="Times New Roman"/>
      <w:sz w:val="22"/>
    </w:rPr>
  </w:style>
  <w:style w:type="paragraph" w:customStyle="1" w:styleId="NumberedList2">
    <w:name w:val="Numbered List 2"/>
    <w:basedOn w:val="NumberedList10"/>
    <w:uiPriority w:val="1"/>
    <w:semiHidden/>
    <w:qFormat/>
    <w:rsid w:val="00FC5A72"/>
    <w:pPr>
      <w:spacing w:before="120"/>
      <w:ind w:left="681"/>
    </w:pPr>
  </w:style>
  <w:style w:type="paragraph" w:customStyle="1" w:styleId="NumberedList3">
    <w:name w:val="Numbered List 3"/>
    <w:basedOn w:val="NumberedList2"/>
    <w:uiPriority w:val="1"/>
    <w:semiHidden/>
    <w:qFormat/>
    <w:rsid w:val="00FC5A72"/>
    <w:pPr>
      <w:ind w:left="964"/>
    </w:pPr>
  </w:style>
  <w:style w:type="paragraph" w:customStyle="1" w:styleId="Heading1Numbered">
    <w:name w:val="Heading 1 Numbered"/>
    <w:basedOn w:val="Heading1"/>
    <w:next w:val="Normal"/>
    <w:uiPriority w:val="1"/>
    <w:semiHidden/>
    <w:qFormat/>
    <w:rsid w:val="00FC5A72"/>
    <w:pPr>
      <w:numPr>
        <w:numId w:val="12"/>
      </w:numPr>
      <w:spacing w:before="360" w:after="120" w:line="460" w:lineRule="atLeast"/>
      <w:contextualSpacing/>
    </w:pPr>
    <w:rPr>
      <w:rFonts w:ascii="Arial" w:hAnsi="Arial" w:cs="Times New Roman"/>
      <w:b w:val="0"/>
      <w:color w:val="5271FF" w:themeColor="text2"/>
      <w:sz w:val="40"/>
      <w:szCs w:val="40"/>
    </w:rPr>
  </w:style>
  <w:style w:type="paragraph" w:customStyle="1" w:styleId="Heading2Numbered">
    <w:name w:val="Heading 2 Numbered"/>
    <w:basedOn w:val="Heading2"/>
    <w:next w:val="Normal"/>
    <w:uiPriority w:val="1"/>
    <w:semiHidden/>
    <w:qFormat/>
    <w:rsid w:val="00FC5A72"/>
    <w:pPr>
      <w:pBdr>
        <w:top w:val="none" w:sz="0" w:space="0" w:color="auto"/>
        <w:bottom w:val="none" w:sz="0" w:space="0" w:color="auto"/>
      </w:pBdr>
      <w:spacing w:before="360" w:line="400" w:lineRule="atLeast"/>
      <w:ind w:left="567" w:hanging="567"/>
      <w:contextualSpacing/>
    </w:pPr>
    <w:rPr>
      <w:rFonts w:ascii="Arial" w:hAnsi="Arial" w:cs="Times New Roman"/>
      <w:b w:val="0"/>
      <w:bCs w:val="0"/>
      <w:color w:val="5271FF" w:themeColor="text2"/>
      <w:sz w:val="34"/>
      <w:szCs w:val="34"/>
    </w:rPr>
  </w:style>
  <w:style w:type="paragraph" w:customStyle="1" w:styleId="Heading3Numbered">
    <w:name w:val="Heading 3 Numbered"/>
    <w:basedOn w:val="Heading3"/>
    <w:next w:val="Normal"/>
    <w:uiPriority w:val="1"/>
    <w:semiHidden/>
    <w:qFormat/>
    <w:rsid w:val="00FC5A72"/>
    <w:pPr>
      <w:spacing w:before="360" w:after="120" w:line="340" w:lineRule="atLeast"/>
      <w:ind w:left="851" w:hanging="851"/>
      <w:contextualSpacing/>
    </w:pPr>
    <w:rPr>
      <w:rFonts w:asciiTheme="majorHAnsi" w:eastAsia="Times New Roman" w:hAnsiTheme="majorHAnsi" w:cs="Times New Roman"/>
      <w:b w:val="0"/>
      <w:color w:val="5271FF" w:themeColor="text2"/>
      <w:sz w:val="30"/>
      <w:szCs w:val="30"/>
    </w:rPr>
  </w:style>
  <w:style w:type="paragraph" w:customStyle="1" w:styleId="IntroPara">
    <w:name w:val="Intro Para"/>
    <w:basedOn w:val="Normal"/>
    <w:uiPriority w:val="1"/>
    <w:semiHidden/>
    <w:qFormat/>
    <w:rsid w:val="00FC5A72"/>
    <w:pPr>
      <w:spacing w:before="180" w:after="60" w:line="280" w:lineRule="atLeast"/>
    </w:pPr>
    <w:rPr>
      <w:rFonts w:asciiTheme="minorHAnsi" w:eastAsia="Times New Roman" w:hAnsiTheme="minorHAnsi" w:cs="Times New Roman"/>
      <w:sz w:val="24"/>
      <w:szCs w:val="24"/>
    </w:rPr>
  </w:style>
  <w:style w:type="paragraph" w:customStyle="1" w:styleId="Boxed1Text">
    <w:name w:val="Boxed 1 Text"/>
    <w:basedOn w:val="Normal"/>
    <w:uiPriority w:val="1"/>
    <w:semiHidden/>
    <w:qFormat/>
    <w:rsid w:val="00FC5A72"/>
    <w:pPr>
      <w:spacing w:before="180" w:after="60" w:line="280" w:lineRule="atLeast"/>
      <w:ind w:left="284" w:right="284"/>
    </w:pPr>
    <w:rPr>
      <w:rFonts w:asciiTheme="minorHAnsi" w:eastAsia="Times New Roman" w:hAnsiTheme="minorHAnsi" w:cs="Times New Roman"/>
      <w:sz w:val="22"/>
    </w:rPr>
  </w:style>
  <w:style w:type="paragraph" w:customStyle="1" w:styleId="Boxed1Heading">
    <w:name w:val="Boxed 1 Heading"/>
    <w:basedOn w:val="Boxed1Text"/>
    <w:uiPriority w:val="1"/>
    <w:semiHidden/>
    <w:qFormat/>
    <w:rsid w:val="00FC5A72"/>
    <w:rPr>
      <w:b/>
      <w:bCs/>
      <w:sz w:val="24"/>
      <w:szCs w:val="24"/>
    </w:rPr>
  </w:style>
  <w:style w:type="paragraph" w:customStyle="1" w:styleId="Boxed2Text">
    <w:name w:val="Boxed 2 Text"/>
    <w:basedOn w:val="Boxed1Text"/>
    <w:uiPriority w:val="1"/>
    <w:semiHidden/>
    <w:qFormat/>
    <w:rsid w:val="00FC5A72"/>
  </w:style>
  <w:style w:type="paragraph" w:customStyle="1" w:styleId="Boxed2Heading">
    <w:name w:val="Boxed 2 Heading"/>
    <w:basedOn w:val="Boxed2Text"/>
    <w:uiPriority w:val="1"/>
    <w:semiHidden/>
    <w:qFormat/>
    <w:rsid w:val="00FC5A72"/>
    <w:rPr>
      <w:b/>
      <w:bCs/>
      <w:sz w:val="24"/>
      <w:szCs w:val="24"/>
    </w:rPr>
  </w:style>
  <w:style w:type="paragraph" w:customStyle="1" w:styleId="TableText">
    <w:name w:val="Table Text"/>
    <w:basedOn w:val="Normal"/>
    <w:uiPriority w:val="1"/>
    <w:semiHidden/>
    <w:qFormat/>
    <w:rsid w:val="00FC5A72"/>
    <w:pPr>
      <w:spacing w:before="60" w:after="60" w:line="280" w:lineRule="atLeast"/>
    </w:pPr>
    <w:rPr>
      <w:rFonts w:asciiTheme="minorHAnsi" w:eastAsia="Times New Roman" w:hAnsiTheme="minorHAnsi" w:cs="Times New Roman"/>
      <w:sz w:val="18"/>
      <w:szCs w:val="18"/>
    </w:rPr>
  </w:style>
  <w:style w:type="paragraph" w:customStyle="1" w:styleId="TableSourceNotes">
    <w:name w:val="Table Source Notes"/>
    <w:basedOn w:val="TableText"/>
    <w:uiPriority w:val="1"/>
    <w:semiHidden/>
    <w:qFormat/>
    <w:rsid w:val="00FC5A72"/>
    <w:pPr>
      <w:spacing w:before="120"/>
      <w:ind w:left="284" w:hanging="284"/>
      <w:contextualSpacing/>
    </w:pPr>
  </w:style>
  <w:style w:type="paragraph" w:customStyle="1" w:styleId="FootnoteSeparator">
    <w:name w:val="Footnote Separator"/>
    <w:basedOn w:val="Normal"/>
    <w:uiPriority w:val="1"/>
    <w:semiHidden/>
    <w:qFormat/>
    <w:rsid w:val="00FC5A72"/>
    <w:pPr>
      <w:spacing w:before="0" w:after="0" w:line="256" w:lineRule="auto"/>
    </w:pPr>
    <w:rPr>
      <w:rFonts w:asciiTheme="minorHAnsi" w:eastAsia="Times New Roman" w:hAnsiTheme="minorHAnsi" w:cs="Times New Roman"/>
      <w:sz w:val="22"/>
    </w:rPr>
  </w:style>
  <w:style w:type="paragraph" w:customStyle="1" w:styleId="Default">
    <w:name w:val="Default"/>
    <w:rsid w:val="00FC5A7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nt5">
    <w:name w:val="font5"/>
    <w:basedOn w:val="Normal"/>
    <w:uiPriority w:val="99"/>
    <w:semiHidden/>
    <w:rsid w:val="00FC5A72"/>
    <w:pPr>
      <w:spacing w:before="100" w:beforeAutospacing="1" w:after="100" w:afterAutospacing="1" w:line="256" w:lineRule="auto"/>
    </w:pPr>
    <w:rPr>
      <w:rFonts w:asciiTheme="minorHAnsi" w:eastAsia="Times New Roman" w:hAnsiTheme="minorHAnsi" w:cs="Arial"/>
      <w:b/>
      <w:bCs/>
      <w:color w:val="85D6D4" w:themeColor="accent6"/>
      <w:sz w:val="18"/>
      <w:szCs w:val="18"/>
      <w:lang w:eastAsia="en-AU"/>
    </w:rPr>
  </w:style>
  <w:style w:type="paragraph" w:customStyle="1" w:styleId="font6">
    <w:name w:val="font6"/>
    <w:basedOn w:val="Normal"/>
    <w:uiPriority w:val="99"/>
    <w:semiHidden/>
    <w:rsid w:val="00FC5A72"/>
    <w:pPr>
      <w:spacing w:before="100" w:beforeAutospacing="1" w:after="100" w:afterAutospacing="1" w:line="256" w:lineRule="auto"/>
    </w:pPr>
    <w:rPr>
      <w:rFonts w:asciiTheme="minorHAnsi" w:eastAsia="Times New Roman" w:hAnsiTheme="minorHAnsi" w:cs="Arial"/>
      <w:b/>
      <w:bCs/>
      <w:color w:val="85D6D4" w:themeColor="accent6"/>
      <w:sz w:val="18"/>
      <w:szCs w:val="18"/>
      <w:lang w:eastAsia="en-AU"/>
    </w:rPr>
  </w:style>
  <w:style w:type="paragraph" w:customStyle="1" w:styleId="xl65">
    <w:name w:val="xl65"/>
    <w:basedOn w:val="Normal"/>
    <w:uiPriority w:val="99"/>
    <w:semiHidden/>
    <w:rsid w:val="00FC5A72"/>
    <w:pPr>
      <w:spacing w:before="100" w:beforeAutospacing="1" w:after="100" w:afterAutospacing="1" w:line="256" w:lineRule="auto"/>
    </w:pPr>
    <w:rPr>
      <w:rFonts w:asciiTheme="minorHAnsi" w:eastAsia="Times New Roman" w:hAnsiTheme="minorHAnsi" w:cs="Arial"/>
      <w:sz w:val="18"/>
      <w:szCs w:val="18"/>
      <w:lang w:eastAsia="en-AU"/>
    </w:rPr>
  </w:style>
  <w:style w:type="paragraph" w:customStyle="1" w:styleId="xl66">
    <w:name w:val="xl66"/>
    <w:basedOn w:val="Normal"/>
    <w:uiPriority w:val="99"/>
    <w:semiHidden/>
    <w:rsid w:val="00FC5A72"/>
    <w:pPr>
      <w:spacing w:before="100" w:beforeAutospacing="1" w:after="100" w:afterAutospacing="1" w:line="256" w:lineRule="auto"/>
    </w:pPr>
    <w:rPr>
      <w:rFonts w:asciiTheme="minorHAnsi" w:eastAsia="Times New Roman" w:hAnsiTheme="minorHAnsi" w:cs="Arial"/>
      <w:color w:val="000000" w:themeColor="text1"/>
      <w:sz w:val="18"/>
      <w:szCs w:val="18"/>
      <w:lang w:eastAsia="en-AU"/>
    </w:rPr>
  </w:style>
  <w:style w:type="paragraph" w:customStyle="1" w:styleId="xl67">
    <w:name w:val="xl67"/>
    <w:basedOn w:val="Normal"/>
    <w:uiPriority w:val="99"/>
    <w:semiHidden/>
    <w:rsid w:val="00FC5A72"/>
    <w:pPr>
      <w:spacing w:before="100" w:beforeAutospacing="1" w:after="100" w:afterAutospacing="1" w:line="256" w:lineRule="auto"/>
    </w:pPr>
    <w:rPr>
      <w:rFonts w:asciiTheme="minorHAnsi" w:eastAsia="Times New Roman" w:hAnsiTheme="minorHAnsi" w:cs="Arial"/>
      <w:b/>
      <w:bCs/>
      <w:color w:val="85D6D4" w:themeColor="accent6"/>
      <w:sz w:val="18"/>
      <w:szCs w:val="18"/>
      <w:lang w:eastAsia="en-AU"/>
    </w:rPr>
  </w:style>
  <w:style w:type="paragraph" w:customStyle="1" w:styleId="xl68">
    <w:name w:val="xl68"/>
    <w:basedOn w:val="Normal"/>
    <w:uiPriority w:val="99"/>
    <w:semiHidden/>
    <w:rsid w:val="00FC5A72"/>
    <w:pPr>
      <w:spacing w:before="100" w:beforeAutospacing="1" w:after="100" w:afterAutospacing="1" w:line="256" w:lineRule="auto"/>
    </w:pPr>
    <w:rPr>
      <w:rFonts w:asciiTheme="minorHAnsi" w:eastAsia="Times New Roman" w:hAnsiTheme="minorHAnsi" w:cs="Arial"/>
      <w:b/>
      <w:bCs/>
      <w:color w:val="85D6D4" w:themeColor="accent6"/>
      <w:sz w:val="18"/>
      <w:szCs w:val="18"/>
      <w:lang w:eastAsia="en-AU"/>
    </w:rPr>
  </w:style>
  <w:style w:type="paragraph" w:customStyle="1" w:styleId="xl69">
    <w:name w:val="xl69"/>
    <w:basedOn w:val="Normal"/>
    <w:uiPriority w:val="99"/>
    <w:semiHidden/>
    <w:rsid w:val="00FC5A72"/>
    <w:pPr>
      <w:spacing w:before="100" w:beforeAutospacing="1" w:after="100" w:afterAutospacing="1" w:line="256" w:lineRule="auto"/>
    </w:pPr>
    <w:rPr>
      <w:rFonts w:asciiTheme="minorHAnsi" w:eastAsia="Times New Roman" w:hAnsiTheme="minorHAnsi" w:cs="Arial"/>
      <w:b/>
      <w:bCs/>
      <w:color w:val="85D6D4" w:themeColor="accent6"/>
      <w:sz w:val="18"/>
      <w:szCs w:val="18"/>
      <w:lang w:eastAsia="en-AU"/>
    </w:rPr>
  </w:style>
  <w:style w:type="paragraph" w:customStyle="1" w:styleId="xl70">
    <w:name w:val="xl70"/>
    <w:basedOn w:val="Normal"/>
    <w:uiPriority w:val="99"/>
    <w:semiHidden/>
    <w:rsid w:val="00FC5A72"/>
    <w:pPr>
      <w:spacing w:before="100" w:beforeAutospacing="1" w:after="100" w:afterAutospacing="1" w:line="256" w:lineRule="auto"/>
      <w:jc w:val="right"/>
    </w:pPr>
    <w:rPr>
      <w:rFonts w:asciiTheme="minorHAnsi" w:eastAsia="Times New Roman" w:hAnsiTheme="minorHAnsi" w:cs="Arial"/>
      <w:sz w:val="18"/>
      <w:szCs w:val="18"/>
      <w:lang w:eastAsia="en-AU"/>
    </w:rPr>
  </w:style>
  <w:style w:type="paragraph" w:customStyle="1" w:styleId="xl71">
    <w:name w:val="xl71"/>
    <w:basedOn w:val="Normal"/>
    <w:uiPriority w:val="99"/>
    <w:semiHidden/>
    <w:rsid w:val="00FC5A72"/>
    <w:pPr>
      <w:spacing w:before="100" w:beforeAutospacing="1" w:after="100" w:afterAutospacing="1" w:line="256" w:lineRule="auto"/>
    </w:pPr>
    <w:rPr>
      <w:rFonts w:asciiTheme="minorHAnsi" w:eastAsia="Times New Roman" w:hAnsiTheme="minorHAnsi" w:cs="Arial"/>
      <w:color w:val="000000" w:themeColor="text1"/>
      <w:sz w:val="18"/>
      <w:szCs w:val="18"/>
      <w:lang w:eastAsia="en-AU"/>
    </w:rPr>
  </w:style>
  <w:style w:type="paragraph" w:customStyle="1" w:styleId="xl72">
    <w:name w:val="xl72"/>
    <w:basedOn w:val="Normal"/>
    <w:uiPriority w:val="99"/>
    <w:semiHidden/>
    <w:rsid w:val="00FC5A72"/>
    <w:pPr>
      <w:spacing w:before="100" w:beforeAutospacing="1" w:after="100" w:afterAutospacing="1" w:line="256" w:lineRule="auto"/>
    </w:pPr>
    <w:rPr>
      <w:rFonts w:asciiTheme="minorHAnsi" w:eastAsia="Times New Roman" w:hAnsiTheme="minorHAnsi" w:cs="Arial"/>
      <w:sz w:val="18"/>
      <w:szCs w:val="18"/>
      <w:lang w:eastAsia="en-AU"/>
    </w:rPr>
  </w:style>
  <w:style w:type="paragraph" w:customStyle="1" w:styleId="xl73">
    <w:name w:val="xl73"/>
    <w:basedOn w:val="Normal"/>
    <w:uiPriority w:val="99"/>
    <w:semiHidden/>
    <w:rsid w:val="00FC5A72"/>
    <w:pPr>
      <w:spacing w:before="100" w:beforeAutospacing="1" w:after="100" w:afterAutospacing="1" w:line="256" w:lineRule="auto"/>
      <w:jc w:val="right"/>
    </w:pPr>
    <w:rPr>
      <w:rFonts w:asciiTheme="minorHAnsi" w:eastAsia="Times New Roman" w:hAnsiTheme="minorHAnsi" w:cs="Arial"/>
      <w:sz w:val="18"/>
      <w:szCs w:val="18"/>
      <w:lang w:eastAsia="en-AU"/>
    </w:rPr>
  </w:style>
  <w:style w:type="paragraph" w:customStyle="1" w:styleId="xl74">
    <w:name w:val="xl74"/>
    <w:basedOn w:val="Normal"/>
    <w:uiPriority w:val="99"/>
    <w:semiHidden/>
    <w:rsid w:val="00FC5A72"/>
    <w:pPr>
      <w:spacing w:before="100" w:beforeAutospacing="1" w:after="100" w:afterAutospacing="1" w:line="256" w:lineRule="auto"/>
      <w:jc w:val="right"/>
    </w:pPr>
    <w:rPr>
      <w:rFonts w:asciiTheme="minorHAnsi" w:eastAsia="Times New Roman" w:hAnsiTheme="minorHAnsi" w:cs="Arial"/>
      <w:color w:val="000000" w:themeColor="text1"/>
      <w:sz w:val="18"/>
      <w:szCs w:val="18"/>
      <w:lang w:eastAsia="en-AU"/>
    </w:rPr>
  </w:style>
  <w:style w:type="paragraph" w:customStyle="1" w:styleId="xl75">
    <w:name w:val="xl75"/>
    <w:basedOn w:val="Normal"/>
    <w:uiPriority w:val="99"/>
    <w:semiHidden/>
    <w:rsid w:val="00FC5A72"/>
    <w:pPr>
      <w:spacing w:before="100" w:beforeAutospacing="1" w:after="100" w:afterAutospacing="1" w:line="256" w:lineRule="auto"/>
    </w:pPr>
    <w:rPr>
      <w:rFonts w:asciiTheme="minorHAnsi" w:eastAsia="Times New Roman" w:hAnsiTheme="minorHAnsi" w:cs="Arial"/>
      <w:b/>
      <w:bCs/>
      <w:sz w:val="18"/>
      <w:szCs w:val="18"/>
      <w:lang w:eastAsia="en-AU"/>
    </w:rPr>
  </w:style>
  <w:style w:type="paragraph" w:customStyle="1" w:styleId="xl76">
    <w:name w:val="xl76"/>
    <w:basedOn w:val="Normal"/>
    <w:uiPriority w:val="99"/>
    <w:semiHidden/>
    <w:rsid w:val="00FC5A72"/>
    <w:pPr>
      <w:spacing w:before="100" w:beforeAutospacing="1" w:after="100" w:afterAutospacing="1" w:line="256" w:lineRule="auto"/>
    </w:pPr>
    <w:rPr>
      <w:rFonts w:asciiTheme="minorHAnsi" w:eastAsia="Times New Roman" w:hAnsiTheme="minorHAnsi" w:cs="Arial"/>
      <w:b/>
      <w:bCs/>
      <w:sz w:val="18"/>
      <w:szCs w:val="18"/>
      <w:lang w:eastAsia="en-AU"/>
    </w:rPr>
  </w:style>
  <w:style w:type="paragraph" w:customStyle="1" w:styleId="xl77">
    <w:name w:val="xl77"/>
    <w:basedOn w:val="Normal"/>
    <w:uiPriority w:val="99"/>
    <w:semiHidden/>
    <w:rsid w:val="00FC5A72"/>
    <w:pPr>
      <w:spacing w:before="100" w:beforeAutospacing="1" w:after="100" w:afterAutospacing="1" w:line="256" w:lineRule="auto"/>
    </w:pPr>
    <w:rPr>
      <w:rFonts w:asciiTheme="minorHAnsi" w:eastAsia="Times New Roman" w:hAnsiTheme="minorHAnsi" w:cs="Arial"/>
      <w:b/>
      <w:bCs/>
      <w:sz w:val="18"/>
      <w:szCs w:val="18"/>
      <w:lang w:eastAsia="en-AU"/>
    </w:rPr>
  </w:style>
  <w:style w:type="paragraph" w:customStyle="1" w:styleId="xl78">
    <w:name w:val="xl78"/>
    <w:basedOn w:val="Normal"/>
    <w:uiPriority w:val="99"/>
    <w:semiHidden/>
    <w:rsid w:val="00FC5A72"/>
    <w:pPr>
      <w:spacing w:before="100" w:beforeAutospacing="1" w:after="100" w:afterAutospacing="1" w:line="256" w:lineRule="auto"/>
    </w:pPr>
    <w:rPr>
      <w:rFonts w:asciiTheme="minorHAnsi" w:eastAsia="Times New Roman" w:hAnsiTheme="minorHAnsi" w:cs="Arial"/>
      <w:b/>
      <w:bCs/>
      <w:color w:val="000000" w:themeColor="text1"/>
      <w:sz w:val="18"/>
      <w:szCs w:val="18"/>
      <w:lang w:eastAsia="en-AU"/>
    </w:rPr>
  </w:style>
  <w:style w:type="paragraph" w:customStyle="1" w:styleId="xl79">
    <w:name w:val="xl79"/>
    <w:basedOn w:val="Normal"/>
    <w:uiPriority w:val="99"/>
    <w:semiHidden/>
    <w:rsid w:val="00FC5A72"/>
    <w:pPr>
      <w:spacing w:before="100" w:beforeAutospacing="1" w:after="100" w:afterAutospacing="1" w:line="256" w:lineRule="auto"/>
    </w:pPr>
    <w:rPr>
      <w:rFonts w:asciiTheme="minorHAnsi" w:eastAsia="Times New Roman" w:hAnsiTheme="minorHAnsi" w:cs="Arial"/>
      <w:b/>
      <w:bCs/>
      <w:color w:val="000000" w:themeColor="text1"/>
      <w:sz w:val="18"/>
      <w:szCs w:val="18"/>
      <w:lang w:eastAsia="en-AU"/>
    </w:rPr>
  </w:style>
  <w:style w:type="paragraph" w:customStyle="1" w:styleId="xl80">
    <w:name w:val="xl80"/>
    <w:basedOn w:val="Normal"/>
    <w:uiPriority w:val="99"/>
    <w:semiHidden/>
    <w:rsid w:val="00FC5A72"/>
    <w:pPr>
      <w:spacing w:before="100" w:beforeAutospacing="1" w:after="100" w:afterAutospacing="1" w:line="256" w:lineRule="auto"/>
    </w:pPr>
    <w:rPr>
      <w:rFonts w:asciiTheme="minorHAnsi" w:eastAsia="Times New Roman" w:hAnsiTheme="minorHAnsi" w:cs="Arial"/>
      <w:b/>
      <w:bCs/>
      <w:color w:val="000000" w:themeColor="text1"/>
      <w:sz w:val="18"/>
      <w:szCs w:val="18"/>
      <w:lang w:eastAsia="en-AU"/>
    </w:rPr>
  </w:style>
  <w:style w:type="paragraph" w:customStyle="1" w:styleId="xl81">
    <w:name w:val="xl81"/>
    <w:basedOn w:val="Normal"/>
    <w:uiPriority w:val="99"/>
    <w:semiHidden/>
    <w:rsid w:val="00FC5A72"/>
    <w:pPr>
      <w:spacing w:before="100" w:beforeAutospacing="1" w:after="100" w:afterAutospacing="1" w:line="256" w:lineRule="auto"/>
    </w:pPr>
    <w:rPr>
      <w:rFonts w:asciiTheme="minorHAnsi" w:eastAsia="Times New Roman" w:hAnsiTheme="minorHAnsi" w:cs="Arial"/>
      <w:b/>
      <w:bCs/>
      <w:color w:val="000000" w:themeColor="text1"/>
      <w:sz w:val="18"/>
      <w:szCs w:val="18"/>
      <w:lang w:eastAsia="en-AU"/>
    </w:rPr>
  </w:style>
  <w:style w:type="character" w:customStyle="1" w:styleId="CABParagraphChar">
    <w:name w:val="CAB Paragraph Char"/>
    <w:basedOn w:val="DefaultParagraphFont"/>
    <w:link w:val="CABParagraph"/>
    <w:uiPriority w:val="98"/>
    <w:semiHidden/>
    <w:locked/>
    <w:rsid w:val="00FC5A72"/>
    <w:rPr>
      <w:rFonts w:ascii="Arial" w:eastAsiaTheme="minorEastAsia" w:hAnsi="Arial" w:cs="Times New Roman"/>
    </w:rPr>
  </w:style>
  <w:style w:type="paragraph" w:customStyle="1" w:styleId="CABParagraph">
    <w:name w:val="CAB Paragraph"/>
    <w:basedOn w:val="BodyText"/>
    <w:link w:val="CABParagraphChar"/>
    <w:uiPriority w:val="98"/>
    <w:semiHidden/>
    <w:qFormat/>
    <w:rsid w:val="00FC5A72"/>
    <w:rPr>
      <w:rFonts w:eastAsiaTheme="minorEastAsia" w:cs="Times New Roman"/>
      <w:sz w:val="22"/>
    </w:rPr>
  </w:style>
  <w:style w:type="paragraph" w:customStyle="1" w:styleId="xl82">
    <w:name w:val="xl82"/>
    <w:basedOn w:val="Normal"/>
    <w:uiPriority w:val="99"/>
    <w:semiHidden/>
    <w:rsid w:val="00FC5A72"/>
    <w:pPr>
      <w:pBdr>
        <w:top w:val="single" w:sz="8" w:space="0" w:color="2171FF"/>
        <w:left w:val="single" w:sz="8" w:space="0" w:color="2171FF"/>
        <w:bottom w:val="single" w:sz="8" w:space="0" w:color="2171FF"/>
        <w:right w:val="single" w:sz="8" w:space="0" w:color="2171FF"/>
      </w:pBdr>
      <w:shd w:val="clear" w:color="auto" w:fill="B5CFFF"/>
      <w:spacing w:before="100" w:beforeAutospacing="1" w:after="100" w:afterAutospacing="1"/>
      <w:jc w:val="right"/>
    </w:pPr>
    <w:rPr>
      <w:rFonts w:eastAsia="Times New Roman" w:cs="Arial"/>
      <w:sz w:val="18"/>
      <w:szCs w:val="18"/>
      <w:lang w:eastAsia="en-AU"/>
    </w:rPr>
  </w:style>
  <w:style w:type="paragraph" w:customStyle="1" w:styleId="xl83">
    <w:name w:val="xl83"/>
    <w:basedOn w:val="Normal"/>
    <w:uiPriority w:val="99"/>
    <w:semiHidden/>
    <w:rsid w:val="00FC5A72"/>
    <w:pPr>
      <w:pBdr>
        <w:top w:val="single" w:sz="8" w:space="0" w:color="2171FF"/>
        <w:left w:val="single" w:sz="8" w:space="0" w:color="2171FF"/>
        <w:bottom w:val="single" w:sz="8" w:space="0" w:color="2171FF"/>
        <w:right w:val="single" w:sz="8" w:space="0" w:color="2171FF"/>
      </w:pBdr>
      <w:shd w:val="clear" w:color="auto" w:fill="B5CFFF"/>
      <w:spacing w:before="100" w:beforeAutospacing="1" w:after="100" w:afterAutospacing="1"/>
    </w:pPr>
    <w:rPr>
      <w:rFonts w:eastAsia="Times New Roman" w:cs="Arial"/>
      <w:color w:val="000000"/>
      <w:sz w:val="18"/>
      <w:szCs w:val="18"/>
      <w:lang w:eastAsia="en-AU"/>
    </w:rPr>
  </w:style>
  <w:style w:type="paragraph" w:customStyle="1" w:styleId="xl84">
    <w:name w:val="xl84"/>
    <w:basedOn w:val="Normal"/>
    <w:uiPriority w:val="99"/>
    <w:semiHidden/>
    <w:rsid w:val="00FC5A72"/>
    <w:pPr>
      <w:pBdr>
        <w:left w:val="single" w:sz="8" w:space="0" w:color="2171FF"/>
        <w:bottom w:val="single" w:sz="8" w:space="0" w:color="2171FF"/>
        <w:right w:val="single" w:sz="8" w:space="0" w:color="2171FF"/>
      </w:pBdr>
      <w:shd w:val="clear" w:color="auto" w:fill="B5CFFF"/>
      <w:spacing w:before="100" w:beforeAutospacing="1" w:after="100" w:afterAutospacing="1"/>
    </w:pPr>
    <w:rPr>
      <w:rFonts w:eastAsia="Times New Roman" w:cs="Arial"/>
      <w:color w:val="000000"/>
      <w:sz w:val="18"/>
      <w:szCs w:val="18"/>
      <w:lang w:eastAsia="en-AU"/>
    </w:rPr>
  </w:style>
  <w:style w:type="paragraph" w:customStyle="1" w:styleId="xl85">
    <w:name w:val="xl85"/>
    <w:basedOn w:val="Normal"/>
    <w:uiPriority w:val="99"/>
    <w:semiHidden/>
    <w:rsid w:val="00FC5A72"/>
    <w:pPr>
      <w:pBdr>
        <w:left w:val="single" w:sz="8" w:space="0" w:color="2171FF"/>
        <w:bottom w:val="single" w:sz="8" w:space="0" w:color="2171FF"/>
        <w:right w:val="single" w:sz="8" w:space="0" w:color="2171FF"/>
      </w:pBdr>
      <w:spacing w:before="100" w:beforeAutospacing="1" w:after="100" w:afterAutospacing="1"/>
    </w:pPr>
    <w:rPr>
      <w:rFonts w:eastAsia="Times New Roman" w:cs="Arial"/>
      <w:color w:val="000000"/>
      <w:sz w:val="18"/>
      <w:szCs w:val="18"/>
      <w:lang w:eastAsia="en-AU"/>
    </w:rPr>
  </w:style>
  <w:style w:type="paragraph" w:customStyle="1" w:styleId="xl86">
    <w:name w:val="xl86"/>
    <w:basedOn w:val="Normal"/>
    <w:uiPriority w:val="99"/>
    <w:semiHidden/>
    <w:rsid w:val="00FC5A72"/>
    <w:pPr>
      <w:pBdr>
        <w:top w:val="single" w:sz="8" w:space="0" w:color="2171FF"/>
        <w:left w:val="single" w:sz="8" w:space="0" w:color="2171FF"/>
        <w:right w:val="single" w:sz="8" w:space="0" w:color="2171FF"/>
      </w:pBdr>
      <w:shd w:val="clear" w:color="auto" w:fill="B5CFFF"/>
      <w:spacing w:before="100" w:beforeAutospacing="1" w:after="100" w:afterAutospacing="1"/>
    </w:pPr>
    <w:rPr>
      <w:rFonts w:eastAsia="Times New Roman" w:cs="Arial"/>
      <w:b/>
      <w:bCs/>
      <w:color w:val="000000"/>
      <w:sz w:val="18"/>
      <w:szCs w:val="18"/>
      <w:lang w:eastAsia="en-AU"/>
    </w:rPr>
  </w:style>
  <w:style w:type="paragraph" w:customStyle="1" w:styleId="xl87">
    <w:name w:val="xl87"/>
    <w:basedOn w:val="Normal"/>
    <w:uiPriority w:val="99"/>
    <w:semiHidden/>
    <w:rsid w:val="00FC5A72"/>
    <w:pPr>
      <w:pBdr>
        <w:left w:val="single" w:sz="8" w:space="0" w:color="2171FF"/>
        <w:right w:val="single" w:sz="8" w:space="0" w:color="2171FF"/>
      </w:pBdr>
      <w:shd w:val="clear" w:color="auto" w:fill="B5CFFF"/>
      <w:spacing w:before="100" w:beforeAutospacing="1" w:after="100" w:afterAutospacing="1"/>
    </w:pPr>
    <w:rPr>
      <w:rFonts w:eastAsia="Times New Roman" w:cs="Arial"/>
      <w:b/>
      <w:bCs/>
      <w:color w:val="000000"/>
      <w:sz w:val="18"/>
      <w:szCs w:val="18"/>
      <w:lang w:eastAsia="en-AU"/>
    </w:rPr>
  </w:style>
  <w:style w:type="paragraph" w:customStyle="1" w:styleId="xl88">
    <w:name w:val="xl88"/>
    <w:basedOn w:val="Normal"/>
    <w:uiPriority w:val="99"/>
    <w:semiHidden/>
    <w:rsid w:val="00FC5A72"/>
    <w:pPr>
      <w:pBdr>
        <w:left w:val="single" w:sz="8" w:space="0" w:color="2171FF"/>
        <w:bottom w:val="single" w:sz="8" w:space="0" w:color="2171FF"/>
        <w:right w:val="single" w:sz="8" w:space="0" w:color="2171FF"/>
      </w:pBdr>
      <w:shd w:val="clear" w:color="auto" w:fill="B5CFFF"/>
      <w:spacing w:before="100" w:beforeAutospacing="1" w:after="100" w:afterAutospacing="1"/>
    </w:pPr>
    <w:rPr>
      <w:rFonts w:eastAsia="Times New Roman" w:cs="Arial"/>
      <w:b/>
      <w:bCs/>
      <w:color w:val="000000"/>
      <w:sz w:val="18"/>
      <w:szCs w:val="18"/>
      <w:lang w:eastAsia="en-AU"/>
    </w:rPr>
  </w:style>
  <w:style w:type="paragraph" w:customStyle="1" w:styleId="xl89">
    <w:name w:val="xl89"/>
    <w:basedOn w:val="Normal"/>
    <w:uiPriority w:val="99"/>
    <w:semiHidden/>
    <w:rsid w:val="00FC5A72"/>
    <w:pPr>
      <w:pBdr>
        <w:top w:val="single" w:sz="8" w:space="0" w:color="00338D"/>
        <w:left w:val="single" w:sz="8" w:space="0" w:color="2171FF"/>
        <w:right w:val="single" w:sz="8" w:space="0" w:color="2171FF"/>
      </w:pBdr>
      <w:shd w:val="clear" w:color="auto" w:fill="B5CFFF"/>
      <w:spacing w:before="100" w:beforeAutospacing="1" w:after="100" w:afterAutospacing="1"/>
    </w:pPr>
    <w:rPr>
      <w:rFonts w:eastAsia="Times New Roman" w:cs="Arial"/>
      <w:b/>
      <w:bCs/>
      <w:color w:val="000000"/>
      <w:sz w:val="18"/>
      <w:szCs w:val="18"/>
      <w:lang w:eastAsia="en-AU"/>
    </w:rPr>
  </w:style>
  <w:style w:type="paragraph" w:customStyle="1" w:styleId="xl90">
    <w:name w:val="xl90"/>
    <w:basedOn w:val="Normal"/>
    <w:uiPriority w:val="99"/>
    <w:semiHidden/>
    <w:rsid w:val="00FC5A72"/>
    <w:pPr>
      <w:pBdr>
        <w:top w:val="single" w:sz="8" w:space="0" w:color="2171FF"/>
        <w:left w:val="single" w:sz="8" w:space="0" w:color="2171FF"/>
        <w:right w:val="single" w:sz="8" w:space="0" w:color="2171FF"/>
      </w:pBdr>
      <w:spacing w:before="100" w:beforeAutospacing="1" w:after="100" w:afterAutospacing="1"/>
    </w:pPr>
    <w:rPr>
      <w:rFonts w:eastAsia="Times New Roman" w:cs="Arial"/>
      <w:b/>
      <w:bCs/>
      <w:sz w:val="18"/>
      <w:szCs w:val="18"/>
      <w:lang w:eastAsia="en-AU"/>
    </w:rPr>
  </w:style>
  <w:style w:type="paragraph" w:customStyle="1" w:styleId="xl91">
    <w:name w:val="xl91"/>
    <w:basedOn w:val="Normal"/>
    <w:uiPriority w:val="99"/>
    <w:semiHidden/>
    <w:rsid w:val="00FC5A72"/>
    <w:pPr>
      <w:pBdr>
        <w:left w:val="single" w:sz="8" w:space="0" w:color="2171FF"/>
        <w:right w:val="single" w:sz="8" w:space="0" w:color="2171FF"/>
      </w:pBdr>
      <w:spacing w:before="100" w:beforeAutospacing="1" w:after="100" w:afterAutospacing="1"/>
    </w:pPr>
    <w:rPr>
      <w:rFonts w:eastAsia="Times New Roman" w:cs="Arial"/>
      <w:b/>
      <w:bCs/>
      <w:sz w:val="18"/>
      <w:szCs w:val="18"/>
      <w:lang w:eastAsia="en-AU"/>
    </w:rPr>
  </w:style>
  <w:style w:type="paragraph" w:customStyle="1" w:styleId="xl92">
    <w:name w:val="xl92"/>
    <w:basedOn w:val="Normal"/>
    <w:uiPriority w:val="99"/>
    <w:semiHidden/>
    <w:rsid w:val="00FC5A72"/>
    <w:pPr>
      <w:pBdr>
        <w:left w:val="single" w:sz="8" w:space="0" w:color="2171FF"/>
        <w:bottom w:val="single" w:sz="8" w:space="0" w:color="2171FF"/>
        <w:right w:val="single" w:sz="8" w:space="0" w:color="2171FF"/>
      </w:pBdr>
      <w:spacing w:before="100" w:beforeAutospacing="1" w:after="100" w:afterAutospacing="1"/>
    </w:pPr>
    <w:rPr>
      <w:rFonts w:eastAsia="Times New Roman" w:cs="Arial"/>
      <w:b/>
      <w:bCs/>
      <w:sz w:val="18"/>
      <w:szCs w:val="18"/>
      <w:lang w:eastAsia="en-AU"/>
    </w:rPr>
  </w:style>
  <w:style w:type="character" w:customStyle="1" w:styleId="undertableChar">
    <w:name w:val="undertable Char"/>
    <w:basedOn w:val="DefaultParagraphFont"/>
    <w:link w:val="undertable"/>
    <w:uiPriority w:val="1"/>
    <w:semiHidden/>
    <w:locked/>
    <w:rsid w:val="00FC5A72"/>
    <w:rPr>
      <w:rFonts w:ascii="Calibri" w:eastAsia="Times New Roman" w:hAnsi="Calibri" w:cs="Calibri"/>
      <w:color w:val="808080" w:themeColor="background1" w:themeShade="80"/>
      <w:lang w:eastAsia="en-AU"/>
    </w:rPr>
  </w:style>
  <w:style w:type="paragraph" w:customStyle="1" w:styleId="undertable">
    <w:name w:val="undertable"/>
    <w:basedOn w:val="Normal"/>
    <w:link w:val="undertableChar"/>
    <w:uiPriority w:val="1"/>
    <w:semiHidden/>
    <w:qFormat/>
    <w:rsid w:val="00FC5A72"/>
    <w:pPr>
      <w:spacing w:after="0" w:line="256" w:lineRule="auto"/>
    </w:pPr>
    <w:rPr>
      <w:rFonts w:ascii="Calibri" w:eastAsia="Times New Roman" w:hAnsi="Calibri" w:cs="Calibri"/>
      <w:color w:val="808080" w:themeColor="background1" w:themeShade="80"/>
      <w:sz w:val="22"/>
      <w:lang w:eastAsia="en-AU"/>
    </w:rPr>
  </w:style>
  <w:style w:type="character" w:customStyle="1" w:styleId="tableheadingsChar">
    <w:name w:val="table headings Char"/>
    <w:basedOn w:val="DefaultParagraphFont"/>
    <w:link w:val="tableheadings"/>
    <w:semiHidden/>
    <w:locked/>
    <w:rsid w:val="00FC5A72"/>
    <w:rPr>
      <w:rFonts w:ascii="Times New Roman" w:eastAsia="Times New Roman" w:hAnsi="Times New Roman" w:cs="Times New Roman"/>
      <w:b/>
      <w:bCs/>
      <w:sz w:val="20"/>
      <w:szCs w:val="20"/>
    </w:rPr>
  </w:style>
  <w:style w:type="paragraph" w:customStyle="1" w:styleId="tableheadings">
    <w:name w:val="table headings"/>
    <w:basedOn w:val="Normal"/>
    <w:link w:val="tableheadingsChar"/>
    <w:semiHidden/>
    <w:qFormat/>
    <w:rsid w:val="00FC5A72"/>
    <w:pPr>
      <w:spacing w:before="0" w:after="0"/>
    </w:pPr>
    <w:rPr>
      <w:rFonts w:ascii="Times New Roman" w:eastAsia="Times New Roman" w:hAnsi="Times New Roman" w:cs="Times New Roman"/>
      <w:b/>
      <w:bCs/>
      <w:szCs w:val="20"/>
    </w:rPr>
  </w:style>
  <w:style w:type="character" w:customStyle="1" w:styleId="tabletextChar">
    <w:name w:val="table text Char"/>
    <w:basedOn w:val="DefaultParagraphFont"/>
    <w:link w:val="tabletext0"/>
    <w:semiHidden/>
    <w:locked/>
    <w:rsid w:val="00FC5A72"/>
    <w:rPr>
      <w:rFonts w:ascii="Times New Roman" w:eastAsia="Times New Roman" w:hAnsi="Times New Roman" w:cs="Times New Roman"/>
      <w:sz w:val="20"/>
      <w:szCs w:val="20"/>
    </w:rPr>
  </w:style>
  <w:style w:type="paragraph" w:customStyle="1" w:styleId="tabletext0">
    <w:name w:val="table text"/>
    <w:basedOn w:val="Normal"/>
    <w:link w:val="tabletextChar"/>
    <w:semiHidden/>
    <w:qFormat/>
    <w:rsid w:val="00FC5A72"/>
    <w:pPr>
      <w:spacing w:before="0" w:after="0"/>
    </w:pPr>
    <w:rPr>
      <w:rFonts w:ascii="Times New Roman" w:eastAsia="Times New Roman" w:hAnsi="Times New Roman" w:cs="Times New Roman"/>
      <w:szCs w:val="20"/>
    </w:rPr>
  </w:style>
  <w:style w:type="paragraph" w:customStyle="1" w:styleId="CoverSubTitle">
    <w:name w:val="Cover Sub Title"/>
    <w:basedOn w:val="Normal"/>
    <w:uiPriority w:val="99"/>
    <w:semiHidden/>
    <w:qFormat/>
    <w:rsid w:val="00FC5A72"/>
    <w:pPr>
      <w:spacing w:before="0" w:after="0"/>
    </w:pPr>
    <w:rPr>
      <w:rFonts w:cs="Arial"/>
      <w:caps/>
      <w:color w:val="FFFFFF" w:themeColor="background1"/>
      <w:sz w:val="44"/>
      <w:szCs w:val="44"/>
      <w14:textOutline w14:w="9525" w14:cap="flat" w14:cmpd="sng" w14:algn="ctr">
        <w14:noFill/>
        <w14:prstDash w14:val="solid"/>
        <w14:round/>
      </w14:textOutline>
    </w:rPr>
  </w:style>
  <w:style w:type="paragraph" w:customStyle="1" w:styleId="BodyHeadingTitle2">
    <w:name w:val="Body Heading Title 2"/>
    <w:basedOn w:val="Normal"/>
    <w:uiPriority w:val="99"/>
    <w:semiHidden/>
    <w:qFormat/>
    <w:rsid w:val="00FC5A72"/>
    <w:pPr>
      <w:tabs>
        <w:tab w:val="left" w:pos="2835"/>
        <w:tab w:val="left" w:pos="3060"/>
      </w:tabs>
      <w:autoSpaceDE w:val="0"/>
      <w:autoSpaceDN w:val="0"/>
      <w:adjustRightInd w:val="0"/>
      <w:spacing w:before="0" w:after="57" w:line="288" w:lineRule="auto"/>
    </w:pPr>
    <w:rPr>
      <w:rFonts w:cs="Arial"/>
      <w:color w:val="CC0078"/>
      <w:sz w:val="36"/>
      <w:szCs w:val="36"/>
    </w:rPr>
  </w:style>
  <w:style w:type="paragraph" w:customStyle="1" w:styleId="BodyHeadingTitle3">
    <w:name w:val="Body Heading Title 3"/>
    <w:basedOn w:val="Normal"/>
    <w:uiPriority w:val="99"/>
    <w:semiHidden/>
    <w:qFormat/>
    <w:rsid w:val="00FC5A72"/>
    <w:pPr>
      <w:tabs>
        <w:tab w:val="left" w:pos="2835"/>
        <w:tab w:val="left" w:pos="3060"/>
      </w:tabs>
      <w:autoSpaceDE w:val="0"/>
      <w:autoSpaceDN w:val="0"/>
      <w:adjustRightInd w:val="0"/>
      <w:spacing w:before="0" w:after="57" w:line="288" w:lineRule="auto"/>
    </w:pPr>
    <w:rPr>
      <w:rFonts w:cs="Arial"/>
      <w:b/>
      <w:bCs/>
      <w:color w:val="DB5C1F"/>
      <w:sz w:val="28"/>
      <w:szCs w:val="28"/>
    </w:rPr>
  </w:style>
  <w:style w:type="paragraph" w:customStyle="1" w:styleId="body-regular">
    <w:name w:val="body-regular"/>
    <w:basedOn w:val="Normal"/>
    <w:uiPriority w:val="99"/>
    <w:semiHidden/>
    <w:rsid w:val="00FC5A72"/>
    <w:pPr>
      <w:spacing w:before="100" w:beforeAutospacing="1" w:after="100" w:afterAutospacing="1"/>
    </w:pPr>
    <w:rPr>
      <w:rFonts w:ascii="Times New Roman" w:eastAsia="Times New Roman" w:hAnsi="Times New Roman" w:cs="Times New Roman"/>
      <w:sz w:val="24"/>
      <w:szCs w:val="24"/>
    </w:rPr>
  </w:style>
  <w:style w:type="paragraph" w:customStyle="1" w:styleId="pf0">
    <w:name w:val="pf0"/>
    <w:basedOn w:val="Normal"/>
    <w:rsid w:val="00FC5A72"/>
    <w:pPr>
      <w:spacing w:before="100" w:beforeAutospacing="1" w:after="100" w:afterAutospacing="1"/>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C5A72"/>
    <w:rPr>
      <w:sz w:val="16"/>
      <w:szCs w:val="16"/>
    </w:rPr>
  </w:style>
  <w:style w:type="character" w:styleId="PageNumber">
    <w:name w:val="page number"/>
    <w:basedOn w:val="DefaultParagraphFont"/>
    <w:uiPriority w:val="99"/>
    <w:semiHidden/>
    <w:unhideWhenUsed/>
    <w:rsid w:val="00FC5A72"/>
    <w:rPr>
      <w:rFonts w:ascii="Times New Roman" w:hAnsi="Times New Roman" w:cs="Times New Roman" w:hint="default"/>
    </w:rPr>
  </w:style>
  <w:style w:type="character" w:styleId="EndnoteReference">
    <w:name w:val="endnote reference"/>
    <w:basedOn w:val="DefaultParagraphFont"/>
    <w:uiPriority w:val="99"/>
    <w:semiHidden/>
    <w:unhideWhenUsed/>
    <w:rsid w:val="00FC5A72"/>
    <w:rPr>
      <w:vertAlign w:val="superscript"/>
    </w:rPr>
  </w:style>
  <w:style w:type="character" w:styleId="PlaceholderText">
    <w:name w:val="Placeholder Text"/>
    <w:basedOn w:val="DefaultParagraphFont"/>
    <w:uiPriority w:val="99"/>
    <w:semiHidden/>
    <w:rsid w:val="00FC5A72"/>
    <w:rPr>
      <w:rFonts w:ascii="Times New Roman" w:hAnsi="Times New Roman" w:cs="Times New Roman" w:hint="default"/>
      <w:color w:val="808080"/>
    </w:rPr>
  </w:style>
  <w:style w:type="character" w:styleId="IntenseEmphasis">
    <w:name w:val="Intense Emphasis"/>
    <w:basedOn w:val="DefaultParagraphFont"/>
    <w:uiPriority w:val="21"/>
    <w:qFormat/>
    <w:rsid w:val="00FC5A72"/>
    <w:rPr>
      <w:i/>
      <w:iCs/>
      <w:color w:val="DFB558" w:themeColor="accent1"/>
    </w:rPr>
  </w:style>
  <w:style w:type="character" w:styleId="IntenseReference">
    <w:name w:val="Intense Reference"/>
    <w:basedOn w:val="DefaultParagraphFont"/>
    <w:uiPriority w:val="99"/>
    <w:qFormat/>
    <w:locked/>
    <w:rsid w:val="00FC5A72"/>
    <w:rPr>
      <w:b/>
      <w:bCs/>
      <w:smallCaps/>
      <w:color w:val="DFB558" w:themeColor="accent1"/>
      <w:spacing w:val="5"/>
    </w:rPr>
  </w:style>
  <w:style w:type="character" w:customStyle="1" w:styleId="TitleChar1">
    <w:name w:val="Title Char1"/>
    <w:basedOn w:val="DefaultParagraphFont"/>
    <w:uiPriority w:val="10"/>
    <w:rsid w:val="00FC5A72"/>
    <w:rPr>
      <w:rFonts w:asciiTheme="majorHAnsi" w:eastAsiaTheme="majorEastAsia" w:hAnsiTheme="majorHAnsi" w:cstheme="majorBidi" w:hint="default"/>
      <w:spacing w:val="-10"/>
      <w:kern w:val="28"/>
      <w:sz w:val="56"/>
      <w:szCs w:val="56"/>
      <w:lang w:val="en-AU"/>
    </w:rPr>
  </w:style>
  <w:style w:type="character" w:customStyle="1" w:styleId="SubtitleChar1">
    <w:name w:val="Subtitle Char1"/>
    <w:basedOn w:val="DefaultParagraphFont"/>
    <w:uiPriority w:val="11"/>
    <w:rsid w:val="00FC5A72"/>
    <w:rPr>
      <w:rFonts w:ascii="MS Gothic" w:eastAsiaTheme="majorEastAsia" w:hAnsi="MS Gothic" w:cstheme="majorBidi" w:hint="eastAsia"/>
      <w:color w:val="595959" w:themeColor="text1" w:themeTint="A6"/>
      <w:spacing w:val="15"/>
      <w:sz w:val="28"/>
      <w:szCs w:val="28"/>
      <w:lang w:val="en-AU"/>
    </w:rPr>
  </w:style>
  <w:style w:type="character" w:customStyle="1" w:styleId="QuoteChar1">
    <w:name w:val="Quote Char1"/>
    <w:basedOn w:val="DefaultParagraphFont"/>
    <w:uiPriority w:val="29"/>
    <w:rsid w:val="00FC5A72"/>
    <w:rPr>
      <w:rFonts w:ascii="Arial" w:hAnsi="Arial" w:cs="Arial" w:hint="default"/>
      <w:i/>
      <w:iCs/>
      <w:color w:val="404040" w:themeColor="text1" w:themeTint="BF"/>
      <w:lang w:val="en-AU"/>
    </w:rPr>
  </w:style>
  <w:style w:type="character" w:customStyle="1" w:styleId="IntenseQuoteChar1">
    <w:name w:val="Intense Quote Char1"/>
    <w:basedOn w:val="DefaultParagraphFont"/>
    <w:uiPriority w:val="30"/>
    <w:rsid w:val="00FC5A72"/>
    <w:rPr>
      <w:rFonts w:ascii="Arial" w:hAnsi="Arial" w:cs="Arial" w:hint="default"/>
      <w:i/>
      <w:iCs/>
      <w:color w:val="C39125" w:themeColor="accent1" w:themeShade="BF"/>
      <w:lang w:val="en-AU"/>
    </w:rPr>
  </w:style>
  <w:style w:type="character" w:customStyle="1" w:styleId="textrun">
    <w:name w:val="textrun"/>
    <w:basedOn w:val="DefaultParagraphFont"/>
    <w:rsid w:val="00FC5A72"/>
  </w:style>
  <w:style w:type="character" w:customStyle="1" w:styleId="eop">
    <w:name w:val="eop"/>
    <w:basedOn w:val="DefaultParagraphFont"/>
    <w:rsid w:val="00FC5A72"/>
  </w:style>
  <w:style w:type="character" w:customStyle="1" w:styleId="fieldrange">
    <w:name w:val="fieldrange"/>
    <w:basedOn w:val="DefaultParagraphFont"/>
    <w:rsid w:val="00FC5A72"/>
  </w:style>
  <w:style w:type="character" w:customStyle="1" w:styleId="scxw238233736">
    <w:name w:val="scxw238233736"/>
    <w:basedOn w:val="DefaultParagraphFont"/>
    <w:rsid w:val="00FC5A72"/>
  </w:style>
  <w:style w:type="character" w:customStyle="1" w:styleId="wacimagecontainer">
    <w:name w:val="wacimagecontainer"/>
    <w:basedOn w:val="DefaultParagraphFont"/>
    <w:rsid w:val="00FC5A72"/>
  </w:style>
  <w:style w:type="character" w:customStyle="1" w:styleId="pagebreakblob">
    <w:name w:val="pagebreakblob"/>
    <w:basedOn w:val="DefaultParagraphFont"/>
    <w:rsid w:val="00FC5A72"/>
  </w:style>
  <w:style w:type="character" w:customStyle="1" w:styleId="pagebreaktextspan">
    <w:name w:val="pagebreaktextspan"/>
    <w:basedOn w:val="DefaultParagraphFont"/>
    <w:rsid w:val="00FC5A72"/>
  </w:style>
  <w:style w:type="character" w:customStyle="1" w:styleId="pagebreakborderspan">
    <w:name w:val="pagebreakborderspan"/>
    <w:basedOn w:val="DefaultParagraphFont"/>
    <w:rsid w:val="00FC5A72"/>
  </w:style>
  <w:style w:type="character" w:customStyle="1" w:styleId="mathequationcontainer">
    <w:name w:val="mathequationcontainer"/>
    <w:basedOn w:val="DefaultParagraphFont"/>
    <w:rsid w:val="00FC5A72"/>
  </w:style>
  <w:style w:type="character" w:customStyle="1" w:styleId="mathspan">
    <w:name w:val="mathspan"/>
    <w:basedOn w:val="DefaultParagraphFont"/>
    <w:rsid w:val="00FC5A72"/>
  </w:style>
  <w:style w:type="character" w:customStyle="1" w:styleId="mathjaxpreview">
    <w:name w:val="mathjax_preview"/>
    <w:basedOn w:val="DefaultParagraphFont"/>
    <w:rsid w:val="00FC5A72"/>
  </w:style>
  <w:style w:type="character" w:customStyle="1" w:styleId="mathjax">
    <w:name w:val="mathjax"/>
    <w:basedOn w:val="DefaultParagraphFont"/>
    <w:rsid w:val="00FC5A72"/>
  </w:style>
  <w:style w:type="character" w:customStyle="1" w:styleId="math">
    <w:name w:val="math"/>
    <w:basedOn w:val="DefaultParagraphFont"/>
    <w:rsid w:val="00FC5A72"/>
  </w:style>
  <w:style w:type="character" w:customStyle="1" w:styleId="mrow">
    <w:name w:val="mrow"/>
    <w:basedOn w:val="DefaultParagraphFont"/>
    <w:rsid w:val="00FC5A72"/>
  </w:style>
  <w:style w:type="character" w:customStyle="1" w:styleId="mi">
    <w:name w:val="mi"/>
    <w:basedOn w:val="DefaultParagraphFont"/>
    <w:rsid w:val="00FC5A72"/>
  </w:style>
  <w:style w:type="character" w:customStyle="1" w:styleId="mo">
    <w:name w:val="mo"/>
    <w:basedOn w:val="DefaultParagraphFont"/>
    <w:rsid w:val="00FC5A72"/>
  </w:style>
  <w:style w:type="character" w:customStyle="1" w:styleId="msub">
    <w:name w:val="msub"/>
    <w:basedOn w:val="DefaultParagraphFont"/>
    <w:rsid w:val="00FC5A72"/>
  </w:style>
  <w:style w:type="character" w:customStyle="1" w:styleId="mn">
    <w:name w:val="mn"/>
    <w:basedOn w:val="DefaultParagraphFont"/>
    <w:rsid w:val="00FC5A72"/>
  </w:style>
  <w:style w:type="character" w:customStyle="1" w:styleId="mtext">
    <w:name w:val="mtext"/>
    <w:basedOn w:val="DefaultParagraphFont"/>
    <w:rsid w:val="00FC5A72"/>
  </w:style>
  <w:style w:type="character" w:customStyle="1" w:styleId="mfrac">
    <w:name w:val="mfrac"/>
    <w:basedOn w:val="DefaultParagraphFont"/>
    <w:rsid w:val="00FC5A72"/>
  </w:style>
  <w:style w:type="character" w:customStyle="1" w:styleId="mjxassistivemathml">
    <w:name w:val="mjx_assistive_mathml"/>
    <w:basedOn w:val="DefaultParagraphFont"/>
    <w:rsid w:val="00FC5A72"/>
  </w:style>
  <w:style w:type="character" w:customStyle="1" w:styleId="mfenced">
    <w:name w:val="mfenced"/>
    <w:basedOn w:val="DefaultParagraphFont"/>
    <w:rsid w:val="00FC5A72"/>
  </w:style>
  <w:style w:type="character" w:customStyle="1" w:styleId="linebreakblob">
    <w:name w:val="linebreakblob"/>
    <w:basedOn w:val="DefaultParagraphFont"/>
    <w:rsid w:val="00FC5A72"/>
  </w:style>
  <w:style w:type="character" w:customStyle="1" w:styleId="tabrun">
    <w:name w:val="tabrun"/>
    <w:basedOn w:val="DefaultParagraphFont"/>
    <w:rsid w:val="00FC5A72"/>
  </w:style>
  <w:style w:type="character" w:customStyle="1" w:styleId="tabchar">
    <w:name w:val="tabchar"/>
    <w:basedOn w:val="DefaultParagraphFont"/>
    <w:rsid w:val="00FC5A72"/>
  </w:style>
  <w:style w:type="character" w:customStyle="1" w:styleId="tableaderchars">
    <w:name w:val="tableaderchars"/>
    <w:basedOn w:val="DefaultParagraphFont"/>
    <w:rsid w:val="00FC5A72"/>
  </w:style>
  <w:style w:type="character" w:customStyle="1" w:styleId="Classification">
    <w:name w:val="Classification"/>
    <w:basedOn w:val="DefaultParagraphFont"/>
    <w:uiPriority w:val="1"/>
    <w:qFormat/>
    <w:rsid w:val="00FC5A72"/>
    <w:rPr>
      <w:rFonts w:ascii="Times New Roman" w:hAnsi="Times New Roman" w:cs="Times New Roman" w:hint="default"/>
      <w:b/>
      <w:bCs w:val="0"/>
      <w:caps/>
      <w:sz w:val="24"/>
    </w:rPr>
  </w:style>
  <w:style w:type="character" w:customStyle="1" w:styleId="cf01">
    <w:name w:val="cf01"/>
    <w:basedOn w:val="DefaultParagraphFont"/>
    <w:rsid w:val="00FC5A72"/>
    <w:rPr>
      <w:rFonts w:ascii="Segoe UI" w:hAnsi="Segoe UI" w:cs="Segoe UI" w:hint="default"/>
      <w:sz w:val="18"/>
      <w:szCs w:val="18"/>
    </w:rPr>
  </w:style>
  <w:style w:type="character" w:customStyle="1" w:styleId="findhit">
    <w:name w:val="findhit"/>
    <w:basedOn w:val="DefaultParagraphFont"/>
    <w:rsid w:val="00FC5A72"/>
    <w:rPr>
      <w:rFonts w:ascii="Times New Roman" w:hAnsi="Times New Roman" w:cs="Times New Roman" w:hint="default"/>
    </w:rPr>
  </w:style>
  <w:style w:type="character" w:customStyle="1" w:styleId="ui-provider">
    <w:name w:val="ui-provider"/>
    <w:basedOn w:val="DefaultParagraphFont"/>
    <w:rsid w:val="00FC5A72"/>
  </w:style>
  <w:style w:type="character" w:customStyle="1" w:styleId="cf21">
    <w:name w:val="cf21"/>
    <w:basedOn w:val="DefaultParagraphFont"/>
    <w:rsid w:val="00FC5A72"/>
    <w:rPr>
      <w:rFonts w:ascii="Segoe UI" w:hAnsi="Segoe UI" w:cs="Segoe UI" w:hint="default"/>
      <w:color w:val="414142"/>
      <w:sz w:val="18"/>
      <w:szCs w:val="18"/>
    </w:rPr>
  </w:style>
  <w:style w:type="table" w:styleId="PlainTable1">
    <w:name w:val="Plain Table 1"/>
    <w:basedOn w:val="TableNormal"/>
    <w:uiPriority w:val="41"/>
    <w:rsid w:val="00FC5A72"/>
    <w:pPr>
      <w:spacing w:after="0" w:line="240" w:lineRule="auto"/>
    </w:pPr>
    <w:rPr>
      <w:lang w:val="en-US" w:eastAsia="ja-JP"/>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C5A72"/>
    <w:pPr>
      <w:spacing w:after="0" w:line="240" w:lineRule="auto"/>
    </w:pPr>
    <w:rPr>
      <w:rFonts w:ascii="Arial" w:eastAsia="Times New Roman" w:hAnsi="Arial" w:cs="Times New Roman"/>
      <w:sz w:val="20"/>
      <w:lang w:val="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rFonts w:ascii="Arial" w:hAnsi="Arial" w:cs="Times New Roman" w:hint="default"/>
        <w:b w:val="0"/>
        <w:bCs/>
      </w:rPr>
      <w:tblPr/>
      <w:tcPr>
        <w:tcBorders>
          <w:bottom w:val="single" w:sz="4" w:space="0" w:color="7F7F7F" w:themeColor="text1" w:themeTint="80"/>
        </w:tcBorders>
      </w:tcPr>
    </w:tblStylePr>
    <w:tblStylePr w:type="lastRow">
      <w:rPr>
        <w:rFonts w:ascii="Arial" w:hAnsi="Arial" w:cs="Times New Roman" w:hint="default"/>
        <w:b/>
        <w:bCs/>
      </w:rPr>
      <w:tblPr/>
      <w:tcPr>
        <w:tcBorders>
          <w:top w:val="single" w:sz="4" w:space="0" w:color="7F7F7F" w:themeColor="text1" w:themeTint="80"/>
        </w:tcBorders>
      </w:tcPr>
    </w:tblStylePr>
    <w:tblStylePr w:type="firstCol">
      <w:rPr>
        <w:rFonts w:ascii="Arial" w:hAnsi="Arial" w:cs="Times New Roman" w:hint="default"/>
        <w:b/>
        <w:bCs/>
      </w:rPr>
    </w:tblStylePr>
    <w:tblStylePr w:type="lastCol">
      <w:rPr>
        <w:rFonts w:ascii="Arial" w:hAnsi="Arial" w:cs="Times New Roman" w:hint="default"/>
        <w:b/>
        <w:bCs/>
      </w:rPr>
    </w:tblStylePr>
    <w:tblStylePr w:type="band1Vert">
      <w:rPr>
        <w:rFonts w:ascii="Arial" w:hAnsi="Arial" w:cs="Times New Roman" w:hint="default"/>
      </w:rPr>
      <w:tblPr/>
      <w:tcPr>
        <w:tcBorders>
          <w:left w:val="single" w:sz="4" w:space="0" w:color="7F7F7F" w:themeColor="text1" w:themeTint="80"/>
          <w:right w:val="single" w:sz="4" w:space="0" w:color="7F7F7F" w:themeColor="text1" w:themeTint="80"/>
        </w:tcBorders>
      </w:tcPr>
    </w:tblStylePr>
    <w:tblStylePr w:type="band2Vert">
      <w:rPr>
        <w:rFonts w:ascii="Arial" w:hAnsi="Arial" w:cs="Times New Roman" w:hint="default"/>
      </w:rPr>
      <w:tblPr/>
      <w:tcPr>
        <w:tcBorders>
          <w:left w:val="single" w:sz="4" w:space="0" w:color="7F7F7F" w:themeColor="text1" w:themeTint="80"/>
          <w:right w:val="single" w:sz="4" w:space="0" w:color="7F7F7F" w:themeColor="text1" w:themeTint="80"/>
        </w:tcBorders>
      </w:tcPr>
    </w:tblStylePr>
    <w:tblStylePr w:type="band1Horz">
      <w:rPr>
        <w:rFonts w:ascii="Arial" w:hAnsi="Arial" w:cs="Times New Roman" w:hint="default"/>
      </w:rPr>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C5A72"/>
    <w:pPr>
      <w:spacing w:after="0" w:line="240" w:lineRule="auto"/>
    </w:pPr>
    <w:rPr>
      <w:rFonts w:ascii="Arial" w:eastAsia="Times New Roman" w:hAnsi="Arial" w:cs="Times New Roman"/>
      <w:sz w:val="20"/>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FC5A72"/>
    <w:pPr>
      <w:spacing w:after="0" w:line="240" w:lineRule="auto"/>
    </w:pPr>
    <w:rPr>
      <w:rFonts w:ascii="Arial" w:eastAsia="Times New Roman" w:hAnsi="Arial" w:cs="Times New Roman"/>
      <w:sz w:val="20"/>
      <w:lang w:val="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Arial" w:hAnsi="Arial" w:cs="Times New Roman" w:hint="default"/>
        <w:b/>
        <w:bCs/>
      </w:rPr>
      <w:tblPr/>
      <w:tcPr>
        <w:tcBorders>
          <w:bottom w:val="single" w:sz="12" w:space="0" w:color="666666" w:themeColor="text1" w:themeTint="99"/>
        </w:tcBorders>
      </w:tcPr>
    </w:tblStylePr>
    <w:tblStylePr w:type="lastRow">
      <w:rPr>
        <w:rFonts w:ascii="Arial" w:hAnsi="Arial" w:cs="Times New Roman" w:hint="default"/>
        <w:b/>
        <w:bCs/>
      </w:rPr>
      <w:tblPr/>
      <w:tcPr>
        <w:tcBorders>
          <w:top w:val="double" w:sz="2" w:space="0" w:color="666666" w:themeColor="text1" w:themeTint="99"/>
        </w:tcBorders>
      </w:tcPr>
    </w:tblStylePr>
    <w:tblStylePr w:type="firstCol">
      <w:rPr>
        <w:rFonts w:ascii="Arial" w:hAnsi="Arial" w:cs="Times New Roman" w:hint="default"/>
        <w:b/>
        <w:bCs/>
      </w:rPr>
    </w:tblStylePr>
    <w:tblStylePr w:type="lastCol">
      <w:rPr>
        <w:rFonts w:ascii="Arial" w:hAnsi="Arial" w:cs="Times New Roman" w:hint="default"/>
        <w:b/>
        <w:bCs/>
      </w:rPr>
    </w:tblStylePr>
  </w:style>
  <w:style w:type="table" w:styleId="GridTable6Colorful">
    <w:name w:val="Grid Table 6 Colorful"/>
    <w:basedOn w:val="TableNormal"/>
    <w:uiPriority w:val="51"/>
    <w:rsid w:val="00FC5A72"/>
    <w:pPr>
      <w:spacing w:after="0" w:line="240" w:lineRule="auto"/>
    </w:pPr>
    <w:rPr>
      <w:color w:val="000000" w:themeColor="text1"/>
      <w:lang w:val="en-US" w:eastAsia="ja-JP"/>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FC5A72"/>
    <w:pPr>
      <w:spacing w:after="0" w:line="240" w:lineRule="auto"/>
    </w:pPr>
    <w:rPr>
      <w:kern w:val="2"/>
      <w:lang w:val="en-US"/>
      <w14:ligatures w14:val="standardContextual"/>
    </w:rPr>
    <w:tblPr>
      <w:tblStyleRowBandSize w:val="1"/>
      <w:tblStyleColBandSize w:val="1"/>
      <w:tblInd w:w="0" w:type="nil"/>
      <w:tblBorders>
        <w:top w:val="single" w:sz="4" w:space="0" w:color="F2E1BC" w:themeColor="accent1" w:themeTint="66"/>
        <w:left w:val="single" w:sz="4" w:space="0" w:color="F2E1BC" w:themeColor="accent1" w:themeTint="66"/>
        <w:bottom w:val="single" w:sz="4" w:space="0" w:color="F2E1BC" w:themeColor="accent1" w:themeTint="66"/>
        <w:right w:val="single" w:sz="4" w:space="0" w:color="F2E1BC" w:themeColor="accent1" w:themeTint="66"/>
        <w:insideH w:val="single" w:sz="4" w:space="0" w:color="F2E1BC" w:themeColor="accent1" w:themeTint="66"/>
        <w:insideV w:val="single" w:sz="4" w:space="0" w:color="F2E1BC" w:themeColor="accent1" w:themeTint="66"/>
      </w:tblBorders>
    </w:tblPr>
    <w:tblStylePr w:type="firstRow">
      <w:rPr>
        <w:b/>
        <w:bCs/>
      </w:rPr>
      <w:tblPr/>
      <w:tcPr>
        <w:tcBorders>
          <w:bottom w:val="single" w:sz="12" w:space="0" w:color="EBD29A" w:themeColor="accent1" w:themeTint="99"/>
        </w:tcBorders>
      </w:tcPr>
    </w:tblStylePr>
    <w:tblStylePr w:type="lastRow">
      <w:rPr>
        <w:b/>
        <w:bCs/>
      </w:rPr>
      <w:tblPr/>
      <w:tcPr>
        <w:tcBorders>
          <w:top w:val="double" w:sz="2" w:space="0" w:color="EBD29A"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FC5A72"/>
    <w:pPr>
      <w:spacing w:after="0" w:line="240" w:lineRule="auto"/>
    </w:pPr>
    <w:rPr>
      <w:lang w:val="en-US" w:eastAsia="ja-JP"/>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0D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B55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B55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B55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B558" w:themeFill="accent1"/>
      </w:tcPr>
    </w:tblStylePr>
    <w:tblStylePr w:type="band1Vert">
      <w:tblPr/>
      <w:tcPr>
        <w:shd w:val="clear" w:color="auto" w:fill="F2E1BC" w:themeFill="accent1" w:themeFillTint="66"/>
      </w:tcPr>
    </w:tblStylePr>
    <w:tblStylePr w:type="band1Horz">
      <w:tblPr/>
      <w:tcPr>
        <w:shd w:val="clear" w:color="auto" w:fill="F2E1BC" w:themeFill="accent1" w:themeFillTint="66"/>
      </w:tcPr>
    </w:tblStylePr>
  </w:style>
  <w:style w:type="table" w:styleId="GridTable1Light-Accent2">
    <w:name w:val="Grid Table 1 Light Accent 2"/>
    <w:basedOn w:val="TableNormal"/>
    <w:uiPriority w:val="46"/>
    <w:rsid w:val="00FC5A72"/>
    <w:pPr>
      <w:spacing w:after="0" w:line="240" w:lineRule="auto"/>
    </w:pPr>
    <w:rPr>
      <w:rFonts w:ascii="Arial" w:eastAsia="Times New Roman" w:hAnsi="Arial" w:cs="Times New Roman"/>
      <w:sz w:val="20"/>
      <w:lang w:val="en-US"/>
    </w:rPr>
    <w:tblPr>
      <w:tblStyleRowBandSize w:val="1"/>
      <w:tblStyleColBandSize w:val="1"/>
      <w:tblInd w:w="0" w:type="nil"/>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rFonts w:ascii="Arial" w:hAnsi="Arial" w:cs="Times New Roman" w:hint="default"/>
        <w:b/>
        <w:bCs/>
      </w:rPr>
      <w:tblPr/>
      <w:tcPr>
        <w:tcBorders>
          <w:bottom w:val="single" w:sz="12" w:space="0" w:color="78D1CE" w:themeColor="accent2" w:themeTint="99"/>
        </w:tcBorders>
      </w:tcPr>
    </w:tblStylePr>
    <w:tblStylePr w:type="lastRow">
      <w:rPr>
        <w:rFonts w:ascii="Arial" w:hAnsi="Arial" w:cs="Times New Roman" w:hint="default"/>
        <w:b/>
        <w:bCs/>
      </w:rPr>
      <w:tblPr/>
      <w:tcPr>
        <w:tcBorders>
          <w:top w:val="double" w:sz="2" w:space="0" w:color="78D1CE" w:themeColor="accent2" w:themeTint="99"/>
        </w:tcBorders>
      </w:tcPr>
    </w:tblStylePr>
    <w:tblStylePr w:type="firstCol">
      <w:rPr>
        <w:rFonts w:ascii="Arial" w:hAnsi="Arial" w:cs="Times New Roman" w:hint="default"/>
        <w:b/>
        <w:bCs/>
      </w:rPr>
    </w:tblStylePr>
    <w:tblStylePr w:type="lastCol">
      <w:rPr>
        <w:rFonts w:ascii="Arial" w:hAnsi="Arial" w:cs="Times New Roman" w:hint="default"/>
        <w:b/>
        <w:bCs/>
      </w:rPr>
    </w:tblStylePr>
  </w:style>
  <w:style w:type="table" w:styleId="GridTable4-Accent2">
    <w:name w:val="Grid Table 4 Accent 2"/>
    <w:basedOn w:val="TableNormal"/>
    <w:uiPriority w:val="49"/>
    <w:rsid w:val="00FC5A72"/>
    <w:pPr>
      <w:spacing w:after="0" w:line="240" w:lineRule="auto"/>
    </w:pPr>
    <w:rPr>
      <w:lang w:val="en-US" w:eastAsia="ja-JP"/>
    </w:rPr>
    <w:tblPr>
      <w:tblStyleRowBandSize w:val="1"/>
      <w:tblStyleColBandSize w:val="1"/>
      <w:tblInd w:w="0" w:type="nil"/>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color w:val="FFFFFF" w:themeColor="background1"/>
      </w:rPr>
      <w:tblPr/>
      <w:tcPr>
        <w:tcBorders>
          <w:top w:val="single" w:sz="4" w:space="0" w:color="359D9A" w:themeColor="accent2"/>
          <w:left w:val="single" w:sz="4" w:space="0" w:color="359D9A" w:themeColor="accent2"/>
          <w:bottom w:val="single" w:sz="4" w:space="0" w:color="359D9A" w:themeColor="accent2"/>
          <w:right w:val="single" w:sz="4" w:space="0" w:color="359D9A" w:themeColor="accent2"/>
          <w:insideH w:val="nil"/>
          <w:insideV w:val="nil"/>
        </w:tcBorders>
        <w:shd w:val="clear" w:color="auto" w:fill="359D9A" w:themeFill="accent2"/>
      </w:tcPr>
    </w:tblStylePr>
    <w:tblStylePr w:type="lastRow">
      <w:rPr>
        <w:b/>
        <w:bCs/>
      </w:rPr>
      <w:tblPr/>
      <w:tcPr>
        <w:tcBorders>
          <w:top w:val="double" w:sz="4" w:space="0" w:color="359D9A" w:themeColor="accent2"/>
        </w:tcBorders>
      </w:tcPr>
    </w:tblStylePr>
    <w:tblStylePr w:type="firstCol">
      <w:rPr>
        <w:b/>
        <w:bCs/>
      </w:rPr>
    </w:tblStylePr>
    <w:tblStylePr w:type="lastCol">
      <w:rPr>
        <w:b/>
        <w:bCs/>
      </w:rPr>
    </w:tblStylePr>
    <w:tblStylePr w:type="band1Vert">
      <w:tblPr/>
      <w:tcPr>
        <w:shd w:val="clear" w:color="auto" w:fill="D2F0EF" w:themeFill="accent2" w:themeFillTint="33"/>
      </w:tcPr>
    </w:tblStylePr>
    <w:tblStylePr w:type="band1Horz">
      <w:tblPr/>
      <w:tcPr>
        <w:shd w:val="clear" w:color="auto" w:fill="D2F0EF" w:themeFill="accent2" w:themeFillTint="33"/>
      </w:tcPr>
    </w:tblStylePr>
  </w:style>
  <w:style w:type="table" w:styleId="GridTable5Dark-Accent2">
    <w:name w:val="Grid Table 5 Dark Accent 2"/>
    <w:basedOn w:val="TableNormal"/>
    <w:uiPriority w:val="50"/>
    <w:rsid w:val="00FC5A72"/>
    <w:pPr>
      <w:spacing w:after="0" w:line="240" w:lineRule="auto"/>
    </w:pPr>
    <w:rPr>
      <w:lang w:val="en-US" w:eastAsia="ja-JP"/>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0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D9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D9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D9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D9A" w:themeFill="accent2"/>
      </w:tcPr>
    </w:tblStylePr>
    <w:tblStylePr w:type="band1Vert">
      <w:tblPr/>
      <w:tcPr>
        <w:shd w:val="clear" w:color="auto" w:fill="A5E0DE" w:themeFill="accent2" w:themeFillTint="66"/>
      </w:tcPr>
    </w:tblStylePr>
    <w:tblStylePr w:type="band1Horz">
      <w:tblPr/>
      <w:tcPr>
        <w:shd w:val="clear" w:color="auto" w:fill="A5E0DE" w:themeFill="accent2" w:themeFillTint="66"/>
      </w:tcPr>
    </w:tblStylePr>
  </w:style>
  <w:style w:type="table" w:styleId="GridTable1Light-Accent3">
    <w:name w:val="Grid Table 1 Light Accent 3"/>
    <w:basedOn w:val="TableNormal"/>
    <w:uiPriority w:val="46"/>
    <w:rsid w:val="00FC5A72"/>
    <w:pPr>
      <w:spacing w:after="0" w:line="240" w:lineRule="auto"/>
    </w:pPr>
    <w:rPr>
      <w:rFonts w:eastAsia="Times New Roman" w:cs="Times New Roman"/>
      <w:lang w:val="en-US"/>
    </w:rPr>
    <w:tblPr>
      <w:tblStyleRowBandSize w:val="1"/>
      <w:tblStyleColBandSize w:val="1"/>
      <w:tblInd w:w="0" w:type="nil"/>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rFonts w:ascii="Univers 45 Light" w:hAnsi="Univers 45 Light" w:cs="Times New Roman" w:hint="default"/>
        <w:b/>
        <w:bCs/>
      </w:rPr>
      <w:tblPr/>
      <w:tcPr>
        <w:tcBorders>
          <w:bottom w:val="single" w:sz="12" w:space="0" w:color="2171FF" w:themeColor="accent3" w:themeTint="99"/>
        </w:tcBorders>
      </w:tcPr>
    </w:tblStylePr>
    <w:tblStylePr w:type="lastRow">
      <w:rPr>
        <w:rFonts w:ascii="Univers 45 Light" w:hAnsi="Univers 45 Light" w:cs="Times New Roman" w:hint="default"/>
        <w:b/>
        <w:bCs/>
      </w:rPr>
      <w:tblPr/>
      <w:tcPr>
        <w:tcBorders>
          <w:top w:val="double" w:sz="2" w:space="0" w:color="2171FF" w:themeColor="accent3" w:themeTint="99"/>
        </w:tcBorders>
      </w:tcPr>
    </w:tblStylePr>
    <w:tblStylePr w:type="firstCol">
      <w:rPr>
        <w:rFonts w:ascii="Univers 45 Light" w:hAnsi="Univers 45 Light" w:cs="Times New Roman" w:hint="default"/>
        <w:b/>
        <w:bCs/>
      </w:rPr>
    </w:tblStylePr>
    <w:tblStylePr w:type="lastCol">
      <w:rPr>
        <w:rFonts w:ascii="Univers 45 Light" w:hAnsi="Univers 45 Light" w:cs="Times New Roman" w:hint="default"/>
        <w:b/>
        <w:bCs/>
      </w:rPr>
    </w:tblStylePr>
  </w:style>
  <w:style w:type="table" w:styleId="GridTable2-Accent3">
    <w:name w:val="Grid Table 2 Accent 3"/>
    <w:basedOn w:val="TableNormal"/>
    <w:uiPriority w:val="47"/>
    <w:rsid w:val="00FC5A72"/>
    <w:pPr>
      <w:spacing w:after="0" w:line="240" w:lineRule="auto"/>
    </w:pPr>
    <w:rPr>
      <w:rFonts w:eastAsia="Times New Roman" w:cs="Times New Roman"/>
      <w:lang w:val="en-US"/>
    </w:rPr>
    <w:tblPr>
      <w:tblStyleRowBandSize w:val="1"/>
      <w:tblStyleColBandSize w:val="1"/>
      <w:tblInd w:w="0" w:type="nil"/>
      <w:tblBorders>
        <w:top w:val="single" w:sz="2" w:space="0" w:color="2171FF" w:themeColor="accent3" w:themeTint="99"/>
        <w:bottom w:val="single" w:sz="2" w:space="0" w:color="2171FF" w:themeColor="accent3" w:themeTint="99"/>
        <w:insideH w:val="single" w:sz="2" w:space="0" w:color="2171FF" w:themeColor="accent3" w:themeTint="99"/>
        <w:insideV w:val="single" w:sz="2" w:space="0" w:color="2171FF" w:themeColor="accent3" w:themeTint="99"/>
      </w:tblBorders>
    </w:tblPr>
    <w:tblStylePr w:type="firstRow">
      <w:rPr>
        <w:rFonts w:ascii="Univers 45 Light" w:hAnsi="Univers 45 Light" w:cs="Times New Roman" w:hint="default"/>
        <w:b/>
        <w:bCs/>
      </w:rPr>
      <w:tblPr/>
      <w:tcPr>
        <w:tcBorders>
          <w:top w:val="nil"/>
          <w:bottom w:val="single" w:sz="12" w:space="0" w:color="2171FF" w:themeColor="accent3" w:themeTint="99"/>
          <w:insideH w:val="nil"/>
          <w:insideV w:val="nil"/>
        </w:tcBorders>
        <w:shd w:val="clear" w:color="auto" w:fill="FFFFFF" w:themeFill="background1"/>
      </w:tcPr>
    </w:tblStylePr>
    <w:tblStylePr w:type="lastRow">
      <w:rPr>
        <w:rFonts w:ascii="Univers 45 Light" w:hAnsi="Univers 45 Light" w:cs="Times New Roman" w:hint="default"/>
        <w:b/>
        <w:bCs/>
      </w:rPr>
      <w:tblPr/>
      <w:tcPr>
        <w:tcBorders>
          <w:top w:val="double" w:sz="2" w:space="0" w:color="2171FF" w:themeColor="accent3" w:themeTint="99"/>
          <w:bottom w:val="nil"/>
          <w:insideH w:val="nil"/>
          <w:insideV w:val="nil"/>
        </w:tcBorders>
        <w:shd w:val="clear" w:color="auto" w:fill="FFFFFF" w:themeFill="background1"/>
      </w:tcPr>
    </w:tblStylePr>
    <w:tblStylePr w:type="firstCol">
      <w:rPr>
        <w:rFonts w:ascii="Univers 45 Light" w:hAnsi="Univers 45 Light" w:cs="Times New Roman" w:hint="default"/>
        <w:b/>
        <w:bCs/>
      </w:rPr>
    </w:tblStylePr>
    <w:tblStylePr w:type="lastCol">
      <w:rPr>
        <w:rFonts w:ascii="Univers 45 Light" w:hAnsi="Univers 45 Light" w:cs="Times New Roman" w:hint="default"/>
        <w:b/>
        <w:bCs/>
      </w:rPr>
    </w:tblStylePr>
    <w:tblStylePr w:type="band1Vert">
      <w:rPr>
        <w:rFonts w:ascii="Univers 45 Light" w:hAnsi="Univers 45 Light" w:cs="Times New Roman" w:hint="default"/>
      </w:rPr>
      <w:tblPr/>
      <w:tcPr>
        <w:shd w:val="clear" w:color="auto" w:fill="B5CFFF" w:themeFill="accent3" w:themeFillTint="33"/>
      </w:tcPr>
    </w:tblStylePr>
    <w:tblStylePr w:type="band1Horz">
      <w:rPr>
        <w:rFonts w:ascii="Univers 45 Light" w:hAnsi="Univers 45 Light" w:cs="Times New Roman" w:hint="default"/>
      </w:rPr>
      <w:tblPr/>
      <w:tcPr>
        <w:shd w:val="clear" w:color="auto" w:fill="B5CFFF" w:themeFill="accent3" w:themeFillTint="33"/>
      </w:tcPr>
    </w:tblStylePr>
  </w:style>
  <w:style w:type="table" w:styleId="GridTable4-Accent3">
    <w:name w:val="Grid Table 4 Accent 3"/>
    <w:basedOn w:val="TableNormal"/>
    <w:uiPriority w:val="49"/>
    <w:rsid w:val="00FC5A72"/>
    <w:pPr>
      <w:spacing w:after="0" w:line="240" w:lineRule="auto"/>
    </w:pPr>
    <w:rPr>
      <w:rFonts w:eastAsia="Times New Roman" w:cs="Times New Roman"/>
      <w:lang w:val="en-US"/>
    </w:rPr>
    <w:tblPr>
      <w:tblStyleRowBandSize w:val="1"/>
      <w:tblStyleColBandSize w:val="1"/>
      <w:tblInd w:w="0" w:type="nil"/>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rFonts w:ascii="Univers 45 Light" w:hAnsi="Univers 45 Light" w:cs="Times New Roman" w:hint="default"/>
        <w:b/>
        <w:bCs/>
        <w:color w:val="FFFFFF" w:themeColor="background1"/>
      </w:rPr>
      <w:tblPr/>
      <w:tcPr>
        <w:tcBorders>
          <w:top w:val="single" w:sz="4" w:space="0" w:color="00338D" w:themeColor="accent3"/>
          <w:left w:val="single" w:sz="4" w:space="0" w:color="00338D" w:themeColor="accent3"/>
          <w:bottom w:val="single" w:sz="4" w:space="0" w:color="00338D" w:themeColor="accent3"/>
          <w:right w:val="single" w:sz="4" w:space="0" w:color="00338D" w:themeColor="accent3"/>
          <w:insideH w:val="nil"/>
          <w:insideV w:val="nil"/>
        </w:tcBorders>
        <w:shd w:val="clear" w:color="auto" w:fill="00338D" w:themeFill="accent3"/>
      </w:tcPr>
    </w:tblStylePr>
    <w:tblStylePr w:type="lastRow">
      <w:rPr>
        <w:rFonts w:ascii="Univers 45 Light" w:hAnsi="Univers 45 Light" w:cs="Times New Roman" w:hint="default"/>
        <w:b/>
        <w:bCs/>
      </w:rPr>
      <w:tblPr/>
      <w:tcPr>
        <w:tcBorders>
          <w:top w:val="double" w:sz="4" w:space="0" w:color="00338D" w:themeColor="accent3"/>
        </w:tcBorders>
      </w:tcPr>
    </w:tblStylePr>
    <w:tblStylePr w:type="firstCol">
      <w:rPr>
        <w:rFonts w:ascii="Univers 45 Light" w:hAnsi="Univers 45 Light" w:cs="Times New Roman" w:hint="default"/>
        <w:b/>
        <w:bCs/>
      </w:rPr>
    </w:tblStylePr>
    <w:tblStylePr w:type="lastCol">
      <w:rPr>
        <w:rFonts w:ascii="Univers 45 Light" w:hAnsi="Univers 45 Light" w:cs="Times New Roman" w:hint="default"/>
        <w:b/>
        <w:bCs/>
      </w:rPr>
    </w:tblStylePr>
    <w:tblStylePr w:type="band1Vert">
      <w:rPr>
        <w:rFonts w:ascii="Univers 45 Light" w:hAnsi="Univers 45 Light" w:cs="Times New Roman" w:hint="default"/>
      </w:rPr>
      <w:tblPr/>
      <w:tcPr>
        <w:shd w:val="clear" w:color="auto" w:fill="B5CFFF" w:themeFill="accent3" w:themeFillTint="33"/>
      </w:tcPr>
    </w:tblStylePr>
    <w:tblStylePr w:type="band1Horz">
      <w:rPr>
        <w:rFonts w:ascii="Univers 45 Light" w:hAnsi="Univers 45 Light" w:cs="Times New Roman" w:hint="default"/>
      </w:rPr>
      <w:tblPr/>
      <w:tcPr>
        <w:shd w:val="clear" w:color="auto" w:fill="B5CFFF" w:themeFill="accent3" w:themeFillTint="33"/>
      </w:tcPr>
    </w:tblStylePr>
  </w:style>
  <w:style w:type="table" w:styleId="GridTable6Colorful-Accent3">
    <w:name w:val="Grid Table 6 Colorful Accent 3"/>
    <w:basedOn w:val="TableNormal"/>
    <w:uiPriority w:val="51"/>
    <w:rsid w:val="00FC5A72"/>
    <w:pPr>
      <w:spacing w:after="0" w:line="240" w:lineRule="auto"/>
    </w:pPr>
    <w:rPr>
      <w:color w:val="002669" w:themeColor="accent3" w:themeShade="BF"/>
      <w:lang w:val="en-US" w:eastAsia="ja-JP"/>
    </w:rPr>
    <w:tblPr>
      <w:tblStyleRowBandSize w:val="1"/>
      <w:tblStyleColBandSize w:val="1"/>
      <w:tblInd w:w="0" w:type="nil"/>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4" w:space="0" w:color="2171FF" w:themeColor="accent3" w:themeTint="99"/>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 w:type="table" w:styleId="GridTable4-Accent4">
    <w:name w:val="Grid Table 4 Accent 4"/>
    <w:basedOn w:val="TableNormal"/>
    <w:uiPriority w:val="49"/>
    <w:rsid w:val="00FC5A72"/>
    <w:pPr>
      <w:spacing w:after="0" w:line="240" w:lineRule="auto"/>
    </w:pPr>
    <w:rPr>
      <w:lang w:val="en-US" w:eastAsia="ja-JP"/>
    </w:rPr>
    <w:tblPr>
      <w:tblStyleRowBandSize w:val="1"/>
      <w:tblStyleColBandSize w:val="1"/>
      <w:tblInd w:w="0" w:type="nil"/>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insideV w:val="single" w:sz="4" w:space="0" w:color="60D7FF" w:themeColor="accent4" w:themeTint="99"/>
      </w:tblBorders>
    </w:tblPr>
    <w:tblStylePr w:type="firstRow">
      <w:rPr>
        <w:b/>
        <w:bCs/>
        <w:color w:val="FFFFFF" w:themeColor="background1"/>
      </w:rPr>
      <w:tblPr/>
      <w:tcPr>
        <w:tcBorders>
          <w:top w:val="single" w:sz="4" w:space="0" w:color="00B8F5" w:themeColor="accent4"/>
          <w:left w:val="single" w:sz="4" w:space="0" w:color="00B8F5" w:themeColor="accent4"/>
          <w:bottom w:val="single" w:sz="4" w:space="0" w:color="00B8F5" w:themeColor="accent4"/>
          <w:right w:val="single" w:sz="4" w:space="0" w:color="00B8F5" w:themeColor="accent4"/>
          <w:insideH w:val="nil"/>
          <w:insideV w:val="nil"/>
        </w:tcBorders>
        <w:shd w:val="clear" w:color="auto" w:fill="00B8F5" w:themeFill="accent4"/>
      </w:tcPr>
    </w:tblStylePr>
    <w:tblStylePr w:type="lastRow">
      <w:rPr>
        <w:b/>
        <w:bCs/>
      </w:rPr>
      <w:tblPr/>
      <w:tcPr>
        <w:tcBorders>
          <w:top w:val="double" w:sz="4" w:space="0" w:color="00B8F5" w:themeColor="accent4"/>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GridTable5Dark-Accent4">
    <w:name w:val="Grid Table 5 Dark Accent 4"/>
    <w:basedOn w:val="TableNormal"/>
    <w:uiPriority w:val="50"/>
    <w:rsid w:val="00FC5A72"/>
    <w:pPr>
      <w:spacing w:after="0" w:line="240" w:lineRule="auto"/>
    </w:pPr>
    <w:rPr>
      <w:lang w:val="en-US" w:eastAsia="ja-JP"/>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1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8F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8F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8F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8F5" w:themeFill="accent4"/>
      </w:tcPr>
    </w:tblStylePr>
    <w:tblStylePr w:type="band1Vert">
      <w:tblPr/>
      <w:tcPr>
        <w:shd w:val="clear" w:color="auto" w:fill="95E4FF" w:themeFill="accent4" w:themeFillTint="66"/>
      </w:tcPr>
    </w:tblStylePr>
    <w:tblStylePr w:type="band1Horz">
      <w:tblPr/>
      <w:tcPr>
        <w:shd w:val="clear" w:color="auto" w:fill="95E4FF" w:themeFill="accent4" w:themeFillTint="66"/>
      </w:tcPr>
    </w:tblStylePr>
  </w:style>
  <w:style w:type="table" w:styleId="GridTable1Light-Accent5">
    <w:name w:val="Grid Table 1 Light Accent 5"/>
    <w:basedOn w:val="TableNormal"/>
    <w:uiPriority w:val="46"/>
    <w:rsid w:val="00FC5A72"/>
    <w:pPr>
      <w:spacing w:after="0" w:line="240" w:lineRule="auto"/>
    </w:pPr>
    <w:rPr>
      <w:rFonts w:eastAsia="Times New Roman" w:cs="Times New Roman"/>
      <w:lang w:val="en-US"/>
    </w:rPr>
    <w:tblPr>
      <w:tblStyleRowBandSize w:val="1"/>
      <w:tblStyleColBandSize w:val="1"/>
      <w:tblInd w:w="0" w:type="nil"/>
      <w:tblBorders>
        <w:top w:val="single" w:sz="4" w:space="0" w:color="D2E2FE" w:themeColor="accent5" w:themeTint="66"/>
        <w:left w:val="single" w:sz="4" w:space="0" w:color="D2E2FE" w:themeColor="accent5" w:themeTint="66"/>
        <w:bottom w:val="single" w:sz="4" w:space="0" w:color="D2E2FE" w:themeColor="accent5" w:themeTint="66"/>
        <w:right w:val="single" w:sz="4" w:space="0" w:color="D2E2FE" w:themeColor="accent5" w:themeTint="66"/>
        <w:insideH w:val="single" w:sz="4" w:space="0" w:color="D2E2FE" w:themeColor="accent5" w:themeTint="66"/>
        <w:insideV w:val="single" w:sz="4" w:space="0" w:color="D2E2FE" w:themeColor="accent5" w:themeTint="66"/>
      </w:tblBorders>
    </w:tblPr>
    <w:tblStylePr w:type="firstRow">
      <w:rPr>
        <w:rFonts w:ascii="Univers 45 Light" w:hAnsi="Univers 45 Light" w:cs="Times New Roman" w:hint="default"/>
        <w:b/>
        <w:bCs/>
      </w:rPr>
      <w:tblPr/>
      <w:tcPr>
        <w:tcBorders>
          <w:bottom w:val="single" w:sz="12" w:space="0" w:color="BCD4FE" w:themeColor="accent5" w:themeTint="99"/>
        </w:tcBorders>
      </w:tcPr>
    </w:tblStylePr>
    <w:tblStylePr w:type="lastRow">
      <w:rPr>
        <w:rFonts w:ascii="Univers 45 Light" w:hAnsi="Univers 45 Light" w:cs="Times New Roman" w:hint="default"/>
        <w:b/>
        <w:bCs/>
      </w:rPr>
      <w:tblPr/>
      <w:tcPr>
        <w:tcBorders>
          <w:top w:val="double" w:sz="2" w:space="0" w:color="BCD4FE" w:themeColor="accent5" w:themeTint="99"/>
        </w:tcBorders>
      </w:tcPr>
    </w:tblStylePr>
    <w:tblStylePr w:type="firstCol">
      <w:rPr>
        <w:rFonts w:ascii="Univers 45 Light" w:hAnsi="Univers 45 Light" w:cs="Times New Roman" w:hint="default"/>
        <w:b/>
        <w:bCs/>
      </w:rPr>
    </w:tblStylePr>
    <w:tblStylePr w:type="lastCol">
      <w:rPr>
        <w:rFonts w:ascii="Univers 45 Light" w:hAnsi="Univers 45 Light" w:cs="Times New Roman" w:hint="default"/>
        <w:b/>
        <w:bCs/>
      </w:rPr>
    </w:tblStylePr>
  </w:style>
  <w:style w:type="table" w:styleId="GridTable4-Accent5">
    <w:name w:val="Grid Table 4 Accent 5"/>
    <w:basedOn w:val="TableNormal"/>
    <w:uiPriority w:val="49"/>
    <w:rsid w:val="00FC5A72"/>
    <w:pPr>
      <w:spacing w:after="0" w:line="240" w:lineRule="auto"/>
    </w:pPr>
    <w:rPr>
      <w:lang w:val="en-US" w:eastAsia="ja-JP"/>
    </w:rPr>
    <w:tblPr>
      <w:tblStyleRowBandSize w:val="1"/>
      <w:tblStyleColBandSize w:val="1"/>
      <w:tblInd w:w="0" w:type="nil"/>
      <w:tblBorders>
        <w:top w:val="single" w:sz="4" w:space="0" w:color="BCD4FE" w:themeColor="accent5" w:themeTint="99"/>
        <w:left w:val="single" w:sz="4" w:space="0" w:color="BCD4FE" w:themeColor="accent5" w:themeTint="99"/>
        <w:bottom w:val="single" w:sz="4" w:space="0" w:color="BCD4FE" w:themeColor="accent5" w:themeTint="99"/>
        <w:right w:val="single" w:sz="4" w:space="0" w:color="BCD4FE" w:themeColor="accent5" w:themeTint="99"/>
        <w:insideH w:val="single" w:sz="4" w:space="0" w:color="BCD4FE" w:themeColor="accent5" w:themeTint="99"/>
        <w:insideV w:val="single" w:sz="4" w:space="0" w:color="BCD4FE" w:themeColor="accent5" w:themeTint="99"/>
      </w:tblBorders>
    </w:tblPr>
    <w:tblStylePr w:type="firstRow">
      <w:rPr>
        <w:b/>
        <w:bCs/>
        <w:color w:val="FFFFFF" w:themeColor="background1"/>
      </w:rPr>
      <w:tblPr/>
      <w:tcPr>
        <w:tcBorders>
          <w:top w:val="single" w:sz="4" w:space="0" w:color="91B8FE" w:themeColor="accent5"/>
          <w:left w:val="single" w:sz="4" w:space="0" w:color="91B8FE" w:themeColor="accent5"/>
          <w:bottom w:val="single" w:sz="4" w:space="0" w:color="91B8FE" w:themeColor="accent5"/>
          <w:right w:val="single" w:sz="4" w:space="0" w:color="91B8FE" w:themeColor="accent5"/>
          <w:insideH w:val="nil"/>
          <w:insideV w:val="nil"/>
        </w:tcBorders>
        <w:shd w:val="clear" w:color="auto" w:fill="91B8FE" w:themeFill="accent5"/>
      </w:tcPr>
    </w:tblStylePr>
    <w:tblStylePr w:type="lastRow">
      <w:rPr>
        <w:b/>
        <w:bCs/>
      </w:rPr>
      <w:tblPr/>
      <w:tcPr>
        <w:tcBorders>
          <w:top w:val="double" w:sz="4" w:space="0" w:color="91B8FE" w:themeColor="accent5"/>
        </w:tcBorders>
      </w:tcPr>
    </w:tblStylePr>
    <w:tblStylePr w:type="firstCol">
      <w:rPr>
        <w:b/>
        <w:bCs/>
      </w:rPr>
    </w:tblStylePr>
    <w:tblStylePr w:type="lastCol">
      <w:rPr>
        <w:b/>
        <w:bCs/>
      </w:rPr>
    </w:tblStylePr>
    <w:tblStylePr w:type="band1Vert">
      <w:tblPr/>
      <w:tcPr>
        <w:shd w:val="clear" w:color="auto" w:fill="E8F0FE" w:themeFill="accent5" w:themeFillTint="33"/>
      </w:tcPr>
    </w:tblStylePr>
    <w:tblStylePr w:type="band1Horz">
      <w:tblPr/>
      <w:tcPr>
        <w:shd w:val="clear" w:color="auto" w:fill="E8F0FE" w:themeFill="accent5" w:themeFillTint="33"/>
      </w:tcPr>
    </w:tblStylePr>
  </w:style>
  <w:style w:type="table" w:styleId="GridTable5Dark-Accent5">
    <w:name w:val="Grid Table 5 Dark Accent 5"/>
    <w:basedOn w:val="TableNormal"/>
    <w:uiPriority w:val="50"/>
    <w:rsid w:val="00FC5A72"/>
    <w:pPr>
      <w:spacing w:after="0" w:line="240" w:lineRule="auto"/>
    </w:pPr>
    <w:rPr>
      <w:lang w:val="en-US" w:eastAsia="ja-JP"/>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0F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B8F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B8F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B8F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B8FE" w:themeFill="accent5"/>
      </w:tcPr>
    </w:tblStylePr>
    <w:tblStylePr w:type="band1Vert">
      <w:tblPr/>
      <w:tcPr>
        <w:shd w:val="clear" w:color="auto" w:fill="D2E2FE" w:themeFill="accent5" w:themeFillTint="66"/>
      </w:tcPr>
    </w:tblStylePr>
    <w:tblStylePr w:type="band1Horz">
      <w:tblPr/>
      <w:tcPr>
        <w:shd w:val="clear" w:color="auto" w:fill="D2E2FE" w:themeFill="accent5" w:themeFillTint="66"/>
      </w:tcPr>
    </w:tblStylePr>
  </w:style>
  <w:style w:type="table" w:styleId="GridTable1Light-Accent6">
    <w:name w:val="Grid Table 1 Light Accent 6"/>
    <w:basedOn w:val="TableNormal"/>
    <w:uiPriority w:val="46"/>
    <w:rsid w:val="00FC5A72"/>
    <w:pPr>
      <w:spacing w:after="0" w:line="240" w:lineRule="auto"/>
    </w:pPr>
    <w:rPr>
      <w:lang w:val="en-US" w:eastAsia="ja-JP"/>
    </w:rPr>
    <w:tblPr>
      <w:tblStyleRowBandSize w:val="1"/>
      <w:tblStyleColBandSize w:val="1"/>
      <w:tblInd w:w="0" w:type="nil"/>
      <w:tblBorders>
        <w:top w:val="single" w:sz="4" w:space="0" w:color="CEEEED" w:themeColor="accent6" w:themeTint="66"/>
        <w:left w:val="single" w:sz="4" w:space="0" w:color="CEEEED" w:themeColor="accent6" w:themeTint="66"/>
        <w:bottom w:val="single" w:sz="4" w:space="0" w:color="CEEEED" w:themeColor="accent6" w:themeTint="66"/>
        <w:right w:val="single" w:sz="4" w:space="0" w:color="CEEEED" w:themeColor="accent6" w:themeTint="66"/>
        <w:insideH w:val="single" w:sz="4" w:space="0" w:color="CEEEED" w:themeColor="accent6" w:themeTint="66"/>
        <w:insideV w:val="single" w:sz="4" w:space="0" w:color="CEEEED" w:themeColor="accent6" w:themeTint="66"/>
      </w:tblBorders>
    </w:tblPr>
    <w:tblStylePr w:type="firstRow">
      <w:rPr>
        <w:b/>
        <w:bCs/>
      </w:rPr>
      <w:tblPr/>
      <w:tcPr>
        <w:tcBorders>
          <w:bottom w:val="single" w:sz="12" w:space="0" w:color="B5E6E5" w:themeColor="accent6" w:themeTint="99"/>
        </w:tcBorders>
      </w:tcPr>
    </w:tblStylePr>
    <w:tblStylePr w:type="lastRow">
      <w:rPr>
        <w:b/>
        <w:bCs/>
      </w:rPr>
      <w:tblPr/>
      <w:tcPr>
        <w:tcBorders>
          <w:top w:val="double" w:sz="2" w:space="0" w:color="B5E6E5"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FC5A72"/>
    <w:pPr>
      <w:spacing w:after="0" w:line="240" w:lineRule="auto"/>
    </w:pPr>
    <w:rPr>
      <w:rFonts w:eastAsia="Times New Roman" w:cstheme="minorHAnsi"/>
      <w:lang w:val="en-US"/>
    </w:rPr>
    <w:tblPr>
      <w:tblStyleRowBandSize w:val="1"/>
      <w:tblStyleColBandSize w:val="1"/>
      <w:tblInd w:w="0" w:type="nil"/>
      <w:tblBorders>
        <w:top w:val="single" w:sz="2" w:space="0" w:color="B5E6E5" w:themeColor="accent6" w:themeTint="99"/>
        <w:bottom w:val="single" w:sz="2" w:space="0" w:color="B5E6E5" w:themeColor="accent6" w:themeTint="99"/>
        <w:insideH w:val="single" w:sz="2" w:space="0" w:color="B5E6E5" w:themeColor="accent6" w:themeTint="99"/>
        <w:insideV w:val="single" w:sz="2" w:space="0" w:color="B5E6E5" w:themeColor="accent6" w:themeTint="99"/>
      </w:tblBorders>
    </w:tblPr>
    <w:tblStylePr w:type="firstRow">
      <w:rPr>
        <w:b/>
        <w:bCs/>
      </w:rPr>
      <w:tblPr/>
      <w:tcPr>
        <w:tcBorders>
          <w:top w:val="nil"/>
          <w:bottom w:val="single" w:sz="12" w:space="0" w:color="B5E6E5" w:themeColor="accent6" w:themeTint="99"/>
          <w:insideH w:val="nil"/>
          <w:insideV w:val="nil"/>
        </w:tcBorders>
        <w:shd w:val="clear" w:color="auto" w:fill="FFFFFF" w:themeFill="background1"/>
      </w:tcPr>
    </w:tblStylePr>
    <w:tblStylePr w:type="lastRow">
      <w:rPr>
        <w:b/>
        <w:bCs/>
      </w:rPr>
      <w:tblPr/>
      <w:tcPr>
        <w:tcBorders>
          <w:top w:val="double" w:sz="2" w:space="0" w:color="B5E6E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GridTable5Dark-Accent6">
    <w:name w:val="Grid Table 5 Dark Accent 6"/>
    <w:basedOn w:val="TableNormal"/>
    <w:uiPriority w:val="50"/>
    <w:rsid w:val="00FC5A72"/>
    <w:pPr>
      <w:spacing w:after="0" w:line="240" w:lineRule="auto"/>
    </w:pPr>
    <w:rPr>
      <w:lang w:val="en-US" w:eastAsia="ja-JP"/>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D6D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D6D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D6D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D6D4" w:themeFill="accent6"/>
      </w:tcPr>
    </w:tblStylePr>
    <w:tblStylePr w:type="band1Vert">
      <w:tblPr/>
      <w:tcPr>
        <w:shd w:val="clear" w:color="auto" w:fill="CEEEED" w:themeFill="accent6" w:themeFillTint="66"/>
      </w:tcPr>
    </w:tblStylePr>
    <w:tblStylePr w:type="band1Horz">
      <w:tblPr/>
      <w:tcPr>
        <w:shd w:val="clear" w:color="auto" w:fill="CEEEED" w:themeFill="accent6" w:themeFillTint="66"/>
      </w:tcPr>
    </w:tblStylePr>
  </w:style>
  <w:style w:type="table" w:styleId="ListTable2">
    <w:name w:val="List Table 2"/>
    <w:basedOn w:val="TableNormal"/>
    <w:uiPriority w:val="47"/>
    <w:rsid w:val="00FC5A72"/>
    <w:pPr>
      <w:spacing w:after="0" w:line="240" w:lineRule="auto"/>
    </w:pPr>
    <w:rPr>
      <w:lang w:val="en-US" w:eastAsia="ja-JP"/>
    </w:r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2">
    <w:name w:val="List Table 7 Colorful Accent 2"/>
    <w:basedOn w:val="TableNormal"/>
    <w:uiPriority w:val="52"/>
    <w:rsid w:val="00FC5A72"/>
    <w:pPr>
      <w:spacing w:after="0" w:line="240" w:lineRule="auto"/>
    </w:pPr>
    <w:rPr>
      <w:rFonts w:eastAsia="Times New Roman" w:cs="Times New Roman"/>
      <w:color w:val="277572" w:themeColor="accent2" w:themeShade="BF"/>
      <w:lang w:val="en-US"/>
    </w:rPr>
    <w:tblPr>
      <w:tblStyleRowBandSize w:val="1"/>
      <w:tblStyleColBandSize w:val="1"/>
      <w:tblInd w:w="0" w:type="nil"/>
    </w:tblPr>
    <w:tblStylePr w:type="firstRow">
      <w:rPr>
        <w:rFonts w:asciiTheme="majorHAnsi" w:eastAsiaTheme="majorEastAsia" w:hAnsiTheme="majorHAnsi" w:cs="Times New Roman" w:hint="default"/>
        <w:i/>
        <w:iCs/>
        <w:sz w:val="26"/>
        <w:szCs w:val="26"/>
      </w:rPr>
      <w:tblPr/>
      <w:tcPr>
        <w:tcBorders>
          <w:bottom w:val="single" w:sz="4" w:space="0" w:color="359D9A" w:themeColor="accent2"/>
        </w:tcBorders>
        <w:shd w:val="clear" w:color="auto" w:fill="FFFFFF" w:themeFill="background1"/>
      </w:tcPr>
    </w:tblStylePr>
    <w:tblStylePr w:type="lastRow">
      <w:rPr>
        <w:rFonts w:asciiTheme="majorHAnsi" w:eastAsiaTheme="majorEastAsia" w:hAnsiTheme="majorHAnsi" w:cs="Times New Roman" w:hint="default"/>
        <w:i/>
        <w:iCs/>
        <w:sz w:val="26"/>
        <w:szCs w:val="26"/>
      </w:rPr>
      <w:tblPr/>
      <w:tcPr>
        <w:tcBorders>
          <w:top w:val="single" w:sz="4" w:space="0" w:color="359D9A" w:themeColor="accent2"/>
        </w:tcBorders>
        <w:shd w:val="clear" w:color="auto" w:fill="FFFFFF" w:themeFill="background1"/>
      </w:tcPr>
    </w:tblStylePr>
    <w:tblStylePr w:type="firstCol">
      <w:pPr>
        <w:jc w:val="right"/>
      </w:pPr>
      <w:rPr>
        <w:rFonts w:asciiTheme="majorHAnsi" w:eastAsiaTheme="majorEastAsia" w:hAnsiTheme="majorHAnsi" w:cs="Times New Roman" w:hint="default"/>
        <w:i/>
        <w:iCs/>
        <w:sz w:val="26"/>
        <w:szCs w:val="26"/>
      </w:rPr>
      <w:tblPr/>
      <w:tcPr>
        <w:tcBorders>
          <w:right w:val="single" w:sz="4" w:space="0" w:color="359D9A" w:themeColor="accent2"/>
        </w:tcBorders>
        <w:shd w:val="clear" w:color="auto" w:fill="FFFFFF" w:themeFill="background1"/>
      </w:tcPr>
    </w:tblStylePr>
    <w:tblStylePr w:type="lastCol">
      <w:rPr>
        <w:rFonts w:asciiTheme="majorHAnsi" w:eastAsiaTheme="majorEastAsia" w:hAnsiTheme="majorHAnsi" w:cs="Times New Roman" w:hint="default"/>
        <w:i/>
        <w:iCs/>
        <w:sz w:val="26"/>
        <w:szCs w:val="26"/>
      </w:rPr>
      <w:tblPr/>
      <w:tcPr>
        <w:tcBorders>
          <w:left w:val="single" w:sz="4" w:space="0" w:color="359D9A" w:themeColor="accent2"/>
        </w:tcBorders>
        <w:shd w:val="clear" w:color="auto" w:fill="FFFFFF" w:themeFill="background1"/>
      </w:tcPr>
    </w:tblStylePr>
    <w:tblStylePr w:type="band1Vert">
      <w:rPr>
        <w:rFonts w:ascii="Univers 45 Light" w:hAnsi="Univers 45 Light" w:cs="Times New Roman" w:hint="default"/>
      </w:rPr>
      <w:tblPr/>
      <w:tcPr>
        <w:shd w:val="clear" w:color="auto" w:fill="D2F0EF" w:themeFill="accent2" w:themeFillTint="33"/>
      </w:tcPr>
    </w:tblStylePr>
    <w:tblStylePr w:type="band1Horz">
      <w:rPr>
        <w:rFonts w:ascii="Univers 45 Light" w:hAnsi="Univers 45 Light" w:cs="Times New Roman" w:hint="default"/>
      </w:rPr>
      <w:tblPr/>
      <w:tcPr>
        <w:shd w:val="clear" w:color="auto" w:fill="D2F0EF" w:themeFill="accent2" w:themeFillTint="33"/>
      </w:tcPr>
    </w:tblStylePr>
    <w:tblStylePr w:type="neCell">
      <w:rPr>
        <w:rFonts w:ascii="Univers 45 Light" w:hAnsi="Univers 45 Light" w:cs="Times New Roman" w:hint="default"/>
      </w:rPr>
      <w:tblPr/>
      <w:tcPr>
        <w:tcBorders>
          <w:left w:val="nil"/>
        </w:tcBorders>
      </w:tcPr>
    </w:tblStylePr>
    <w:tblStylePr w:type="nwCell">
      <w:rPr>
        <w:rFonts w:ascii="Univers 45 Light" w:hAnsi="Univers 45 Light" w:cs="Times New Roman" w:hint="default"/>
      </w:rPr>
      <w:tblPr/>
      <w:tcPr>
        <w:tcBorders>
          <w:right w:val="nil"/>
        </w:tcBorders>
      </w:tcPr>
    </w:tblStylePr>
    <w:tblStylePr w:type="seCell">
      <w:rPr>
        <w:rFonts w:ascii="Univers 45 Light" w:hAnsi="Univers 45 Light" w:cs="Times New Roman" w:hint="default"/>
      </w:rPr>
      <w:tblPr/>
      <w:tcPr>
        <w:tcBorders>
          <w:left w:val="nil"/>
        </w:tcBorders>
      </w:tcPr>
    </w:tblStylePr>
    <w:tblStylePr w:type="swCell">
      <w:rPr>
        <w:rFonts w:ascii="Univers 45 Light" w:hAnsi="Univers 45 Light" w:cs="Times New Roman" w:hint="default"/>
      </w:rPr>
      <w:tblPr/>
      <w:tcPr>
        <w:tcBorders>
          <w:right w:val="nil"/>
        </w:tcBorders>
      </w:tcPr>
    </w:tblStylePr>
  </w:style>
  <w:style w:type="table" w:styleId="ListTable3-Accent3">
    <w:name w:val="List Table 3 Accent 3"/>
    <w:basedOn w:val="TableNormal"/>
    <w:uiPriority w:val="48"/>
    <w:rsid w:val="00FC5A72"/>
    <w:pPr>
      <w:spacing w:after="0" w:line="240" w:lineRule="auto"/>
    </w:pPr>
    <w:rPr>
      <w:rFonts w:eastAsia="Times New Roman" w:cs="Times New Roman"/>
      <w:lang w:val="en-US"/>
    </w:rPr>
    <w:tblPr>
      <w:tblStyleRowBandSize w:val="1"/>
      <w:tblStyleColBandSize w:val="1"/>
      <w:tblInd w:w="0" w:type="nil"/>
      <w:tblBorders>
        <w:top w:val="single" w:sz="4" w:space="0" w:color="00338D" w:themeColor="accent3"/>
        <w:left w:val="single" w:sz="4" w:space="0" w:color="00338D" w:themeColor="accent3"/>
        <w:bottom w:val="single" w:sz="4" w:space="0" w:color="00338D" w:themeColor="accent3"/>
        <w:right w:val="single" w:sz="4" w:space="0" w:color="00338D" w:themeColor="accent3"/>
      </w:tblBorders>
    </w:tblPr>
    <w:tblStylePr w:type="firstRow">
      <w:rPr>
        <w:rFonts w:ascii="Univers 45 Light" w:hAnsi="Univers 45 Light" w:cs="Times New Roman" w:hint="default"/>
        <w:b/>
        <w:bCs/>
        <w:color w:val="FFFFFF" w:themeColor="background1"/>
      </w:rPr>
      <w:tblPr/>
      <w:tcPr>
        <w:shd w:val="clear" w:color="auto" w:fill="00338D" w:themeFill="accent3"/>
      </w:tcPr>
    </w:tblStylePr>
    <w:tblStylePr w:type="lastRow">
      <w:rPr>
        <w:rFonts w:ascii="Univers 45 Light" w:hAnsi="Univers 45 Light" w:cs="Times New Roman" w:hint="default"/>
        <w:b/>
        <w:bCs/>
      </w:rPr>
      <w:tblPr/>
      <w:tcPr>
        <w:tcBorders>
          <w:top w:val="double" w:sz="4" w:space="0" w:color="00338D" w:themeColor="accent3"/>
        </w:tcBorders>
        <w:shd w:val="clear" w:color="auto" w:fill="FFFFFF" w:themeFill="background1"/>
      </w:tcPr>
    </w:tblStylePr>
    <w:tblStylePr w:type="firstCol">
      <w:rPr>
        <w:rFonts w:ascii="Univers 45 Light" w:hAnsi="Univers 45 Light" w:cs="Times New Roman" w:hint="default"/>
        <w:b/>
        <w:bCs/>
      </w:rPr>
      <w:tblPr/>
      <w:tcPr>
        <w:tcBorders>
          <w:right w:val="nil"/>
        </w:tcBorders>
        <w:shd w:val="clear" w:color="auto" w:fill="FFFFFF" w:themeFill="background1"/>
      </w:tcPr>
    </w:tblStylePr>
    <w:tblStylePr w:type="lastCol">
      <w:rPr>
        <w:rFonts w:ascii="Univers 45 Light" w:hAnsi="Univers 45 Light" w:cs="Times New Roman" w:hint="default"/>
        <w:b/>
        <w:bCs/>
      </w:rPr>
      <w:tblPr/>
      <w:tcPr>
        <w:tcBorders>
          <w:left w:val="nil"/>
        </w:tcBorders>
        <w:shd w:val="clear" w:color="auto" w:fill="FFFFFF" w:themeFill="background1"/>
      </w:tcPr>
    </w:tblStylePr>
    <w:tblStylePr w:type="band1Vert">
      <w:rPr>
        <w:rFonts w:ascii="Univers 45 Light" w:hAnsi="Univers 45 Light" w:cs="Times New Roman" w:hint="default"/>
      </w:rPr>
      <w:tblPr/>
      <w:tcPr>
        <w:tcBorders>
          <w:left w:val="single" w:sz="4" w:space="0" w:color="00338D" w:themeColor="accent3"/>
          <w:right w:val="single" w:sz="4" w:space="0" w:color="00338D" w:themeColor="accent3"/>
        </w:tcBorders>
      </w:tcPr>
    </w:tblStylePr>
    <w:tblStylePr w:type="band1Horz">
      <w:rPr>
        <w:rFonts w:ascii="Univers 45 Light" w:hAnsi="Univers 45 Light" w:cs="Times New Roman" w:hint="default"/>
      </w:rPr>
      <w:tblPr/>
      <w:tcPr>
        <w:tcBorders>
          <w:top w:val="single" w:sz="4" w:space="0" w:color="00338D" w:themeColor="accent3"/>
          <w:bottom w:val="single" w:sz="4" w:space="0" w:color="00338D" w:themeColor="accent3"/>
          <w:insideH w:val="nil"/>
        </w:tcBorders>
      </w:tcPr>
    </w:tblStylePr>
    <w:tblStylePr w:type="neCell">
      <w:rPr>
        <w:rFonts w:ascii="Univers 45 Light" w:hAnsi="Univers 45 Light" w:cs="Times New Roman" w:hint="default"/>
      </w:rPr>
      <w:tblPr/>
      <w:tcPr>
        <w:tcBorders>
          <w:left w:val="nil"/>
          <w:bottom w:val="nil"/>
        </w:tcBorders>
      </w:tcPr>
    </w:tblStylePr>
    <w:tblStylePr w:type="nwCell">
      <w:rPr>
        <w:rFonts w:ascii="Univers 45 Light" w:hAnsi="Univers 45 Light" w:cs="Times New Roman" w:hint="default"/>
      </w:rPr>
      <w:tblPr/>
      <w:tcPr>
        <w:tcBorders>
          <w:bottom w:val="nil"/>
          <w:right w:val="nil"/>
        </w:tcBorders>
      </w:tcPr>
    </w:tblStylePr>
    <w:tblStylePr w:type="seCell">
      <w:rPr>
        <w:rFonts w:ascii="Univers 45 Light" w:hAnsi="Univers 45 Light" w:cs="Times New Roman" w:hint="default"/>
      </w:rPr>
      <w:tblPr/>
      <w:tcPr>
        <w:tcBorders>
          <w:top w:val="double" w:sz="4" w:space="0" w:color="00338D" w:themeColor="accent3"/>
          <w:left w:val="nil"/>
        </w:tcBorders>
      </w:tcPr>
    </w:tblStylePr>
    <w:tblStylePr w:type="swCell">
      <w:rPr>
        <w:rFonts w:ascii="Univers 45 Light" w:hAnsi="Univers 45 Light" w:cs="Times New Roman" w:hint="default"/>
      </w:rPr>
      <w:tblPr/>
      <w:tcPr>
        <w:tcBorders>
          <w:top w:val="double" w:sz="4" w:space="0" w:color="00338D" w:themeColor="accent3"/>
          <w:right w:val="nil"/>
        </w:tcBorders>
      </w:tcPr>
    </w:tblStylePr>
  </w:style>
  <w:style w:type="table" w:styleId="ListTable4-Accent3">
    <w:name w:val="List Table 4 Accent 3"/>
    <w:basedOn w:val="TableNormal"/>
    <w:uiPriority w:val="49"/>
    <w:rsid w:val="00FC5A72"/>
    <w:pPr>
      <w:spacing w:after="0" w:line="240" w:lineRule="auto"/>
    </w:pPr>
    <w:rPr>
      <w:rFonts w:eastAsia="Times New Roman" w:cs="Times New Roman"/>
      <w:lang w:val="en-US"/>
    </w:rPr>
    <w:tblPr>
      <w:tblStyleRowBandSize w:val="1"/>
      <w:tblStyleColBandSize w:val="1"/>
      <w:tblInd w:w="0" w:type="nil"/>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tblBorders>
    </w:tblPr>
    <w:tblStylePr w:type="firstRow">
      <w:rPr>
        <w:rFonts w:ascii="Univers 45 Light" w:hAnsi="Univers 45 Light" w:cs="Times New Roman" w:hint="default"/>
        <w:b/>
        <w:bCs/>
        <w:color w:val="FFFFFF" w:themeColor="background1"/>
      </w:rPr>
      <w:tblPr/>
      <w:tcPr>
        <w:tcBorders>
          <w:top w:val="single" w:sz="4" w:space="0" w:color="00338D" w:themeColor="accent3"/>
          <w:left w:val="single" w:sz="4" w:space="0" w:color="00338D" w:themeColor="accent3"/>
          <w:bottom w:val="single" w:sz="4" w:space="0" w:color="00338D" w:themeColor="accent3"/>
          <w:right w:val="single" w:sz="4" w:space="0" w:color="00338D" w:themeColor="accent3"/>
          <w:insideH w:val="nil"/>
        </w:tcBorders>
        <w:shd w:val="clear" w:color="auto" w:fill="00338D" w:themeFill="accent3"/>
      </w:tcPr>
    </w:tblStylePr>
    <w:tblStylePr w:type="lastRow">
      <w:rPr>
        <w:rFonts w:ascii="Univers 45 Light" w:hAnsi="Univers 45 Light" w:cs="Times New Roman" w:hint="default"/>
        <w:b/>
        <w:bCs/>
      </w:rPr>
      <w:tblPr/>
      <w:tcPr>
        <w:tcBorders>
          <w:top w:val="double" w:sz="4" w:space="0" w:color="2171FF" w:themeColor="accent3" w:themeTint="99"/>
        </w:tcBorders>
      </w:tcPr>
    </w:tblStylePr>
    <w:tblStylePr w:type="firstCol">
      <w:rPr>
        <w:rFonts w:ascii="Univers 45 Light" w:hAnsi="Univers 45 Light" w:cs="Times New Roman" w:hint="default"/>
        <w:b/>
        <w:bCs/>
      </w:rPr>
    </w:tblStylePr>
    <w:tblStylePr w:type="lastCol">
      <w:rPr>
        <w:rFonts w:ascii="Univers 45 Light" w:hAnsi="Univers 45 Light" w:cs="Times New Roman" w:hint="default"/>
        <w:b/>
        <w:bCs/>
      </w:rPr>
    </w:tblStylePr>
    <w:tblStylePr w:type="band1Vert">
      <w:rPr>
        <w:rFonts w:ascii="Univers 45 Light" w:hAnsi="Univers 45 Light" w:cs="Times New Roman" w:hint="default"/>
      </w:rPr>
      <w:tblPr/>
      <w:tcPr>
        <w:shd w:val="clear" w:color="auto" w:fill="B5CFFF" w:themeFill="accent3" w:themeFillTint="33"/>
      </w:tcPr>
    </w:tblStylePr>
    <w:tblStylePr w:type="band1Horz">
      <w:rPr>
        <w:rFonts w:ascii="Univers 45 Light" w:hAnsi="Univers 45 Light" w:cs="Times New Roman" w:hint="default"/>
      </w:rPr>
      <w:tblPr/>
      <w:tcPr>
        <w:shd w:val="clear" w:color="auto" w:fill="B5CFFF" w:themeFill="accent3" w:themeFillTint="33"/>
      </w:tcPr>
    </w:tblStylePr>
  </w:style>
  <w:style w:type="table" w:styleId="ListTable6Colorful-Accent3">
    <w:name w:val="List Table 6 Colorful Accent 3"/>
    <w:basedOn w:val="TableNormal"/>
    <w:uiPriority w:val="51"/>
    <w:rsid w:val="00FC5A72"/>
    <w:pPr>
      <w:spacing w:after="0" w:line="240" w:lineRule="auto"/>
    </w:pPr>
    <w:rPr>
      <w:rFonts w:eastAsia="Times New Roman" w:cs="Times New Roman"/>
      <w:color w:val="002669" w:themeColor="accent3" w:themeShade="BF"/>
      <w:lang w:val="en-US"/>
    </w:rPr>
    <w:tblPr>
      <w:tblStyleRowBandSize w:val="1"/>
      <w:tblStyleColBandSize w:val="1"/>
      <w:tblInd w:w="0" w:type="nil"/>
      <w:tblBorders>
        <w:top w:val="single" w:sz="4" w:space="0" w:color="00338D" w:themeColor="accent3"/>
        <w:bottom w:val="single" w:sz="4" w:space="0" w:color="00338D" w:themeColor="accent3"/>
      </w:tblBorders>
    </w:tblPr>
    <w:tblStylePr w:type="firstRow">
      <w:rPr>
        <w:rFonts w:ascii="Univers 45 Light" w:hAnsi="Univers 45 Light" w:cs="Times New Roman" w:hint="default"/>
        <w:b/>
        <w:bCs/>
      </w:rPr>
      <w:tblPr/>
      <w:tcPr>
        <w:tcBorders>
          <w:bottom w:val="single" w:sz="4" w:space="0" w:color="00338D" w:themeColor="accent3"/>
        </w:tcBorders>
      </w:tcPr>
    </w:tblStylePr>
    <w:tblStylePr w:type="lastRow">
      <w:rPr>
        <w:rFonts w:ascii="Univers 45 Light" w:hAnsi="Univers 45 Light" w:cs="Times New Roman" w:hint="default"/>
        <w:b/>
        <w:bCs/>
      </w:rPr>
      <w:tblPr/>
      <w:tcPr>
        <w:tcBorders>
          <w:top w:val="double" w:sz="4" w:space="0" w:color="00338D" w:themeColor="accent3"/>
        </w:tcBorders>
      </w:tcPr>
    </w:tblStylePr>
    <w:tblStylePr w:type="firstCol">
      <w:rPr>
        <w:rFonts w:ascii="Univers 45 Light" w:hAnsi="Univers 45 Light" w:cs="Times New Roman" w:hint="default"/>
        <w:b/>
        <w:bCs/>
      </w:rPr>
    </w:tblStylePr>
    <w:tblStylePr w:type="lastCol">
      <w:rPr>
        <w:rFonts w:ascii="Univers 45 Light" w:hAnsi="Univers 45 Light" w:cs="Times New Roman" w:hint="default"/>
        <w:b/>
        <w:bCs/>
      </w:rPr>
    </w:tblStylePr>
    <w:tblStylePr w:type="band1Vert">
      <w:rPr>
        <w:rFonts w:ascii="Univers 45 Light" w:hAnsi="Univers 45 Light" w:cs="Times New Roman" w:hint="default"/>
      </w:rPr>
      <w:tblPr/>
      <w:tcPr>
        <w:shd w:val="clear" w:color="auto" w:fill="B5CFFF" w:themeFill="accent3" w:themeFillTint="33"/>
      </w:tcPr>
    </w:tblStylePr>
    <w:tblStylePr w:type="band1Horz">
      <w:rPr>
        <w:rFonts w:ascii="Univers 45 Light" w:hAnsi="Univers 45 Light" w:cs="Times New Roman" w:hint="default"/>
      </w:rPr>
      <w:tblPr/>
      <w:tcPr>
        <w:shd w:val="clear" w:color="auto" w:fill="B5CFFF" w:themeFill="accent3" w:themeFillTint="33"/>
      </w:tcPr>
    </w:tblStylePr>
  </w:style>
  <w:style w:type="table" w:styleId="ListTable7Colorful-Accent3">
    <w:name w:val="List Table 7 Colorful Accent 3"/>
    <w:basedOn w:val="TableNormal"/>
    <w:uiPriority w:val="52"/>
    <w:rsid w:val="00FC5A72"/>
    <w:pPr>
      <w:spacing w:after="0" w:line="240" w:lineRule="auto"/>
    </w:pPr>
    <w:rPr>
      <w:rFonts w:eastAsia="Times New Roman" w:cs="Times New Roman"/>
      <w:color w:val="002669" w:themeColor="accent3" w:themeShade="BF"/>
      <w:lang w:val="en-US"/>
    </w:rPr>
    <w:tblPr>
      <w:tblStyleRowBandSize w:val="1"/>
      <w:tblStyleColBandSize w:val="1"/>
      <w:tblInd w:w="0" w:type="nil"/>
    </w:tblPr>
    <w:tblStylePr w:type="firstRow">
      <w:rPr>
        <w:rFonts w:asciiTheme="majorHAnsi" w:eastAsiaTheme="majorEastAsia" w:hAnsiTheme="majorHAnsi" w:cs="Times New Roman" w:hint="default"/>
        <w:i/>
        <w:iCs/>
        <w:sz w:val="26"/>
        <w:szCs w:val="26"/>
      </w:rPr>
      <w:tblPr/>
      <w:tcPr>
        <w:tcBorders>
          <w:bottom w:val="single" w:sz="4" w:space="0" w:color="00338D" w:themeColor="accent3"/>
        </w:tcBorders>
        <w:shd w:val="clear" w:color="auto" w:fill="FFFFFF" w:themeFill="background1"/>
      </w:tcPr>
    </w:tblStylePr>
    <w:tblStylePr w:type="lastRow">
      <w:rPr>
        <w:rFonts w:asciiTheme="majorHAnsi" w:eastAsiaTheme="majorEastAsia" w:hAnsiTheme="majorHAnsi" w:cs="Times New Roman" w:hint="default"/>
        <w:i/>
        <w:iCs/>
        <w:sz w:val="26"/>
        <w:szCs w:val="26"/>
      </w:rPr>
      <w:tblPr/>
      <w:tcPr>
        <w:tcBorders>
          <w:top w:val="single" w:sz="4" w:space="0" w:color="00338D" w:themeColor="accent3"/>
        </w:tcBorders>
        <w:shd w:val="clear" w:color="auto" w:fill="FFFFFF" w:themeFill="background1"/>
      </w:tcPr>
    </w:tblStylePr>
    <w:tblStylePr w:type="firstCol">
      <w:pPr>
        <w:jc w:val="right"/>
      </w:pPr>
      <w:rPr>
        <w:rFonts w:asciiTheme="majorHAnsi" w:eastAsiaTheme="majorEastAsia" w:hAnsiTheme="majorHAnsi" w:cs="Times New Roman" w:hint="default"/>
        <w:i/>
        <w:iCs/>
        <w:sz w:val="26"/>
        <w:szCs w:val="26"/>
      </w:rPr>
      <w:tblPr/>
      <w:tcPr>
        <w:tcBorders>
          <w:right w:val="single" w:sz="4" w:space="0" w:color="00338D" w:themeColor="accent3"/>
        </w:tcBorders>
        <w:shd w:val="clear" w:color="auto" w:fill="FFFFFF" w:themeFill="background1"/>
      </w:tcPr>
    </w:tblStylePr>
    <w:tblStylePr w:type="lastCol">
      <w:rPr>
        <w:rFonts w:asciiTheme="majorHAnsi" w:eastAsiaTheme="majorEastAsia" w:hAnsiTheme="majorHAnsi" w:cs="Times New Roman" w:hint="default"/>
        <w:i/>
        <w:iCs/>
        <w:sz w:val="26"/>
        <w:szCs w:val="26"/>
      </w:rPr>
      <w:tblPr/>
      <w:tcPr>
        <w:tcBorders>
          <w:left w:val="single" w:sz="4" w:space="0" w:color="00338D" w:themeColor="accent3"/>
        </w:tcBorders>
        <w:shd w:val="clear" w:color="auto" w:fill="FFFFFF" w:themeFill="background1"/>
      </w:tcPr>
    </w:tblStylePr>
    <w:tblStylePr w:type="band1Vert">
      <w:rPr>
        <w:rFonts w:ascii="Univers 45 Light" w:hAnsi="Univers 45 Light" w:cs="Times New Roman" w:hint="default"/>
      </w:rPr>
      <w:tblPr/>
      <w:tcPr>
        <w:shd w:val="clear" w:color="auto" w:fill="B5CFFF" w:themeFill="accent3" w:themeFillTint="33"/>
      </w:tcPr>
    </w:tblStylePr>
    <w:tblStylePr w:type="band1Horz">
      <w:rPr>
        <w:rFonts w:ascii="Univers 45 Light" w:hAnsi="Univers 45 Light" w:cs="Times New Roman" w:hint="default"/>
      </w:rPr>
      <w:tblPr/>
      <w:tcPr>
        <w:shd w:val="clear" w:color="auto" w:fill="B5CFFF" w:themeFill="accent3" w:themeFillTint="33"/>
      </w:tcPr>
    </w:tblStylePr>
    <w:tblStylePr w:type="neCell">
      <w:rPr>
        <w:rFonts w:ascii="Univers 45 Light" w:hAnsi="Univers 45 Light" w:cs="Times New Roman" w:hint="default"/>
      </w:rPr>
      <w:tblPr/>
      <w:tcPr>
        <w:tcBorders>
          <w:left w:val="nil"/>
        </w:tcBorders>
      </w:tcPr>
    </w:tblStylePr>
    <w:tblStylePr w:type="nwCell">
      <w:rPr>
        <w:rFonts w:ascii="Univers 45 Light" w:hAnsi="Univers 45 Light" w:cs="Times New Roman" w:hint="default"/>
      </w:rPr>
      <w:tblPr/>
      <w:tcPr>
        <w:tcBorders>
          <w:right w:val="nil"/>
        </w:tcBorders>
      </w:tcPr>
    </w:tblStylePr>
    <w:tblStylePr w:type="seCell">
      <w:rPr>
        <w:rFonts w:ascii="Univers 45 Light" w:hAnsi="Univers 45 Light" w:cs="Times New Roman" w:hint="default"/>
      </w:rPr>
      <w:tblPr/>
      <w:tcPr>
        <w:tcBorders>
          <w:left w:val="nil"/>
        </w:tcBorders>
      </w:tcPr>
    </w:tblStylePr>
    <w:tblStylePr w:type="swCell">
      <w:rPr>
        <w:rFonts w:ascii="Univers 45 Light" w:hAnsi="Univers 45 Light" w:cs="Times New Roman" w:hint="default"/>
      </w:rPr>
      <w:tblPr/>
      <w:tcPr>
        <w:tcBorders>
          <w:right w:val="nil"/>
        </w:tcBorders>
      </w:tcPr>
    </w:tblStylePr>
  </w:style>
  <w:style w:type="table" w:styleId="ListTable6Colorful-Accent5">
    <w:name w:val="List Table 6 Colorful Accent 5"/>
    <w:basedOn w:val="TableNormal"/>
    <w:uiPriority w:val="51"/>
    <w:rsid w:val="00FC5A72"/>
    <w:pPr>
      <w:spacing w:after="0" w:line="240" w:lineRule="auto"/>
    </w:pPr>
    <w:rPr>
      <w:rFonts w:eastAsia="Times New Roman" w:cs="Times New Roman"/>
      <w:color w:val="2D77FD" w:themeColor="accent5" w:themeShade="BF"/>
      <w:lang w:val="en-US"/>
    </w:rPr>
    <w:tblPr>
      <w:tblStyleRowBandSize w:val="1"/>
      <w:tblStyleColBandSize w:val="1"/>
      <w:tblInd w:w="0" w:type="nil"/>
      <w:tblBorders>
        <w:top w:val="single" w:sz="4" w:space="0" w:color="91B8FE" w:themeColor="accent5"/>
        <w:bottom w:val="single" w:sz="4" w:space="0" w:color="91B8FE" w:themeColor="accent5"/>
      </w:tblBorders>
    </w:tblPr>
    <w:tblStylePr w:type="firstRow">
      <w:rPr>
        <w:rFonts w:ascii="Univers 45 Light" w:hAnsi="Univers 45 Light" w:cs="Times New Roman" w:hint="default"/>
        <w:b/>
        <w:bCs/>
      </w:rPr>
      <w:tblPr/>
      <w:tcPr>
        <w:tcBorders>
          <w:bottom w:val="single" w:sz="4" w:space="0" w:color="91B8FE" w:themeColor="accent5"/>
        </w:tcBorders>
      </w:tcPr>
    </w:tblStylePr>
    <w:tblStylePr w:type="lastRow">
      <w:rPr>
        <w:rFonts w:ascii="Univers 45 Light" w:hAnsi="Univers 45 Light" w:cs="Times New Roman" w:hint="default"/>
        <w:b/>
        <w:bCs/>
      </w:rPr>
      <w:tblPr/>
      <w:tcPr>
        <w:tcBorders>
          <w:top w:val="double" w:sz="4" w:space="0" w:color="91B8FE" w:themeColor="accent5"/>
        </w:tcBorders>
      </w:tcPr>
    </w:tblStylePr>
    <w:tblStylePr w:type="firstCol">
      <w:rPr>
        <w:rFonts w:ascii="Univers 45 Light" w:hAnsi="Univers 45 Light" w:cs="Times New Roman" w:hint="default"/>
        <w:b/>
        <w:bCs/>
      </w:rPr>
    </w:tblStylePr>
    <w:tblStylePr w:type="lastCol">
      <w:rPr>
        <w:rFonts w:ascii="Univers 45 Light" w:hAnsi="Univers 45 Light" w:cs="Times New Roman" w:hint="default"/>
        <w:b/>
        <w:bCs/>
      </w:rPr>
    </w:tblStylePr>
    <w:tblStylePr w:type="band1Vert">
      <w:rPr>
        <w:rFonts w:ascii="Univers 45 Light" w:hAnsi="Univers 45 Light" w:cs="Times New Roman" w:hint="default"/>
      </w:rPr>
      <w:tblPr/>
      <w:tcPr>
        <w:shd w:val="clear" w:color="auto" w:fill="E8F0FE" w:themeFill="accent5" w:themeFillTint="33"/>
      </w:tcPr>
    </w:tblStylePr>
    <w:tblStylePr w:type="band1Horz">
      <w:rPr>
        <w:rFonts w:ascii="Univers 45 Light" w:hAnsi="Univers 45 Light" w:cs="Times New Roman" w:hint="default"/>
      </w:rPr>
      <w:tblPr/>
      <w:tcPr>
        <w:shd w:val="clear" w:color="auto" w:fill="E8F0FE" w:themeFill="accent5" w:themeFillTint="33"/>
      </w:tcPr>
    </w:tblStylePr>
  </w:style>
  <w:style w:type="table" w:styleId="ListTable1Light-Accent6">
    <w:name w:val="List Table 1 Light Accent 6"/>
    <w:basedOn w:val="TableNormal"/>
    <w:uiPriority w:val="46"/>
    <w:rsid w:val="00FC5A72"/>
    <w:pPr>
      <w:spacing w:after="0" w:line="240" w:lineRule="auto"/>
    </w:pPr>
    <w:rPr>
      <w:rFonts w:eastAsia="Times New Roman" w:cs="Times New Roman"/>
      <w:lang w:val="en-US"/>
    </w:rPr>
    <w:tblPr>
      <w:tblStyleRowBandSize w:val="1"/>
      <w:tblStyleColBandSize w:val="1"/>
      <w:tblInd w:w="0" w:type="nil"/>
    </w:tblPr>
    <w:tblStylePr w:type="firstRow">
      <w:rPr>
        <w:rFonts w:ascii="Univers 45 Light" w:hAnsi="Univers 45 Light" w:cs="Times New Roman" w:hint="default"/>
        <w:b/>
        <w:bCs/>
      </w:rPr>
      <w:tblPr/>
      <w:tcPr>
        <w:tcBorders>
          <w:bottom w:val="single" w:sz="4" w:space="0" w:color="B5E6E5" w:themeColor="accent6" w:themeTint="99"/>
        </w:tcBorders>
      </w:tcPr>
    </w:tblStylePr>
    <w:tblStylePr w:type="lastRow">
      <w:rPr>
        <w:rFonts w:ascii="Univers 45 Light" w:hAnsi="Univers 45 Light" w:cs="Times New Roman" w:hint="default"/>
        <w:b/>
        <w:bCs/>
      </w:rPr>
      <w:tblPr/>
      <w:tcPr>
        <w:tcBorders>
          <w:top w:val="single" w:sz="4" w:space="0" w:color="B5E6E5" w:themeColor="accent6" w:themeTint="99"/>
        </w:tcBorders>
      </w:tcPr>
    </w:tblStylePr>
    <w:tblStylePr w:type="firstCol">
      <w:rPr>
        <w:rFonts w:ascii="Univers 45 Light" w:hAnsi="Univers 45 Light" w:cs="Times New Roman" w:hint="default"/>
        <w:b/>
        <w:bCs/>
      </w:rPr>
    </w:tblStylePr>
    <w:tblStylePr w:type="lastCol">
      <w:rPr>
        <w:rFonts w:ascii="Univers 45 Light" w:hAnsi="Univers 45 Light" w:cs="Times New Roman" w:hint="default"/>
        <w:b/>
        <w:bCs/>
      </w:rPr>
    </w:tblStylePr>
    <w:tblStylePr w:type="band1Vert">
      <w:rPr>
        <w:rFonts w:ascii="Univers 45 Light" w:hAnsi="Univers 45 Light" w:cs="Times New Roman" w:hint="default"/>
      </w:rPr>
      <w:tblPr/>
      <w:tcPr>
        <w:shd w:val="clear" w:color="auto" w:fill="E6F6F6" w:themeFill="accent6" w:themeFillTint="33"/>
      </w:tcPr>
    </w:tblStylePr>
    <w:tblStylePr w:type="band1Horz">
      <w:rPr>
        <w:rFonts w:ascii="Univers 45 Light" w:hAnsi="Univers 45 Light" w:cs="Times New Roman" w:hint="default"/>
      </w:rPr>
      <w:tblPr/>
      <w:tcPr>
        <w:shd w:val="clear" w:color="auto" w:fill="E6F6F6" w:themeFill="accent6" w:themeFillTint="33"/>
      </w:tcPr>
    </w:tblStylePr>
  </w:style>
  <w:style w:type="table" w:styleId="ListTable2-Accent6">
    <w:name w:val="List Table 2 Accent 6"/>
    <w:basedOn w:val="TableNormal"/>
    <w:uiPriority w:val="47"/>
    <w:rsid w:val="00FC5A72"/>
    <w:pPr>
      <w:spacing w:after="0" w:line="240" w:lineRule="auto"/>
    </w:pPr>
    <w:rPr>
      <w:rFonts w:eastAsia="Times New Roman" w:cstheme="minorHAnsi"/>
      <w:lang w:val="en-US"/>
    </w:rPr>
    <w:tblPr>
      <w:tblStyleRowBandSize w:val="1"/>
      <w:tblStyleColBandSize w:val="1"/>
      <w:tblInd w:w="0" w:type="nil"/>
      <w:tblBorders>
        <w:top w:val="single" w:sz="4" w:space="0" w:color="B5E6E5" w:themeColor="accent6" w:themeTint="99"/>
        <w:bottom w:val="single" w:sz="4" w:space="0" w:color="B5E6E5" w:themeColor="accent6" w:themeTint="99"/>
        <w:insideH w:val="single" w:sz="4" w:space="0" w:color="B5E6E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ListTable3-Accent6">
    <w:name w:val="List Table 3 Accent 6"/>
    <w:basedOn w:val="TableNormal"/>
    <w:uiPriority w:val="48"/>
    <w:rsid w:val="00FC5A72"/>
    <w:pPr>
      <w:spacing w:after="0" w:line="240" w:lineRule="auto"/>
    </w:pPr>
    <w:rPr>
      <w:rFonts w:eastAsia="Times New Roman" w:cs="Times New Roman"/>
      <w:lang w:val="en-US"/>
    </w:rPr>
    <w:tblPr>
      <w:tblStyleRowBandSize w:val="1"/>
      <w:tblStyleColBandSize w:val="1"/>
      <w:tblInd w:w="0" w:type="nil"/>
      <w:tblBorders>
        <w:top w:val="single" w:sz="4" w:space="0" w:color="85D6D4" w:themeColor="accent6"/>
        <w:left w:val="single" w:sz="4" w:space="0" w:color="85D6D4" w:themeColor="accent6"/>
        <w:bottom w:val="single" w:sz="4" w:space="0" w:color="85D6D4" w:themeColor="accent6"/>
        <w:right w:val="single" w:sz="4" w:space="0" w:color="85D6D4" w:themeColor="accent6"/>
      </w:tblBorders>
    </w:tblPr>
    <w:tblStylePr w:type="firstRow">
      <w:rPr>
        <w:rFonts w:ascii="Univers 45 Light" w:hAnsi="Univers 45 Light" w:cs="Times New Roman" w:hint="default"/>
        <w:b/>
        <w:bCs/>
        <w:color w:val="FFFFFF" w:themeColor="background1"/>
      </w:rPr>
      <w:tblPr/>
      <w:tcPr>
        <w:shd w:val="clear" w:color="auto" w:fill="85D6D4" w:themeFill="accent6"/>
      </w:tcPr>
    </w:tblStylePr>
    <w:tblStylePr w:type="lastRow">
      <w:rPr>
        <w:rFonts w:ascii="Univers 45 Light" w:hAnsi="Univers 45 Light" w:cs="Times New Roman" w:hint="default"/>
        <w:b/>
        <w:bCs/>
      </w:rPr>
      <w:tblPr/>
      <w:tcPr>
        <w:tcBorders>
          <w:top w:val="double" w:sz="4" w:space="0" w:color="85D6D4" w:themeColor="accent6"/>
        </w:tcBorders>
        <w:shd w:val="clear" w:color="auto" w:fill="FFFFFF" w:themeFill="background1"/>
      </w:tcPr>
    </w:tblStylePr>
    <w:tblStylePr w:type="firstCol">
      <w:rPr>
        <w:rFonts w:ascii="Univers 45 Light" w:hAnsi="Univers 45 Light" w:cs="Times New Roman" w:hint="default"/>
        <w:b/>
        <w:bCs/>
      </w:rPr>
      <w:tblPr/>
      <w:tcPr>
        <w:tcBorders>
          <w:right w:val="nil"/>
        </w:tcBorders>
        <w:shd w:val="clear" w:color="auto" w:fill="FFFFFF" w:themeFill="background1"/>
      </w:tcPr>
    </w:tblStylePr>
    <w:tblStylePr w:type="lastCol">
      <w:rPr>
        <w:rFonts w:ascii="Univers 45 Light" w:hAnsi="Univers 45 Light" w:cs="Times New Roman" w:hint="default"/>
        <w:b/>
        <w:bCs/>
      </w:rPr>
      <w:tblPr/>
      <w:tcPr>
        <w:tcBorders>
          <w:left w:val="nil"/>
        </w:tcBorders>
        <w:shd w:val="clear" w:color="auto" w:fill="FFFFFF" w:themeFill="background1"/>
      </w:tcPr>
    </w:tblStylePr>
    <w:tblStylePr w:type="band1Vert">
      <w:rPr>
        <w:rFonts w:ascii="Univers 45 Light" w:hAnsi="Univers 45 Light" w:cs="Times New Roman" w:hint="default"/>
      </w:rPr>
      <w:tblPr/>
      <w:tcPr>
        <w:tcBorders>
          <w:left w:val="single" w:sz="4" w:space="0" w:color="85D6D4" w:themeColor="accent6"/>
          <w:right w:val="single" w:sz="4" w:space="0" w:color="85D6D4" w:themeColor="accent6"/>
        </w:tcBorders>
      </w:tcPr>
    </w:tblStylePr>
    <w:tblStylePr w:type="band1Horz">
      <w:rPr>
        <w:rFonts w:ascii="Univers 45 Light" w:hAnsi="Univers 45 Light" w:cs="Times New Roman" w:hint="default"/>
      </w:rPr>
      <w:tblPr/>
      <w:tcPr>
        <w:tcBorders>
          <w:top w:val="single" w:sz="4" w:space="0" w:color="85D6D4" w:themeColor="accent6"/>
          <w:bottom w:val="single" w:sz="4" w:space="0" w:color="85D6D4" w:themeColor="accent6"/>
          <w:insideH w:val="nil"/>
        </w:tcBorders>
      </w:tcPr>
    </w:tblStylePr>
    <w:tblStylePr w:type="neCell">
      <w:rPr>
        <w:rFonts w:ascii="Univers 45 Light" w:hAnsi="Univers 45 Light" w:cs="Times New Roman" w:hint="default"/>
      </w:rPr>
      <w:tblPr/>
      <w:tcPr>
        <w:tcBorders>
          <w:left w:val="nil"/>
          <w:bottom w:val="nil"/>
        </w:tcBorders>
      </w:tcPr>
    </w:tblStylePr>
    <w:tblStylePr w:type="nwCell">
      <w:rPr>
        <w:rFonts w:ascii="Univers 45 Light" w:hAnsi="Univers 45 Light" w:cs="Times New Roman" w:hint="default"/>
      </w:rPr>
      <w:tblPr/>
      <w:tcPr>
        <w:tcBorders>
          <w:bottom w:val="nil"/>
          <w:right w:val="nil"/>
        </w:tcBorders>
      </w:tcPr>
    </w:tblStylePr>
    <w:tblStylePr w:type="seCell">
      <w:rPr>
        <w:rFonts w:ascii="Univers 45 Light" w:hAnsi="Univers 45 Light" w:cs="Times New Roman" w:hint="default"/>
      </w:rPr>
      <w:tblPr/>
      <w:tcPr>
        <w:tcBorders>
          <w:top w:val="double" w:sz="4" w:space="0" w:color="85D6D4" w:themeColor="accent6"/>
          <w:left w:val="nil"/>
        </w:tcBorders>
      </w:tcPr>
    </w:tblStylePr>
    <w:tblStylePr w:type="swCell">
      <w:rPr>
        <w:rFonts w:ascii="Univers 45 Light" w:hAnsi="Univers 45 Light" w:cs="Times New Roman" w:hint="default"/>
      </w:rPr>
      <w:tblPr/>
      <w:tcPr>
        <w:tcBorders>
          <w:top w:val="double" w:sz="4" w:space="0" w:color="85D6D4" w:themeColor="accent6"/>
          <w:right w:val="nil"/>
        </w:tcBorders>
      </w:tcPr>
    </w:tblStylePr>
  </w:style>
  <w:style w:type="table" w:styleId="ListTable4-Accent6">
    <w:name w:val="List Table 4 Accent 6"/>
    <w:aliases w:val="default for annex C"/>
    <w:basedOn w:val="TableNormal"/>
    <w:uiPriority w:val="49"/>
    <w:rsid w:val="001A1A27"/>
    <w:pPr>
      <w:spacing w:after="0" w:line="240" w:lineRule="auto"/>
    </w:pPr>
    <w:rPr>
      <w:rFonts w:eastAsia="Times New Roman" w:cstheme="minorHAnsi"/>
      <w:sz w:val="20"/>
      <w:lang w:val="en-US"/>
    </w:rPr>
    <w:tblPr>
      <w:tblStyleRowBandSize w:val="1"/>
      <w:tblStyleColBandSize w:val="1"/>
      <w:tblInd w:w="0" w:type="nil"/>
      <w:tblBorders>
        <w:top w:val="single" w:sz="4" w:space="0" w:color="B5E6E5" w:themeColor="accent6" w:themeTint="99"/>
        <w:left w:val="single" w:sz="4" w:space="0" w:color="B5E6E5" w:themeColor="accent6" w:themeTint="99"/>
        <w:bottom w:val="single" w:sz="4" w:space="0" w:color="B5E6E5" w:themeColor="accent6" w:themeTint="99"/>
        <w:right w:val="single" w:sz="4" w:space="0" w:color="B5E6E5" w:themeColor="accent6" w:themeTint="99"/>
        <w:insideH w:val="single" w:sz="4" w:space="0" w:color="B5E6E5" w:themeColor="accent6" w:themeTint="99"/>
      </w:tblBorders>
    </w:tblPr>
    <w:tblStylePr w:type="firstRow">
      <w:rPr>
        <w:b/>
        <w:bCs/>
        <w:color w:val="FFFFFF" w:themeColor="background1"/>
      </w:rPr>
      <w:tblPr/>
      <w:tcPr>
        <w:tcBorders>
          <w:top w:val="single" w:sz="4" w:space="0" w:color="85D6D4" w:themeColor="accent6"/>
          <w:left w:val="single" w:sz="4" w:space="0" w:color="85D6D4" w:themeColor="accent6"/>
          <w:bottom w:val="single" w:sz="4" w:space="0" w:color="85D6D4" w:themeColor="accent6"/>
          <w:right w:val="single" w:sz="4" w:space="0" w:color="85D6D4" w:themeColor="accent6"/>
          <w:insideH w:val="nil"/>
        </w:tcBorders>
        <w:shd w:val="clear" w:color="auto" w:fill="85D6D4" w:themeFill="accent6"/>
      </w:tcPr>
    </w:tblStylePr>
    <w:tblStylePr w:type="lastRow">
      <w:rPr>
        <w:b/>
        <w:bCs/>
      </w:rPr>
      <w:tblPr/>
      <w:tcPr>
        <w:tcBorders>
          <w:top w:val="double" w:sz="4" w:space="0" w:color="B5E6E5" w:themeColor="accent6" w:themeTint="99"/>
        </w:tcBorders>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ListTable6Colorful-Accent6">
    <w:name w:val="List Table 6 Colorful Accent 6"/>
    <w:basedOn w:val="TableNormal"/>
    <w:uiPriority w:val="51"/>
    <w:rsid w:val="00FC5A72"/>
    <w:pPr>
      <w:spacing w:after="0" w:line="240" w:lineRule="auto"/>
    </w:pPr>
    <w:rPr>
      <w:rFonts w:eastAsia="Times New Roman" w:cstheme="minorHAnsi"/>
      <w:color w:val="43C0BC" w:themeColor="accent6" w:themeShade="BF"/>
      <w:lang w:val="en-US"/>
    </w:rPr>
    <w:tblPr>
      <w:tblStyleRowBandSize w:val="1"/>
      <w:tblStyleColBandSize w:val="1"/>
      <w:tblInd w:w="0" w:type="nil"/>
      <w:tblBorders>
        <w:top w:val="single" w:sz="4" w:space="0" w:color="85D6D4" w:themeColor="accent6"/>
        <w:bottom w:val="single" w:sz="4" w:space="0" w:color="85D6D4" w:themeColor="accent6"/>
      </w:tblBorders>
    </w:tblPr>
    <w:tblStylePr w:type="firstRow">
      <w:rPr>
        <w:b/>
        <w:bCs/>
      </w:rPr>
      <w:tblPr/>
      <w:tcPr>
        <w:tcBorders>
          <w:bottom w:val="single" w:sz="4" w:space="0" w:color="85D6D4" w:themeColor="accent6"/>
        </w:tcBorders>
      </w:tcPr>
    </w:tblStylePr>
    <w:tblStylePr w:type="lastRow">
      <w:rPr>
        <w:b/>
        <w:bCs/>
      </w:rPr>
      <w:tblPr/>
      <w:tcPr>
        <w:tcBorders>
          <w:top w:val="double" w:sz="4" w:space="0" w:color="85D6D4" w:themeColor="accent6"/>
        </w:tcBorders>
      </w:tcPr>
    </w:tblStylePr>
    <w:tblStylePr w:type="firstCol">
      <w:rPr>
        <w:b/>
        <w:bCs/>
      </w:rPr>
    </w:tblStylePr>
    <w:tblStylePr w:type="lastCol">
      <w:rPr>
        <w:b/>
        <w:bCs/>
      </w:rPr>
    </w:tblStylePr>
    <w:tblStylePr w:type="band1Vert">
      <w:tblPr/>
      <w:tcPr>
        <w:shd w:val="clear" w:color="auto" w:fill="E6F6F6" w:themeFill="accent6" w:themeFillTint="33"/>
      </w:tcPr>
    </w:tblStylePr>
    <w:tblStylePr w:type="band1Horz">
      <w:tblPr/>
      <w:tcPr>
        <w:shd w:val="clear" w:color="auto" w:fill="E6F6F6" w:themeFill="accent6" w:themeFillTint="33"/>
      </w:tcPr>
    </w:tblStylePr>
  </w:style>
  <w:style w:type="table" w:styleId="ListTable7Colorful-Accent6">
    <w:name w:val="List Table 7 Colorful Accent 6"/>
    <w:basedOn w:val="TableNormal"/>
    <w:uiPriority w:val="52"/>
    <w:rsid w:val="00FC5A72"/>
    <w:pPr>
      <w:spacing w:after="0" w:line="240" w:lineRule="auto"/>
    </w:pPr>
    <w:rPr>
      <w:rFonts w:eastAsia="Times New Roman" w:cstheme="minorHAnsi"/>
      <w:color w:val="43C0BC" w:themeColor="accent6" w:themeShade="BF"/>
      <w:lang w:val="en-US"/>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85D6D4" w:themeColor="accent6"/>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85D6D4" w:themeColor="accent6"/>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85D6D4" w:themeColor="accent6"/>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85D6D4" w:themeColor="accent6"/>
        </w:tcBorders>
        <w:shd w:val="clear" w:color="auto" w:fill="FFFFFF" w:themeFill="background1"/>
      </w:tcPr>
    </w:tblStylePr>
    <w:tblStylePr w:type="band1Vert">
      <w:tblPr/>
      <w:tcPr>
        <w:shd w:val="clear" w:color="auto" w:fill="E6F6F6" w:themeFill="accent6" w:themeFillTint="33"/>
      </w:tcPr>
    </w:tblStylePr>
    <w:tblStylePr w:type="band1Horz">
      <w:tblPr/>
      <w:tcPr>
        <w:shd w:val="clear" w:color="auto" w:fill="E6F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inance1">
    <w:name w:val="Finance 1"/>
    <w:basedOn w:val="TableNormal"/>
    <w:uiPriority w:val="99"/>
    <w:rsid w:val="00FC5A72"/>
    <w:pPr>
      <w:spacing w:before="60" w:after="60" w:line="200" w:lineRule="atLeast"/>
    </w:pPr>
    <w:rPr>
      <w:rFonts w:ascii="Arial" w:eastAsia="Times New Roman" w:hAnsi="Arial" w:cs="Times New Roman"/>
      <w:sz w:val="16"/>
      <w:lang w:val="en-US"/>
    </w:rPr>
    <w:tblPr>
      <w:tblStyleRowBandSize w:val="1"/>
      <w:tblStyleColBandSize w:val="1"/>
      <w:tblInd w:w="0" w:type="nil"/>
      <w:tblBorders>
        <w:top w:val="single" w:sz="4" w:space="0" w:color="5271FF" w:themeColor="text2"/>
        <w:bottom w:val="single" w:sz="4" w:space="0" w:color="5271FF" w:themeColor="text2"/>
        <w:insideH w:val="single" w:sz="4" w:space="0" w:color="5271FF" w:themeColor="text2"/>
      </w:tblBorders>
      <w:tblCellMar>
        <w:left w:w="85" w:type="dxa"/>
        <w:right w:w="85" w:type="dxa"/>
      </w:tblCellMar>
    </w:tblPr>
    <w:tblStylePr w:type="firstRow">
      <w:rPr>
        <w:rFonts w:ascii="Arial" w:hAnsi="Arial" w:cs="Times New Roman" w:hint="default"/>
        <w:b/>
      </w:rPr>
      <w:tblPr/>
      <w:tcPr>
        <w:shd w:val="clear" w:color="auto" w:fill="5271FF" w:themeFill="text2"/>
      </w:tcPr>
    </w:tblStylePr>
    <w:tblStylePr w:type="lastRow">
      <w:rPr>
        <w:rFonts w:ascii="Arial" w:hAnsi="Arial" w:cs="Times New Roman" w:hint="default"/>
      </w:rPr>
      <w:tblPr/>
      <w:tcPr>
        <w:shd w:val="clear" w:color="auto" w:fill="5271FF" w:themeFill="text2"/>
      </w:tcPr>
    </w:tblStylePr>
    <w:tblStylePr w:type="firstCol">
      <w:rPr>
        <w:rFonts w:ascii="Arial" w:hAnsi="Arial" w:cs="Times New Roman" w:hint="default"/>
      </w:rPr>
      <w:tblPr/>
      <w:tcPr>
        <w:tcBorders>
          <w:insideH w:val="single" w:sz="4" w:space="0" w:color="FFFFFF" w:themeColor="background1"/>
        </w:tcBorders>
        <w:shd w:val="clear" w:color="auto" w:fill="5271FF" w:themeFill="text2"/>
      </w:tcPr>
    </w:tblStylePr>
    <w:tblStylePr w:type="lastCol">
      <w:rPr>
        <w:rFonts w:ascii="Arial" w:hAnsi="Arial" w:cs="Times New Roman" w:hint="default"/>
      </w:rPr>
      <w:tblPr/>
      <w:tcPr>
        <w:shd w:val="clear" w:color="auto" w:fill="BFBFBF" w:themeFill="background1" w:themeFillShade="BF"/>
      </w:tcPr>
    </w:tblStylePr>
    <w:tblStylePr w:type="band1Vert">
      <w:rPr>
        <w:rFonts w:ascii="Arial" w:hAnsi="Arial" w:cs="Times New Roman" w:hint="default"/>
      </w:rPr>
      <w:tblPr/>
      <w:tcPr>
        <w:shd w:val="clear" w:color="auto" w:fill="E7E6E6" w:themeFill="background2"/>
      </w:tcPr>
    </w:tblStylePr>
    <w:tblStylePr w:type="band2Vert">
      <w:rPr>
        <w:rFonts w:ascii="Arial" w:hAnsi="Arial" w:cs="Times New Roman" w:hint="default"/>
      </w:rPr>
      <w:tblPr/>
      <w:tcPr>
        <w:shd w:val="clear" w:color="auto" w:fill="FFFFFF" w:themeFill="background1"/>
      </w:tcPr>
    </w:tblStylePr>
    <w:tblStylePr w:type="band1Horz">
      <w:rPr>
        <w:rFonts w:ascii="Arial" w:hAnsi="Arial" w:cs="Times New Roman" w:hint="default"/>
      </w:rPr>
      <w:tblPr/>
      <w:tcPr>
        <w:shd w:val="clear" w:color="auto" w:fill="E7E6E6" w:themeFill="background2"/>
      </w:tcPr>
    </w:tblStylePr>
    <w:tblStylePr w:type="band2Horz">
      <w:rPr>
        <w:rFonts w:ascii="Arial" w:hAnsi="Arial" w:cs="Times New Roman" w:hint="default"/>
        <w:color w:val="auto"/>
      </w:rPr>
      <w:tblPr/>
      <w:tcPr>
        <w:shd w:val="clear" w:color="auto" w:fill="FFFFFF" w:themeFill="background1"/>
      </w:tcPr>
    </w:tblStylePr>
  </w:style>
  <w:style w:type="table" w:customStyle="1" w:styleId="GridTable1Light-Accent21">
    <w:name w:val="Grid Table 1 Light - Accent 21"/>
    <w:basedOn w:val="TableNormal"/>
    <w:uiPriority w:val="46"/>
    <w:rsid w:val="00FC5A72"/>
    <w:pPr>
      <w:spacing w:after="0" w:line="240" w:lineRule="auto"/>
    </w:pPr>
    <w:rPr>
      <w:rFonts w:ascii="Arial" w:eastAsia="Times New Roman" w:hAnsi="Arial" w:cs="Times New Roman"/>
      <w:lang w:val="en-US"/>
    </w:rPr>
    <w:tblPr>
      <w:tblStyleRowBandSize w:val="1"/>
      <w:tblStyleColBandSize w:val="1"/>
      <w:tblInd w:w="0" w:type="nil"/>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ascii="Arial" w:hAnsi="Arial" w:cs="Times New Roman" w:hint="default"/>
        <w:b/>
        <w:bCs/>
      </w:rPr>
      <w:tblPr/>
      <w:tcPr>
        <w:tcBorders>
          <w:bottom w:val="single" w:sz="12" w:space="0" w:color="78D1CE"/>
        </w:tcBorders>
      </w:tcPr>
    </w:tblStylePr>
    <w:tblStylePr w:type="lastRow">
      <w:rPr>
        <w:rFonts w:ascii="Arial" w:hAnsi="Arial" w:cs="Times New Roman" w:hint="default"/>
        <w:b/>
        <w:bCs/>
      </w:rPr>
      <w:tblPr/>
      <w:tcPr>
        <w:tcBorders>
          <w:top w:val="double" w:sz="2" w:space="0" w:color="78D1CE"/>
        </w:tcBorders>
      </w:tcPr>
    </w:tblStylePr>
    <w:tblStylePr w:type="firstCol">
      <w:rPr>
        <w:rFonts w:ascii="Arial" w:hAnsi="Arial" w:cs="Times New Roman" w:hint="default"/>
        <w:b/>
        <w:bCs/>
      </w:rPr>
    </w:tblStylePr>
    <w:tblStylePr w:type="lastCol">
      <w:rPr>
        <w:rFonts w:ascii="Arial" w:hAnsi="Arial" w:cs="Times New Roman" w:hint="default"/>
        <w:b/>
        <w:bCs/>
      </w:rPr>
    </w:tblStylePr>
  </w:style>
  <w:style w:type="table" w:customStyle="1" w:styleId="GridTable1Light-Accent22">
    <w:name w:val="Grid Table 1 Light - Accent 22"/>
    <w:basedOn w:val="TableNormal"/>
    <w:uiPriority w:val="46"/>
    <w:rsid w:val="00FC5A72"/>
    <w:pPr>
      <w:spacing w:after="0" w:line="240" w:lineRule="auto"/>
    </w:pPr>
    <w:rPr>
      <w:rFonts w:ascii="Arial" w:eastAsia="Times New Roman" w:hAnsi="Arial" w:cs="Times New Roman"/>
      <w:lang w:val="en-US"/>
    </w:rPr>
    <w:tblPr>
      <w:tblStyleRowBandSize w:val="1"/>
      <w:tblStyleColBandSize w:val="1"/>
      <w:tblInd w:w="0" w:type="nil"/>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ascii="Arial" w:hAnsi="Arial" w:cs="Times New Roman" w:hint="default"/>
        <w:b/>
        <w:bCs/>
      </w:rPr>
      <w:tblPr/>
      <w:tcPr>
        <w:tcBorders>
          <w:bottom w:val="single" w:sz="12" w:space="0" w:color="78D1CE"/>
        </w:tcBorders>
      </w:tcPr>
    </w:tblStylePr>
    <w:tblStylePr w:type="lastRow">
      <w:rPr>
        <w:rFonts w:ascii="Arial" w:hAnsi="Arial" w:cs="Times New Roman" w:hint="default"/>
        <w:b/>
        <w:bCs/>
      </w:rPr>
      <w:tblPr/>
      <w:tcPr>
        <w:tcBorders>
          <w:top w:val="double" w:sz="2" w:space="0" w:color="78D1CE"/>
        </w:tcBorders>
      </w:tcPr>
    </w:tblStylePr>
    <w:tblStylePr w:type="firstCol">
      <w:rPr>
        <w:rFonts w:ascii="Arial" w:hAnsi="Arial" w:cs="Times New Roman" w:hint="default"/>
        <w:b/>
        <w:bCs/>
      </w:rPr>
    </w:tblStylePr>
    <w:tblStylePr w:type="lastCol">
      <w:rPr>
        <w:rFonts w:ascii="Arial" w:hAnsi="Arial" w:cs="Times New Roman" w:hint="default"/>
        <w:b/>
        <w:bCs/>
      </w:rPr>
    </w:tblStylePr>
  </w:style>
  <w:style w:type="table" w:customStyle="1" w:styleId="GridTable1Light-Accent23">
    <w:name w:val="Grid Table 1 Light - Accent 23"/>
    <w:basedOn w:val="TableNormal"/>
    <w:uiPriority w:val="46"/>
    <w:rsid w:val="00FC5A72"/>
    <w:pPr>
      <w:spacing w:after="0" w:line="240" w:lineRule="auto"/>
    </w:pPr>
    <w:rPr>
      <w:rFonts w:ascii="Arial" w:eastAsia="Times New Roman" w:hAnsi="Arial" w:cs="Times New Roman"/>
      <w:lang w:val="en-US"/>
    </w:rPr>
    <w:tblPr>
      <w:tblStyleRowBandSize w:val="1"/>
      <w:tblStyleColBandSize w:val="1"/>
      <w:tblInd w:w="0" w:type="nil"/>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ascii="Arial" w:hAnsi="Arial" w:cs="Times New Roman" w:hint="default"/>
        <w:b/>
        <w:bCs/>
      </w:rPr>
      <w:tblPr/>
      <w:tcPr>
        <w:tcBorders>
          <w:bottom w:val="single" w:sz="12" w:space="0" w:color="78D1CE"/>
        </w:tcBorders>
      </w:tcPr>
    </w:tblStylePr>
    <w:tblStylePr w:type="lastRow">
      <w:rPr>
        <w:rFonts w:ascii="Arial" w:hAnsi="Arial" w:cs="Times New Roman" w:hint="default"/>
        <w:b/>
        <w:bCs/>
      </w:rPr>
      <w:tblPr/>
      <w:tcPr>
        <w:tcBorders>
          <w:top w:val="double" w:sz="2" w:space="0" w:color="78D1CE"/>
        </w:tcBorders>
      </w:tcPr>
    </w:tblStylePr>
    <w:tblStylePr w:type="firstCol">
      <w:rPr>
        <w:rFonts w:ascii="Arial" w:hAnsi="Arial" w:cs="Times New Roman" w:hint="default"/>
        <w:b/>
        <w:bCs/>
      </w:rPr>
    </w:tblStylePr>
    <w:tblStylePr w:type="lastCol">
      <w:rPr>
        <w:rFonts w:ascii="Arial" w:hAnsi="Arial" w:cs="Times New Roman" w:hint="default"/>
        <w:b/>
        <w:bCs/>
      </w:rPr>
    </w:tblStylePr>
  </w:style>
  <w:style w:type="table" w:customStyle="1" w:styleId="GridTable1Light-Accent24">
    <w:name w:val="Grid Table 1 Light - Accent 24"/>
    <w:basedOn w:val="TableNormal"/>
    <w:uiPriority w:val="46"/>
    <w:rsid w:val="00FC5A72"/>
    <w:pPr>
      <w:spacing w:after="0" w:line="240" w:lineRule="auto"/>
    </w:pPr>
    <w:rPr>
      <w:rFonts w:ascii="Arial" w:eastAsia="Times New Roman" w:hAnsi="Arial" w:cs="Times New Roman"/>
      <w:lang w:val="en-US"/>
    </w:rPr>
    <w:tblPr>
      <w:tblStyleRowBandSize w:val="1"/>
      <w:tblStyleColBandSize w:val="1"/>
      <w:tblInd w:w="0" w:type="nil"/>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ascii="Arial" w:hAnsi="Arial" w:cs="Times New Roman" w:hint="default"/>
        <w:b/>
        <w:bCs/>
      </w:rPr>
      <w:tblPr/>
      <w:tcPr>
        <w:tcBorders>
          <w:bottom w:val="single" w:sz="12" w:space="0" w:color="78D1CE"/>
        </w:tcBorders>
      </w:tcPr>
    </w:tblStylePr>
    <w:tblStylePr w:type="lastRow">
      <w:rPr>
        <w:rFonts w:ascii="Arial" w:hAnsi="Arial" w:cs="Times New Roman" w:hint="default"/>
        <w:b/>
        <w:bCs/>
      </w:rPr>
      <w:tblPr/>
      <w:tcPr>
        <w:tcBorders>
          <w:top w:val="double" w:sz="2" w:space="0" w:color="78D1CE"/>
        </w:tcBorders>
      </w:tcPr>
    </w:tblStylePr>
    <w:tblStylePr w:type="firstCol">
      <w:rPr>
        <w:rFonts w:ascii="Arial" w:hAnsi="Arial" w:cs="Times New Roman" w:hint="default"/>
        <w:b/>
        <w:bCs/>
      </w:rPr>
    </w:tblStylePr>
    <w:tblStylePr w:type="lastCol">
      <w:rPr>
        <w:rFonts w:ascii="Arial" w:hAnsi="Arial" w:cs="Times New Roman" w:hint="default"/>
        <w:b/>
        <w:bCs/>
      </w:rPr>
    </w:tblStylePr>
  </w:style>
  <w:style w:type="table" w:customStyle="1" w:styleId="GridTable1Light-Accent25">
    <w:name w:val="Grid Table 1 Light - Accent 25"/>
    <w:basedOn w:val="TableNormal"/>
    <w:uiPriority w:val="46"/>
    <w:rsid w:val="00FC5A72"/>
    <w:pPr>
      <w:spacing w:after="0" w:line="240" w:lineRule="auto"/>
    </w:pPr>
    <w:rPr>
      <w:rFonts w:ascii="Arial" w:eastAsia="Times New Roman" w:hAnsi="Arial" w:cs="Times New Roman"/>
      <w:lang w:val="en-US"/>
    </w:rPr>
    <w:tblPr>
      <w:tblStyleRowBandSize w:val="1"/>
      <w:tblStyleColBandSize w:val="1"/>
      <w:tblInd w:w="0" w:type="nil"/>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ascii="Arial" w:hAnsi="Arial" w:cs="Times New Roman" w:hint="default"/>
        <w:b/>
        <w:bCs/>
      </w:rPr>
      <w:tblPr/>
      <w:tcPr>
        <w:tcBorders>
          <w:bottom w:val="single" w:sz="12" w:space="0" w:color="78D1CE"/>
        </w:tcBorders>
      </w:tcPr>
    </w:tblStylePr>
    <w:tblStylePr w:type="lastRow">
      <w:rPr>
        <w:rFonts w:ascii="Arial" w:hAnsi="Arial" w:cs="Times New Roman" w:hint="default"/>
        <w:b/>
        <w:bCs/>
      </w:rPr>
      <w:tblPr/>
      <w:tcPr>
        <w:tcBorders>
          <w:top w:val="double" w:sz="2" w:space="0" w:color="78D1CE"/>
        </w:tcBorders>
      </w:tcPr>
    </w:tblStylePr>
    <w:tblStylePr w:type="firstCol">
      <w:rPr>
        <w:rFonts w:ascii="Arial" w:hAnsi="Arial" w:cs="Times New Roman" w:hint="default"/>
        <w:b/>
        <w:bCs/>
      </w:rPr>
    </w:tblStylePr>
    <w:tblStylePr w:type="lastCol">
      <w:rPr>
        <w:rFonts w:ascii="Arial" w:hAnsi="Arial" w:cs="Times New Roman" w:hint="default"/>
        <w:b/>
        <w:bCs/>
      </w:rPr>
    </w:tblStylePr>
  </w:style>
  <w:style w:type="table" w:customStyle="1" w:styleId="GridTable1Light-Accent26">
    <w:name w:val="Grid Table 1 Light - Accent 26"/>
    <w:basedOn w:val="TableNormal"/>
    <w:uiPriority w:val="46"/>
    <w:rsid w:val="00FC5A72"/>
    <w:pPr>
      <w:spacing w:after="0" w:line="240" w:lineRule="auto"/>
    </w:pPr>
    <w:rPr>
      <w:rFonts w:ascii="Arial" w:eastAsia="Times New Roman" w:hAnsi="Arial" w:cs="Times New Roman"/>
      <w:lang w:val="en-US"/>
    </w:rPr>
    <w:tblPr>
      <w:tblStyleRowBandSize w:val="1"/>
      <w:tblStyleColBandSize w:val="1"/>
      <w:tblInd w:w="0" w:type="nil"/>
      <w:tblBorders>
        <w:top w:val="single" w:sz="4" w:space="0" w:color="A5E0DE"/>
        <w:left w:val="single" w:sz="4" w:space="0" w:color="A5E0DE"/>
        <w:bottom w:val="single" w:sz="4" w:space="0" w:color="A5E0DE"/>
        <w:right w:val="single" w:sz="4" w:space="0" w:color="A5E0DE"/>
        <w:insideH w:val="single" w:sz="4" w:space="0" w:color="A5E0DE"/>
        <w:insideV w:val="single" w:sz="4" w:space="0" w:color="A5E0DE"/>
      </w:tblBorders>
    </w:tblPr>
    <w:tblStylePr w:type="firstRow">
      <w:rPr>
        <w:rFonts w:ascii="Arial" w:hAnsi="Arial" w:cs="Times New Roman" w:hint="default"/>
        <w:b/>
        <w:bCs/>
      </w:rPr>
      <w:tblPr/>
      <w:tcPr>
        <w:tcBorders>
          <w:bottom w:val="single" w:sz="12" w:space="0" w:color="78D1CE"/>
        </w:tcBorders>
      </w:tcPr>
    </w:tblStylePr>
    <w:tblStylePr w:type="lastRow">
      <w:rPr>
        <w:rFonts w:ascii="Arial" w:hAnsi="Arial" w:cs="Times New Roman" w:hint="default"/>
        <w:b/>
        <w:bCs/>
      </w:rPr>
      <w:tblPr/>
      <w:tcPr>
        <w:tcBorders>
          <w:top w:val="double" w:sz="2" w:space="0" w:color="78D1CE"/>
        </w:tcBorders>
      </w:tcPr>
    </w:tblStylePr>
    <w:tblStylePr w:type="firstCol">
      <w:rPr>
        <w:rFonts w:ascii="Arial" w:hAnsi="Arial" w:cs="Times New Roman" w:hint="default"/>
        <w:b/>
        <w:bCs/>
      </w:rPr>
    </w:tblStylePr>
    <w:tblStylePr w:type="lastCol">
      <w:rPr>
        <w:rFonts w:ascii="Arial" w:hAnsi="Arial" w:cs="Times New Roman" w:hint="default"/>
        <w:b/>
        <w:bCs/>
      </w:rPr>
    </w:tblStylePr>
  </w:style>
  <w:style w:type="numbering" w:customStyle="1" w:styleId="FigureTitles">
    <w:name w:val="Figure Titles"/>
    <w:rsid w:val="00FC5A72"/>
  </w:style>
  <w:style w:type="numbering" w:customStyle="1" w:styleId="HeadingsList">
    <w:name w:val="Headings List"/>
    <w:rsid w:val="00FC5A72"/>
    <w:pPr>
      <w:numPr>
        <w:numId w:val="13"/>
      </w:numPr>
    </w:pPr>
  </w:style>
  <w:style w:type="numbering" w:customStyle="1" w:styleId="Numberedlist">
    <w:name w:val="Numbered list"/>
    <w:rsid w:val="00FC5A72"/>
    <w:pPr>
      <w:numPr>
        <w:numId w:val="19"/>
      </w:numPr>
    </w:pPr>
  </w:style>
  <w:style w:type="numbering" w:customStyle="1" w:styleId="BulletList">
    <w:name w:val="Bullet List"/>
    <w:uiPriority w:val="99"/>
    <w:rsid w:val="00FC5A72"/>
    <w:pPr>
      <w:numPr>
        <w:numId w:val="18"/>
      </w:numPr>
    </w:pPr>
  </w:style>
  <w:style w:type="numbering" w:customStyle="1" w:styleId="TableHeadingNumbers">
    <w:name w:val="Table Heading Numbers"/>
    <w:rsid w:val="00FC5A72"/>
    <w:pPr>
      <w:numPr>
        <w:numId w:val="20"/>
      </w:numPr>
    </w:pPr>
  </w:style>
  <w:style w:type="numbering" w:customStyle="1" w:styleId="BulletsList">
    <w:name w:val="Bullets List"/>
    <w:rsid w:val="00FC5A72"/>
    <w:pPr>
      <w:numPr>
        <w:numId w:val="21"/>
      </w:numPr>
    </w:pPr>
  </w:style>
  <w:style w:type="numbering" w:customStyle="1" w:styleId="CCDbulletpoints">
    <w:name w:val="CCD bullet points"/>
    <w:uiPriority w:val="99"/>
    <w:rsid w:val="00FC5A72"/>
    <w:pPr>
      <w:numPr>
        <w:numId w:val="22"/>
      </w:numPr>
    </w:pPr>
  </w:style>
  <w:style w:type="paragraph" w:customStyle="1" w:styleId="notesundertables">
    <w:name w:val="notes under tables"/>
    <w:basedOn w:val="BodyText1"/>
    <w:link w:val="notesundertablesChar"/>
    <w:uiPriority w:val="99"/>
    <w:qFormat/>
    <w:rsid w:val="00BE751E"/>
    <w:rPr>
      <w:sz w:val="20"/>
      <w:szCs w:val="20"/>
    </w:rPr>
  </w:style>
  <w:style w:type="character" w:customStyle="1" w:styleId="BodyText1Char">
    <w:name w:val="Body Text 1 Char"/>
    <w:basedOn w:val="DefaultParagraphFont"/>
    <w:link w:val="BodyText1"/>
    <w:uiPriority w:val="2"/>
    <w:rsid w:val="00BE751E"/>
  </w:style>
  <w:style w:type="character" w:customStyle="1" w:styleId="notesundertablesChar">
    <w:name w:val="notes under tables Char"/>
    <w:basedOn w:val="BodyText1Char"/>
    <w:link w:val="notesundertables"/>
    <w:uiPriority w:val="99"/>
    <w:rsid w:val="00BE751E"/>
    <w:rPr>
      <w:sz w:val="20"/>
      <w:szCs w:val="20"/>
    </w:rPr>
  </w:style>
  <w:style w:type="paragraph" w:customStyle="1" w:styleId="Notebullets1">
    <w:name w:val="Note bullets 1"/>
    <w:basedOn w:val="Bodybullet1"/>
    <w:link w:val="Notebullets1Char"/>
    <w:uiPriority w:val="99"/>
    <w:qFormat/>
    <w:rsid w:val="009A762D"/>
    <w:rPr>
      <w:sz w:val="20"/>
      <w:szCs w:val="20"/>
    </w:rPr>
  </w:style>
  <w:style w:type="character" w:customStyle="1" w:styleId="Bodybullet1Char">
    <w:name w:val="Body bullet 1 Char"/>
    <w:basedOn w:val="DefaultParagraphFont"/>
    <w:link w:val="Bodybullet1"/>
    <w:uiPriority w:val="2"/>
    <w:rsid w:val="009A762D"/>
  </w:style>
  <w:style w:type="character" w:customStyle="1" w:styleId="Notebullets1Char">
    <w:name w:val="Note bullets 1 Char"/>
    <w:basedOn w:val="Bodybullet1Char"/>
    <w:link w:val="Notebullets1"/>
    <w:uiPriority w:val="99"/>
    <w:rsid w:val="009A762D"/>
    <w:rPr>
      <w:sz w:val="20"/>
      <w:szCs w:val="20"/>
    </w:rPr>
  </w:style>
  <w:style w:type="paragraph" w:customStyle="1" w:styleId="notebullet2">
    <w:name w:val="note bullet 2"/>
    <w:basedOn w:val="Bullet2ndlevel"/>
    <w:link w:val="notebullet2Char"/>
    <w:uiPriority w:val="99"/>
    <w:qFormat/>
    <w:rsid w:val="009A762D"/>
    <w:rPr>
      <w:sz w:val="20"/>
      <w:szCs w:val="20"/>
    </w:rPr>
  </w:style>
  <w:style w:type="character" w:customStyle="1" w:styleId="Bullet2ndlevelChar">
    <w:name w:val="Bullet 2nd level Char"/>
    <w:basedOn w:val="DefaultParagraphFont"/>
    <w:link w:val="Bullet2ndlevel"/>
    <w:uiPriority w:val="2"/>
    <w:rsid w:val="009A762D"/>
    <w:rPr>
      <w:rFonts w:cs="Arial"/>
    </w:rPr>
  </w:style>
  <w:style w:type="character" w:customStyle="1" w:styleId="notebullet2Char">
    <w:name w:val="note bullet 2 Char"/>
    <w:basedOn w:val="Bullet2ndlevelChar"/>
    <w:link w:val="notebullet2"/>
    <w:uiPriority w:val="99"/>
    <w:rsid w:val="009A762D"/>
    <w:rPr>
      <w:rFonts w:cs="Arial"/>
      <w:sz w:val="20"/>
      <w:szCs w:val="20"/>
    </w:rPr>
  </w:style>
  <w:style w:type="character" w:styleId="Mention">
    <w:name w:val="Mention"/>
    <w:basedOn w:val="DefaultParagraphFont"/>
    <w:uiPriority w:val="99"/>
    <w:unhideWhenUsed/>
    <w:rsid w:val="004F6968"/>
    <w:rPr>
      <w:color w:val="2B579A"/>
      <w:shd w:val="clear" w:color="auto" w:fill="E1DFDD"/>
    </w:rPr>
  </w:style>
  <w:style w:type="table" w:styleId="ListTable4-Accent4">
    <w:name w:val="List Table 4 Accent 4"/>
    <w:basedOn w:val="TableNormal"/>
    <w:uiPriority w:val="49"/>
    <w:rsid w:val="004360BC"/>
    <w:pPr>
      <w:spacing w:after="0" w:line="240" w:lineRule="auto"/>
    </w:pPr>
    <w:tblPr>
      <w:tblStyleRowBandSize w:val="1"/>
      <w:tblStyleColBandSize w:val="1"/>
      <w:tblBorders>
        <w:top w:val="single" w:sz="4" w:space="0" w:color="60D7FF" w:themeColor="accent4" w:themeTint="99"/>
        <w:left w:val="single" w:sz="4" w:space="0" w:color="60D7FF" w:themeColor="accent4" w:themeTint="99"/>
        <w:bottom w:val="single" w:sz="4" w:space="0" w:color="60D7FF" w:themeColor="accent4" w:themeTint="99"/>
        <w:right w:val="single" w:sz="4" w:space="0" w:color="60D7FF" w:themeColor="accent4" w:themeTint="99"/>
        <w:insideH w:val="single" w:sz="4" w:space="0" w:color="60D7FF" w:themeColor="accent4" w:themeTint="99"/>
      </w:tblBorders>
    </w:tblPr>
    <w:tblStylePr w:type="firstRow">
      <w:rPr>
        <w:b/>
        <w:bCs/>
        <w:color w:val="FFFFFF" w:themeColor="background1"/>
      </w:rPr>
      <w:tblPr/>
      <w:tcPr>
        <w:tcBorders>
          <w:top w:val="single" w:sz="4" w:space="0" w:color="00B8F5" w:themeColor="accent4"/>
          <w:left w:val="single" w:sz="4" w:space="0" w:color="00B8F5" w:themeColor="accent4"/>
          <w:bottom w:val="single" w:sz="4" w:space="0" w:color="00B8F5" w:themeColor="accent4"/>
          <w:right w:val="single" w:sz="4" w:space="0" w:color="00B8F5" w:themeColor="accent4"/>
          <w:insideH w:val="nil"/>
        </w:tcBorders>
        <w:shd w:val="clear" w:color="auto" w:fill="00B8F5" w:themeFill="accent4"/>
      </w:tcPr>
    </w:tblStylePr>
    <w:tblStylePr w:type="lastRow">
      <w:rPr>
        <w:b/>
        <w:bCs/>
      </w:rPr>
      <w:tblPr/>
      <w:tcPr>
        <w:tcBorders>
          <w:top w:val="double" w:sz="4" w:space="0" w:color="60D7FF" w:themeColor="accent4" w:themeTint="99"/>
        </w:tcBorders>
      </w:tcPr>
    </w:tblStylePr>
    <w:tblStylePr w:type="firstCol">
      <w:rPr>
        <w:b/>
        <w:bCs/>
      </w:rPr>
    </w:tblStylePr>
    <w:tblStylePr w:type="lastCol">
      <w:rPr>
        <w:b/>
        <w:bCs/>
      </w:rPr>
    </w:tblStylePr>
    <w:tblStylePr w:type="band1Vert">
      <w:tblPr/>
      <w:tcPr>
        <w:shd w:val="clear" w:color="auto" w:fill="CAF1FF" w:themeFill="accent4" w:themeFillTint="33"/>
      </w:tcPr>
    </w:tblStylePr>
    <w:tblStylePr w:type="band1Horz">
      <w:tblPr/>
      <w:tcPr>
        <w:shd w:val="clear" w:color="auto" w:fill="CAF1FF" w:themeFill="accent4" w:themeFillTint="33"/>
      </w:tcPr>
    </w:tblStylePr>
  </w:style>
  <w:style w:type="table" w:styleId="ListTable3-Accent2">
    <w:name w:val="List Table 3 Accent 2"/>
    <w:basedOn w:val="TableNormal"/>
    <w:uiPriority w:val="48"/>
    <w:rsid w:val="001E60D6"/>
    <w:pPr>
      <w:spacing w:after="0" w:line="240" w:lineRule="auto"/>
    </w:pPr>
    <w:tblPr>
      <w:tblStyleRowBandSize w:val="1"/>
      <w:tblStyleColBandSize w:val="1"/>
      <w:tblBorders>
        <w:top w:val="single" w:sz="4" w:space="0" w:color="359D9A" w:themeColor="accent2"/>
        <w:left w:val="single" w:sz="4" w:space="0" w:color="359D9A" w:themeColor="accent2"/>
        <w:bottom w:val="single" w:sz="4" w:space="0" w:color="359D9A" w:themeColor="accent2"/>
        <w:right w:val="single" w:sz="4" w:space="0" w:color="359D9A" w:themeColor="accent2"/>
      </w:tblBorders>
    </w:tblPr>
    <w:tblStylePr w:type="firstRow">
      <w:rPr>
        <w:b/>
        <w:bCs/>
        <w:color w:val="FFFFFF" w:themeColor="background1"/>
      </w:rPr>
      <w:tblPr/>
      <w:tcPr>
        <w:shd w:val="clear" w:color="auto" w:fill="359D9A" w:themeFill="accent2"/>
      </w:tcPr>
    </w:tblStylePr>
    <w:tblStylePr w:type="lastRow">
      <w:rPr>
        <w:b/>
        <w:bCs/>
      </w:rPr>
      <w:tblPr/>
      <w:tcPr>
        <w:tcBorders>
          <w:top w:val="double" w:sz="4" w:space="0" w:color="359D9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D9A" w:themeColor="accent2"/>
          <w:right w:val="single" w:sz="4" w:space="0" w:color="359D9A" w:themeColor="accent2"/>
        </w:tcBorders>
      </w:tcPr>
    </w:tblStylePr>
    <w:tblStylePr w:type="band1Horz">
      <w:tblPr/>
      <w:tcPr>
        <w:tcBorders>
          <w:top w:val="single" w:sz="4" w:space="0" w:color="359D9A" w:themeColor="accent2"/>
          <w:bottom w:val="single" w:sz="4" w:space="0" w:color="359D9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D9A" w:themeColor="accent2"/>
          <w:left w:val="nil"/>
        </w:tcBorders>
      </w:tcPr>
    </w:tblStylePr>
    <w:tblStylePr w:type="swCell">
      <w:tblPr/>
      <w:tcPr>
        <w:tcBorders>
          <w:top w:val="double" w:sz="4" w:space="0" w:color="359D9A" w:themeColor="accent2"/>
          <w:right w:val="nil"/>
        </w:tcBorders>
      </w:tcPr>
    </w:tblStylePr>
  </w:style>
  <w:style w:type="table" w:styleId="ListTable4-Accent5">
    <w:name w:val="List Table 4 Accent 5"/>
    <w:basedOn w:val="TableNormal"/>
    <w:uiPriority w:val="49"/>
    <w:rsid w:val="005E1E93"/>
    <w:pPr>
      <w:spacing w:after="0" w:line="240" w:lineRule="auto"/>
    </w:pPr>
    <w:tblPr>
      <w:tblStyleRowBandSize w:val="1"/>
      <w:tblStyleColBandSize w:val="1"/>
      <w:tblBorders>
        <w:top w:val="single" w:sz="4" w:space="0" w:color="BCD4FE" w:themeColor="accent5" w:themeTint="99"/>
        <w:left w:val="single" w:sz="4" w:space="0" w:color="BCD4FE" w:themeColor="accent5" w:themeTint="99"/>
        <w:bottom w:val="single" w:sz="4" w:space="0" w:color="BCD4FE" w:themeColor="accent5" w:themeTint="99"/>
        <w:right w:val="single" w:sz="4" w:space="0" w:color="BCD4FE" w:themeColor="accent5" w:themeTint="99"/>
        <w:insideH w:val="single" w:sz="4" w:space="0" w:color="BCD4FE" w:themeColor="accent5" w:themeTint="99"/>
      </w:tblBorders>
    </w:tblPr>
    <w:tblStylePr w:type="firstRow">
      <w:rPr>
        <w:b/>
        <w:bCs/>
        <w:color w:val="FFFFFF" w:themeColor="background1"/>
      </w:rPr>
      <w:tblPr/>
      <w:tcPr>
        <w:tcBorders>
          <w:top w:val="single" w:sz="4" w:space="0" w:color="91B8FE" w:themeColor="accent5"/>
          <w:left w:val="single" w:sz="4" w:space="0" w:color="91B8FE" w:themeColor="accent5"/>
          <w:bottom w:val="single" w:sz="4" w:space="0" w:color="91B8FE" w:themeColor="accent5"/>
          <w:right w:val="single" w:sz="4" w:space="0" w:color="91B8FE" w:themeColor="accent5"/>
          <w:insideH w:val="nil"/>
        </w:tcBorders>
        <w:shd w:val="clear" w:color="auto" w:fill="91B8FE" w:themeFill="accent5"/>
      </w:tcPr>
    </w:tblStylePr>
    <w:tblStylePr w:type="lastRow">
      <w:rPr>
        <w:b/>
        <w:bCs/>
      </w:rPr>
      <w:tblPr/>
      <w:tcPr>
        <w:tcBorders>
          <w:top w:val="double" w:sz="4" w:space="0" w:color="BCD4FE" w:themeColor="accent5" w:themeTint="99"/>
        </w:tcBorders>
      </w:tcPr>
    </w:tblStylePr>
    <w:tblStylePr w:type="firstCol">
      <w:rPr>
        <w:b/>
        <w:bCs/>
      </w:rPr>
    </w:tblStylePr>
    <w:tblStylePr w:type="lastCol">
      <w:rPr>
        <w:b/>
        <w:bCs/>
      </w:rPr>
    </w:tblStylePr>
    <w:tblStylePr w:type="band1Vert">
      <w:tblPr/>
      <w:tcPr>
        <w:shd w:val="clear" w:color="auto" w:fill="E8F0FE" w:themeFill="accent5" w:themeFillTint="33"/>
      </w:tcPr>
    </w:tblStylePr>
    <w:tblStylePr w:type="band1Horz">
      <w:tblPr/>
      <w:tcPr>
        <w:shd w:val="clear" w:color="auto" w:fill="E8F0FE" w:themeFill="accent5" w:themeFillTint="33"/>
      </w:tcPr>
    </w:tblStylePr>
  </w:style>
  <w:style w:type="paragraph" w:customStyle="1" w:styleId="Notehyperlink">
    <w:name w:val="Note hyperlink"/>
    <w:basedOn w:val="Notebullets1"/>
    <w:link w:val="NotehyperlinkChar"/>
    <w:uiPriority w:val="99"/>
    <w:qFormat/>
    <w:rsid w:val="00475981"/>
    <w:rPr>
      <w:color w:val="5271FF" w:themeColor="text2"/>
    </w:rPr>
  </w:style>
  <w:style w:type="character" w:customStyle="1" w:styleId="NotehyperlinkChar">
    <w:name w:val="Note hyperlink Char"/>
    <w:basedOn w:val="Notebullets1Char"/>
    <w:link w:val="Notehyperlink"/>
    <w:uiPriority w:val="99"/>
    <w:rsid w:val="00475981"/>
    <w:rPr>
      <w:color w:val="5271FF" w:themeColor="text2"/>
      <w:sz w:val="20"/>
      <w:szCs w:val="20"/>
    </w:rPr>
  </w:style>
  <w:style w:type="table" w:styleId="ListTable5Dark-Accent5">
    <w:name w:val="List Table 5 Dark Accent 5"/>
    <w:basedOn w:val="TableNormal"/>
    <w:uiPriority w:val="50"/>
    <w:rsid w:val="001A1A27"/>
    <w:pPr>
      <w:spacing w:after="0" w:line="240" w:lineRule="auto"/>
    </w:pPr>
    <w:rPr>
      <w:color w:val="FFFFFF" w:themeColor="background1"/>
    </w:rPr>
    <w:tblPr>
      <w:tblStyleRowBandSize w:val="1"/>
      <w:tblStyleColBandSize w:val="1"/>
      <w:tblBorders>
        <w:top w:val="single" w:sz="24" w:space="0" w:color="91B8FE" w:themeColor="accent5"/>
        <w:left w:val="single" w:sz="24" w:space="0" w:color="91B8FE" w:themeColor="accent5"/>
        <w:bottom w:val="single" w:sz="24" w:space="0" w:color="91B8FE" w:themeColor="accent5"/>
        <w:right w:val="single" w:sz="24" w:space="0" w:color="91B8FE" w:themeColor="accent5"/>
      </w:tblBorders>
    </w:tblPr>
    <w:tcPr>
      <w:shd w:val="clear" w:color="auto" w:fill="91B8F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scxp27474151">
    <w:name w:val="scxp27474151"/>
    <w:basedOn w:val="DefaultParagraphFont"/>
    <w:rsid w:val="00C86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9352">
      <w:bodyDiv w:val="1"/>
      <w:marLeft w:val="0"/>
      <w:marRight w:val="0"/>
      <w:marTop w:val="0"/>
      <w:marBottom w:val="0"/>
      <w:divBdr>
        <w:top w:val="none" w:sz="0" w:space="0" w:color="auto"/>
        <w:left w:val="none" w:sz="0" w:space="0" w:color="auto"/>
        <w:bottom w:val="none" w:sz="0" w:space="0" w:color="auto"/>
        <w:right w:val="none" w:sz="0" w:space="0" w:color="auto"/>
      </w:divBdr>
      <w:divsChild>
        <w:div w:id="942424023">
          <w:marLeft w:val="0"/>
          <w:marRight w:val="0"/>
          <w:marTop w:val="0"/>
          <w:marBottom w:val="0"/>
          <w:divBdr>
            <w:top w:val="none" w:sz="0" w:space="0" w:color="auto"/>
            <w:left w:val="none" w:sz="0" w:space="0" w:color="auto"/>
            <w:bottom w:val="none" w:sz="0" w:space="0" w:color="auto"/>
            <w:right w:val="none" w:sz="0" w:space="0" w:color="auto"/>
          </w:divBdr>
        </w:div>
        <w:div w:id="1046567115">
          <w:marLeft w:val="0"/>
          <w:marRight w:val="0"/>
          <w:marTop w:val="0"/>
          <w:marBottom w:val="0"/>
          <w:divBdr>
            <w:top w:val="none" w:sz="0" w:space="0" w:color="auto"/>
            <w:left w:val="none" w:sz="0" w:space="0" w:color="auto"/>
            <w:bottom w:val="none" w:sz="0" w:space="0" w:color="auto"/>
            <w:right w:val="none" w:sz="0" w:space="0" w:color="auto"/>
          </w:divBdr>
          <w:divsChild>
            <w:div w:id="1865240079">
              <w:marLeft w:val="0"/>
              <w:marRight w:val="0"/>
              <w:marTop w:val="30"/>
              <w:marBottom w:val="30"/>
              <w:divBdr>
                <w:top w:val="none" w:sz="0" w:space="0" w:color="auto"/>
                <w:left w:val="none" w:sz="0" w:space="0" w:color="auto"/>
                <w:bottom w:val="none" w:sz="0" w:space="0" w:color="auto"/>
                <w:right w:val="none" w:sz="0" w:space="0" w:color="auto"/>
              </w:divBdr>
              <w:divsChild>
                <w:div w:id="447627564">
                  <w:marLeft w:val="0"/>
                  <w:marRight w:val="0"/>
                  <w:marTop w:val="0"/>
                  <w:marBottom w:val="0"/>
                  <w:divBdr>
                    <w:top w:val="none" w:sz="0" w:space="0" w:color="auto"/>
                    <w:left w:val="none" w:sz="0" w:space="0" w:color="auto"/>
                    <w:bottom w:val="none" w:sz="0" w:space="0" w:color="auto"/>
                    <w:right w:val="none" w:sz="0" w:space="0" w:color="auto"/>
                  </w:divBdr>
                  <w:divsChild>
                    <w:div w:id="1003120251">
                      <w:marLeft w:val="0"/>
                      <w:marRight w:val="0"/>
                      <w:marTop w:val="0"/>
                      <w:marBottom w:val="0"/>
                      <w:divBdr>
                        <w:top w:val="none" w:sz="0" w:space="0" w:color="auto"/>
                        <w:left w:val="none" w:sz="0" w:space="0" w:color="auto"/>
                        <w:bottom w:val="none" w:sz="0" w:space="0" w:color="auto"/>
                        <w:right w:val="none" w:sz="0" w:space="0" w:color="auto"/>
                      </w:divBdr>
                    </w:div>
                  </w:divsChild>
                </w:div>
                <w:div w:id="502625054">
                  <w:marLeft w:val="0"/>
                  <w:marRight w:val="0"/>
                  <w:marTop w:val="0"/>
                  <w:marBottom w:val="0"/>
                  <w:divBdr>
                    <w:top w:val="none" w:sz="0" w:space="0" w:color="auto"/>
                    <w:left w:val="none" w:sz="0" w:space="0" w:color="auto"/>
                    <w:bottom w:val="none" w:sz="0" w:space="0" w:color="auto"/>
                    <w:right w:val="none" w:sz="0" w:space="0" w:color="auto"/>
                  </w:divBdr>
                  <w:divsChild>
                    <w:div w:id="1411391764">
                      <w:marLeft w:val="0"/>
                      <w:marRight w:val="0"/>
                      <w:marTop w:val="0"/>
                      <w:marBottom w:val="0"/>
                      <w:divBdr>
                        <w:top w:val="none" w:sz="0" w:space="0" w:color="auto"/>
                        <w:left w:val="none" w:sz="0" w:space="0" w:color="auto"/>
                        <w:bottom w:val="none" w:sz="0" w:space="0" w:color="auto"/>
                        <w:right w:val="none" w:sz="0" w:space="0" w:color="auto"/>
                      </w:divBdr>
                    </w:div>
                  </w:divsChild>
                </w:div>
                <w:div w:id="555356407">
                  <w:marLeft w:val="0"/>
                  <w:marRight w:val="0"/>
                  <w:marTop w:val="0"/>
                  <w:marBottom w:val="0"/>
                  <w:divBdr>
                    <w:top w:val="none" w:sz="0" w:space="0" w:color="auto"/>
                    <w:left w:val="none" w:sz="0" w:space="0" w:color="auto"/>
                    <w:bottom w:val="none" w:sz="0" w:space="0" w:color="auto"/>
                    <w:right w:val="none" w:sz="0" w:space="0" w:color="auto"/>
                  </w:divBdr>
                  <w:divsChild>
                    <w:div w:id="1763718759">
                      <w:marLeft w:val="0"/>
                      <w:marRight w:val="0"/>
                      <w:marTop w:val="0"/>
                      <w:marBottom w:val="0"/>
                      <w:divBdr>
                        <w:top w:val="none" w:sz="0" w:space="0" w:color="auto"/>
                        <w:left w:val="none" w:sz="0" w:space="0" w:color="auto"/>
                        <w:bottom w:val="none" w:sz="0" w:space="0" w:color="auto"/>
                        <w:right w:val="none" w:sz="0" w:space="0" w:color="auto"/>
                      </w:divBdr>
                    </w:div>
                  </w:divsChild>
                </w:div>
                <w:div w:id="1588271477">
                  <w:marLeft w:val="0"/>
                  <w:marRight w:val="0"/>
                  <w:marTop w:val="0"/>
                  <w:marBottom w:val="0"/>
                  <w:divBdr>
                    <w:top w:val="none" w:sz="0" w:space="0" w:color="auto"/>
                    <w:left w:val="none" w:sz="0" w:space="0" w:color="auto"/>
                    <w:bottom w:val="none" w:sz="0" w:space="0" w:color="auto"/>
                    <w:right w:val="none" w:sz="0" w:space="0" w:color="auto"/>
                  </w:divBdr>
                  <w:divsChild>
                    <w:div w:id="14642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531959">
          <w:marLeft w:val="0"/>
          <w:marRight w:val="0"/>
          <w:marTop w:val="0"/>
          <w:marBottom w:val="0"/>
          <w:divBdr>
            <w:top w:val="none" w:sz="0" w:space="0" w:color="auto"/>
            <w:left w:val="none" w:sz="0" w:space="0" w:color="auto"/>
            <w:bottom w:val="none" w:sz="0" w:space="0" w:color="auto"/>
            <w:right w:val="none" w:sz="0" w:space="0" w:color="auto"/>
          </w:divBdr>
        </w:div>
      </w:divsChild>
    </w:div>
    <w:div w:id="28459839">
      <w:bodyDiv w:val="1"/>
      <w:marLeft w:val="0"/>
      <w:marRight w:val="0"/>
      <w:marTop w:val="0"/>
      <w:marBottom w:val="0"/>
      <w:divBdr>
        <w:top w:val="none" w:sz="0" w:space="0" w:color="auto"/>
        <w:left w:val="none" w:sz="0" w:space="0" w:color="auto"/>
        <w:bottom w:val="none" w:sz="0" w:space="0" w:color="auto"/>
        <w:right w:val="none" w:sz="0" w:space="0" w:color="auto"/>
      </w:divBdr>
    </w:div>
    <w:div w:id="67003406">
      <w:bodyDiv w:val="1"/>
      <w:marLeft w:val="0"/>
      <w:marRight w:val="0"/>
      <w:marTop w:val="0"/>
      <w:marBottom w:val="0"/>
      <w:divBdr>
        <w:top w:val="none" w:sz="0" w:space="0" w:color="auto"/>
        <w:left w:val="none" w:sz="0" w:space="0" w:color="auto"/>
        <w:bottom w:val="none" w:sz="0" w:space="0" w:color="auto"/>
        <w:right w:val="none" w:sz="0" w:space="0" w:color="auto"/>
      </w:divBdr>
    </w:div>
    <w:div w:id="76173268">
      <w:bodyDiv w:val="1"/>
      <w:marLeft w:val="0"/>
      <w:marRight w:val="0"/>
      <w:marTop w:val="0"/>
      <w:marBottom w:val="0"/>
      <w:divBdr>
        <w:top w:val="none" w:sz="0" w:space="0" w:color="auto"/>
        <w:left w:val="none" w:sz="0" w:space="0" w:color="auto"/>
        <w:bottom w:val="none" w:sz="0" w:space="0" w:color="auto"/>
        <w:right w:val="none" w:sz="0" w:space="0" w:color="auto"/>
      </w:divBdr>
    </w:div>
    <w:div w:id="94450825">
      <w:bodyDiv w:val="1"/>
      <w:marLeft w:val="0"/>
      <w:marRight w:val="0"/>
      <w:marTop w:val="0"/>
      <w:marBottom w:val="0"/>
      <w:divBdr>
        <w:top w:val="none" w:sz="0" w:space="0" w:color="auto"/>
        <w:left w:val="none" w:sz="0" w:space="0" w:color="auto"/>
        <w:bottom w:val="none" w:sz="0" w:space="0" w:color="auto"/>
        <w:right w:val="none" w:sz="0" w:space="0" w:color="auto"/>
      </w:divBdr>
    </w:div>
    <w:div w:id="148988358">
      <w:bodyDiv w:val="1"/>
      <w:marLeft w:val="0"/>
      <w:marRight w:val="0"/>
      <w:marTop w:val="0"/>
      <w:marBottom w:val="0"/>
      <w:divBdr>
        <w:top w:val="none" w:sz="0" w:space="0" w:color="auto"/>
        <w:left w:val="none" w:sz="0" w:space="0" w:color="auto"/>
        <w:bottom w:val="none" w:sz="0" w:space="0" w:color="auto"/>
        <w:right w:val="none" w:sz="0" w:space="0" w:color="auto"/>
      </w:divBdr>
      <w:divsChild>
        <w:div w:id="207690881">
          <w:marLeft w:val="0"/>
          <w:marRight w:val="0"/>
          <w:marTop w:val="0"/>
          <w:marBottom w:val="0"/>
          <w:divBdr>
            <w:top w:val="none" w:sz="0" w:space="0" w:color="auto"/>
            <w:left w:val="none" w:sz="0" w:space="0" w:color="auto"/>
            <w:bottom w:val="none" w:sz="0" w:space="0" w:color="auto"/>
            <w:right w:val="none" w:sz="0" w:space="0" w:color="auto"/>
          </w:divBdr>
        </w:div>
        <w:div w:id="292951883">
          <w:marLeft w:val="0"/>
          <w:marRight w:val="0"/>
          <w:marTop w:val="0"/>
          <w:marBottom w:val="0"/>
          <w:divBdr>
            <w:top w:val="none" w:sz="0" w:space="0" w:color="auto"/>
            <w:left w:val="none" w:sz="0" w:space="0" w:color="auto"/>
            <w:bottom w:val="none" w:sz="0" w:space="0" w:color="auto"/>
            <w:right w:val="none" w:sz="0" w:space="0" w:color="auto"/>
          </w:divBdr>
        </w:div>
        <w:div w:id="648092941">
          <w:marLeft w:val="0"/>
          <w:marRight w:val="0"/>
          <w:marTop w:val="0"/>
          <w:marBottom w:val="0"/>
          <w:divBdr>
            <w:top w:val="none" w:sz="0" w:space="0" w:color="auto"/>
            <w:left w:val="none" w:sz="0" w:space="0" w:color="auto"/>
            <w:bottom w:val="none" w:sz="0" w:space="0" w:color="auto"/>
            <w:right w:val="none" w:sz="0" w:space="0" w:color="auto"/>
          </w:divBdr>
        </w:div>
        <w:div w:id="1799840365">
          <w:marLeft w:val="0"/>
          <w:marRight w:val="0"/>
          <w:marTop w:val="0"/>
          <w:marBottom w:val="0"/>
          <w:divBdr>
            <w:top w:val="none" w:sz="0" w:space="0" w:color="auto"/>
            <w:left w:val="none" w:sz="0" w:space="0" w:color="auto"/>
            <w:bottom w:val="none" w:sz="0" w:space="0" w:color="auto"/>
            <w:right w:val="none" w:sz="0" w:space="0" w:color="auto"/>
          </w:divBdr>
        </w:div>
      </w:divsChild>
    </w:div>
    <w:div w:id="153566405">
      <w:bodyDiv w:val="1"/>
      <w:marLeft w:val="0"/>
      <w:marRight w:val="0"/>
      <w:marTop w:val="0"/>
      <w:marBottom w:val="0"/>
      <w:divBdr>
        <w:top w:val="none" w:sz="0" w:space="0" w:color="auto"/>
        <w:left w:val="none" w:sz="0" w:space="0" w:color="auto"/>
        <w:bottom w:val="none" w:sz="0" w:space="0" w:color="auto"/>
        <w:right w:val="none" w:sz="0" w:space="0" w:color="auto"/>
      </w:divBdr>
    </w:div>
    <w:div w:id="161706144">
      <w:bodyDiv w:val="1"/>
      <w:marLeft w:val="0"/>
      <w:marRight w:val="0"/>
      <w:marTop w:val="0"/>
      <w:marBottom w:val="0"/>
      <w:divBdr>
        <w:top w:val="none" w:sz="0" w:space="0" w:color="auto"/>
        <w:left w:val="none" w:sz="0" w:space="0" w:color="auto"/>
        <w:bottom w:val="none" w:sz="0" w:space="0" w:color="auto"/>
        <w:right w:val="none" w:sz="0" w:space="0" w:color="auto"/>
      </w:divBdr>
    </w:div>
    <w:div w:id="173152272">
      <w:bodyDiv w:val="1"/>
      <w:marLeft w:val="0"/>
      <w:marRight w:val="0"/>
      <w:marTop w:val="0"/>
      <w:marBottom w:val="0"/>
      <w:divBdr>
        <w:top w:val="none" w:sz="0" w:space="0" w:color="auto"/>
        <w:left w:val="none" w:sz="0" w:space="0" w:color="auto"/>
        <w:bottom w:val="none" w:sz="0" w:space="0" w:color="auto"/>
        <w:right w:val="none" w:sz="0" w:space="0" w:color="auto"/>
      </w:divBdr>
    </w:div>
    <w:div w:id="176892548">
      <w:bodyDiv w:val="1"/>
      <w:marLeft w:val="0"/>
      <w:marRight w:val="0"/>
      <w:marTop w:val="0"/>
      <w:marBottom w:val="0"/>
      <w:divBdr>
        <w:top w:val="none" w:sz="0" w:space="0" w:color="auto"/>
        <w:left w:val="none" w:sz="0" w:space="0" w:color="auto"/>
        <w:bottom w:val="none" w:sz="0" w:space="0" w:color="auto"/>
        <w:right w:val="none" w:sz="0" w:space="0" w:color="auto"/>
      </w:divBdr>
      <w:divsChild>
        <w:div w:id="11229862">
          <w:marLeft w:val="0"/>
          <w:marRight w:val="0"/>
          <w:marTop w:val="0"/>
          <w:marBottom w:val="0"/>
          <w:divBdr>
            <w:top w:val="none" w:sz="0" w:space="0" w:color="auto"/>
            <w:left w:val="none" w:sz="0" w:space="0" w:color="auto"/>
            <w:bottom w:val="none" w:sz="0" w:space="0" w:color="auto"/>
            <w:right w:val="none" w:sz="0" w:space="0" w:color="auto"/>
          </w:divBdr>
          <w:divsChild>
            <w:div w:id="859509751">
              <w:marLeft w:val="0"/>
              <w:marRight w:val="0"/>
              <w:marTop w:val="0"/>
              <w:marBottom w:val="0"/>
              <w:divBdr>
                <w:top w:val="none" w:sz="0" w:space="0" w:color="auto"/>
                <w:left w:val="none" w:sz="0" w:space="0" w:color="auto"/>
                <w:bottom w:val="none" w:sz="0" w:space="0" w:color="auto"/>
                <w:right w:val="none" w:sz="0" w:space="0" w:color="auto"/>
              </w:divBdr>
            </w:div>
          </w:divsChild>
        </w:div>
        <w:div w:id="78648384">
          <w:marLeft w:val="0"/>
          <w:marRight w:val="0"/>
          <w:marTop w:val="0"/>
          <w:marBottom w:val="0"/>
          <w:divBdr>
            <w:top w:val="none" w:sz="0" w:space="0" w:color="auto"/>
            <w:left w:val="none" w:sz="0" w:space="0" w:color="auto"/>
            <w:bottom w:val="none" w:sz="0" w:space="0" w:color="auto"/>
            <w:right w:val="none" w:sz="0" w:space="0" w:color="auto"/>
          </w:divBdr>
          <w:divsChild>
            <w:div w:id="2023165679">
              <w:marLeft w:val="0"/>
              <w:marRight w:val="0"/>
              <w:marTop w:val="0"/>
              <w:marBottom w:val="0"/>
              <w:divBdr>
                <w:top w:val="none" w:sz="0" w:space="0" w:color="auto"/>
                <w:left w:val="none" w:sz="0" w:space="0" w:color="auto"/>
                <w:bottom w:val="none" w:sz="0" w:space="0" w:color="auto"/>
                <w:right w:val="none" w:sz="0" w:space="0" w:color="auto"/>
              </w:divBdr>
            </w:div>
          </w:divsChild>
        </w:div>
        <w:div w:id="100496077">
          <w:marLeft w:val="0"/>
          <w:marRight w:val="0"/>
          <w:marTop w:val="0"/>
          <w:marBottom w:val="0"/>
          <w:divBdr>
            <w:top w:val="none" w:sz="0" w:space="0" w:color="auto"/>
            <w:left w:val="none" w:sz="0" w:space="0" w:color="auto"/>
            <w:bottom w:val="none" w:sz="0" w:space="0" w:color="auto"/>
            <w:right w:val="none" w:sz="0" w:space="0" w:color="auto"/>
          </w:divBdr>
          <w:divsChild>
            <w:div w:id="1459256235">
              <w:marLeft w:val="0"/>
              <w:marRight w:val="0"/>
              <w:marTop w:val="0"/>
              <w:marBottom w:val="0"/>
              <w:divBdr>
                <w:top w:val="none" w:sz="0" w:space="0" w:color="auto"/>
                <w:left w:val="none" w:sz="0" w:space="0" w:color="auto"/>
                <w:bottom w:val="none" w:sz="0" w:space="0" w:color="auto"/>
                <w:right w:val="none" w:sz="0" w:space="0" w:color="auto"/>
              </w:divBdr>
            </w:div>
          </w:divsChild>
        </w:div>
        <w:div w:id="207960105">
          <w:marLeft w:val="0"/>
          <w:marRight w:val="0"/>
          <w:marTop w:val="0"/>
          <w:marBottom w:val="0"/>
          <w:divBdr>
            <w:top w:val="none" w:sz="0" w:space="0" w:color="auto"/>
            <w:left w:val="none" w:sz="0" w:space="0" w:color="auto"/>
            <w:bottom w:val="none" w:sz="0" w:space="0" w:color="auto"/>
            <w:right w:val="none" w:sz="0" w:space="0" w:color="auto"/>
          </w:divBdr>
          <w:divsChild>
            <w:div w:id="588925711">
              <w:marLeft w:val="0"/>
              <w:marRight w:val="0"/>
              <w:marTop w:val="0"/>
              <w:marBottom w:val="0"/>
              <w:divBdr>
                <w:top w:val="none" w:sz="0" w:space="0" w:color="auto"/>
                <w:left w:val="none" w:sz="0" w:space="0" w:color="auto"/>
                <w:bottom w:val="none" w:sz="0" w:space="0" w:color="auto"/>
                <w:right w:val="none" w:sz="0" w:space="0" w:color="auto"/>
              </w:divBdr>
            </w:div>
          </w:divsChild>
        </w:div>
        <w:div w:id="373241434">
          <w:marLeft w:val="0"/>
          <w:marRight w:val="0"/>
          <w:marTop w:val="0"/>
          <w:marBottom w:val="0"/>
          <w:divBdr>
            <w:top w:val="none" w:sz="0" w:space="0" w:color="auto"/>
            <w:left w:val="none" w:sz="0" w:space="0" w:color="auto"/>
            <w:bottom w:val="none" w:sz="0" w:space="0" w:color="auto"/>
            <w:right w:val="none" w:sz="0" w:space="0" w:color="auto"/>
          </w:divBdr>
          <w:divsChild>
            <w:div w:id="1804419020">
              <w:marLeft w:val="0"/>
              <w:marRight w:val="0"/>
              <w:marTop w:val="0"/>
              <w:marBottom w:val="0"/>
              <w:divBdr>
                <w:top w:val="none" w:sz="0" w:space="0" w:color="auto"/>
                <w:left w:val="none" w:sz="0" w:space="0" w:color="auto"/>
                <w:bottom w:val="none" w:sz="0" w:space="0" w:color="auto"/>
                <w:right w:val="none" w:sz="0" w:space="0" w:color="auto"/>
              </w:divBdr>
            </w:div>
          </w:divsChild>
        </w:div>
        <w:div w:id="913391390">
          <w:marLeft w:val="0"/>
          <w:marRight w:val="0"/>
          <w:marTop w:val="0"/>
          <w:marBottom w:val="0"/>
          <w:divBdr>
            <w:top w:val="none" w:sz="0" w:space="0" w:color="auto"/>
            <w:left w:val="none" w:sz="0" w:space="0" w:color="auto"/>
            <w:bottom w:val="none" w:sz="0" w:space="0" w:color="auto"/>
            <w:right w:val="none" w:sz="0" w:space="0" w:color="auto"/>
          </w:divBdr>
          <w:divsChild>
            <w:div w:id="1872838081">
              <w:marLeft w:val="0"/>
              <w:marRight w:val="0"/>
              <w:marTop w:val="0"/>
              <w:marBottom w:val="0"/>
              <w:divBdr>
                <w:top w:val="none" w:sz="0" w:space="0" w:color="auto"/>
                <w:left w:val="none" w:sz="0" w:space="0" w:color="auto"/>
                <w:bottom w:val="none" w:sz="0" w:space="0" w:color="auto"/>
                <w:right w:val="none" w:sz="0" w:space="0" w:color="auto"/>
              </w:divBdr>
            </w:div>
          </w:divsChild>
        </w:div>
        <w:div w:id="1031300555">
          <w:marLeft w:val="0"/>
          <w:marRight w:val="0"/>
          <w:marTop w:val="0"/>
          <w:marBottom w:val="0"/>
          <w:divBdr>
            <w:top w:val="none" w:sz="0" w:space="0" w:color="auto"/>
            <w:left w:val="none" w:sz="0" w:space="0" w:color="auto"/>
            <w:bottom w:val="none" w:sz="0" w:space="0" w:color="auto"/>
            <w:right w:val="none" w:sz="0" w:space="0" w:color="auto"/>
          </w:divBdr>
          <w:divsChild>
            <w:div w:id="832065083">
              <w:marLeft w:val="0"/>
              <w:marRight w:val="0"/>
              <w:marTop w:val="0"/>
              <w:marBottom w:val="0"/>
              <w:divBdr>
                <w:top w:val="none" w:sz="0" w:space="0" w:color="auto"/>
                <w:left w:val="none" w:sz="0" w:space="0" w:color="auto"/>
                <w:bottom w:val="none" w:sz="0" w:space="0" w:color="auto"/>
                <w:right w:val="none" w:sz="0" w:space="0" w:color="auto"/>
              </w:divBdr>
            </w:div>
          </w:divsChild>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118108165">
              <w:marLeft w:val="0"/>
              <w:marRight w:val="0"/>
              <w:marTop w:val="0"/>
              <w:marBottom w:val="0"/>
              <w:divBdr>
                <w:top w:val="none" w:sz="0" w:space="0" w:color="auto"/>
                <w:left w:val="none" w:sz="0" w:space="0" w:color="auto"/>
                <w:bottom w:val="none" w:sz="0" w:space="0" w:color="auto"/>
                <w:right w:val="none" w:sz="0" w:space="0" w:color="auto"/>
              </w:divBdr>
            </w:div>
          </w:divsChild>
        </w:div>
        <w:div w:id="1181772898">
          <w:marLeft w:val="0"/>
          <w:marRight w:val="0"/>
          <w:marTop w:val="0"/>
          <w:marBottom w:val="0"/>
          <w:divBdr>
            <w:top w:val="none" w:sz="0" w:space="0" w:color="auto"/>
            <w:left w:val="none" w:sz="0" w:space="0" w:color="auto"/>
            <w:bottom w:val="none" w:sz="0" w:space="0" w:color="auto"/>
            <w:right w:val="none" w:sz="0" w:space="0" w:color="auto"/>
          </w:divBdr>
          <w:divsChild>
            <w:div w:id="2085297059">
              <w:marLeft w:val="0"/>
              <w:marRight w:val="0"/>
              <w:marTop w:val="0"/>
              <w:marBottom w:val="0"/>
              <w:divBdr>
                <w:top w:val="none" w:sz="0" w:space="0" w:color="auto"/>
                <w:left w:val="none" w:sz="0" w:space="0" w:color="auto"/>
                <w:bottom w:val="none" w:sz="0" w:space="0" w:color="auto"/>
                <w:right w:val="none" w:sz="0" w:space="0" w:color="auto"/>
              </w:divBdr>
            </w:div>
          </w:divsChild>
        </w:div>
        <w:div w:id="1214347192">
          <w:marLeft w:val="0"/>
          <w:marRight w:val="0"/>
          <w:marTop w:val="0"/>
          <w:marBottom w:val="0"/>
          <w:divBdr>
            <w:top w:val="none" w:sz="0" w:space="0" w:color="auto"/>
            <w:left w:val="none" w:sz="0" w:space="0" w:color="auto"/>
            <w:bottom w:val="none" w:sz="0" w:space="0" w:color="auto"/>
            <w:right w:val="none" w:sz="0" w:space="0" w:color="auto"/>
          </w:divBdr>
          <w:divsChild>
            <w:div w:id="1295914544">
              <w:marLeft w:val="0"/>
              <w:marRight w:val="0"/>
              <w:marTop w:val="0"/>
              <w:marBottom w:val="0"/>
              <w:divBdr>
                <w:top w:val="none" w:sz="0" w:space="0" w:color="auto"/>
                <w:left w:val="none" w:sz="0" w:space="0" w:color="auto"/>
                <w:bottom w:val="none" w:sz="0" w:space="0" w:color="auto"/>
                <w:right w:val="none" w:sz="0" w:space="0" w:color="auto"/>
              </w:divBdr>
            </w:div>
          </w:divsChild>
        </w:div>
        <w:div w:id="1269121882">
          <w:marLeft w:val="0"/>
          <w:marRight w:val="0"/>
          <w:marTop w:val="0"/>
          <w:marBottom w:val="0"/>
          <w:divBdr>
            <w:top w:val="none" w:sz="0" w:space="0" w:color="auto"/>
            <w:left w:val="none" w:sz="0" w:space="0" w:color="auto"/>
            <w:bottom w:val="none" w:sz="0" w:space="0" w:color="auto"/>
            <w:right w:val="none" w:sz="0" w:space="0" w:color="auto"/>
          </w:divBdr>
          <w:divsChild>
            <w:div w:id="1933470022">
              <w:marLeft w:val="0"/>
              <w:marRight w:val="0"/>
              <w:marTop w:val="0"/>
              <w:marBottom w:val="0"/>
              <w:divBdr>
                <w:top w:val="none" w:sz="0" w:space="0" w:color="auto"/>
                <w:left w:val="none" w:sz="0" w:space="0" w:color="auto"/>
                <w:bottom w:val="none" w:sz="0" w:space="0" w:color="auto"/>
                <w:right w:val="none" w:sz="0" w:space="0" w:color="auto"/>
              </w:divBdr>
            </w:div>
          </w:divsChild>
        </w:div>
        <w:div w:id="1365597323">
          <w:marLeft w:val="0"/>
          <w:marRight w:val="0"/>
          <w:marTop w:val="0"/>
          <w:marBottom w:val="0"/>
          <w:divBdr>
            <w:top w:val="none" w:sz="0" w:space="0" w:color="auto"/>
            <w:left w:val="none" w:sz="0" w:space="0" w:color="auto"/>
            <w:bottom w:val="none" w:sz="0" w:space="0" w:color="auto"/>
            <w:right w:val="none" w:sz="0" w:space="0" w:color="auto"/>
          </w:divBdr>
          <w:divsChild>
            <w:div w:id="187836411">
              <w:marLeft w:val="0"/>
              <w:marRight w:val="0"/>
              <w:marTop w:val="0"/>
              <w:marBottom w:val="0"/>
              <w:divBdr>
                <w:top w:val="none" w:sz="0" w:space="0" w:color="auto"/>
                <w:left w:val="none" w:sz="0" w:space="0" w:color="auto"/>
                <w:bottom w:val="none" w:sz="0" w:space="0" w:color="auto"/>
                <w:right w:val="none" w:sz="0" w:space="0" w:color="auto"/>
              </w:divBdr>
            </w:div>
          </w:divsChild>
        </w:div>
        <w:div w:id="1493594812">
          <w:marLeft w:val="0"/>
          <w:marRight w:val="0"/>
          <w:marTop w:val="0"/>
          <w:marBottom w:val="0"/>
          <w:divBdr>
            <w:top w:val="none" w:sz="0" w:space="0" w:color="auto"/>
            <w:left w:val="none" w:sz="0" w:space="0" w:color="auto"/>
            <w:bottom w:val="none" w:sz="0" w:space="0" w:color="auto"/>
            <w:right w:val="none" w:sz="0" w:space="0" w:color="auto"/>
          </w:divBdr>
          <w:divsChild>
            <w:div w:id="1189102556">
              <w:marLeft w:val="0"/>
              <w:marRight w:val="0"/>
              <w:marTop w:val="0"/>
              <w:marBottom w:val="0"/>
              <w:divBdr>
                <w:top w:val="none" w:sz="0" w:space="0" w:color="auto"/>
                <w:left w:val="none" w:sz="0" w:space="0" w:color="auto"/>
                <w:bottom w:val="none" w:sz="0" w:space="0" w:color="auto"/>
                <w:right w:val="none" w:sz="0" w:space="0" w:color="auto"/>
              </w:divBdr>
            </w:div>
          </w:divsChild>
        </w:div>
        <w:div w:id="1587377829">
          <w:marLeft w:val="0"/>
          <w:marRight w:val="0"/>
          <w:marTop w:val="0"/>
          <w:marBottom w:val="0"/>
          <w:divBdr>
            <w:top w:val="none" w:sz="0" w:space="0" w:color="auto"/>
            <w:left w:val="none" w:sz="0" w:space="0" w:color="auto"/>
            <w:bottom w:val="none" w:sz="0" w:space="0" w:color="auto"/>
            <w:right w:val="none" w:sz="0" w:space="0" w:color="auto"/>
          </w:divBdr>
          <w:divsChild>
            <w:div w:id="208107728">
              <w:marLeft w:val="0"/>
              <w:marRight w:val="0"/>
              <w:marTop w:val="0"/>
              <w:marBottom w:val="0"/>
              <w:divBdr>
                <w:top w:val="none" w:sz="0" w:space="0" w:color="auto"/>
                <w:left w:val="none" w:sz="0" w:space="0" w:color="auto"/>
                <w:bottom w:val="none" w:sz="0" w:space="0" w:color="auto"/>
                <w:right w:val="none" w:sz="0" w:space="0" w:color="auto"/>
              </w:divBdr>
            </w:div>
          </w:divsChild>
        </w:div>
        <w:div w:id="1632318401">
          <w:marLeft w:val="0"/>
          <w:marRight w:val="0"/>
          <w:marTop w:val="0"/>
          <w:marBottom w:val="0"/>
          <w:divBdr>
            <w:top w:val="none" w:sz="0" w:space="0" w:color="auto"/>
            <w:left w:val="none" w:sz="0" w:space="0" w:color="auto"/>
            <w:bottom w:val="none" w:sz="0" w:space="0" w:color="auto"/>
            <w:right w:val="none" w:sz="0" w:space="0" w:color="auto"/>
          </w:divBdr>
          <w:divsChild>
            <w:div w:id="53355535">
              <w:marLeft w:val="0"/>
              <w:marRight w:val="0"/>
              <w:marTop w:val="0"/>
              <w:marBottom w:val="0"/>
              <w:divBdr>
                <w:top w:val="none" w:sz="0" w:space="0" w:color="auto"/>
                <w:left w:val="none" w:sz="0" w:space="0" w:color="auto"/>
                <w:bottom w:val="none" w:sz="0" w:space="0" w:color="auto"/>
                <w:right w:val="none" w:sz="0" w:space="0" w:color="auto"/>
              </w:divBdr>
            </w:div>
          </w:divsChild>
        </w:div>
        <w:div w:id="1752241145">
          <w:marLeft w:val="0"/>
          <w:marRight w:val="0"/>
          <w:marTop w:val="0"/>
          <w:marBottom w:val="0"/>
          <w:divBdr>
            <w:top w:val="none" w:sz="0" w:space="0" w:color="auto"/>
            <w:left w:val="none" w:sz="0" w:space="0" w:color="auto"/>
            <w:bottom w:val="none" w:sz="0" w:space="0" w:color="auto"/>
            <w:right w:val="none" w:sz="0" w:space="0" w:color="auto"/>
          </w:divBdr>
          <w:divsChild>
            <w:div w:id="193737384">
              <w:marLeft w:val="0"/>
              <w:marRight w:val="0"/>
              <w:marTop w:val="0"/>
              <w:marBottom w:val="0"/>
              <w:divBdr>
                <w:top w:val="none" w:sz="0" w:space="0" w:color="auto"/>
                <w:left w:val="none" w:sz="0" w:space="0" w:color="auto"/>
                <w:bottom w:val="none" w:sz="0" w:space="0" w:color="auto"/>
                <w:right w:val="none" w:sz="0" w:space="0" w:color="auto"/>
              </w:divBdr>
            </w:div>
          </w:divsChild>
        </w:div>
        <w:div w:id="1832132644">
          <w:marLeft w:val="0"/>
          <w:marRight w:val="0"/>
          <w:marTop w:val="0"/>
          <w:marBottom w:val="0"/>
          <w:divBdr>
            <w:top w:val="none" w:sz="0" w:space="0" w:color="auto"/>
            <w:left w:val="none" w:sz="0" w:space="0" w:color="auto"/>
            <w:bottom w:val="none" w:sz="0" w:space="0" w:color="auto"/>
            <w:right w:val="none" w:sz="0" w:space="0" w:color="auto"/>
          </w:divBdr>
          <w:divsChild>
            <w:div w:id="1178958306">
              <w:marLeft w:val="0"/>
              <w:marRight w:val="0"/>
              <w:marTop w:val="0"/>
              <w:marBottom w:val="0"/>
              <w:divBdr>
                <w:top w:val="none" w:sz="0" w:space="0" w:color="auto"/>
                <w:left w:val="none" w:sz="0" w:space="0" w:color="auto"/>
                <w:bottom w:val="none" w:sz="0" w:space="0" w:color="auto"/>
                <w:right w:val="none" w:sz="0" w:space="0" w:color="auto"/>
              </w:divBdr>
            </w:div>
          </w:divsChild>
        </w:div>
        <w:div w:id="1854764463">
          <w:marLeft w:val="0"/>
          <w:marRight w:val="0"/>
          <w:marTop w:val="0"/>
          <w:marBottom w:val="0"/>
          <w:divBdr>
            <w:top w:val="none" w:sz="0" w:space="0" w:color="auto"/>
            <w:left w:val="none" w:sz="0" w:space="0" w:color="auto"/>
            <w:bottom w:val="none" w:sz="0" w:space="0" w:color="auto"/>
            <w:right w:val="none" w:sz="0" w:space="0" w:color="auto"/>
          </w:divBdr>
          <w:divsChild>
            <w:div w:id="112865556">
              <w:marLeft w:val="0"/>
              <w:marRight w:val="0"/>
              <w:marTop w:val="0"/>
              <w:marBottom w:val="0"/>
              <w:divBdr>
                <w:top w:val="none" w:sz="0" w:space="0" w:color="auto"/>
                <w:left w:val="none" w:sz="0" w:space="0" w:color="auto"/>
                <w:bottom w:val="none" w:sz="0" w:space="0" w:color="auto"/>
                <w:right w:val="none" w:sz="0" w:space="0" w:color="auto"/>
              </w:divBdr>
            </w:div>
          </w:divsChild>
        </w:div>
        <w:div w:id="1991206780">
          <w:marLeft w:val="0"/>
          <w:marRight w:val="0"/>
          <w:marTop w:val="0"/>
          <w:marBottom w:val="0"/>
          <w:divBdr>
            <w:top w:val="none" w:sz="0" w:space="0" w:color="auto"/>
            <w:left w:val="none" w:sz="0" w:space="0" w:color="auto"/>
            <w:bottom w:val="none" w:sz="0" w:space="0" w:color="auto"/>
            <w:right w:val="none" w:sz="0" w:space="0" w:color="auto"/>
          </w:divBdr>
          <w:divsChild>
            <w:div w:id="1162694124">
              <w:marLeft w:val="0"/>
              <w:marRight w:val="0"/>
              <w:marTop w:val="0"/>
              <w:marBottom w:val="0"/>
              <w:divBdr>
                <w:top w:val="none" w:sz="0" w:space="0" w:color="auto"/>
                <w:left w:val="none" w:sz="0" w:space="0" w:color="auto"/>
                <w:bottom w:val="none" w:sz="0" w:space="0" w:color="auto"/>
                <w:right w:val="none" w:sz="0" w:space="0" w:color="auto"/>
              </w:divBdr>
            </w:div>
          </w:divsChild>
        </w:div>
        <w:div w:id="2024242414">
          <w:marLeft w:val="0"/>
          <w:marRight w:val="0"/>
          <w:marTop w:val="0"/>
          <w:marBottom w:val="0"/>
          <w:divBdr>
            <w:top w:val="none" w:sz="0" w:space="0" w:color="auto"/>
            <w:left w:val="none" w:sz="0" w:space="0" w:color="auto"/>
            <w:bottom w:val="none" w:sz="0" w:space="0" w:color="auto"/>
            <w:right w:val="none" w:sz="0" w:space="0" w:color="auto"/>
          </w:divBdr>
          <w:divsChild>
            <w:div w:id="240679697">
              <w:marLeft w:val="0"/>
              <w:marRight w:val="0"/>
              <w:marTop w:val="0"/>
              <w:marBottom w:val="0"/>
              <w:divBdr>
                <w:top w:val="none" w:sz="0" w:space="0" w:color="auto"/>
                <w:left w:val="none" w:sz="0" w:space="0" w:color="auto"/>
                <w:bottom w:val="none" w:sz="0" w:space="0" w:color="auto"/>
                <w:right w:val="none" w:sz="0" w:space="0" w:color="auto"/>
              </w:divBdr>
            </w:div>
          </w:divsChild>
        </w:div>
        <w:div w:id="2025941159">
          <w:marLeft w:val="0"/>
          <w:marRight w:val="0"/>
          <w:marTop w:val="0"/>
          <w:marBottom w:val="0"/>
          <w:divBdr>
            <w:top w:val="none" w:sz="0" w:space="0" w:color="auto"/>
            <w:left w:val="none" w:sz="0" w:space="0" w:color="auto"/>
            <w:bottom w:val="none" w:sz="0" w:space="0" w:color="auto"/>
            <w:right w:val="none" w:sz="0" w:space="0" w:color="auto"/>
          </w:divBdr>
          <w:divsChild>
            <w:div w:id="1805733693">
              <w:marLeft w:val="0"/>
              <w:marRight w:val="0"/>
              <w:marTop w:val="0"/>
              <w:marBottom w:val="0"/>
              <w:divBdr>
                <w:top w:val="none" w:sz="0" w:space="0" w:color="auto"/>
                <w:left w:val="none" w:sz="0" w:space="0" w:color="auto"/>
                <w:bottom w:val="none" w:sz="0" w:space="0" w:color="auto"/>
                <w:right w:val="none" w:sz="0" w:space="0" w:color="auto"/>
              </w:divBdr>
            </w:div>
          </w:divsChild>
        </w:div>
        <w:div w:id="2071465581">
          <w:marLeft w:val="0"/>
          <w:marRight w:val="0"/>
          <w:marTop w:val="0"/>
          <w:marBottom w:val="0"/>
          <w:divBdr>
            <w:top w:val="none" w:sz="0" w:space="0" w:color="auto"/>
            <w:left w:val="none" w:sz="0" w:space="0" w:color="auto"/>
            <w:bottom w:val="none" w:sz="0" w:space="0" w:color="auto"/>
            <w:right w:val="none" w:sz="0" w:space="0" w:color="auto"/>
          </w:divBdr>
          <w:divsChild>
            <w:div w:id="383141336">
              <w:marLeft w:val="0"/>
              <w:marRight w:val="0"/>
              <w:marTop w:val="0"/>
              <w:marBottom w:val="0"/>
              <w:divBdr>
                <w:top w:val="none" w:sz="0" w:space="0" w:color="auto"/>
                <w:left w:val="none" w:sz="0" w:space="0" w:color="auto"/>
                <w:bottom w:val="none" w:sz="0" w:space="0" w:color="auto"/>
                <w:right w:val="none" w:sz="0" w:space="0" w:color="auto"/>
              </w:divBdr>
            </w:div>
          </w:divsChild>
        </w:div>
        <w:div w:id="2106917096">
          <w:marLeft w:val="0"/>
          <w:marRight w:val="0"/>
          <w:marTop w:val="0"/>
          <w:marBottom w:val="0"/>
          <w:divBdr>
            <w:top w:val="none" w:sz="0" w:space="0" w:color="auto"/>
            <w:left w:val="none" w:sz="0" w:space="0" w:color="auto"/>
            <w:bottom w:val="none" w:sz="0" w:space="0" w:color="auto"/>
            <w:right w:val="none" w:sz="0" w:space="0" w:color="auto"/>
          </w:divBdr>
          <w:divsChild>
            <w:div w:id="1275209664">
              <w:marLeft w:val="0"/>
              <w:marRight w:val="0"/>
              <w:marTop w:val="0"/>
              <w:marBottom w:val="0"/>
              <w:divBdr>
                <w:top w:val="none" w:sz="0" w:space="0" w:color="auto"/>
                <w:left w:val="none" w:sz="0" w:space="0" w:color="auto"/>
                <w:bottom w:val="none" w:sz="0" w:space="0" w:color="auto"/>
                <w:right w:val="none" w:sz="0" w:space="0" w:color="auto"/>
              </w:divBdr>
            </w:div>
          </w:divsChild>
        </w:div>
        <w:div w:id="2121488567">
          <w:marLeft w:val="0"/>
          <w:marRight w:val="0"/>
          <w:marTop w:val="0"/>
          <w:marBottom w:val="0"/>
          <w:divBdr>
            <w:top w:val="none" w:sz="0" w:space="0" w:color="auto"/>
            <w:left w:val="none" w:sz="0" w:space="0" w:color="auto"/>
            <w:bottom w:val="none" w:sz="0" w:space="0" w:color="auto"/>
            <w:right w:val="none" w:sz="0" w:space="0" w:color="auto"/>
          </w:divBdr>
          <w:divsChild>
            <w:div w:id="12278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7343">
      <w:bodyDiv w:val="1"/>
      <w:marLeft w:val="0"/>
      <w:marRight w:val="0"/>
      <w:marTop w:val="0"/>
      <w:marBottom w:val="0"/>
      <w:divBdr>
        <w:top w:val="none" w:sz="0" w:space="0" w:color="auto"/>
        <w:left w:val="none" w:sz="0" w:space="0" w:color="auto"/>
        <w:bottom w:val="none" w:sz="0" w:space="0" w:color="auto"/>
        <w:right w:val="none" w:sz="0" w:space="0" w:color="auto"/>
      </w:divBdr>
    </w:div>
    <w:div w:id="322126836">
      <w:bodyDiv w:val="1"/>
      <w:marLeft w:val="0"/>
      <w:marRight w:val="0"/>
      <w:marTop w:val="0"/>
      <w:marBottom w:val="0"/>
      <w:divBdr>
        <w:top w:val="none" w:sz="0" w:space="0" w:color="auto"/>
        <w:left w:val="none" w:sz="0" w:space="0" w:color="auto"/>
        <w:bottom w:val="none" w:sz="0" w:space="0" w:color="auto"/>
        <w:right w:val="none" w:sz="0" w:space="0" w:color="auto"/>
      </w:divBdr>
    </w:div>
    <w:div w:id="344943758">
      <w:bodyDiv w:val="1"/>
      <w:marLeft w:val="0"/>
      <w:marRight w:val="0"/>
      <w:marTop w:val="0"/>
      <w:marBottom w:val="0"/>
      <w:divBdr>
        <w:top w:val="none" w:sz="0" w:space="0" w:color="auto"/>
        <w:left w:val="none" w:sz="0" w:space="0" w:color="auto"/>
        <w:bottom w:val="none" w:sz="0" w:space="0" w:color="auto"/>
        <w:right w:val="none" w:sz="0" w:space="0" w:color="auto"/>
      </w:divBdr>
    </w:div>
    <w:div w:id="346101805">
      <w:bodyDiv w:val="1"/>
      <w:marLeft w:val="0"/>
      <w:marRight w:val="0"/>
      <w:marTop w:val="0"/>
      <w:marBottom w:val="0"/>
      <w:divBdr>
        <w:top w:val="none" w:sz="0" w:space="0" w:color="auto"/>
        <w:left w:val="none" w:sz="0" w:space="0" w:color="auto"/>
        <w:bottom w:val="none" w:sz="0" w:space="0" w:color="auto"/>
        <w:right w:val="none" w:sz="0" w:space="0" w:color="auto"/>
      </w:divBdr>
      <w:divsChild>
        <w:div w:id="29916692">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 w:id="35812398">
          <w:marLeft w:val="0"/>
          <w:marRight w:val="0"/>
          <w:marTop w:val="0"/>
          <w:marBottom w:val="0"/>
          <w:divBdr>
            <w:top w:val="none" w:sz="0" w:space="0" w:color="auto"/>
            <w:left w:val="none" w:sz="0" w:space="0" w:color="auto"/>
            <w:bottom w:val="none" w:sz="0" w:space="0" w:color="auto"/>
            <w:right w:val="none" w:sz="0" w:space="0" w:color="auto"/>
          </w:divBdr>
        </w:div>
        <w:div w:id="214393009">
          <w:marLeft w:val="0"/>
          <w:marRight w:val="0"/>
          <w:marTop w:val="0"/>
          <w:marBottom w:val="0"/>
          <w:divBdr>
            <w:top w:val="none" w:sz="0" w:space="0" w:color="auto"/>
            <w:left w:val="none" w:sz="0" w:space="0" w:color="auto"/>
            <w:bottom w:val="none" w:sz="0" w:space="0" w:color="auto"/>
            <w:right w:val="none" w:sz="0" w:space="0" w:color="auto"/>
          </w:divBdr>
          <w:divsChild>
            <w:div w:id="835878658">
              <w:marLeft w:val="0"/>
              <w:marRight w:val="0"/>
              <w:marTop w:val="0"/>
              <w:marBottom w:val="0"/>
              <w:divBdr>
                <w:top w:val="none" w:sz="0" w:space="0" w:color="auto"/>
                <w:left w:val="none" w:sz="0" w:space="0" w:color="auto"/>
                <w:bottom w:val="none" w:sz="0" w:space="0" w:color="auto"/>
                <w:right w:val="none" w:sz="0" w:space="0" w:color="auto"/>
              </w:divBdr>
            </w:div>
          </w:divsChild>
        </w:div>
        <w:div w:id="299649923">
          <w:marLeft w:val="0"/>
          <w:marRight w:val="0"/>
          <w:marTop w:val="0"/>
          <w:marBottom w:val="0"/>
          <w:divBdr>
            <w:top w:val="none" w:sz="0" w:space="0" w:color="auto"/>
            <w:left w:val="none" w:sz="0" w:space="0" w:color="auto"/>
            <w:bottom w:val="none" w:sz="0" w:space="0" w:color="auto"/>
            <w:right w:val="none" w:sz="0" w:space="0" w:color="auto"/>
          </w:divBdr>
          <w:divsChild>
            <w:div w:id="338001265">
              <w:marLeft w:val="0"/>
              <w:marRight w:val="0"/>
              <w:marTop w:val="0"/>
              <w:marBottom w:val="0"/>
              <w:divBdr>
                <w:top w:val="none" w:sz="0" w:space="0" w:color="auto"/>
                <w:left w:val="none" w:sz="0" w:space="0" w:color="auto"/>
                <w:bottom w:val="none" w:sz="0" w:space="0" w:color="auto"/>
                <w:right w:val="none" w:sz="0" w:space="0" w:color="auto"/>
              </w:divBdr>
            </w:div>
          </w:divsChild>
        </w:div>
        <w:div w:id="419714169">
          <w:marLeft w:val="0"/>
          <w:marRight w:val="0"/>
          <w:marTop w:val="0"/>
          <w:marBottom w:val="0"/>
          <w:divBdr>
            <w:top w:val="none" w:sz="0" w:space="0" w:color="auto"/>
            <w:left w:val="none" w:sz="0" w:space="0" w:color="auto"/>
            <w:bottom w:val="none" w:sz="0" w:space="0" w:color="auto"/>
            <w:right w:val="none" w:sz="0" w:space="0" w:color="auto"/>
          </w:divBdr>
          <w:divsChild>
            <w:div w:id="1342471968">
              <w:marLeft w:val="0"/>
              <w:marRight w:val="0"/>
              <w:marTop w:val="0"/>
              <w:marBottom w:val="0"/>
              <w:divBdr>
                <w:top w:val="none" w:sz="0" w:space="0" w:color="auto"/>
                <w:left w:val="none" w:sz="0" w:space="0" w:color="auto"/>
                <w:bottom w:val="none" w:sz="0" w:space="0" w:color="auto"/>
                <w:right w:val="none" w:sz="0" w:space="0" w:color="auto"/>
              </w:divBdr>
            </w:div>
          </w:divsChild>
        </w:div>
        <w:div w:id="521238247">
          <w:marLeft w:val="0"/>
          <w:marRight w:val="0"/>
          <w:marTop w:val="0"/>
          <w:marBottom w:val="0"/>
          <w:divBdr>
            <w:top w:val="none" w:sz="0" w:space="0" w:color="auto"/>
            <w:left w:val="none" w:sz="0" w:space="0" w:color="auto"/>
            <w:bottom w:val="none" w:sz="0" w:space="0" w:color="auto"/>
            <w:right w:val="none" w:sz="0" w:space="0" w:color="auto"/>
          </w:divBdr>
          <w:divsChild>
            <w:div w:id="1877153024">
              <w:marLeft w:val="0"/>
              <w:marRight w:val="0"/>
              <w:marTop w:val="0"/>
              <w:marBottom w:val="0"/>
              <w:divBdr>
                <w:top w:val="none" w:sz="0" w:space="0" w:color="auto"/>
                <w:left w:val="none" w:sz="0" w:space="0" w:color="auto"/>
                <w:bottom w:val="none" w:sz="0" w:space="0" w:color="auto"/>
                <w:right w:val="none" w:sz="0" w:space="0" w:color="auto"/>
              </w:divBdr>
            </w:div>
          </w:divsChild>
        </w:div>
        <w:div w:id="536890169">
          <w:marLeft w:val="0"/>
          <w:marRight w:val="0"/>
          <w:marTop w:val="0"/>
          <w:marBottom w:val="0"/>
          <w:divBdr>
            <w:top w:val="none" w:sz="0" w:space="0" w:color="auto"/>
            <w:left w:val="none" w:sz="0" w:space="0" w:color="auto"/>
            <w:bottom w:val="none" w:sz="0" w:space="0" w:color="auto"/>
            <w:right w:val="none" w:sz="0" w:space="0" w:color="auto"/>
          </w:divBdr>
          <w:divsChild>
            <w:div w:id="1499923143">
              <w:marLeft w:val="0"/>
              <w:marRight w:val="0"/>
              <w:marTop w:val="0"/>
              <w:marBottom w:val="0"/>
              <w:divBdr>
                <w:top w:val="none" w:sz="0" w:space="0" w:color="auto"/>
                <w:left w:val="none" w:sz="0" w:space="0" w:color="auto"/>
                <w:bottom w:val="none" w:sz="0" w:space="0" w:color="auto"/>
                <w:right w:val="none" w:sz="0" w:space="0" w:color="auto"/>
              </w:divBdr>
            </w:div>
          </w:divsChild>
        </w:div>
        <w:div w:id="537158875">
          <w:marLeft w:val="0"/>
          <w:marRight w:val="0"/>
          <w:marTop w:val="0"/>
          <w:marBottom w:val="0"/>
          <w:divBdr>
            <w:top w:val="none" w:sz="0" w:space="0" w:color="auto"/>
            <w:left w:val="none" w:sz="0" w:space="0" w:color="auto"/>
            <w:bottom w:val="none" w:sz="0" w:space="0" w:color="auto"/>
            <w:right w:val="none" w:sz="0" w:space="0" w:color="auto"/>
          </w:divBdr>
          <w:divsChild>
            <w:div w:id="1471945577">
              <w:marLeft w:val="0"/>
              <w:marRight w:val="0"/>
              <w:marTop w:val="0"/>
              <w:marBottom w:val="0"/>
              <w:divBdr>
                <w:top w:val="none" w:sz="0" w:space="0" w:color="auto"/>
                <w:left w:val="none" w:sz="0" w:space="0" w:color="auto"/>
                <w:bottom w:val="none" w:sz="0" w:space="0" w:color="auto"/>
                <w:right w:val="none" w:sz="0" w:space="0" w:color="auto"/>
              </w:divBdr>
            </w:div>
          </w:divsChild>
        </w:div>
        <w:div w:id="548885393">
          <w:marLeft w:val="0"/>
          <w:marRight w:val="0"/>
          <w:marTop w:val="0"/>
          <w:marBottom w:val="0"/>
          <w:divBdr>
            <w:top w:val="none" w:sz="0" w:space="0" w:color="auto"/>
            <w:left w:val="none" w:sz="0" w:space="0" w:color="auto"/>
            <w:bottom w:val="none" w:sz="0" w:space="0" w:color="auto"/>
            <w:right w:val="none" w:sz="0" w:space="0" w:color="auto"/>
          </w:divBdr>
        </w:div>
        <w:div w:id="655257683">
          <w:marLeft w:val="0"/>
          <w:marRight w:val="0"/>
          <w:marTop w:val="0"/>
          <w:marBottom w:val="0"/>
          <w:divBdr>
            <w:top w:val="none" w:sz="0" w:space="0" w:color="auto"/>
            <w:left w:val="none" w:sz="0" w:space="0" w:color="auto"/>
            <w:bottom w:val="none" w:sz="0" w:space="0" w:color="auto"/>
            <w:right w:val="none" w:sz="0" w:space="0" w:color="auto"/>
          </w:divBdr>
          <w:divsChild>
            <w:div w:id="144399367">
              <w:marLeft w:val="0"/>
              <w:marRight w:val="0"/>
              <w:marTop w:val="0"/>
              <w:marBottom w:val="0"/>
              <w:divBdr>
                <w:top w:val="none" w:sz="0" w:space="0" w:color="auto"/>
                <w:left w:val="none" w:sz="0" w:space="0" w:color="auto"/>
                <w:bottom w:val="none" w:sz="0" w:space="0" w:color="auto"/>
                <w:right w:val="none" w:sz="0" w:space="0" w:color="auto"/>
              </w:divBdr>
            </w:div>
          </w:divsChild>
        </w:div>
        <w:div w:id="675033643">
          <w:marLeft w:val="0"/>
          <w:marRight w:val="0"/>
          <w:marTop w:val="0"/>
          <w:marBottom w:val="0"/>
          <w:divBdr>
            <w:top w:val="none" w:sz="0" w:space="0" w:color="auto"/>
            <w:left w:val="none" w:sz="0" w:space="0" w:color="auto"/>
            <w:bottom w:val="none" w:sz="0" w:space="0" w:color="auto"/>
            <w:right w:val="none" w:sz="0" w:space="0" w:color="auto"/>
          </w:divBdr>
          <w:divsChild>
            <w:div w:id="2061049395">
              <w:marLeft w:val="0"/>
              <w:marRight w:val="0"/>
              <w:marTop w:val="0"/>
              <w:marBottom w:val="0"/>
              <w:divBdr>
                <w:top w:val="none" w:sz="0" w:space="0" w:color="auto"/>
                <w:left w:val="none" w:sz="0" w:space="0" w:color="auto"/>
                <w:bottom w:val="none" w:sz="0" w:space="0" w:color="auto"/>
                <w:right w:val="none" w:sz="0" w:space="0" w:color="auto"/>
              </w:divBdr>
            </w:div>
          </w:divsChild>
        </w:div>
        <w:div w:id="676225070">
          <w:marLeft w:val="0"/>
          <w:marRight w:val="0"/>
          <w:marTop w:val="0"/>
          <w:marBottom w:val="0"/>
          <w:divBdr>
            <w:top w:val="none" w:sz="0" w:space="0" w:color="auto"/>
            <w:left w:val="none" w:sz="0" w:space="0" w:color="auto"/>
            <w:bottom w:val="none" w:sz="0" w:space="0" w:color="auto"/>
            <w:right w:val="none" w:sz="0" w:space="0" w:color="auto"/>
          </w:divBdr>
          <w:divsChild>
            <w:div w:id="1707825613">
              <w:marLeft w:val="0"/>
              <w:marRight w:val="0"/>
              <w:marTop w:val="0"/>
              <w:marBottom w:val="0"/>
              <w:divBdr>
                <w:top w:val="none" w:sz="0" w:space="0" w:color="auto"/>
                <w:left w:val="none" w:sz="0" w:space="0" w:color="auto"/>
                <w:bottom w:val="none" w:sz="0" w:space="0" w:color="auto"/>
                <w:right w:val="none" w:sz="0" w:space="0" w:color="auto"/>
              </w:divBdr>
            </w:div>
          </w:divsChild>
        </w:div>
        <w:div w:id="705375966">
          <w:marLeft w:val="0"/>
          <w:marRight w:val="0"/>
          <w:marTop w:val="0"/>
          <w:marBottom w:val="0"/>
          <w:divBdr>
            <w:top w:val="none" w:sz="0" w:space="0" w:color="auto"/>
            <w:left w:val="none" w:sz="0" w:space="0" w:color="auto"/>
            <w:bottom w:val="none" w:sz="0" w:space="0" w:color="auto"/>
            <w:right w:val="none" w:sz="0" w:space="0" w:color="auto"/>
          </w:divBdr>
          <w:divsChild>
            <w:div w:id="1203324063">
              <w:marLeft w:val="0"/>
              <w:marRight w:val="0"/>
              <w:marTop w:val="0"/>
              <w:marBottom w:val="0"/>
              <w:divBdr>
                <w:top w:val="none" w:sz="0" w:space="0" w:color="auto"/>
                <w:left w:val="none" w:sz="0" w:space="0" w:color="auto"/>
                <w:bottom w:val="none" w:sz="0" w:space="0" w:color="auto"/>
                <w:right w:val="none" w:sz="0" w:space="0" w:color="auto"/>
              </w:divBdr>
            </w:div>
          </w:divsChild>
        </w:div>
        <w:div w:id="791292825">
          <w:marLeft w:val="0"/>
          <w:marRight w:val="0"/>
          <w:marTop w:val="0"/>
          <w:marBottom w:val="0"/>
          <w:divBdr>
            <w:top w:val="none" w:sz="0" w:space="0" w:color="auto"/>
            <w:left w:val="none" w:sz="0" w:space="0" w:color="auto"/>
            <w:bottom w:val="none" w:sz="0" w:space="0" w:color="auto"/>
            <w:right w:val="none" w:sz="0" w:space="0" w:color="auto"/>
          </w:divBdr>
          <w:divsChild>
            <w:div w:id="2075615343">
              <w:marLeft w:val="0"/>
              <w:marRight w:val="0"/>
              <w:marTop w:val="0"/>
              <w:marBottom w:val="0"/>
              <w:divBdr>
                <w:top w:val="none" w:sz="0" w:space="0" w:color="auto"/>
                <w:left w:val="none" w:sz="0" w:space="0" w:color="auto"/>
                <w:bottom w:val="none" w:sz="0" w:space="0" w:color="auto"/>
                <w:right w:val="none" w:sz="0" w:space="0" w:color="auto"/>
              </w:divBdr>
            </w:div>
          </w:divsChild>
        </w:div>
        <w:div w:id="824667933">
          <w:marLeft w:val="0"/>
          <w:marRight w:val="0"/>
          <w:marTop w:val="0"/>
          <w:marBottom w:val="0"/>
          <w:divBdr>
            <w:top w:val="none" w:sz="0" w:space="0" w:color="auto"/>
            <w:left w:val="none" w:sz="0" w:space="0" w:color="auto"/>
            <w:bottom w:val="none" w:sz="0" w:space="0" w:color="auto"/>
            <w:right w:val="none" w:sz="0" w:space="0" w:color="auto"/>
          </w:divBdr>
          <w:divsChild>
            <w:div w:id="281307061">
              <w:marLeft w:val="0"/>
              <w:marRight w:val="0"/>
              <w:marTop w:val="0"/>
              <w:marBottom w:val="0"/>
              <w:divBdr>
                <w:top w:val="none" w:sz="0" w:space="0" w:color="auto"/>
                <w:left w:val="none" w:sz="0" w:space="0" w:color="auto"/>
                <w:bottom w:val="none" w:sz="0" w:space="0" w:color="auto"/>
                <w:right w:val="none" w:sz="0" w:space="0" w:color="auto"/>
              </w:divBdr>
            </w:div>
          </w:divsChild>
        </w:div>
        <w:div w:id="849875639">
          <w:marLeft w:val="0"/>
          <w:marRight w:val="0"/>
          <w:marTop w:val="0"/>
          <w:marBottom w:val="0"/>
          <w:divBdr>
            <w:top w:val="none" w:sz="0" w:space="0" w:color="auto"/>
            <w:left w:val="none" w:sz="0" w:space="0" w:color="auto"/>
            <w:bottom w:val="none" w:sz="0" w:space="0" w:color="auto"/>
            <w:right w:val="none" w:sz="0" w:space="0" w:color="auto"/>
          </w:divBdr>
          <w:divsChild>
            <w:div w:id="1489444994">
              <w:marLeft w:val="0"/>
              <w:marRight w:val="0"/>
              <w:marTop w:val="0"/>
              <w:marBottom w:val="0"/>
              <w:divBdr>
                <w:top w:val="none" w:sz="0" w:space="0" w:color="auto"/>
                <w:left w:val="none" w:sz="0" w:space="0" w:color="auto"/>
                <w:bottom w:val="none" w:sz="0" w:space="0" w:color="auto"/>
                <w:right w:val="none" w:sz="0" w:space="0" w:color="auto"/>
              </w:divBdr>
            </w:div>
          </w:divsChild>
        </w:div>
        <w:div w:id="876621560">
          <w:marLeft w:val="0"/>
          <w:marRight w:val="0"/>
          <w:marTop w:val="0"/>
          <w:marBottom w:val="0"/>
          <w:divBdr>
            <w:top w:val="none" w:sz="0" w:space="0" w:color="auto"/>
            <w:left w:val="none" w:sz="0" w:space="0" w:color="auto"/>
            <w:bottom w:val="none" w:sz="0" w:space="0" w:color="auto"/>
            <w:right w:val="none" w:sz="0" w:space="0" w:color="auto"/>
          </w:divBdr>
          <w:divsChild>
            <w:div w:id="696321412">
              <w:marLeft w:val="0"/>
              <w:marRight w:val="0"/>
              <w:marTop w:val="0"/>
              <w:marBottom w:val="0"/>
              <w:divBdr>
                <w:top w:val="none" w:sz="0" w:space="0" w:color="auto"/>
                <w:left w:val="none" w:sz="0" w:space="0" w:color="auto"/>
                <w:bottom w:val="none" w:sz="0" w:space="0" w:color="auto"/>
                <w:right w:val="none" w:sz="0" w:space="0" w:color="auto"/>
              </w:divBdr>
            </w:div>
          </w:divsChild>
        </w:div>
        <w:div w:id="879901601">
          <w:marLeft w:val="0"/>
          <w:marRight w:val="0"/>
          <w:marTop w:val="0"/>
          <w:marBottom w:val="0"/>
          <w:divBdr>
            <w:top w:val="none" w:sz="0" w:space="0" w:color="auto"/>
            <w:left w:val="none" w:sz="0" w:space="0" w:color="auto"/>
            <w:bottom w:val="none" w:sz="0" w:space="0" w:color="auto"/>
            <w:right w:val="none" w:sz="0" w:space="0" w:color="auto"/>
          </w:divBdr>
          <w:divsChild>
            <w:div w:id="1953242719">
              <w:marLeft w:val="0"/>
              <w:marRight w:val="0"/>
              <w:marTop w:val="0"/>
              <w:marBottom w:val="0"/>
              <w:divBdr>
                <w:top w:val="none" w:sz="0" w:space="0" w:color="auto"/>
                <w:left w:val="none" w:sz="0" w:space="0" w:color="auto"/>
                <w:bottom w:val="none" w:sz="0" w:space="0" w:color="auto"/>
                <w:right w:val="none" w:sz="0" w:space="0" w:color="auto"/>
              </w:divBdr>
            </w:div>
          </w:divsChild>
        </w:div>
        <w:div w:id="893392267">
          <w:marLeft w:val="0"/>
          <w:marRight w:val="0"/>
          <w:marTop w:val="0"/>
          <w:marBottom w:val="0"/>
          <w:divBdr>
            <w:top w:val="none" w:sz="0" w:space="0" w:color="auto"/>
            <w:left w:val="none" w:sz="0" w:space="0" w:color="auto"/>
            <w:bottom w:val="none" w:sz="0" w:space="0" w:color="auto"/>
            <w:right w:val="none" w:sz="0" w:space="0" w:color="auto"/>
          </w:divBdr>
          <w:divsChild>
            <w:div w:id="2066906135">
              <w:marLeft w:val="0"/>
              <w:marRight w:val="0"/>
              <w:marTop w:val="0"/>
              <w:marBottom w:val="0"/>
              <w:divBdr>
                <w:top w:val="none" w:sz="0" w:space="0" w:color="auto"/>
                <w:left w:val="none" w:sz="0" w:space="0" w:color="auto"/>
                <w:bottom w:val="none" w:sz="0" w:space="0" w:color="auto"/>
                <w:right w:val="none" w:sz="0" w:space="0" w:color="auto"/>
              </w:divBdr>
            </w:div>
          </w:divsChild>
        </w:div>
        <w:div w:id="896820230">
          <w:marLeft w:val="0"/>
          <w:marRight w:val="0"/>
          <w:marTop w:val="0"/>
          <w:marBottom w:val="0"/>
          <w:divBdr>
            <w:top w:val="none" w:sz="0" w:space="0" w:color="auto"/>
            <w:left w:val="none" w:sz="0" w:space="0" w:color="auto"/>
            <w:bottom w:val="none" w:sz="0" w:space="0" w:color="auto"/>
            <w:right w:val="none" w:sz="0" w:space="0" w:color="auto"/>
          </w:divBdr>
          <w:divsChild>
            <w:div w:id="756174047">
              <w:marLeft w:val="0"/>
              <w:marRight w:val="0"/>
              <w:marTop w:val="0"/>
              <w:marBottom w:val="0"/>
              <w:divBdr>
                <w:top w:val="none" w:sz="0" w:space="0" w:color="auto"/>
                <w:left w:val="none" w:sz="0" w:space="0" w:color="auto"/>
                <w:bottom w:val="none" w:sz="0" w:space="0" w:color="auto"/>
                <w:right w:val="none" w:sz="0" w:space="0" w:color="auto"/>
              </w:divBdr>
            </w:div>
          </w:divsChild>
        </w:div>
        <w:div w:id="984050045">
          <w:marLeft w:val="0"/>
          <w:marRight w:val="0"/>
          <w:marTop w:val="0"/>
          <w:marBottom w:val="0"/>
          <w:divBdr>
            <w:top w:val="none" w:sz="0" w:space="0" w:color="auto"/>
            <w:left w:val="none" w:sz="0" w:space="0" w:color="auto"/>
            <w:bottom w:val="none" w:sz="0" w:space="0" w:color="auto"/>
            <w:right w:val="none" w:sz="0" w:space="0" w:color="auto"/>
          </w:divBdr>
          <w:divsChild>
            <w:div w:id="1029187898">
              <w:marLeft w:val="0"/>
              <w:marRight w:val="0"/>
              <w:marTop w:val="0"/>
              <w:marBottom w:val="0"/>
              <w:divBdr>
                <w:top w:val="none" w:sz="0" w:space="0" w:color="auto"/>
                <w:left w:val="none" w:sz="0" w:space="0" w:color="auto"/>
                <w:bottom w:val="none" w:sz="0" w:space="0" w:color="auto"/>
                <w:right w:val="none" w:sz="0" w:space="0" w:color="auto"/>
              </w:divBdr>
            </w:div>
          </w:divsChild>
        </w:div>
        <w:div w:id="999845625">
          <w:marLeft w:val="0"/>
          <w:marRight w:val="0"/>
          <w:marTop w:val="0"/>
          <w:marBottom w:val="0"/>
          <w:divBdr>
            <w:top w:val="none" w:sz="0" w:space="0" w:color="auto"/>
            <w:left w:val="none" w:sz="0" w:space="0" w:color="auto"/>
            <w:bottom w:val="none" w:sz="0" w:space="0" w:color="auto"/>
            <w:right w:val="none" w:sz="0" w:space="0" w:color="auto"/>
          </w:divBdr>
        </w:div>
        <w:div w:id="1022584727">
          <w:marLeft w:val="0"/>
          <w:marRight w:val="0"/>
          <w:marTop w:val="0"/>
          <w:marBottom w:val="0"/>
          <w:divBdr>
            <w:top w:val="none" w:sz="0" w:space="0" w:color="auto"/>
            <w:left w:val="none" w:sz="0" w:space="0" w:color="auto"/>
            <w:bottom w:val="none" w:sz="0" w:space="0" w:color="auto"/>
            <w:right w:val="none" w:sz="0" w:space="0" w:color="auto"/>
          </w:divBdr>
          <w:divsChild>
            <w:div w:id="314265627">
              <w:marLeft w:val="0"/>
              <w:marRight w:val="0"/>
              <w:marTop w:val="0"/>
              <w:marBottom w:val="0"/>
              <w:divBdr>
                <w:top w:val="none" w:sz="0" w:space="0" w:color="auto"/>
                <w:left w:val="none" w:sz="0" w:space="0" w:color="auto"/>
                <w:bottom w:val="none" w:sz="0" w:space="0" w:color="auto"/>
                <w:right w:val="none" w:sz="0" w:space="0" w:color="auto"/>
              </w:divBdr>
            </w:div>
          </w:divsChild>
        </w:div>
        <w:div w:id="1108741174">
          <w:marLeft w:val="0"/>
          <w:marRight w:val="0"/>
          <w:marTop w:val="0"/>
          <w:marBottom w:val="0"/>
          <w:divBdr>
            <w:top w:val="none" w:sz="0" w:space="0" w:color="auto"/>
            <w:left w:val="none" w:sz="0" w:space="0" w:color="auto"/>
            <w:bottom w:val="none" w:sz="0" w:space="0" w:color="auto"/>
            <w:right w:val="none" w:sz="0" w:space="0" w:color="auto"/>
          </w:divBdr>
          <w:divsChild>
            <w:div w:id="1891913221">
              <w:marLeft w:val="0"/>
              <w:marRight w:val="0"/>
              <w:marTop w:val="0"/>
              <w:marBottom w:val="0"/>
              <w:divBdr>
                <w:top w:val="none" w:sz="0" w:space="0" w:color="auto"/>
                <w:left w:val="none" w:sz="0" w:space="0" w:color="auto"/>
                <w:bottom w:val="none" w:sz="0" w:space="0" w:color="auto"/>
                <w:right w:val="none" w:sz="0" w:space="0" w:color="auto"/>
              </w:divBdr>
            </w:div>
          </w:divsChild>
        </w:div>
        <w:div w:id="1154754919">
          <w:marLeft w:val="0"/>
          <w:marRight w:val="0"/>
          <w:marTop w:val="0"/>
          <w:marBottom w:val="0"/>
          <w:divBdr>
            <w:top w:val="none" w:sz="0" w:space="0" w:color="auto"/>
            <w:left w:val="none" w:sz="0" w:space="0" w:color="auto"/>
            <w:bottom w:val="none" w:sz="0" w:space="0" w:color="auto"/>
            <w:right w:val="none" w:sz="0" w:space="0" w:color="auto"/>
          </w:divBdr>
          <w:divsChild>
            <w:div w:id="174923933">
              <w:marLeft w:val="0"/>
              <w:marRight w:val="0"/>
              <w:marTop w:val="0"/>
              <w:marBottom w:val="0"/>
              <w:divBdr>
                <w:top w:val="none" w:sz="0" w:space="0" w:color="auto"/>
                <w:left w:val="none" w:sz="0" w:space="0" w:color="auto"/>
                <w:bottom w:val="none" w:sz="0" w:space="0" w:color="auto"/>
                <w:right w:val="none" w:sz="0" w:space="0" w:color="auto"/>
              </w:divBdr>
            </w:div>
          </w:divsChild>
        </w:div>
        <w:div w:id="1201631333">
          <w:marLeft w:val="0"/>
          <w:marRight w:val="0"/>
          <w:marTop w:val="0"/>
          <w:marBottom w:val="0"/>
          <w:divBdr>
            <w:top w:val="none" w:sz="0" w:space="0" w:color="auto"/>
            <w:left w:val="none" w:sz="0" w:space="0" w:color="auto"/>
            <w:bottom w:val="none" w:sz="0" w:space="0" w:color="auto"/>
            <w:right w:val="none" w:sz="0" w:space="0" w:color="auto"/>
          </w:divBdr>
          <w:divsChild>
            <w:div w:id="293415629">
              <w:marLeft w:val="0"/>
              <w:marRight w:val="0"/>
              <w:marTop w:val="0"/>
              <w:marBottom w:val="0"/>
              <w:divBdr>
                <w:top w:val="none" w:sz="0" w:space="0" w:color="auto"/>
                <w:left w:val="none" w:sz="0" w:space="0" w:color="auto"/>
                <w:bottom w:val="none" w:sz="0" w:space="0" w:color="auto"/>
                <w:right w:val="none" w:sz="0" w:space="0" w:color="auto"/>
              </w:divBdr>
            </w:div>
            <w:div w:id="432360445">
              <w:marLeft w:val="0"/>
              <w:marRight w:val="0"/>
              <w:marTop w:val="0"/>
              <w:marBottom w:val="0"/>
              <w:divBdr>
                <w:top w:val="none" w:sz="0" w:space="0" w:color="auto"/>
                <w:left w:val="none" w:sz="0" w:space="0" w:color="auto"/>
                <w:bottom w:val="none" w:sz="0" w:space="0" w:color="auto"/>
                <w:right w:val="none" w:sz="0" w:space="0" w:color="auto"/>
              </w:divBdr>
            </w:div>
            <w:div w:id="1050571663">
              <w:marLeft w:val="0"/>
              <w:marRight w:val="0"/>
              <w:marTop w:val="0"/>
              <w:marBottom w:val="0"/>
              <w:divBdr>
                <w:top w:val="none" w:sz="0" w:space="0" w:color="auto"/>
                <w:left w:val="none" w:sz="0" w:space="0" w:color="auto"/>
                <w:bottom w:val="none" w:sz="0" w:space="0" w:color="auto"/>
                <w:right w:val="none" w:sz="0" w:space="0" w:color="auto"/>
              </w:divBdr>
            </w:div>
            <w:div w:id="1756897099">
              <w:marLeft w:val="0"/>
              <w:marRight w:val="0"/>
              <w:marTop w:val="0"/>
              <w:marBottom w:val="0"/>
              <w:divBdr>
                <w:top w:val="none" w:sz="0" w:space="0" w:color="auto"/>
                <w:left w:val="none" w:sz="0" w:space="0" w:color="auto"/>
                <w:bottom w:val="none" w:sz="0" w:space="0" w:color="auto"/>
                <w:right w:val="none" w:sz="0" w:space="0" w:color="auto"/>
              </w:divBdr>
            </w:div>
          </w:divsChild>
        </w:div>
        <w:div w:id="1273588491">
          <w:marLeft w:val="0"/>
          <w:marRight w:val="0"/>
          <w:marTop w:val="0"/>
          <w:marBottom w:val="0"/>
          <w:divBdr>
            <w:top w:val="none" w:sz="0" w:space="0" w:color="auto"/>
            <w:left w:val="none" w:sz="0" w:space="0" w:color="auto"/>
            <w:bottom w:val="none" w:sz="0" w:space="0" w:color="auto"/>
            <w:right w:val="none" w:sz="0" w:space="0" w:color="auto"/>
          </w:divBdr>
          <w:divsChild>
            <w:div w:id="2109884363">
              <w:marLeft w:val="-75"/>
              <w:marRight w:val="0"/>
              <w:marTop w:val="30"/>
              <w:marBottom w:val="30"/>
              <w:divBdr>
                <w:top w:val="none" w:sz="0" w:space="0" w:color="auto"/>
                <w:left w:val="none" w:sz="0" w:space="0" w:color="auto"/>
                <w:bottom w:val="none" w:sz="0" w:space="0" w:color="auto"/>
                <w:right w:val="none" w:sz="0" w:space="0" w:color="auto"/>
              </w:divBdr>
              <w:divsChild>
                <w:div w:id="61224712">
                  <w:marLeft w:val="0"/>
                  <w:marRight w:val="0"/>
                  <w:marTop w:val="0"/>
                  <w:marBottom w:val="0"/>
                  <w:divBdr>
                    <w:top w:val="none" w:sz="0" w:space="0" w:color="auto"/>
                    <w:left w:val="none" w:sz="0" w:space="0" w:color="auto"/>
                    <w:bottom w:val="none" w:sz="0" w:space="0" w:color="auto"/>
                    <w:right w:val="none" w:sz="0" w:space="0" w:color="auto"/>
                  </w:divBdr>
                  <w:divsChild>
                    <w:div w:id="1096749684">
                      <w:marLeft w:val="0"/>
                      <w:marRight w:val="0"/>
                      <w:marTop w:val="0"/>
                      <w:marBottom w:val="0"/>
                      <w:divBdr>
                        <w:top w:val="none" w:sz="0" w:space="0" w:color="auto"/>
                        <w:left w:val="none" w:sz="0" w:space="0" w:color="auto"/>
                        <w:bottom w:val="none" w:sz="0" w:space="0" w:color="auto"/>
                        <w:right w:val="none" w:sz="0" w:space="0" w:color="auto"/>
                      </w:divBdr>
                    </w:div>
                  </w:divsChild>
                </w:div>
                <w:div w:id="95753554">
                  <w:marLeft w:val="0"/>
                  <w:marRight w:val="0"/>
                  <w:marTop w:val="0"/>
                  <w:marBottom w:val="0"/>
                  <w:divBdr>
                    <w:top w:val="none" w:sz="0" w:space="0" w:color="auto"/>
                    <w:left w:val="none" w:sz="0" w:space="0" w:color="auto"/>
                    <w:bottom w:val="none" w:sz="0" w:space="0" w:color="auto"/>
                    <w:right w:val="none" w:sz="0" w:space="0" w:color="auto"/>
                  </w:divBdr>
                  <w:divsChild>
                    <w:div w:id="996767445">
                      <w:marLeft w:val="0"/>
                      <w:marRight w:val="0"/>
                      <w:marTop w:val="0"/>
                      <w:marBottom w:val="0"/>
                      <w:divBdr>
                        <w:top w:val="none" w:sz="0" w:space="0" w:color="auto"/>
                        <w:left w:val="none" w:sz="0" w:space="0" w:color="auto"/>
                        <w:bottom w:val="none" w:sz="0" w:space="0" w:color="auto"/>
                        <w:right w:val="none" w:sz="0" w:space="0" w:color="auto"/>
                      </w:divBdr>
                    </w:div>
                  </w:divsChild>
                </w:div>
                <w:div w:id="140540136">
                  <w:marLeft w:val="0"/>
                  <w:marRight w:val="0"/>
                  <w:marTop w:val="0"/>
                  <w:marBottom w:val="0"/>
                  <w:divBdr>
                    <w:top w:val="none" w:sz="0" w:space="0" w:color="auto"/>
                    <w:left w:val="none" w:sz="0" w:space="0" w:color="auto"/>
                    <w:bottom w:val="none" w:sz="0" w:space="0" w:color="auto"/>
                    <w:right w:val="none" w:sz="0" w:space="0" w:color="auto"/>
                  </w:divBdr>
                  <w:divsChild>
                    <w:div w:id="2017803325">
                      <w:marLeft w:val="0"/>
                      <w:marRight w:val="0"/>
                      <w:marTop w:val="0"/>
                      <w:marBottom w:val="0"/>
                      <w:divBdr>
                        <w:top w:val="none" w:sz="0" w:space="0" w:color="auto"/>
                        <w:left w:val="none" w:sz="0" w:space="0" w:color="auto"/>
                        <w:bottom w:val="none" w:sz="0" w:space="0" w:color="auto"/>
                        <w:right w:val="none" w:sz="0" w:space="0" w:color="auto"/>
                      </w:divBdr>
                    </w:div>
                  </w:divsChild>
                </w:div>
                <w:div w:id="333920855">
                  <w:marLeft w:val="0"/>
                  <w:marRight w:val="0"/>
                  <w:marTop w:val="0"/>
                  <w:marBottom w:val="0"/>
                  <w:divBdr>
                    <w:top w:val="none" w:sz="0" w:space="0" w:color="auto"/>
                    <w:left w:val="none" w:sz="0" w:space="0" w:color="auto"/>
                    <w:bottom w:val="none" w:sz="0" w:space="0" w:color="auto"/>
                    <w:right w:val="none" w:sz="0" w:space="0" w:color="auto"/>
                  </w:divBdr>
                  <w:divsChild>
                    <w:div w:id="299117014">
                      <w:marLeft w:val="0"/>
                      <w:marRight w:val="0"/>
                      <w:marTop w:val="0"/>
                      <w:marBottom w:val="0"/>
                      <w:divBdr>
                        <w:top w:val="none" w:sz="0" w:space="0" w:color="auto"/>
                        <w:left w:val="none" w:sz="0" w:space="0" w:color="auto"/>
                        <w:bottom w:val="none" w:sz="0" w:space="0" w:color="auto"/>
                        <w:right w:val="none" w:sz="0" w:space="0" w:color="auto"/>
                      </w:divBdr>
                    </w:div>
                  </w:divsChild>
                </w:div>
                <w:div w:id="443617820">
                  <w:marLeft w:val="0"/>
                  <w:marRight w:val="0"/>
                  <w:marTop w:val="0"/>
                  <w:marBottom w:val="0"/>
                  <w:divBdr>
                    <w:top w:val="none" w:sz="0" w:space="0" w:color="auto"/>
                    <w:left w:val="none" w:sz="0" w:space="0" w:color="auto"/>
                    <w:bottom w:val="none" w:sz="0" w:space="0" w:color="auto"/>
                    <w:right w:val="none" w:sz="0" w:space="0" w:color="auto"/>
                  </w:divBdr>
                  <w:divsChild>
                    <w:div w:id="1536962153">
                      <w:marLeft w:val="0"/>
                      <w:marRight w:val="0"/>
                      <w:marTop w:val="0"/>
                      <w:marBottom w:val="0"/>
                      <w:divBdr>
                        <w:top w:val="none" w:sz="0" w:space="0" w:color="auto"/>
                        <w:left w:val="none" w:sz="0" w:space="0" w:color="auto"/>
                        <w:bottom w:val="none" w:sz="0" w:space="0" w:color="auto"/>
                        <w:right w:val="none" w:sz="0" w:space="0" w:color="auto"/>
                      </w:divBdr>
                    </w:div>
                  </w:divsChild>
                </w:div>
                <w:div w:id="498469833">
                  <w:marLeft w:val="0"/>
                  <w:marRight w:val="0"/>
                  <w:marTop w:val="0"/>
                  <w:marBottom w:val="0"/>
                  <w:divBdr>
                    <w:top w:val="none" w:sz="0" w:space="0" w:color="auto"/>
                    <w:left w:val="none" w:sz="0" w:space="0" w:color="auto"/>
                    <w:bottom w:val="none" w:sz="0" w:space="0" w:color="auto"/>
                    <w:right w:val="none" w:sz="0" w:space="0" w:color="auto"/>
                  </w:divBdr>
                  <w:divsChild>
                    <w:div w:id="38089889">
                      <w:marLeft w:val="0"/>
                      <w:marRight w:val="0"/>
                      <w:marTop w:val="0"/>
                      <w:marBottom w:val="0"/>
                      <w:divBdr>
                        <w:top w:val="none" w:sz="0" w:space="0" w:color="auto"/>
                        <w:left w:val="none" w:sz="0" w:space="0" w:color="auto"/>
                        <w:bottom w:val="none" w:sz="0" w:space="0" w:color="auto"/>
                        <w:right w:val="none" w:sz="0" w:space="0" w:color="auto"/>
                      </w:divBdr>
                    </w:div>
                  </w:divsChild>
                </w:div>
                <w:div w:id="553126576">
                  <w:marLeft w:val="0"/>
                  <w:marRight w:val="0"/>
                  <w:marTop w:val="0"/>
                  <w:marBottom w:val="0"/>
                  <w:divBdr>
                    <w:top w:val="none" w:sz="0" w:space="0" w:color="auto"/>
                    <w:left w:val="none" w:sz="0" w:space="0" w:color="auto"/>
                    <w:bottom w:val="none" w:sz="0" w:space="0" w:color="auto"/>
                    <w:right w:val="none" w:sz="0" w:space="0" w:color="auto"/>
                  </w:divBdr>
                  <w:divsChild>
                    <w:div w:id="359815799">
                      <w:marLeft w:val="0"/>
                      <w:marRight w:val="0"/>
                      <w:marTop w:val="0"/>
                      <w:marBottom w:val="0"/>
                      <w:divBdr>
                        <w:top w:val="none" w:sz="0" w:space="0" w:color="auto"/>
                        <w:left w:val="none" w:sz="0" w:space="0" w:color="auto"/>
                        <w:bottom w:val="none" w:sz="0" w:space="0" w:color="auto"/>
                        <w:right w:val="none" w:sz="0" w:space="0" w:color="auto"/>
                      </w:divBdr>
                    </w:div>
                  </w:divsChild>
                </w:div>
                <w:div w:id="578905071">
                  <w:marLeft w:val="0"/>
                  <w:marRight w:val="0"/>
                  <w:marTop w:val="0"/>
                  <w:marBottom w:val="0"/>
                  <w:divBdr>
                    <w:top w:val="none" w:sz="0" w:space="0" w:color="auto"/>
                    <w:left w:val="none" w:sz="0" w:space="0" w:color="auto"/>
                    <w:bottom w:val="none" w:sz="0" w:space="0" w:color="auto"/>
                    <w:right w:val="none" w:sz="0" w:space="0" w:color="auto"/>
                  </w:divBdr>
                  <w:divsChild>
                    <w:div w:id="1585608159">
                      <w:marLeft w:val="0"/>
                      <w:marRight w:val="0"/>
                      <w:marTop w:val="0"/>
                      <w:marBottom w:val="0"/>
                      <w:divBdr>
                        <w:top w:val="none" w:sz="0" w:space="0" w:color="auto"/>
                        <w:left w:val="none" w:sz="0" w:space="0" w:color="auto"/>
                        <w:bottom w:val="none" w:sz="0" w:space="0" w:color="auto"/>
                        <w:right w:val="none" w:sz="0" w:space="0" w:color="auto"/>
                      </w:divBdr>
                    </w:div>
                  </w:divsChild>
                </w:div>
                <w:div w:id="662121796">
                  <w:marLeft w:val="0"/>
                  <w:marRight w:val="0"/>
                  <w:marTop w:val="0"/>
                  <w:marBottom w:val="0"/>
                  <w:divBdr>
                    <w:top w:val="none" w:sz="0" w:space="0" w:color="auto"/>
                    <w:left w:val="none" w:sz="0" w:space="0" w:color="auto"/>
                    <w:bottom w:val="none" w:sz="0" w:space="0" w:color="auto"/>
                    <w:right w:val="none" w:sz="0" w:space="0" w:color="auto"/>
                  </w:divBdr>
                  <w:divsChild>
                    <w:div w:id="122771400">
                      <w:marLeft w:val="0"/>
                      <w:marRight w:val="0"/>
                      <w:marTop w:val="0"/>
                      <w:marBottom w:val="0"/>
                      <w:divBdr>
                        <w:top w:val="none" w:sz="0" w:space="0" w:color="auto"/>
                        <w:left w:val="none" w:sz="0" w:space="0" w:color="auto"/>
                        <w:bottom w:val="none" w:sz="0" w:space="0" w:color="auto"/>
                        <w:right w:val="none" w:sz="0" w:space="0" w:color="auto"/>
                      </w:divBdr>
                    </w:div>
                  </w:divsChild>
                </w:div>
                <w:div w:id="872811433">
                  <w:marLeft w:val="0"/>
                  <w:marRight w:val="0"/>
                  <w:marTop w:val="0"/>
                  <w:marBottom w:val="0"/>
                  <w:divBdr>
                    <w:top w:val="none" w:sz="0" w:space="0" w:color="auto"/>
                    <w:left w:val="none" w:sz="0" w:space="0" w:color="auto"/>
                    <w:bottom w:val="none" w:sz="0" w:space="0" w:color="auto"/>
                    <w:right w:val="none" w:sz="0" w:space="0" w:color="auto"/>
                  </w:divBdr>
                  <w:divsChild>
                    <w:div w:id="446582837">
                      <w:marLeft w:val="0"/>
                      <w:marRight w:val="0"/>
                      <w:marTop w:val="0"/>
                      <w:marBottom w:val="0"/>
                      <w:divBdr>
                        <w:top w:val="none" w:sz="0" w:space="0" w:color="auto"/>
                        <w:left w:val="none" w:sz="0" w:space="0" w:color="auto"/>
                        <w:bottom w:val="none" w:sz="0" w:space="0" w:color="auto"/>
                        <w:right w:val="none" w:sz="0" w:space="0" w:color="auto"/>
                      </w:divBdr>
                    </w:div>
                  </w:divsChild>
                </w:div>
                <w:div w:id="881745378">
                  <w:marLeft w:val="0"/>
                  <w:marRight w:val="0"/>
                  <w:marTop w:val="0"/>
                  <w:marBottom w:val="0"/>
                  <w:divBdr>
                    <w:top w:val="none" w:sz="0" w:space="0" w:color="auto"/>
                    <w:left w:val="none" w:sz="0" w:space="0" w:color="auto"/>
                    <w:bottom w:val="none" w:sz="0" w:space="0" w:color="auto"/>
                    <w:right w:val="none" w:sz="0" w:space="0" w:color="auto"/>
                  </w:divBdr>
                  <w:divsChild>
                    <w:div w:id="1147743997">
                      <w:marLeft w:val="0"/>
                      <w:marRight w:val="0"/>
                      <w:marTop w:val="0"/>
                      <w:marBottom w:val="0"/>
                      <w:divBdr>
                        <w:top w:val="none" w:sz="0" w:space="0" w:color="auto"/>
                        <w:left w:val="none" w:sz="0" w:space="0" w:color="auto"/>
                        <w:bottom w:val="none" w:sz="0" w:space="0" w:color="auto"/>
                        <w:right w:val="none" w:sz="0" w:space="0" w:color="auto"/>
                      </w:divBdr>
                    </w:div>
                  </w:divsChild>
                </w:div>
                <w:div w:id="985623642">
                  <w:marLeft w:val="0"/>
                  <w:marRight w:val="0"/>
                  <w:marTop w:val="0"/>
                  <w:marBottom w:val="0"/>
                  <w:divBdr>
                    <w:top w:val="none" w:sz="0" w:space="0" w:color="auto"/>
                    <w:left w:val="none" w:sz="0" w:space="0" w:color="auto"/>
                    <w:bottom w:val="none" w:sz="0" w:space="0" w:color="auto"/>
                    <w:right w:val="none" w:sz="0" w:space="0" w:color="auto"/>
                  </w:divBdr>
                  <w:divsChild>
                    <w:div w:id="1215317108">
                      <w:marLeft w:val="0"/>
                      <w:marRight w:val="0"/>
                      <w:marTop w:val="0"/>
                      <w:marBottom w:val="0"/>
                      <w:divBdr>
                        <w:top w:val="none" w:sz="0" w:space="0" w:color="auto"/>
                        <w:left w:val="none" w:sz="0" w:space="0" w:color="auto"/>
                        <w:bottom w:val="none" w:sz="0" w:space="0" w:color="auto"/>
                        <w:right w:val="none" w:sz="0" w:space="0" w:color="auto"/>
                      </w:divBdr>
                    </w:div>
                  </w:divsChild>
                </w:div>
                <w:div w:id="1071778672">
                  <w:marLeft w:val="0"/>
                  <w:marRight w:val="0"/>
                  <w:marTop w:val="0"/>
                  <w:marBottom w:val="0"/>
                  <w:divBdr>
                    <w:top w:val="none" w:sz="0" w:space="0" w:color="auto"/>
                    <w:left w:val="none" w:sz="0" w:space="0" w:color="auto"/>
                    <w:bottom w:val="none" w:sz="0" w:space="0" w:color="auto"/>
                    <w:right w:val="none" w:sz="0" w:space="0" w:color="auto"/>
                  </w:divBdr>
                  <w:divsChild>
                    <w:div w:id="1799951029">
                      <w:marLeft w:val="0"/>
                      <w:marRight w:val="0"/>
                      <w:marTop w:val="0"/>
                      <w:marBottom w:val="0"/>
                      <w:divBdr>
                        <w:top w:val="none" w:sz="0" w:space="0" w:color="auto"/>
                        <w:left w:val="none" w:sz="0" w:space="0" w:color="auto"/>
                        <w:bottom w:val="none" w:sz="0" w:space="0" w:color="auto"/>
                        <w:right w:val="none" w:sz="0" w:space="0" w:color="auto"/>
                      </w:divBdr>
                    </w:div>
                  </w:divsChild>
                </w:div>
                <w:div w:id="1246961773">
                  <w:marLeft w:val="0"/>
                  <w:marRight w:val="0"/>
                  <w:marTop w:val="0"/>
                  <w:marBottom w:val="0"/>
                  <w:divBdr>
                    <w:top w:val="none" w:sz="0" w:space="0" w:color="auto"/>
                    <w:left w:val="none" w:sz="0" w:space="0" w:color="auto"/>
                    <w:bottom w:val="none" w:sz="0" w:space="0" w:color="auto"/>
                    <w:right w:val="none" w:sz="0" w:space="0" w:color="auto"/>
                  </w:divBdr>
                  <w:divsChild>
                    <w:div w:id="1411655708">
                      <w:marLeft w:val="0"/>
                      <w:marRight w:val="0"/>
                      <w:marTop w:val="0"/>
                      <w:marBottom w:val="0"/>
                      <w:divBdr>
                        <w:top w:val="none" w:sz="0" w:space="0" w:color="auto"/>
                        <w:left w:val="none" w:sz="0" w:space="0" w:color="auto"/>
                        <w:bottom w:val="none" w:sz="0" w:space="0" w:color="auto"/>
                        <w:right w:val="none" w:sz="0" w:space="0" w:color="auto"/>
                      </w:divBdr>
                    </w:div>
                  </w:divsChild>
                </w:div>
                <w:div w:id="1269238866">
                  <w:marLeft w:val="0"/>
                  <w:marRight w:val="0"/>
                  <w:marTop w:val="0"/>
                  <w:marBottom w:val="0"/>
                  <w:divBdr>
                    <w:top w:val="none" w:sz="0" w:space="0" w:color="auto"/>
                    <w:left w:val="none" w:sz="0" w:space="0" w:color="auto"/>
                    <w:bottom w:val="none" w:sz="0" w:space="0" w:color="auto"/>
                    <w:right w:val="none" w:sz="0" w:space="0" w:color="auto"/>
                  </w:divBdr>
                  <w:divsChild>
                    <w:div w:id="85613830">
                      <w:marLeft w:val="0"/>
                      <w:marRight w:val="0"/>
                      <w:marTop w:val="0"/>
                      <w:marBottom w:val="0"/>
                      <w:divBdr>
                        <w:top w:val="none" w:sz="0" w:space="0" w:color="auto"/>
                        <w:left w:val="none" w:sz="0" w:space="0" w:color="auto"/>
                        <w:bottom w:val="none" w:sz="0" w:space="0" w:color="auto"/>
                        <w:right w:val="none" w:sz="0" w:space="0" w:color="auto"/>
                      </w:divBdr>
                    </w:div>
                  </w:divsChild>
                </w:div>
                <w:div w:id="1275359500">
                  <w:marLeft w:val="0"/>
                  <w:marRight w:val="0"/>
                  <w:marTop w:val="0"/>
                  <w:marBottom w:val="0"/>
                  <w:divBdr>
                    <w:top w:val="none" w:sz="0" w:space="0" w:color="auto"/>
                    <w:left w:val="none" w:sz="0" w:space="0" w:color="auto"/>
                    <w:bottom w:val="none" w:sz="0" w:space="0" w:color="auto"/>
                    <w:right w:val="none" w:sz="0" w:space="0" w:color="auto"/>
                  </w:divBdr>
                  <w:divsChild>
                    <w:div w:id="1002321025">
                      <w:marLeft w:val="0"/>
                      <w:marRight w:val="0"/>
                      <w:marTop w:val="0"/>
                      <w:marBottom w:val="0"/>
                      <w:divBdr>
                        <w:top w:val="none" w:sz="0" w:space="0" w:color="auto"/>
                        <w:left w:val="none" w:sz="0" w:space="0" w:color="auto"/>
                        <w:bottom w:val="none" w:sz="0" w:space="0" w:color="auto"/>
                        <w:right w:val="none" w:sz="0" w:space="0" w:color="auto"/>
                      </w:divBdr>
                    </w:div>
                  </w:divsChild>
                </w:div>
                <w:div w:id="1289698214">
                  <w:marLeft w:val="0"/>
                  <w:marRight w:val="0"/>
                  <w:marTop w:val="0"/>
                  <w:marBottom w:val="0"/>
                  <w:divBdr>
                    <w:top w:val="none" w:sz="0" w:space="0" w:color="auto"/>
                    <w:left w:val="none" w:sz="0" w:space="0" w:color="auto"/>
                    <w:bottom w:val="none" w:sz="0" w:space="0" w:color="auto"/>
                    <w:right w:val="none" w:sz="0" w:space="0" w:color="auto"/>
                  </w:divBdr>
                  <w:divsChild>
                    <w:div w:id="1613434009">
                      <w:marLeft w:val="0"/>
                      <w:marRight w:val="0"/>
                      <w:marTop w:val="0"/>
                      <w:marBottom w:val="0"/>
                      <w:divBdr>
                        <w:top w:val="none" w:sz="0" w:space="0" w:color="auto"/>
                        <w:left w:val="none" w:sz="0" w:space="0" w:color="auto"/>
                        <w:bottom w:val="none" w:sz="0" w:space="0" w:color="auto"/>
                        <w:right w:val="none" w:sz="0" w:space="0" w:color="auto"/>
                      </w:divBdr>
                    </w:div>
                  </w:divsChild>
                </w:div>
                <w:div w:id="1404182837">
                  <w:marLeft w:val="0"/>
                  <w:marRight w:val="0"/>
                  <w:marTop w:val="0"/>
                  <w:marBottom w:val="0"/>
                  <w:divBdr>
                    <w:top w:val="none" w:sz="0" w:space="0" w:color="auto"/>
                    <w:left w:val="none" w:sz="0" w:space="0" w:color="auto"/>
                    <w:bottom w:val="none" w:sz="0" w:space="0" w:color="auto"/>
                    <w:right w:val="none" w:sz="0" w:space="0" w:color="auto"/>
                  </w:divBdr>
                  <w:divsChild>
                    <w:div w:id="1959801278">
                      <w:marLeft w:val="0"/>
                      <w:marRight w:val="0"/>
                      <w:marTop w:val="0"/>
                      <w:marBottom w:val="0"/>
                      <w:divBdr>
                        <w:top w:val="none" w:sz="0" w:space="0" w:color="auto"/>
                        <w:left w:val="none" w:sz="0" w:space="0" w:color="auto"/>
                        <w:bottom w:val="none" w:sz="0" w:space="0" w:color="auto"/>
                        <w:right w:val="none" w:sz="0" w:space="0" w:color="auto"/>
                      </w:divBdr>
                    </w:div>
                  </w:divsChild>
                </w:div>
                <w:div w:id="1451126398">
                  <w:marLeft w:val="0"/>
                  <w:marRight w:val="0"/>
                  <w:marTop w:val="0"/>
                  <w:marBottom w:val="0"/>
                  <w:divBdr>
                    <w:top w:val="none" w:sz="0" w:space="0" w:color="auto"/>
                    <w:left w:val="none" w:sz="0" w:space="0" w:color="auto"/>
                    <w:bottom w:val="none" w:sz="0" w:space="0" w:color="auto"/>
                    <w:right w:val="none" w:sz="0" w:space="0" w:color="auto"/>
                  </w:divBdr>
                  <w:divsChild>
                    <w:div w:id="894049161">
                      <w:marLeft w:val="0"/>
                      <w:marRight w:val="0"/>
                      <w:marTop w:val="0"/>
                      <w:marBottom w:val="0"/>
                      <w:divBdr>
                        <w:top w:val="none" w:sz="0" w:space="0" w:color="auto"/>
                        <w:left w:val="none" w:sz="0" w:space="0" w:color="auto"/>
                        <w:bottom w:val="none" w:sz="0" w:space="0" w:color="auto"/>
                        <w:right w:val="none" w:sz="0" w:space="0" w:color="auto"/>
                      </w:divBdr>
                    </w:div>
                  </w:divsChild>
                </w:div>
                <w:div w:id="1461070446">
                  <w:marLeft w:val="0"/>
                  <w:marRight w:val="0"/>
                  <w:marTop w:val="0"/>
                  <w:marBottom w:val="0"/>
                  <w:divBdr>
                    <w:top w:val="none" w:sz="0" w:space="0" w:color="auto"/>
                    <w:left w:val="none" w:sz="0" w:space="0" w:color="auto"/>
                    <w:bottom w:val="none" w:sz="0" w:space="0" w:color="auto"/>
                    <w:right w:val="none" w:sz="0" w:space="0" w:color="auto"/>
                  </w:divBdr>
                  <w:divsChild>
                    <w:div w:id="1524245178">
                      <w:marLeft w:val="0"/>
                      <w:marRight w:val="0"/>
                      <w:marTop w:val="0"/>
                      <w:marBottom w:val="0"/>
                      <w:divBdr>
                        <w:top w:val="none" w:sz="0" w:space="0" w:color="auto"/>
                        <w:left w:val="none" w:sz="0" w:space="0" w:color="auto"/>
                        <w:bottom w:val="none" w:sz="0" w:space="0" w:color="auto"/>
                        <w:right w:val="none" w:sz="0" w:space="0" w:color="auto"/>
                      </w:divBdr>
                    </w:div>
                  </w:divsChild>
                </w:div>
                <w:div w:id="1531727252">
                  <w:marLeft w:val="0"/>
                  <w:marRight w:val="0"/>
                  <w:marTop w:val="0"/>
                  <w:marBottom w:val="0"/>
                  <w:divBdr>
                    <w:top w:val="none" w:sz="0" w:space="0" w:color="auto"/>
                    <w:left w:val="none" w:sz="0" w:space="0" w:color="auto"/>
                    <w:bottom w:val="none" w:sz="0" w:space="0" w:color="auto"/>
                    <w:right w:val="none" w:sz="0" w:space="0" w:color="auto"/>
                  </w:divBdr>
                  <w:divsChild>
                    <w:div w:id="1488935254">
                      <w:marLeft w:val="0"/>
                      <w:marRight w:val="0"/>
                      <w:marTop w:val="0"/>
                      <w:marBottom w:val="0"/>
                      <w:divBdr>
                        <w:top w:val="none" w:sz="0" w:space="0" w:color="auto"/>
                        <w:left w:val="none" w:sz="0" w:space="0" w:color="auto"/>
                        <w:bottom w:val="none" w:sz="0" w:space="0" w:color="auto"/>
                        <w:right w:val="none" w:sz="0" w:space="0" w:color="auto"/>
                      </w:divBdr>
                    </w:div>
                  </w:divsChild>
                </w:div>
                <w:div w:id="1572426957">
                  <w:marLeft w:val="0"/>
                  <w:marRight w:val="0"/>
                  <w:marTop w:val="0"/>
                  <w:marBottom w:val="0"/>
                  <w:divBdr>
                    <w:top w:val="none" w:sz="0" w:space="0" w:color="auto"/>
                    <w:left w:val="none" w:sz="0" w:space="0" w:color="auto"/>
                    <w:bottom w:val="none" w:sz="0" w:space="0" w:color="auto"/>
                    <w:right w:val="none" w:sz="0" w:space="0" w:color="auto"/>
                  </w:divBdr>
                  <w:divsChild>
                    <w:div w:id="1484159247">
                      <w:marLeft w:val="0"/>
                      <w:marRight w:val="0"/>
                      <w:marTop w:val="0"/>
                      <w:marBottom w:val="0"/>
                      <w:divBdr>
                        <w:top w:val="none" w:sz="0" w:space="0" w:color="auto"/>
                        <w:left w:val="none" w:sz="0" w:space="0" w:color="auto"/>
                        <w:bottom w:val="none" w:sz="0" w:space="0" w:color="auto"/>
                        <w:right w:val="none" w:sz="0" w:space="0" w:color="auto"/>
                      </w:divBdr>
                    </w:div>
                  </w:divsChild>
                </w:div>
                <w:div w:id="1747334478">
                  <w:marLeft w:val="0"/>
                  <w:marRight w:val="0"/>
                  <w:marTop w:val="0"/>
                  <w:marBottom w:val="0"/>
                  <w:divBdr>
                    <w:top w:val="none" w:sz="0" w:space="0" w:color="auto"/>
                    <w:left w:val="none" w:sz="0" w:space="0" w:color="auto"/>
                    <w:bottom w:val="none" w:sz="0" w:space="0" w:color="auto"/>
                    <w:right w:val="none" w:sz="0" w:space="0" w:color="auto"/>
                  </w:divBdr>
                  <w:divsChild>
                    <w:div w:id="684598541">
                      <w:marLeft w:val="0"/>
                      <w:marRight w:val="0"/>
                      <w:marTop w:val="0"/>
                      <w:marBottom w:val="0"/>
                      <w:divBdr>
                        <w:top w:val="none" w:sz="0" w:space="0" w:color="auto"/>
                        <w:left w:val="none" w:sz="0" w:space="0" w:color="auto"/>
                        <w:bottom w:val="none" w:sz="0" w:space="0" w:color="auto"/>
                        <w:right w:val="none" w:sz="0" w:space="0" w:color="auto"/>
                      </w:divBdr>
                    </w:div>
                  </w:divsChild>
                </w:div>
                <w:div w:id="1783955598">
                  <w:marLeft w:val="0"/>
                  <w:marRight w:val="0"/>
                  <w:marTop w:val="0"/>
                  <w:marBottom w:val="0"/>
                  <w:divBdr>
                    <w:top w:val="none" w:sz="0" w:space="0" w:color="auto"/>
                    <w:left w:val="none" w:sz="0" w:space="0" w:color="auto"/>
                    <w:bottom w:val="none" w:sz="0" w:space="0" w:color="auto"/>
                    <w:right w:val="none" w:sz="0" w:space="0" w:color="auto"/>
                  </w:divBdr>
                  <w:divsChild>
                    <w:div w:id="944388506">
                      <w:marLeft w:val="0"/>
                      <w:marRight w:val="0"/>
                      <w:marTop w:val="0"/>
                      <w:marBottom w:val="0"/>
                      <w:divBdr>
                        <w:top w:val="none" w:sz="0" w:space="0" w:color="auto"/>
                        <w:left w:val="none" w:sz="0" w:space="0" w:color="auto"/>
                        <w:bottom w:val="none" w:sz="0" w:space="0" w:color="auto"/>
                        <w:right w:val="none" w:sz="0" w:space="0" w:color="auto"/>
                      </w:divBdr>
                    </w:div>
                  </w:divsChild>
                </w:div>
                <w:div w:id="1815444731">
                  <w:marLeft w:val="0"/>
                  <w:marRight w:val="0"/>
                  <w:marTop w:val="0"/>
                  <w:marBottom w:val="0"/>
                  <w:divBdr>
                    <w:top w:val="none" w:sz="0" w:space="0" w:color="auto"/>
                    <w:left w:val="none" w:sz="0" w:space="0" w:color="auto"/>
                    <w:bottom w:val="none" w:sz="0" w:space="0" w:color="auto"/>
                    <w:right w:val="none" w:sz="0" w:space="0" w:color="auto"/>
                  </w:divBdr>
                  <w:divsChild>
                    <w:div w:id="648172346">
                      <w:marLeft w:val="0"/>
                      <w:marRight w:val="0"/>
                      <w:marTop w:val="0"/>
                      <w:marBottom w:val="0"/>
                      <w:divBdr>
                        <w:top w:val="none" w:sz="0" w:space="0" w:color="auto"/>
                        <w:left w:val="none" w:sz="0" w:space="0" w:color="auto"/>
                        <w:bottom w:val="none" w:sz="0" w:space="0" w:color="auto"/>
                        <w:right w:val="none" w:sz="0" w:space="0" w:color="auto"/>
                      </w:divBdr>
                    </w:div>
                  </w:divsChild>
                </w:div>
                <w:div w:id="1831477337">
                  <w:marLeft w:val="0"/>
                  <w:marRight w:val="0"/>
                  <w:marTop w:val="0"/>
                  <w:marBottom w:val="0"/>
                  <w:divBdr>
                    <w:top w:val="none" w:sz="0" w:space="0" w:color="auto"/>
                    <w:left w:val="none" w:sz="0" w:space="0" w:color="auto"/>
                    <w:bottom w:val="none" w:sz="0" w:space="0" w:color="auto"/>
                    <w:right w:val="none" w:sz="0" w:space="0" w:color="auto"/>
                  </w:divBdr>
                  <w:divsChild>
                    <w:div w:id="1998924469">
                      <w:marLeft w:val="0"/>
                      <w:marRight w:val="0"/>
                      <w:marTop w:val="0"/>
                      <w:marBottom w:val="0"/>
                      <w:divBdr>
                        <w:top w:val="none" w:sz="0" w:space="0" w:color="auto"/>
                        <w:left w:val="none" w:sz="0" w:space="0" w:color="auto"/>
                        <w:bottom w:val="none" w:sz="0" w:space="0" w:color="auto"/>
                        <w:right w:val="none" w:sz="0" w:space="0" w:color="auto"/>
                      </w:divBdr>
                    </w:div>
                  </w:divsChild>
                </w:div>
                <w:div w:id="1853494734">
                  <w:marLeft w:val="0"/>
                  <w:marRight w:val="0"/>
                  <w:marTop w:val="0"/>
                  <w:marBottom w:val="0"/>
                  <w:divBdr>
                    <w:top w:val="none" w:sz="0" w:space="0" w:color="auto"/>
                    <w:left w:val="none" w:sz="0" w:space="0" w:color="auto"/>
                    <w:bottom w:val="none" w:sz="0" w:space="0" w:color="auto"/>
                    <w:right w:val="none" w:sz="0" w:space="0" w:color="auto"/>
                  </w:divBdr>
                  <w:divsChild>
                    <w:div w:id="236601094">
                      <w:marLeft w:val="0"/>
                      <w:marRight w:val="0"/>
                      <w:marTop w:val="0"/>
                      <w:marBottom w:val="0"/>
                      <w:divBdr>
                        <w:top w:val="none" w:sz="0" w:space="0" w:color="auto"/>
                        <w:left w:val="none" w:sz="0" w:space="0" w:color="auto"/>
                        <w:bottom w:val="none" w:sz="0" w:space="0" w:color="auto"/>
                        <w:right w:val="none" w:sz="0" w:space="0" w:color="auto"/>
                      </w:divBdr>
                    </w:div>
                  </w:divsChild>
                </w:div>
                <w:div w:id="1878660770">
                  <w:marLeft w:val="0"/>
                  <w:marRight w:val="0"/>
                  <w:marTop w:val="0"/>
                  <w:marBottom w:val="0"/>
                  <w:divBdr>
                    <w:top w:val="none" w:sz="0" w:space="0" w:color="auto"/>
                    <w:left w:val="none" w:sz="0" w:space="0" w:color="auto"/>
                    <w:bottom w:val="none" w:sz="0" w:space="0" w:color="auto"/>
                    <w:right w:val="none" w:sz="0" w:space="0" w:color="auto"/>
                  </w:divBdr>
                  <w:divsChild>
                    <w:div w:id="153765552">
                      <w:marLeft w:val="0"/>
                      <w:marRight w:val="0"/>
                      <w:marTop w:val="0"/>
                      <w:marBottom w:val="0"/>
                      <w:divBdr>
                        <w:top w:val="none" w:sz="0" w:space="0" w:color="auto"/>
                        <w:left w:val="none" w:sz="0" w:space="0" w:color="auto"/>
                        <w:bottom w:val="none" w:sz="0" w:space="0" w:color="auto"/>
                        <w:right w:val="none" w:sz="0" w:space="0" w:color="auto"/>
                      </w:divBdr>
                    </w:div>
                  </w:divsChild>
                </w:div>
                <w:div w:id="1881168766">
                  <w:marLeft w:val="0"/>
                  <w:marRight w:val="0"/>
                  <w:marTop w:val="0"/>
                  <w:marBottom w:val="0"/>
                  <w:divBdr>
                    <w:top w:val="none" w:sz="0" w:space="0" w:color="auto"/>
                    <w:left w:val="none" w:sz="0" w:space="0" w:color="auto"/>
                    <w:bottom w:val="none" w:sz="0" w:space="0" w:color="auto"/>
                    <w:right w:val="none" w:sz="0" w:space="0" w:color="auto"/>
                  </w:divBdr>
                  <w:divsChild>
                    <w:div w:id="1335768728">
                      <w:marLeft w:val="0"/>
                      <w:marRight w:val="0"/>
                      <w:marTop w:val="0"/>
                      <w:marBottom w:val="0"/>
                      <w:divBdr>
                        <w:top w:val="none" w:sz="0" w:space="0" w:color="auto"/>
                        <w:left w:val="none" w:sz="0" w:space="0" w:color="auto"/>
                        <w:bottom w:val="none" w:sz="0" w:space="0" w:color="auto"/>
                        <w:right w:val="none" w:sz="0" w:space="0" w:color="auto"/>
                      </w:divBdr>
                    </w:div>
                  </w:divsChild>
                </w:div>
                <w:div w:id="1937710081">
                  <w:marLeft w:val="0"/>
                  <w:marRight w:val="0"/>
                  <w:marTop w:val="0"/>
                  <w:marBottom w:val="0"/>
                  <w:divBdr>
                    <w:top w:val="none" w:sz="0" w:space="0" w:color="auto"/>
                    <w:left w:val="none" w:sz="0" w:space="0" w:color="auto"/>
                    <w:bottom w:val="none" w:sz="0" w:space="0" w:color="auto"/>
                    <w:right w:val="none" w:sz="0" w:space="0" w:color="auto"/>
                  </w:divBdr>
                  <w:divsChild>
                    <w:div w:id="1236549222">
                      <w:marLeft w:val="0"/>
                      <w:marRight w:val="0"/>
                      <w:marTop w:val="0"/>
                      <w:marBottom w:val="0"/>
                      <w:divBdr>
                        <w:top w:val="none" w:sz="0" w:space="0" w:color="auto"/>
                        <w:left w:val="none" w:sz="0" w:space="0" w:color="auto"/>
                        <w:bottom w:val="none" w:sz="0" w:space="0" w:color="auto"/>
                        <w:right w:val="none" w:sz="0" w:space="0" w:color="auto"/>
                      </w:divBdr>
                    </w:div>
                  </w:divsChild>
                </w:div>
                <w:div w:id="2090694909">
                  <w:marLeft w:val="0"/>
                  <w:marRight w:val="0"/>
                  <w:marTop w:val="0"/>
                  <w:marBottom w:val="0"/>
                  <w:divBdr>
                    <w:top w:val="none" w:sz="0" w:space="0" w:color="auto"/>
                    <w:left w:val="none" w:sz="0" w:space="0" w:color="auto"/>
                    <w:bottom w:val="none" w:sz="0" w:space="0" w:color="auto"/>
                    <w:right w:val="none" w:sz="0" w:space="0" w:color="auto"/>
                  </w:divBdr>
                  <w:divsChild>
                    <w:div w:id="67924142">
                      <w:marLeft w:val="0"/>
                      <w:marRight w:val="0"/>
                      <w:marTop w:val="0"/>
                      <w:marBottom w:val="0"/>
                      <w:divBdr>
                        <w:top w:val="none" w:sz="0" w:space="0" w:color="auto"/>
                        <w:left w:val="none" w:sz="0" w:space="0" w:color="auto"/>
                        <w:bottom w:val="none" w:sz="0" w:space="0" w:color="auto"/>
                        <w:right w:val="none" w:sz="0" w:space="0" w:color="auto"/>
                      </w:divBdr>
                    </w:div>
                  </w:divsChild>
                </w:div>
                <w:div w:id="2100052438">
                  <w:marLeft w:val="0"/>
                  <w:marRight w:val="0"/>
                  <w:marTop w:val="0"/>
                  <w:marBottom w:val="0"/>
                  <w:divBdr>
                    <w:top w:val="none" w:sz="0" w:space="0" w:color="auto"/>
                    <w:left w:val="none" w:sz="0" w:space="0" w:color="auto"/>
                    <w:bottom w:val="none" w:sz="0" w:space="0" w:color="auto"/>
                    <w:right w:val="none" w:sz="0" w:space="0" w:color="auto"/>
                  </w:divBdr>
                  <w:divsChild>
                    <w:div w:id="15464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9843">
          <w:marLeft w:val="0"/>
          <w:marRight w:val="0"/>
          <w:marTop w:val="0"/>
          <w:marBottom w:val="0"/>
          <w:divBdr>
            <w:top w:val="none" w:sz="0" w:space="0" w:color="auto"/>
            <w:left w:val="none" w:sz="0" w:space="0" w:color="auto"/>
            <w:bottom w:val="none" w:sz="0" w:space="0" w:color="auto"/>
            <w:right w:val="none" w:sz="0" w:space="0" w:color="auto"/>
          </w:divBdr>
          <w:divsChild>
            <w:div w:id="1658193362">
              <w:marLeft w:val="0"/>
              <w:marRight w:val="0"/>
              <w:marTop w:val="0"/>
              <w:marBottom w:val="0"/>
              <w:divBdr>
                <w:top w:val="none" w:sz="0" w:space="0" w:color="auto"/>
                <w:left w:val="none" w:sz="0" w:space="0" w:color="auto"/>
                <w:bottom w:val="none" w:sz="0" w:space="0" w:color="auto"/>
                <w:right w:val="none" w:sz="0" w:space="0" w:color="auto"/>
              </w:divBdr>
            </w:div>
          </w:divsChild>
        </w:div>
        <w:div w:id="1309359491">
          <w:marLeft w:val="0"/>
          <w:marRight w:val="0"/>
          <w:marTop w:val="0"/>
          <w:marBottom w:val="0"/>
          <w:divBdr>
            <w:top w:val="none" w:sz="0" w:space="0" w:color="auto"/>
            <w:left w:val="none" w:sz="0" w:space="0" w:color="auto"/>
            <w:bottom w:val="none" w:sz="0" w:space="0" w:color="auto"/>
            <w:right w:val="none" w:sz="0" w:space="0" w:color="auto"/>
          </w:divBdr>
          <w:divsChild>
            <w:div w:id="2093618987">
              <w:marLeft w:val="0"/>
              <w:marRight w:val="0"/>
              <w:marTop w:val="0"/>
              <w:marBottom w:val="0"/>
              <w:divBdr>
                <w:top w:val="none" w:sz="0" w:space="0" w:color="auto"/>
                <w:left w:val="none" w:sz="0" w:space="0" w:color="auto"/>
                <w:bottom w:val="none" w:sz="0" w:space="0" w:color="auto"/>
                <w:right w:val="none" w:sz="0" w:space="0" w:color="auto"/>
              </w:divBdr>
            </w:div>
          </w:divsChild>
        </w:div>
        <w:div w:id="1440220533">
          <w:marLeft w:val="0"/>
          <w:marRight w:val="0"/>
          <w:marTop w:val="0"/>
          <w:marBottom w:val="0"/>
          <w:divBdr>
            <w:top w:val="none" w:sz="0" w:space="0" w:color="auto"/>
            <w:left w:val="none" w:sz="0" w:space="0" w:color="auto"/>
            <w:bottom w:val="none" w:sz="0" w:space="0" w:color="auto"/>
            <w:right w:val="none" w:sz="0" w:space="0" w:color="auto"/>
          </w:divBdr>
          <w:divsChild>
            <w:div w:id="1679842866">
              <w:marLeft w:val="0"/>
              <w:marRight w:val="0"/>
              <w:marTop w:val="0"/>
              <w:marBottom w:val="0"/>
              <w:divBdr>
                <w:top w:val="none" w:sz="0" w:space="0" w:color="auto"/>
                <w:left w:val="none" w:sz="0" w:space="0" w:color="auto"/>
                <w:bottom w:val="none" w:sz="0" w:space="0" w:color="auto"/>
                <w:right w:val="none" w:sz="0" w:space="0" w:color="auto"/>
              </w:divBdr>
            </w:div>
          </w:divsChild>
        </w:div>
        <w:div w:id="1460612715">
          <w:marLeft w:val="0"/>
          <w:marRight w:val="0"/>
          <w:marTop w:val="0"/>
          <w:marBottom w:val="0"/>
          <w:divBdr>
            <w:top w:val="none" w:sz="0" w:space="0" w:color="auto"/>
            <w:left w:val="none" w:sz="0" w:space="0" w:color="auto"/>
            <w:bottom w:val="none" w:sz="0" w:space="0" w:color="auto"/>
            <w:right w:val="none" w:sz="0" w:space="0" w:color="auto"/>
          </w:divBdr>
          <w:divsChild>
            <w:div w:id="1821340435">
              <w:marLeft w:val="0"/>
              <w:marRight w:val="0"/>
              <w:marTop w:val="0"/>
              <w:marBottom w:val="0"/>
              <w:divBdr>
                <w:top w:val="none" w:sz="0" w:space="0" w:color="auto"/>
                <w:left w:val="none" w:sz="0" w:space="0" w:color="auto"/>
                <w:bottom w:val="none" w:sz="0" w:space="0" w:color="auto"/>
                <w:right w:val="none" w:sz="0" w:space="0" w:color="auto"/>
              </w:divBdr>
            </w:div>
          </w:divsChild>
        </w:div>
        <w:div w:id="1567297720">
          <w:marLeft w:val="0"/>
          <w:marRight w:val="0"/>
          <w:marTop w:val="0"/>
          <w:marBottom w:val="0"/>
          <w:divBdr>
            <w:top w:val="none" w:sz="0" w:space="0" w:color="auto"/>
            <w:left w:val="none" w:sz="0" w:space="0" w:color="auto"/>
            <w:bottom w:val="none" w:sz="0" w:space="0" w:color="auto"/>
            <w:right w:val="none" w:sz="0" w:space="0" w:color="auto"/>
          </w:divBdr>
          <w:divsChild>
            <w:div w:id="644242621">
              <w:marLeft w:val="0"/>
              <w:marRight w:val="0"/>
              <w:marTop w:val="0"/>
              <w:marBottom w:val="0"/>
              <w:divBdr>
                <w:top w:val="none" w:sz="0" w:space="0" w:color="auto"/>
                <w:left w:val="none" w:sz="0" w:space="0" w:color="auto"/>
                <w:bottom w:val="none" w:sz="0" w:space="0" w:color="auto"/>
                <w:right w:val="none" w:sz="0" w:space="0" w:color="auto"/>
              </w:divBdr>
            </w:div>
          </w:divsChild>
        </w:div>
        <w:div w:id="1569880087">
          <w:marLeft w:val="0"/>
          <w:marRight w:val="0"/>
          <w:marTop w:val="0"/>
          <w:marBottom w:val="0"/>
          <w:divBdr>
            <w:top w:val="none" w:sz="0" w:space="0" w:color="auto"/>
            <w:left w:val="none" w:sz="0" w:space="0" w:color="auto"/>
            <w:bottom w:val="none" w:sz="0" w:space="0" w:color="auto"/>
            <w:right w:val="none" w:sz="0" w:space="0" w:color="auto"/>
          </w:divBdr>
          <w:divsChild>
            <w:div w:id="600340794">
              <w:marLeft w:val="0"/>
              <w:marRight w:val="0"/>
              <w:marTop w:val="0"/>
              <w:marBottom w:val="0"/>
              <w:divBdr>
                <w:top w:val="none" w:sz="0" w:space="0" w:color="auto"/>
                <w:left w:val="none" w:sz="0" w:space="0" w:color="auto"/>
                <w:bottom w:val="none" w:sz="0" w:space="0" w:color="auto"/>
                <w:right w:val="none" w:sz="0" w:space="0" w:color="auto"/>
              </w:divBdr>
            </w:div>
          </w:divsChild>
        </w:div>
        <w:div w:id="1660421944">
          <w:marLeft w:val="0"/>
          <w:marRight w:val="0"/>
          <w:marTop w:val="0"/>
          <w:marBottom w:val="0"/>
          <w:divBdr>
            <w:top w:val="none" w:sz="0" w:space="0" w:color="auto"/>
            <w:left w:val="none" w:sz="0" w:space="0" w:color="auto"/>
            <w:bottom w:val="none" w:sz="0" w:space="0" w:color="auto"/>
            <w:right w:val="none" w:sz="0" w:space="0" w:color="auto"/>
          </w:divBdr>
          <w:divsChild>
            <w:div w:id="611936913">
              <w:marLeft w:val="0"/>
              <w:marRight w:val="0"/>
              <w:marTop w:val="0"/>
              <w:marBottom w:val="0"/>
              <w:divBdr>
                <w:top w:val="none" w:sz="0" w:space="0" w:color="auto"/>
                <w:left w:val="none" w:sz="0" w:space="0" w:color="auto"/>
                <w:bottom w:val="none" w:sz="0" w:space="0" w:color="auto"/>
                <w:right w:val="none" w:sz="0" w:space="0" w:color="auto"/>
              </w:divBdr>
            </w:div>
          </w:divsChild>
        </w:div>
        <w:div w:id="1663315745">
          <w:marLeft w:val="0"/>
          <w:marRight w:val="0"/>
          <w:marTop w:val="0"/>
          <w:marBottom w:val="0"/>
          <w:divBdr>
            <w:top w:val="none" w:sz="0" w:space="0" w:color="auto"/>
            <w:left w:val="none" w:sz="0" w:space="0" w:color="auto"/>
            <w:bottom w:val="none" w:sz="0" w:space="0" w:color="auto"/>
            <w:right w:val="none" w:sz="0" w:space="0" w:color="auto"/>
          </w:divBdr>
          <w:divsChild>
            <w:div w:id="2056925674">
              <w:marLeft w:val="0"/>
              <w:marRight w:val="0"/>
              <w:marTop w:val="0"/>
              <w:marBottom w:val="0"/>
              <w:divBdr>
                <w:top w:val="none" w:sz="0" w:space="0" w:color="auto"/>
                <w:left w:val="none" w:sz="0" w:space="0" w:color="auto"/>
                <w:bottom w:val="none" w:sz="0" w:space="0" w:color="auto"/>
                <w:right w:val="none" w:sz="0" w:space="0" w:color="auto"/>
              </w:divBdr>
            </w:div>
          </w:divsChild>
        </w:div>
        <w:div w:id="1664315143">
          <w:marLeft w:val="0"/>
          <w:marRight w:val="0"/>
          <w:marTop w:val="0"/>
          <w:marBottom w:val="0"/>
          <w:divBdr>
            <w:top w:val="none" w:sz="0" w:space="0" w:color="auto"/>
            <w:left w:val="none" w:sz="0" w:space="0" w:color="auto"/>
            <w:bottom w:val="none" w:sz="0" w:space="0" w:color="auto"/>
            <w:right w:val="none" w:sz="0" w:space="0" w:color="auto"/>
          </w:divBdr>
          <w:divsChild>
            <w:div w:id="9525630">
              <w:marLeft w:val="0"/>
              <w:marRight w:val="0"/>
              <w:marTop w:val="0"/>
              <w:marBottom w:val="0"/>
              <w:divBdr>
                <w:top w:val="none" w:sz="0" w:space="0" w:color="auto"/>
                <w:left w:val="none" w:sz="0" w:space="0" w:color="auto"/>
                <w:bottom w:val="none" w:sz="0" w:space="0" w:color="auto"/>
                <w:right w:val="none" w:sz="0" w:space="0" w:color="auto"/>
              </w:divBdr>
            </w:div>
          </w:divsChild>
        </w:div>
        <w:div w:id="1665818628">
          <w:marLeft w:val="0"/>
          <w:marRight w:val="0"/>
          <w:marTop w:val="0"/>
          <w:marBottom w:val="0"/>
          <w:divBdr>
            <w:top w:val="none" w:sz="0" w:space="0" w:color="auto"/>
            <w:left w:val="none" w:sz="0" w:space="0" w:color="auto"/>
            <w:bottom w:val="none" w:sz="0" w:space="0" w:color="auto"/>
            <w:right w:val="none" w:sz="0" w:space="0" w:color="auto"/>
          </w:divBdr>
          <w:divsChild>
            <w:div w:id="1914965969">
              <w:marLeft w:val="0"/>
              <w:marRight w:val="0"/>
              <w:marTop w:val="0"/>
              <w:marBottom w:val="0"/>
              <w:divBdr>
                <w:top w:val="none" w:sz="0" w:space="0" w:color="auto"/>
                <w:left w:val="none" w:sz="0" w:space="0" w:color="auto"/>
                <w:bottom w:val="none" w:sz="0" w:space="0" w:color="auto"/>
                <w:right w:val="none" w:sz="0" w:space="0" w:color="auto"/>
              </w:divBdr>
            </w:div>
          </w:divsChild>
        </w:div>
        <w:div w:id="1708750249">
          <w:marLeft w:val="0"/>
          <w:marRight w:val="0"/>
          <w:marTop w:val="0"/>
          <w:marBottom w:val="0"/>
          <w:divBdr>
            <w:top w:val="none" w:sz="0" w:space="0" w:color="auto"/>
            <w:left w:val="none" w:sz="0" w:space="0" w:color="auto"/>
            <w:bottom w:val="none" w:sz="0" w:space="0" w:color="auto"/>
            <w:right w:val="none" w:sz="0" w:space="0" w:color="auto"/>
          </w:divBdr>
          <w:divsChild>
            <w:div w:id="1945840435">
              <w:marLeft w:val="0"/>
              <w:marRight w:val="0"/>
              <w:marTop w:val="0"/>
              <w:marBottom w:val="0"/>
              <w:divBdr>
                <w:top w:val="none" w:sz="0" w:space="0" w:color="auto"/>
                <w:left w:val="none" w:sz="0" w:space="0" w:color="auto"/>
                <w:bottom w:val="none" w:sz="0" w:space="0" w:color="auto"/>
                <w:right w:val="none" w:sz="0" w:space="0" w:color="auto"/>
              </w:divBdr>
            </w:div>
          </w:divsChild>
        </w:div>
        <w:div w:id="1766879041">
          <w:marLeft w:val="0"/>
          <w:marRight w:val="0"/>
          <w:marTop w:val="0"/>
          <w:marBottom w:val="0"/>
          <w:divBdr>
            <w:top w:val="none" w:sz="0" w:space="0" w:color="auto"/>
            <w:left w:val="none" w:sz="0" w:space="0" w:color="auto"/>
            <w:bottom w:val="none" w:sz="0" w:space="0" w:color="auto"/>
            <w:right w:val="none" w:sz="0" w:space="0" w:color="auto"/>
          </w:divBdr>
          <w:divsChild>
            <w:div w:id="932932548">
              <w:marLeft w:val="0"/>
              <w:marRight w:val="0"/>
              <w:marTop w:val="0"/>
              <w:marBottom w:val="0"/>
              <w:divBdr>
                <w:top w:val="none" w:sz="0" w:space="0" w:color="auto"/>
                <w:left w:val="none" w:sz="0" w:space="0" w:color="auto"/>
                <w:bottom w:val="none" w:sz="0" w:space="0" w:color="auto"/>
                <w:right w:val="none" w:sz="0" w:space="0" w:color="auto"/>
              </w:divBdr>
            </w:div>
          </w:divsChild>
        </w:div>
        <w:div w:id="1817333556">
          <w:marLeft w:val="0"/>
          <w:marRight w:val="0"/>
          <w:marTop w:val="0"/>
          <w:marBottom w:val="0"/>
          <w:divBdr>
            <w:top w:val="none" w:sz="0" w:space="0" w:color="auto"/>
            <w:left w:val="none" w:sz="0" w:space="0" w:color="auto"/>
            <w:bottom w:val="none" w:sz="0" w:space="0" w:color="auto"/>
            <w:right w:val="none" w:sz="0" w:space="0" w:color="auto"/>
          </w:divBdr>
          <w:divsChild>
            <w:div w:id="1953971010">
              <w:marLeft w:val="0"/>
              <w:marRight w:val="0"/>
              <w:marTop w:val="0"/>
              <w:marBottom w:val="0"/>
              <w:divBdr>
                <w:top w:val="none" w:sz="0" w:space="0" w:color="auto"/>
                <w:left w:val="none" w:sz="0" w:space="0" w:color="auto"/>
                <w:bottom w:val="none" w:sz="0" w:space="0" w:color="auto"/>
                <w:right w:val="none" w:sz="0" w:space="0" w:color="auto"/>
              </w:divBdr>
            </w:div>
          </w:divsChild>
        </w:div>
        <w:div w:id="1877615938">
          <w:marLeft w:val="0"/>
          <w:marRight w:val="0"/>
          <w:marTop w:val="0"/>
          <w:marBottom w:val="0"/>
          <w:divBdr>
            <w:top w:val="none" w:sz="0" w:space="0" w:color="auto"/>
            <w:left w:val="none" w:sz="0" w:space="0" w:color="auto"/>
            <w:bottom w:val="none" w:sz="0" w:space="0" w:color="auto"/>
            <w:right w:val="none" w:sz="0" w:space="0" w:color="auto"/>
          </w:divBdr>
          <w:divsChild>
            <w:div w:id="1000154371">
              <w:marLeft w:val="0"/>
              <w:marRight w:val="0"/>
              <w:marTop w:val="0"/>
              <w:marBottom w:val="0"/>
              <w:divBdr>
                <w:top w:val="none" w:sz="0" w:space="0" w:color="auto"/>
                <w:left w:val="none" w:sz="0" w:space="0" w:color="auto"/>
                <w:bottom w:val="none" w:sz="0" w:space="0" w:color="auto"/>
                <w:right w:val="none" w:sz="0" w:space="0" w:color="auto"/>
              </w:divBdr>
            </w:div>
          </w:divsChild>
        </w:div>
        <w:div w:id="1936553283">
          <w:marLeft w:val="0"/>
          <w:marRight w:val="0"/>
          <w:marTop w:val="0"/>
          <w:marBottom w:val="0"/>
          <w:divBdr>
            <w:top w:val="none" w:sz="0" w:space="0" w:color="auto"/>
            <w:left w:val="none" w:sz="0" w:space="0" w:color="auto"/>
            <w:bottom w:val="none" w:sz="0" w:space="0" w:color="auto"/>
            <w:right w:val="none" w:sz="0" w:space="0" w:color="auto"/>
          </w:divBdr>
          <w:divsChild>
            <w:div w:id="982389411">
              <w:marLeft w:val="0"/>
              <w:marRight w:val="0"/>
              <w:marTop w:val="0"/>
              <w:marBottom w:val="0"/>
              <w:divBdr>
                <w:top w:val="none" w:sz="0" w:space="0" w:color="auto"/>
                <w:left w:val="none" w:sz="0" w:space="0" w:color="auto"/>
                <w:bottom w:val="none" w:sz="0" w:space="0" w:color="auto"/>
                <w:right w:val="none" w:sz="0" w:space="0" w:color="auto"/>
              </w:divBdr>
            </w:div>
          </w:divsChild>
        </w:div>
        <w:div w:id="2120250334">
          <w:marLeft w:val="0"/>
          <w:marRight w:val="0"/>
          <w:marTop w:val="0"/>
          <w:marBottom w:val="0"/>
          <w:divBdr>
            <w:top w:val="none" w:sz="0" w:space="0" w:color="auto"/>
            <w:left w:val="none" w:sz="0" w:space="0" w:color="auto"/>
            <w:bottom w:val="none" w:sz="0" w:space="0" w:color="auto"/>
            <w:right w:val="none" w:sz="0" w:space="0" w:color="auto"/>
          </w:divBdr>
          <w:divsChild>
            <w:div w:id="15248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08612">
      <w:bodyDiv w:val="1"/>
      <w:marLeft w:val="0"/>
      <w:marRight w:val="0"/>
      <w:marTop w:val="0"/>
      <w:marBottom w:val="0"/>
      <w:divBdr>
        <w:top w:val="none" w:sz="0" w:space="0" w:color="auto"/>
        <w:left w:val="none" w:sz="0" w:space="0" w:color="auto"/>
        <w:bottom w:val="none" w:sz="0" w:space="0" w:color="auto"/>
        <w:right w:val="none" w:sz="0" w:space="0" w:color="auto"/>
      </w:divBdr>
    </w:div>
    <w:div w:id="442961860">
      <w:bodyDiv w:val="1"/>
      <w:marLeft w:val="0"/>
      <w:marRight w:val="0"/>
      <w:marTop w:val="0"/>
      <w:marBottom w:val="0"/>
      <w:divBdr>
        <w:top w:val="none" w:sz="0" w:space="0" w:color="auto"/>
        <w:left w:val="none" w:sz="0" w:space="0" w:color="auto"/>
        <w:bottom w:val="none" w:sz="0" w:space="0" w:color="auto"/>
        <w:right w:val="none" w:sz="0" w:space="0" w:color="auto"/>
      </w:divBdr>
    </w:div>
    <w:div w:id="477259675">
      <w:bodyDiv w:val="1"/>
      <w:marLeft w:val="0"/>
      <w:marRight w:val="0"/>
      <w:marTop w:val="0"/>
      <w:marBottom w:val="0"/>
      <w:divBdr>
        <w:top w:val="none" w:sz="0" w:space="0" w:color="auto"/>
        <w:left w:val="none" w:sz="0" w:space="0" w:color="auto"/>
        <w:bottom w:val="none" w:sz="0" w:space="0" w:color="auto"/>
        <w:right w:val="none" w:sz="0" w:space="0" w:color="auto"/>
      </w:divBdr>
      <w:divsChild>
        <w:div w:id="1714773019">
          <w:marLeft w:val="0"/>
          <w:marRight w:val="0"/>
          <w:marTop w:val="0"/>
          <w:marBottom w:val="0"/>
          <w:divBdr>
            <w:top w:val="none" w:sz="0" w:space="0" w:color="auto"/>
            <w:left w:val="none" w:sz="0" w:space="0" w:color="auto"/>
            <w:bottom w:val="none" w:sz="0" w:space="0" w:color="auto"/>
            <w:right w:val="none" w:sz="0" w:space="0" w:color="auto"/>
          </w:divBdr>
        </w:div>
      </w:divsChild>
    </w:div>
    <w:div w:id="493374026">
      <w:bodyDiv w:val="1"/>
      <w:marLeft w:val="0"/>
      <w:marRight w:val="0"/>
      <w:marTop w:val="0"/>
      <w:marBottom w:val="0"/>
      <w:divBdr>
        <w:top w:val="none" w:sz="0" w:space="0" w:color="auto"/>
        <w:left w:val="none" w:sz="0" w:space="0" w:color="auto"/>
        <w:bottom w:val="none" w:sz="0" w:space="0" w:color="auto"/>
        <w:right w:val="none" w:sz="0" w:space="0" w:color="auto"/>
      </w:divBdr>
    </w:div>
    <w:div w:id="560136815">
      <w:bodyDiv w:val="1"/>
      <w:marLeft w:val="0"/>
      <w:marRight w:val="0"/>
      <w:marTop w:val="0"/>
      <w:marBottom w:val="0"/>
      <w:divBdr>
        <w:top w:val="none" w:sz="0" w:space="0" w:color="auto"/>
        <w:left w:val="none" w:sz="0" w:space="0" w:color="auto"/>
        <w:bottom w:val="none" w:sz="0" w:space="0" w:color="auto"/>
        <w:right w:val="none" w:sz="0" w:space="0" w:color="auto"/>
      </w:divBdr>
    </w:div>
    <w:div w:id="568884741">
      <w:bodyDiv w:val="1"/>
      <w:marLeft w:val="0"/>
      <w:marRight w:val="0"/>
      <w:marTop w:val="0"/>
      <w:marBottom w:val="0"/>
      <w:divBdr>
        <w:top w:val="none" w:sz="0" w:space="0" w:color="auto"/>
        <w:left w:val="none" w:sz="0" w:space="0" w:color="auto"/>
        <w:bottom w:val="none" w:sz="0" w:space="0" w:color="auto"/>
        <w:right w:val="none" w:sz="0" w:space="0" w:color="auto"/>
      </w:divBdr>
    </w:div>
    <w:div w:id="625083862">
      <w:bodyDiv w:val="1"/>
      <w:marLeft w:val="0"/>
      <w:marRight w:val="0"/>
      <w:marTop w:val="0"/>
      <w:marBottom w:val="0"/>
      <w:divBdr>
        <w:top w:val="none" w:sz="0" w:space="0" w:color="auto"/>
        <w:left w:val="none" w:sz="0" w:space="0" w:color="auto"/>
        <w:bottom w:val="none" w:sz="0" w:space="0" w:color="auto"/>
        <w:right w:val="none" w:sz="0" w:space="0" w:color="auto"/>
      </w:divBdr>
    </w:div>
    <w:div w:id="690692041">
      <w:bodyDiv w:val="1"/>
      <w:marLeft w:val="0"/>
      <w:marRight w:val="0"/>
      <w:marTop w:val="0"/>
      <w:marBottom w:val="0"/>
      <w:divBdr>
        <w:top w:val="none" w:sz="0" w:space="0" w:color="auto"/>
        <w:left w:val="none" w:sz="0" w:space="0" w:color="auto"/>
        <w:bottom w:val="none" w:sz="0" w:space="0" w:color="auto"/>
        <w:right w:val="none" w:sz="0" w:space="0" w:color="auto"/>
      </w:divBdr>
      <w:divsChild>
        <w:div w:id="234434995">
          <w:marLeft w:val="0"/>
          <w:marRight w:val="0"/>
          <w:marTop w:val="0"/>
          <w:marBottom w:val="0"/>
          <w:divBdr>
            <w:top w:val="none" w:sz="0" w:space="0" w:color="auto"/>
            <w:left w:val="none" w:sz="0" w:space="0" w:color="auto"/>
            <w:bottom w:val="none" w:sz="0" w:space="0" w:color="auto"/>
            <w:right w:val="none" w:sz="0" w:space="0" w:color="auto"/>
          </w:divBdr>
          <w:divsChild>
            <w:div w:id="1632513838">
              <w:marLeft w:val="-75"/>
              <w:marRight w:val="0"/>
              <w:marTop w:val="30"/>
              <w:marBottom w:val="30"/>
              <w:divBdr>
                <w:top w:val="none" w:sz="0" w:space="0" w:color="auto"/>
                <w:left w:val="none" w:sz="0" w:space="0" w:color="auto"/>
                <w:bottom w:val="none" w:sz="0" w:space="0" w:color="auto"/>
                <w:right w:val="none" w:sz="0" w:space="0" w:color="auto"/>
              </w:divBdr>
              <w:divsChild>
                <w:div w:id="23990650">
                  <w:marLeft w:val="0"/>
                  <w:marRight w:val="0"/>
                  <w:marTop w:val="0"/>
                  <w:marBottom w:val="0"/>
                  <w:divBdr>
                    <w:top w:val="none" w:sz="0" w:space="0" w:color="auto"/>
                    <w:left w:val="none" w:sz="0" w:space="0" w:color="auto"/>
                    <w:bottom w:val="none" w:sz="0" w:space="0" w:color="auto"/>
                    <w:right w:val="none" w:sz="0" w:space="0" w:color="auto"/>
                  </w:divBdr>
                  <w:divsChild>
                    <w:div w:id="922839588">
                      <w:marLeft w:val="0"/>
                      <w:marRight w:val="0"/>
                      <w:marTop w:val="0"/>
                      <w:marBottom w:val="0"/>
                      <w:divBdr>
                        <w:top w:val="none" w:sz="0" w:space="0" w:color="auto"/>
                        <w:left w:val="none" w:sz="0" w:space="0" w:color="auto"/>
                        <w:bottom w:val="none" w:sz="0" w:space="0" w:color="auto"/>
                        <w:right w:val="none" w:sz="0" w:space="0" w:color="auto"/>
                      </w:divBdr>
                    </w:div>
                  </w:divsChild>
                </w:div>
                <w:div w:id="137457106">
                  <w:marLeft w:val="0"/>
                  <w:marRight w:val="0"/>
                  <w:marTop w:val="0"/>
                  <w:marBottom w:val="0"/>
                  <w:divBdr>
                    <w:top w:val="none" w:sz="0" w:space="0" w:color="auto"/>
                    <w:left w:val="none" w:sz="0" w:space="0" w:color="auto"/>
                    <w:bottom w:val="none" w:sz="0" w:space="0" w:color="auto"/>
                    <w:right w:val="none" w:sz="0" w:space="0" w:color="auto"/>
                  </w:divBdr>
                  <w:divsChild>
                    <w:div w:id="473641531">
                      <w:marLeft w:val="0"/>
                      <w:marRight w:val="0"/>
                      <w:marTop w:val="0"/>
                      <w:marBottom w:val="0"/>
                      <w:divBdr>
                        <w:top w:val="none" w:sz="0" w:space="0" w:color="auto"/>
                        <w:left w:val="none" w:sz="0" w:space="0" w:color="auto"/>
                        <w:bottom w:val="none" w:sz="0" w:space="0" w:color="auto"/>
                        <w:right w:val="none" w:sz="0" w:space="0" w:color="auto"/>
                      </w:divBdr>
                    </w:div>
                  </w:divsChild>
                </w:div>
                <w:div w:id="179517101">
                  <w:marLeft w:val="0"/>
                  <w:marRight w:val="0"/>
                  <w:marTop w:val="0"/>
                  <w:marBottom w:val="0"/>
                  <w:divBdr>
                    <w:top w:val="none" w:sz="0" w:space="0" w:color="auto"/>
                    <w:left w:val="none" w:sz="0" w:space="0" w:color="auto"/>
                    <w:bottom w:val="none" w:sz="0" w:space="0" w:color="auto"/>
                    <w:right w:val="none" w:sz="0" w:space="0" w:color="auto"/>
                  </w:divBdr>
                  <w:divsChild>
                    <w:div w:id="1143741222">
                      <w:marLeft w:val="0"/>
                      <w:marRight w:val="0"/>
                      <w:marTop w:val="0"/>
                      <w:marBottom w:val="0"/>
                      <w:divBdr>
                        <w:top w:val="none" w:sz="0" w:space="0" w:color="auto"/>
                        <w:left w:val="none" w:sz="0" w:space="0" w:color="auto"/>
                        <w:bottom w:val="none" w:sz="0" w:space="0" w:color="auto"/>
                        <w:right w:val="none" w:sz="0" w:space="0" w:color="auto"/>
                      </w:divBdr>
                    </w:div>
                  </w:divsChild>
                </w:div>
                <w:div w:id="307978174">
                  <w:marLeft w:val="0"/>
                  <w:marRight w:val="0"/>
                  <w:marTop w:val="0"/>
                  <w:marBottom w:val="0"/>
                  <w:divBdr>
                    <w:top w:val="none" w:sz="0" w:space="0" w:color="auto"/>
                    <w:left w:val="none" w:sz="0" w:space="0" w:color="auto"/>
                    <w:bottom w:val="none" w:sz="0" w:space="0" w:color="auto"/>
                    <w:right w:val="none" w:sz="0" w:space="0" w:color="auto"/>
                  </w:divBdr>
                  <w:divsChild>
                    <w:div w:id="1023945508">
                      <w:marLeft w:val="0"/>
                      <w:marRight w:val="0"/>
                      <w:marTop w:val="0"/>
                      <w:marBottom w:val="0"/>
                      <w:divBdr>
                        <w:top w:val="none" w:sz="0" w:space="0" w:color="auto"/>
                        <w:left w:val="none" w:sz="0" w:space="0" w:color="auto"/>
                        <w:bottom w:val="none" w:sz="0" w:space="0" w:color="auto"/>
                        <w:right w:val="none" w:sz="0" w:space="0" w:color="auto"/>
                      </w:divBdr>
                    </w:div>
                  </w:divsChild>
                </w:div>
                <w:div w:id="400179112">
                  <w:marLeft w:val="0"/>
                  <w:marRight w:val="0"/>
                  <w:marTop w:val="0"/>
                  <w:marBottom w:val="0"/>
                  <w:divBdr>
                    <w:top w:val="none" w:sz="0" w:space="0" w:color="auto"/>
                    <w:left w:val="none" w:sz="0" w:space="0" w:color="auto"/>
                    <w:bottom w:val="none" w:sz="0" w:space="0" w:color="auto"/>
                    <w:right w:val="none" w:sz="0" w:space="0" w:color="auto"/>
                  </w:divBdr>
                  <w:divsChild>
                    <w:div w:id="1236093240">
                      <w:marLeft w:val="0"/>
                      <w:marRight w:val="0"/>
                      <w:marTop w:val="0"/>
                      <w:marBottom w:val="0"/>
                      <w:divBdr>
                        <w:top w:val="none" w:sz="0" w:space="0" w:color="auto"/>
                        <w:left w:val="none" w:sz="0" w:space="0" w:color="auto"/>
                        <w:bottom w:val="none" w:sz="0" w:space="0" w:color="auto"/>
                        <w:right w:val="none" w:sz="0" w:space="0" w:color="auto"/>
                      </w:divBdr>
                    </w:div>
                  </w:divsChild>
                </w:div>
                <w:div w:id="423843359">
                  <w:marLeft w:val="0"/>
                  <w:marRight w:val="0"/>
                  <w:marTop w:val="0"/>
                  <w:marBottom w:val="0"/>
                  <w:divBdr>
                    <w:top w:val="none" w:sz="0" w:space="0" w:color="auto"/>
                    <w:left w:val="none" w:sz="0" w:space="0" w:color="auto"/>
                    <w:bottom w:val="none" w:sz="0" w:space="0" w:color="auto"/>
                    <w:right w:val="none" w:sz="0" w:space="0" w:color="auto"/>
                  </w:divBdr>
                  <w:divsChild>
                    <w:div w:id="603268693">
                      <w:marLeft w:val="0"/>
                      <w:marRight w:val="0"/>
                      <w:marTop w:val="0"/>
                      <w:marBottom w:val="0"/>
                      <w:divBdr>
                        <w:top w:val="none" w:sz="0" w:space="0" w:color="auto"/>
                        <w:left w:val="none" w:sz="0" w:space="0" w:color="auto"/>
                        <w:bottom w:val="none" w:sz="0" w:space="0" w:color="auto"/>
                        <w:right w:val="none" w:sz="0" w:space="0" w:color="auto"/>
                      </w:divBdr>
                    </w:div>
                  </w:divsChild>
                </w:div>
                <w:div w:id="441075019">
                  <w:marLeft w:val="0"/>
                  <w:marRight w:val="0"/>
                  <w:marTop w:val="0"/>
                  <w:marBottom w:val="0"/>
                  <w:divBdr>
                    <w:top w:val="none" w:sz="0" w:space="0" w:color="auto"/>
                    <w:left w:val="none" w:sz="0" w:space="0" w:color="auto"/>
                    <w:bottom w:val="none" w:sz="0" w:space="0" w:color="auto"/>
                    <w:right w:val="none" w:sz="0" w:space="0" w:color="auto"/>
                  </w:divBdr>
                  <w:divsChild>
                    <w:div w:id="1634094980">
                      <w:marLeft w:val="0"/>
                      <w:marRight w:val="0"/>
                      <w:marTop w:val="0"/>
                      <w:marBottom w:val="0"/>
                      <w:divBdr>
                        <w:top w:val="none" w:sz="0" w:space="0" w:color="auto"/>
                        <w:left w:val="none" w:sz="0" w:space="0" w:color="auto"/>
                        <w:bottom w:val="none" w:sz="0" w:space="0" w:color="auto"/>
                        <w:right w:val="none" w:sz="0" w:space="0" w:color="auto"/>
                      </w:divBdr>
                    </w:div>
                  </w:divsChild>
                </w:div>
                <w:div w:id="452793318">
                  <w:marLeft w:val="0"/>
                  <w:marRight w:val="0"/>
                  <w:marTop w:val="0"/>
                  <w:marBottom w:val="0"/>
                  <w:divBdr>
                    <w:top w:val="none" w:sz="0" w:space="0" w:color="auto"/>
                    <w:left w:val="none" w:sz="0" w:space="0" w:color="auto"/>
                    <w:bottom w:val="none" w:sz="0" w:space="0" w:color="auto"/>
                    <w:right w:val="none" w:sz="0" w:space="0" w:color="auto"/>
                  </w:divBdr>
                  <w:divsChild>
                    <w:div w:id="1070228201">
                      <w:marLeft w:val="0"/>
                      <w:marRight w:val="0"/>
                      <w:marTop w:val="0"/>
                      <w:marBottom w:val="0"/>
                      <w:divBdr>
                        <w:top w:val="none" w:sz="0" w:space="0" w:color="auto"/>
                        <w:left w:val="none" w:sz="0" w:space="0" w:color="auto"/>
                        <w:bottom w:val="none" w:sz="0" w:space="0" w:color="auto"/>
                        <w:right w:val="none" w:sz="0" w:space="0" w:color="auto"/>
                      </w:divBdr>
                    </w:div>
                  </w:divsChild>
                </w:div>
                <w:div w:id="457263519">
                  <w:marLeft w:val="0"/>
                  <w:marRight w:val="0"/>
                  <w:marTop w:val="0"/>
                  <w:marBottom w:val="0"/>
                  <w:divBdr>
                    <w:top w:val="none" w:sz="0" w:space="0" w:color="auto"/>
                    <w:left w:val="none" w:sz="0" w:space="0" w:color="auto"/>
                    <w:bottom w:val="none" w:sz="0" w:space="0" w:color="auto"/>
                    <w:right w:val="none" w:sz="0" w:space="0" w:color="auto"/>
                  </w:divBdr>
                  <w:divsChild>
                    <w:div w:id="1350525793">
                      <w:marLeft w:val="0"/>
                      <w:marRight w:val="0"/>
                      <w:marTop w:val="0"/>
                      <w:marBottom w:val="0"/>
                      <w:divBdr>
                        <w:top w:val="none" w:sz="0" w:space="0" w:color="auto"/>
                        <w:left w:val="none" w:sz="0" w:space="0" w:color="auto"/>
                        <w:bottom w:val="none" w:sz="0" w:space="0" w:color="auto"/>
                        <w:right w:val="none" w:sz="0" w:space="0" w:color="auto"/>
                      </w:divBdr>
                    </w:div>
                  </w:divsChild>
                </w:div>
                <w:div w:id="468939188">
                  <w:marLeft w:val="0"/>
                  <w:marRight w:val="0"/>
                  <w:marTop w:val="0"/>
                  <w:marBottom w:val="0"/>
                  <w:divBdr>
                    <w:top w:val="none" w:sz="0" w:space="0" w:color="auto"/>
                    <w:left w:val="none" w:sz="0" w:space="0" w:color="auto"/>
                    <w:bottom w:val="none" w:sz="0" w:space="0" w:color="auto"/>
                    <w:right w:val="none" w:sz="0" w:space="0" w:color="auto"/>
                  </w:divBdr>
                  <w:divsChild>
                    <w:div w:id="1951863143">
                      <w:marLeft w:val="0"/>
                      <w:marRight w:val="0"/>
                      <w:marTop w:val="0"/>
                      <w:marBottom w:val="0"/>
                      <w:divBdr>
                        <w:top w:val="none" w:sz="0" w:space="0" w:color="auto"/>
                        <w:left w:val="none" w:sz="0" w:space="0" w:color="auto"/>
                        <w:bottom w:val="none" w:sz="0" w:space="0" w:color="auto"/>
                        <w:right w:val="none" w:sz="0" w:space="0" w:color="auto"/>
                      </w:divBdr>
                    </w:div>
                  </w:divsChild>
                </w:div>
                <w:div w:id="525095663">
                  <w:marLeft w:val="0"/>
                  <w:marRight w:val="0"/>
                  <w:marTop w:val="0"/>
                  <w:marBottom w:val="0"/>
                  <w:divBdr>
                    <w:top w:val="none" w:sz="0" w:space="0" w:color="auto"/>
                    <w:left w:val="none" w:sz="0" w:space="0" w:color="auto"/>
                    <w:bottom w:val="none" w:sz="0" w:space="0" w:color="auto"/>
                    <w:right w:val="none" w:sz="0" w:space="0" w:color="auto"/>
                  </w:divBdr>
                  <w:divsChild>
                    <w:div w:id="2127502148">
                      <w:marLeft w:val="0"/>
                      <w:marRight w:val="0"/>
                      <w:marTop w:val="0"/>
                      <w:marBottom w:val="0"/>
                      <w:divBdr>
                        <w:top w:val="none" w:sz="0" w:space="0" w:color="auto"/>
                        <w:left w:val="none" w:sz="0" w:space="0" w:color="auto"/>
                        <w:bottom w:val="none" w:sz="0" w:space="0" w:color="auto"/>
                        <w:right w:val="none" w:sz="0" w:space="0" w:color="auto"/>
                      </w:divBdr>
                    </w:div>
                  </w:divsChild>
                </w:div>
                <w:div w:id="539168665">
                  <w:marLeft w:val="0"/>
                  <w:marRight w:val="0"/>
                  <w:marTop w:val="0"/>
                  <w:marBottom w:val="0"/>
                  <w:divBdr>
                    <w:top w:val="none" w:sz="0" w:space="0" w:color="auto"/>
                    <w:left w:val="none" w:sz="0" w:space="0" w:color="auto"/>
                    <w:bottom w:val="none" w:sz="0" w:space="0" w:color="auto"/>
                    <w:right w:val="none" w:sz="0" w:space="0" w:color="auto"/>
                  </w:divBdr>
                  <w:divsChild>
                    <w:div w:id="1642425202">
                      <w:marLeft w:val="0"/>
                      <w:marRight w:val="0"/>
                      <w:marTop w:val="0"/>
                      <w:marBottom w:val="0"/>
                      <w:divBdr>
                        <w:top w:val="none" w:sz="0" w:space="0" w:color="auto"/>
                        <w:left w:val="none" w:sz="0" w:space="0" w:color="auto"/>
                        <w:bottom w:val="none" w:sz="0" w:space="0" w:color="auto"/>
                        <w:right w:val="none" w:sz="0" w:space="0" w:color="auto"/>
                      </w:divBdr>
                    </w:div>
                  </w:divsChild>
                </w:div>
                <w:div w:id="621503207">
                  <w:marLeft w:val="0"/>
                  <w:marRight w:val="0"/>
                  <w:marTop w:val="0"/>
                  <w:marBottom w:val="0"/>
                  <w:divBdr>
                    <w:top w:val="none" w:sz="0" w:space="0" w:color="auto"/>
                    <w:left w:val="none" w:sz="0" w:space="0" w:color="auto"/>
                    <w:bottom w:val="none" w:sz="0" w:space="0" w:color="auto"/>
                    <w:right w:val="none" w:sz="0" w:space="0" w:color="auto"/>
                  </w:divBdr>
                  <w:divsChild>
                    <w:div w:id="1719818770">
                      <w:marLeft w:val="0"/>
                      <w:marRight w:val="0"/>
                      <w:marTop w:val="0"/>
                      <w:marBottom w:val="0"/>
                      <w:divBdr>
                        <w:top w:val="none" w:sz="0" w:space="0" w:color="auto"/>
                        <w:left w:val="none" w:sz="0" w:space="0" w:color="auto"/>
                        <w:bottom w:val="none" w:sz="0" w:space="0" w:color="auto"/>
                        <w:right w:val="none" w:sz="0" w:space="0" w:color="auto"/>
                      </w:divBdr>
                    </w:div>
                    <w:div w:id="2104379655">
                      <w:marLeft w:val="0"/>
                      <w:marRight w:val="0"/>
                      <w:marTop w:val="0"/>
                      <w:marBottom w:val="0"/>
                      <w:divBdr>
                        <w:top w:val="none" w:sz="0" w:space="0" w:color="auto"/>
                        <w:left w:val="none" w:sz="0" w:space="0" w:color="auto"/>
                        <w:bottom w:val="none" w:sz="0" w:space="0" w:color="auto"/>
                        <w:right w:val="none" w:sz="0" w:space="0" w:color="auto"/>
                      </w:divBdr>
                    </w:div>
                  </w:divsChild>
                </w:div>
                <w:div w:id="921178368">
                  <w:marLeft w:val="0"/>
                  <w:marRight w:val="0"/>
                  <w:marTop w:val="0"/>
                  <w:marBottom w:val="0"/>
                  <w:divBdr>
                    <w:top w:val="none" w:sz="0" w:space="0" w:color="auto"/>
                    <w:left w:val="none" w:sz="0" w:space="0" w:color="auto"/>
                    <w:bottom w:val="none" w:sz="0" w:space="0" w:color="auto"/>
                    <w:right w:val="none" w:sz="0" w:space="0" w:color="auto"/>
                  </w:divBdr>
                  <w:divsChild>
                    <w:div w:id="940188599">
                      <w:marLeft w:val="0"/>
                      <w:marRight w:val="0"/>
                      <w:marTop w:val="0"/>
                      <w:marBottom w:val="0"/>
                      <w:divBdr>
                        <w:top w:val="none" w:sz="0" w:space="0" w:color="auto"/>
                        <w:left w:val="none" w:sz="0" w:space="0" w:color="auto"/>
                        <w:bottom w:val="none" w:sz="0" w:space="0" w:color="auto"/>
                        <w:right w:val="none" w:sz="0" w:space="0" w:color="auto"/>
                      </w:divBdr>
                    </w:div>
                  </w:divsChild>
                </w:div>
                <w:div w:id="921914850">
                  <w:marLeft w:val="0"/>
                  <w:marRight w:val="0"/>
                  <w:marTop w:val="0"/>
                  <w:marBottom w:val="0"/>
                  <w:divBdr>
                    <w:top w:val="none" w:sz="0" w:space="0" w:color="auto"/>
                    <w:left w:val="none" w:sz="0" w:space="0" w:color="auto"/>
                    <w:bottom w:val="none" w:sz="0" w:space="0" w:color="auto"/>
                    <w:right w:val="none" w:sz="0" w:space="0" w:color="auto"/>
                  </w:divBdr>
                  <w:divsChild>
                    <w:div w:id="1652169945">
                      <w:marLeft w:val="0"/>
                      <w:marRight w:val="0"/>
                      <w:marTop w:val="0"/>
                      <w:marBottom w:val="0"/>
                      <w:divBdr>
                        <w:top w:val="none" w:sz="0" w:space="0" w:color="auto"/>
                        <w:left w:val="none" w:sz="0" w:space="0" w:color="auto"/>
                        <w:bottom w:val="none" w:sz="0" w:space="0" w:color="auto"/>
                        <w:right w:val="none" w:sz="0" w:space="0" w:color="auto"/>
                      </w:divBdr>
                    </w:div>
                  </w:divsChild>
                </w:div>
                <w:div w:id="1093864494">
                  <w:marLeft w:val="0"/>
                  <w:marRight w:val="0"/>
                  <w:marTop w:val="0"/>
                  <w:marBottom w:val="0"/>
                  <w:divBdr>
                    <w:top w:val="none" w:sz="0" w:space="0" w:color="auto"/>
                    <w:left w:val="none" w:sz="0" w:space="0" w:color="auto"/>
                    <w:bottom w:val="none" w:sz="0" w:space="0" w:color="auto"/>
                    <w:right w:val="none" w:sz="0" w:space="0" w:color="auto"/>
                  </w:divBdr>
                  <w:divsChild>
                    <w:div w:id="1697845237">
                      <w:marLeft w:val="0"/>
                      <w:marRight w:val="0"/>
                      <w:marTop w:val="0"/>
                      <w:marBottom w:val="0"/>
                      <w:divBdr>
                        <w:top w:val="none" w:sz="0" w:space="0" w:color="auto"/>
                        <w:left w:val="none" w:sz="0" w:space="0" w:color="auto"/>
                        <w:bottom w:val="none" w:sz="0" w:space="0" w:color="auto"/>
                        <w:right w:val="none" w:sz="0" w:space="0" w:color="auto"/>
                      </w:divBdr>
                    </w:div>
                  </w:divsChild>
                </w:div>
                <w:div w:id="1099915099">
                  <w:marLeft w:val="0"/>
                  <w:marRight w:val="0"/>
                  <w:marTop w:val="0"/>
                  <w:marBottom w:val="0"/>
                  <w:divBdr>
                    <w:top w:val="none" w:sz="0" w:space="0" w:color="auto"/>
                    <w:left w:val="none" w:sz="0" w:space="0" w:color="auto"/>
                    <w:bottom w:val="none" w:sz="0" w:space="0" w:color="auto"/>
                    <w:right w:val="none" w:sz="0" w:space="0" w:color="auto"/>
                  </w:divBdr>
                  <w:divsChild>
                    <w:div w:id="296420724">
                      <w:marLeft w:val="0"/>
                      <w:marRight w:val="0"/>
                      <w:marTop w:val="0"/>
                      <w:marBottom w:val="0"/>
                      <w:divBdr>
                        <w:top w:val="none" w:sz="0" w:space="0" w:color="auto"/>
                        <w:left w:val="none" w:sz="0" w:space="0" w:color="auto"/>
                        <w:bottom w:val="none" w:sz="0" w:space="0" w:color="auto"/>
                        <w:right w:val="none" w:sz="0" w:space="0" w:color="auto"/>
                      </w:divBdr>
                    </w:div>
                  </w:divsChild>
                </w:div>
                <w:div w:id="1229262432">
                  <w:marLeft w:val="0"/>
                  <w:marRight w:val="0"/>
                  <w:marTop w:val="0"/>
                  <w:marBottom w:val="0"/>
                  <w:divBdr>
                    <w:top w:val="none" w:sz="0" w:space="0" w:color="auto"/>
                    <w:left w:val="none" w:sz="0" w:space="0" w:color="auto"/>
                    <w:bottom w:val="none" w:sz="0" w:space="0" w:color="auto"/>
                    <w:right w:val="none" w:sz="0" w:space="0" w:color="auto"/>
                  </w:divBdr>
                  <w:divsChild>
                    <w:div w:id="1208957127">
                      <w:marLeft w:val="0"/>
                      <w:marRight w:val="0"/>
                      <w:marTop w:val="0"/>
                      <w:marBottom w:val="0"/>
                      <w:divBdr>
                        <w:top w:val="none" w:sz="0" w:space="0" w:color="auto"/>
                        <w:left w:val="none" w:sz="0" w:space="0" w:color="auto"/>
                        <w:bottom w:val="none" w:sz="0" w:space="0" w:color="auto"/>
                        <w:right w:val="none" w:sz="0" w:space="0" w:color="auto"/>
                      </w:divBdr>
                    </w:div>
                  </w:divsChild>
                </w:div>
                <w:div w:id="1258710385">
                  <w:marLeft w:val="0"/>
                  <w:marRight w:val="0"/>
                  <w:marTop w:val="0"/>
                  <w:marBottom w:val="0"/>
                  <w:divBdr>
                    <w:top w:val="none" w:sz="0" w:space="0" w:color="auto"/>
                    <w:left w:val="none" w:sz="0" w:space="0" w:color="auto"/>
                    <w:bottom w:val="none" w:sz="0" w:space="0" w:color="auto"/>
                    <w:right w:val="none" w:sz="0" w:space="0" w:color="auto"/>
                  </w:divBdr>
                  <w:divsChild>
                    <w:div w:id="274295694">
                      <w:marLeft w:val="0"/>
                      <w:marRight w:val="0"/>
                      <w:marTop w:val="0"/>
                      <w:marBottom w:val="0"/>
                      <w:divBdr>
                        <w:top w:val="none" w:sz="0" w:space="0" w:color="auto"/>
                        <w:left w:val="none" w:sz="0" w:space="0" w:color="auto"/>
                        <w:bottom w:val="none" w:sz="0" w:space="0" w:color="auto"/>
                        <w:right w:val="none" w:sz="0" w:space="0" w:color="auto"/>
                      </w:divBdr>
                    </w:div>
                  </w:divsChild>
                </w:div>
                <w:div w:id="1314215545">
                  <w:marLeft w:val="0"/>
                  <w:marRight w:val="0"/>
                  <w:marTop w:val="0"/>
                  <w:marBottom w:val="0"/>
                  <w:divBdr>
                    <w:top w:val="none" w:sz="0" w:space="0" w:color="auto"/>
                    <w:left w:val="none" w:sz="0" w:space="0" w:color="auto"/>
                    <w:bottom w:val="none" w:sz="0" w:space="0" w:color="auto"/>
                    <w:right w:val="none" w:sz="0" w:space="0" w:color="auto"/>
                  </w:divBdr>
                  <w:divsChild>
                    <w:div w:id="1969823014">
                      <w:marLeft w:val="0"/>
                      <w:marRight w:val="0"/>
                      <w:marTop w:val="0"/>
                      <w:marBottom w:val="0"/>
                      <w:divBdr>
                        <w:top w:val="none" w:sz="0" w:space="0" w:color="auto"/>
                        <w:left w:val="none" w:sz="0" w:space="0" w:color="auto"/>
                        <w:bottom w:val="none" w:sz="0" w:space="0" w:color="auto"/>
                        <w:right w:val="none" w:sz="0" w:space="0" w:color="auto"/>
                      </w:divBdr>
                    </w:div>
                  </w:divsChild>
                </w:div>
                <w:div w:id="1345403206">
                  <w:marLeft w:val="0"/>
                  <w:marRight w:val="0"/>
                  <w:marTop w:val="0"/>
                  <w:marBottom w:val="0"/>
                  <w:divBdr>
                    <w:top w:val="none" w:sz="0" w:space="0" w:color="auto"/>
                    <w:left w:val="none" w:sz="0" w:space="0" w:color="auto"/>
                    <w:bottom w:val="none" w:sz="0" w:space="0" w:color="auto"/>
                    <w:right w:val="none" w:sz="0" w:space="0" w:color="auto"/>
                  </w:divBdr>
                  <w:divsChild>
                    <w:div w:id="1897276477">
                      <w:marLeft w:val="0"/>
                      <w:marRight w:val="0"/>
                      <w:marTop w:val="0"/>
                      <w:marBottom w:val="0"/>
                      <w:divBdr>
                        <w:top w:val="none" w:sz="0" w:space="0" w:color="auto"/>
                        <w:left w:val="none" w:sz="0" w:space="0" w:color="auto"/>
                        <w:bottom w:val="none" w:sz="0" w:space="0" w:color="auto"/>
                        <w:right w:val="none" w:sz="0" w:space="0" w:color="auto"/>
                      </w:divBdr>
                    </w:div>
                  </w:divsChild>
                </w:div>
                <w:div w:id="1378973672">
                  <w:marLeft w:val="0"/>
                  <w:marRight w:val="0"/>
                  <w:marTop w:val="0"/>
                  <w:marBottom w:val="0"/>
                  <w:divBdr>
                    <w:top w:val="none" w:sz="0" w:space="0" w:color="auto"/>
                    <w:left w:val="none" w:sz="0" w:space="0" w:color="auto"/>
                    <w:bottom w:val="none" w:sz="0" w:space="0" w:color="auto"/>
                    <w:right w:val="none" w:sz="0" w:space="0" w:color="auto"/>
                  </w:divBdr>
                  <w:divsChild>
                    <w:div w:id="2007317153">
                      <w:marLeft w:val="0"/>
                      <w:marRight w:val="0"/>
                      <w:marTop w:val="0"/>
                      <w:marBottom w:val="0"/>
                      <w:divBdr>
                        <w:top w:val="none" w:sz="0" w:space="0" w:color="auto"/>
                        <w:left w:val="none" w:sz="0" w:space="0" w:color="auto"/>
                        <w:bottom w:val="none" w:sz="0" w:space="0" w:color="auto"/>
                        <w:right w:val="none" w:sz="0" w:space="0" w:color="auto"/>
                      </w:divBdr>
                    </w:div>
                  </w:divsChild>
                </w:div>
                <w:div w:id="1414081763">
                  <w:marLeft w:val="0"/>
                  <w:marRight w:val="0"/>
                  <w:marTop w:val="0"/>
                  <w:marBottom w:val="0"/>
                  <w:divBdr>
                    <w:top w:val="none" w:sz="0" w:space="0" w:color="auto"/>
                    <w:left w:val="none" w:sz="0" w:space="0" w:color="auto"/>
                    <w:bottom w:val="none" w:sz="0" w:space="0" w:color="auto"/>
                    <w:right w:val="none" w:sz="0" w:space="0" w:color="auto"/>
                  </w:divBdr>
                  <w:divsChild>
                    <w:div w:id="762653898">
                      <w:marLeft w:val="0"/>
                      <w:marRight w:val="0"/>
                      <w:marTop w:val="0"/>
                      <w:marBottom w:val="0"/>
                      <w:divBdr>
                        <w:top w:val="none" w:sz="0" w:space="0" w:color="auto"/>
                        <w:left w:val="none" w:sz="0" w:space="0" w:color="auto"/>
                        <w:bottom w:val="none" w:sz="0" w:space="0" w:color="auto"/>
                        <w:right w:val="none" w:sz="0" w:space="0" w:color="auto"/>
                      </w:divBdr>
                    </w:div>
                  </w:divsChild>
                </w:div>
                <w:div w:id="1551766438">
                  <w:marLeft w:val="0"/>
                  <w:marRight w:val="0"/>
                  <w:marTop w:val="0"/>
                  <w:marBottom w:val="0"/>
                  <w:divBdr>
                    <w:top w:val="none" w:sz="0" w:space="0" w:color="auto"/>
                    <w:left w:val="none" w:sz="0" w:space="0" w:color="auto"/>
                    <w:bottom w:val="none" w:sz="0" w:space="0" w:color="auto"/>
                    <w:right w:val="none" w:sz="0" w:space="0" w:color="auto"/>
                  </w:divBdr>
                  <w:divsChild>
                    <w:div w:id="502475858">
                      <w:marLeft w:val="0"/>
                      <w:marRight w:val="0"/>
                      <w:marTop w:val="0"/>
                      <w:marBottom w:val="0"/>
                      <w:divBdr>
                        <w:top w:val="none" w:sz="0" w:space="0" w:color="auto"/>
                        <w:left w:val="none" w:sz="0" w:space="0" w:color="auto"/>
                        <w:bottom w:val="none" w:sz="0" w:space="0" w:color="auto"/>
                        <w:right w:val="none" w:sz="0" w:space="0" w:color="auto"/>
                      </w:divBdr>
                    </w:div>
                  </w:divsChild>
                </w:div>
                <w:div w:id="1560902776">
                  <w:marLeft w:val="0"/>
                  <w:marRight w:val="0"/>
                  <w:marTop w:val="0"/>
                  <w:marBottom w:val="0"/>
                  <w:divBdr>
                    <w:top w:val="none" w:sz="0" w:space="0" w:color="auto"/>
                    <w:left w:val="none" w:sz="0" w:space="0" w:color="auto"/>
                    <w:bottom w:val="none" w:sz="0" w:space="0" w:color="auto"/>
                    <w:right w:val="none" w:sz="0" w:space="0" w:color="auto"/>
                  </w:divBdr>
                  <w:divsChild>
                    <w:div w:id="1440637888">
                      <w:marLeft w:val="0"/>
                      <w:marRight w:val="0"/>
                      <w:marTop w:val="0"/>
                      <w:marBottom w:val="0"/>
                      <w:divBdr>
                        <w:top w:val="none" w:sz="0" w:space="0" w:color="auto"/>
                        <w:left w:val="none" w:sz="0" w:space="0" w:color="auto"/>
                        <w:bottom w:val="none" w:sz="0" w:space="0" w:color="auto"/>
                        <w:right w:val="none" w:sz="0" w:space="0" w:color="auto"/>
                      </w:divBdr>
                    </w:div>
                  </w:divsChild>
                </w:div>
                <w:div w:id="1568765383">
                  <w:marLeft w:val="0"/>
                  <w:marRight w:val="0"/>
                  <w:marTop w:val="0"/>
                  <w:marBottom w:val="0"/>
                  <w:divBdr>
                    <w:top w:val="none" w:sz="0" w:space="0" w:color="auto"/>
                    <w:left w:val="none" w:sz="0" w:space="0" w:color="auto"/>
                    <w:bottom w:val="none" w:sz="0" w:space="0" w:color="auto"/>
                    <w:right w:val="none" w:sz="0" w:space="0" w:color="auto"/>
                  </w:divBdr>
                  <w:divsChild>
                    <w:div w:id="1045251209">
                      <w:marLeft w:val="0"/>
                      <w:marRight w:val="0"/>
                      <w:marTop w:val="0"/>
                      <w:marBottom w:val="0"/>
                      <w:divBdr>
                        <w:top w:val="none" w:sz="0" w:space="0" w:color="auto"/>
                        <w:left w:val="none" w:sz="0" w:space="0" w:color="auto"/>
                        <w:bottom w:val="none" w:sz="0" w:space="0" w:color="auto"/>
                        <w:right w:val="none" w:sz="0" w:space="0" w:color="auto"/>
                      </w:divBdr>
                    </w:div>
                  </w:divsChild>
                </w:div>
                <w:div w:id="1604724333">
                  <w:marLeft w:val="0"/>
                  <w:marRight w:val="0"/>
                  <w:marTop w:val="0"/>
                  <w:marBottom w:val="0"/>
                  <w:divBdr>
                    <w:top w:val="none" w:sz="0" w:space="0" w:color="auto"/>
                    <w:left w:val="none" w:sz="0" w:space="0" w:color="auto"/>
                    <w:bottom w:val="none" w:sz="0" w:space="0" w:color="auto"/>
                    <w:right w:val="none" w:sz="0" w:space="0" w:color="auto"/>
                  </w:divBdr>
                  <w:divsChild>
                    <w:div w:id="268438164">
                      <w:marLeft w:val="0"/>
                      <w:marRight w:val="0"/>
                      <w:marTop w:val="0"/>
                      <w:marBottom w:val="0"/>
                      <w:divBdr>
                        <w:top w:val="none" w:sz="0" w:space="0" w:color="auto"/>
                        <w:left w:val="none" w:sz="0" w:space="0" w:color="auto"/>
                        <w:bottom w:val="none" w:sz="0" w:space="0" w:color="auto"/>
                        <w:right w:val="none" w:sz="0" w:space="0" w:color="auto"/>
                      </w:divBdr>
                    </w:div>
                  </w:divsChild>
                </w:div>
                <w:div w:id="1632903143">
                  <w:marLeft w:val="0"/>
                  <w:marRight w:val="0"/>
                  <w:marTop w:val="0"/>
                  <w:marBottom w:val="0"/>
                  <w:divBdr>
                    <w:top w:val="none" w:sz="0" w:space="0" w:color="auto"/>
                    <w:left w:val="none" w:sz="0" w:space="0" w:color="auto"/>
                    <w:bottom w:val="none" w:sz="0" w:space="0" w:color="auto"/>
                    <w:right w:val="none" w:sz="0" w:space="0" w:color="auto"/>
                  </w:divBdr>
                  <w:divsChild>
                    <w:div w:id="1972519563">
                      <w:marLeft w:val="0"/>
                      <w:marRight w:val="0"/>
                      <w:marTop w:val="0"/>
                      <w:marBottom w:val="0"/>
                      <w:divBdr>
                        <w:top w:val="none" w:sz="0" w:space="0" w:color="auto"/>
                        <w:left w:val="none" w:sz="0" w:space="0" w:color="auto"/>
                        <w:bottom w:val="none" w:sz="0" w:space="0" w:color="auto"/>
                        <w:right w:val="none" w:sz="0" w:space="0" w:color="auto"/>
                      </w:divBdr>
                    </w:div>
                  </w:divsChild>
                </w:div>
                <w:div w:id="1643775330">
                  <w:marLeft w:val="0"/>
                  <w:marRight w:val="0"/>
                  <w:marTop w:val="0"/>
                  <w:marBottom w:val="0"/>
                  <w:divBdr>
                    <w:top w:val="none" w:sz="0" w:space="0" w:color="auto"/>
                    <w:left w:val="none" w:sz="0" w:space="0" w:color="auto"/>
                    <w:bottom w:val="none" w:sz="0" w:space="0" w:color="auto"/>
                    <w:right w:val="none" w:sz="0" w:space="0" w:color="auto"/>
                  </w:divBdr>
                  <w:divsChild>
                    <w:div w:id="1885871702">
                      <w:marLeft w:val="0"/>
                      <w:marRight w:val="0"/>
                      <w:marTop w:val="0"/>
                      <w:marBottom w:val="0"/>
                      <w:divBdr>
                        <w:top w:val="none" w:sz="0" w:space="0" w:color="auto"/>
                        <w:left w:val="none" w:sz="0" w:space="0" w:color="auto"/>
                        <w:bottom w:val="none" w:sz="0" w:space="0" w:color="auto"/>
                        <w:right w:val="none" w:sz="0" w:space="0" w:color="auto"/>
                      </w:divBdr>
                    </w:div>
                  </w:divsChild>
                </w:div>
                <w:div w:id="1674141053">
                  <w:marLeft w:val="0"/>
                  <w:marRight w:val="0"/>
                  <w:marTop w:val="0"/>
                  <w:marBottom w:val="0"/>
                  <w:divBdr>
                    <w:top w:val="none" w:sz="0" w:space="0" w:color="auto"/>
                    <w:left w:val="none" w:sz="0" w:space="0" w:color="auto"/>
                    <w:bottom w:val="none" w:sz="0" w:space="0" w:color="auto"/>
                    <w:right w:val="none" w:sz="0" w:space="0" w:color="auto"/>
                  </w:divBdr>
                  <w:divsChild>
                    <w:div w:id="1066729524">
                      <w:marLeft w:val="0"/>
                      <w:marRight w:val="0"/>
                      <w:marTop w:val="0"/>
                      <w:marBottom w:val="0"/>
                      <w:divBdr>
                        <w:top w:val="none" w:sz="0" w:space="0" w:color="auto"/>
                        <w:left w:val="none" w:sz="0" w:space="0" w:color="auto"/>
                        <w:bottom w:val="none" w:sz="0" w:space="0" w:color="auto"/>
                        <w:right w:val="none" w:sz="0" w:space="0" w:color="auto"/>
                      </w:divBdr>
                    </w:div>
                  </w:divsChild>
                </w:div>
                <w:div w:id="1705012888">
                  <w:marLeft w:val="0"/>
                  <w:marRight w:val="0"/>
                  <w:marTop w:val="0"/>
                  <w:marBottom w:val="0"/>
                  <w:divBdr>
                    <w:top w:val="none" w:sz="0" w:space="0" w:color="auto"/>
                    <w:left w:val="none" w:sz="0" w:space="0" w:color="auto"/>
                    <w:bottom w:val="none" w:sz="0" w:space="0" w:color="auto"/>
                    <w:right w:val="none" w:sz="0" w:space="0" w:color="auto"/>
                  </w:divBdr>
                  <w:divsChild>
                    <w:div w:id="1654672799">
                      <w:marLeft w:val="0"/>
                      <w:marRight w:val="0"/>
                      <w:marTop w:val="0"/>
                      <w:marBottom w:val="0"/>
                      <w:divBdr>
                        <w:top w:val="none" w:sz="0" w:space="0" w:color="auto"/>
                        <w:left w:val="none" w:sz="0" w:space="0" w:color="auto"/>
                        <w:bottom w:val="none" w:sz="0" w:space="0" w:color="auto"/>
                        <w:right w:val="none" w:sz="0" w:space="0" w:color="auto"/>
                      </w:divBdr>
                    </w:div>
                  </w:divsChild>
                </w:div>
                <w:div w:id="1763643756">
                  <w:marLeft w:val="0"/>
                  <w:marRight w:val="0"/>
                  <w:marTop w:val="0"/>
                  <w:marBottom w:val="0"/>
                  <w:divBdr>
                    <w:top w:val="none" w:sz="0" w:space="0" w:color="auto"/>
                    <w:left w:val="none" w:sz="0" w:space="0" w:color="auto"/>
                    <w:bottom w:val="none" w:sz="0" w:space="0" w:color="auto"/>
                    <w:right w:val="none" w:sz="0" w:space="0" w:color="auto"/>
                  </w:divBdr>
                  <w:divsChild>
                    <w:div w:id="514851489">
                      <w:marLeft w:val="0"/>
                      <w:marRight w:val="0"/>
                      <w:marTop w:val="0"/>
                      <w:marBottom w:val="0"/>
                      <w:divBdr>
                        <w:top w:val="none" w:sz="0" w:space="0" w:color="auto"/>
                        <w:left w:val="none" w:sz="0" w:space="0" w:color="auto"/>
                        <w:bottom w:val="none" w:sz="0" w:space="0" w:color="auto"/>
                        <w:right w:val="none" w:sz="0" w:space="0" w:color="auto"/>
                      </w:divBdr>
                    </w:div>
                  </w:divsChild>
                </w:div>
                <w:div w:id="1781992103">
                  <w:marLeft w:val="0"/>
                  <w:marRight w:val="0"/>
                  <w:marTop w:val="0"/>
                  <w:marBottom w:val="0"/>
                  <w:divBdr>
                    <w:top w:val="none" w:sz="0" w:space="0" w:color="auto"/>
                    <w:left w:val="none" w:sz="0" w:space="0" w:color="auto"/>
                    <w:bottom w:val="none" w:sz="0" w:space="0" w:color="auto"/>
                    <w:right w:val="none" w:sz="0" w:space="0" w:color="auto"/>
                  </w:divBdr>
                  <w:divsChild>
                    <w:div w:id="1028721671">
                      <w:marLeft w:val="0"/>
                      <w:marRight w:val="0"/>
                      <w:marTop w:val="0"/>
                      <w:marBottom w:val="0"/>
                      <w:divBdr>
                        <w:top w:val="none" w:sz="0" w:space="0" w:color="auto"/>
                        <w:left w:val="none" w:sz="0" w:space="0" w:color="auto"/>
                        <w:bottom w:val="none" w:sz="0" w:space="0" w:color="auto"/>
                        <w:right w:val="none" w:sz="0" w:space="0" w:color="auto"/>
                      </w:divBdr>
                    </w:div>
                    <w:div w:id="1561672189">
                      <w:marLeft w:val="0"/>
                      <w:marRight w:val="0"/>
                      <w:marTop w:val="0"/>
                      <w:marBottom w:val="0"/>
                      <w:divBdr>
                        <w:top w:val="none" w:sz="0" w:space="0" w:color="auto"/>
                        <w:left w:val="none" w:sz="0" w:space="0" w:color="auto"/>
                        <w:bottom w:val="none" w:sz="0" w:space="0" w:color="auto"/>
                        <w:right w:val="none" w:sz="0" w:space="0" w:color="auto"/>
                      </w:divBdr>
                    </w:div>
                  </w:divsChild>
                </w:div>
                <w:div w:id="1821532475">
                  <w:marLeft w:val="0"/>
                  <w:marRight w:val="0"/>
                  <w:marTop w:val="0"/>
                  <w:marBottom w:val="0"/>
                  <w:divBdr>
                    <w:top w:val="none" w:sz="0" w:space="0" w:color="auto"/>
                    <w:left w:val="none" w:sz="0" w:space="0" w:color="auto"/>
                    <w:bottom w:val="none" w:sz="0" w:space="0" w:color="auto"/>
                    <w:right w:val="none" w:sz="0" w:space="0" w:color="auto"/>
                  </w:divBdr>
                  <w:divsChild>
                    <w:div w:id="885793717">
                      <w:marLeft w:val="0"/>
                      <w:marRight w:val="0"/>
                      <w:marTop w:val="0"/>
                      <w:marBottom w:val="0"/>
                      <w:divBdr>
                        <w:top w:val="none" w:sz="0" w:space="0" w:color="auto"/>
                        <w:left w:val="none" w:sz="0" w:space="0" w:color="auto"/>
                        <w:bottom w:val="none" w:sz="0" w:space="0" w:color="auto"/>
                        <w:right w:val="none" w:sz="0" w:space="0" w:color="auto"/>
                      </w:divBdr>
                    </w:div>
                  </w:divsChild>
                </w:div>
                <w:div w:id="1932352742">
                  <w:marLeft w:val="0"/>
                  <w:marRight w:val="0"/>
                  <w:marTop w:val="0"/>
                  <w:marBottom w:val="0"/>
                  <w:divBdr>
                    <w:top w:val="none" w:sz="0" w:space="0" w:color="auto"/>
                    <w:left w:val="none" w:sz="0" w:space="0" w:color="auto"/>
                    <w:bottom w:val="none" w:sz="0" w:space="0" w:color="auto"/>
                    <w:right w:val="none" w:sz="0" w:space="0" w:color="auto"/>
                  </w:divBdr>
                  <w:divsChild>
                    <w:div w:id="273904905">
                      <w:marLeft w:val="0"/>
                      <w:marRight w:val="0"/>
                      <w:marTop w:val="0"/>
                      <w:marBottom w:val="0"/>
                      <w:divBdr>
                        <w:top w:val="none" w:sz="0" w:space="0" w:color="auto"/>
                        <w:left w:val="none" w:sz="0" w:space="0" w:color="auto"/>
                        <w:bottom w:val="none" w:sz="0" w:space="0" w:color="auto"/>
                        <w:right w:val="none" w:sz="0" w:space="0" w:color="auto"/>
                      </w:divBdr>
                    </w:div>
                  </w:divsChild>
                </w:div>
                <w:div w:id="1940066955">
                  <w:marLeft w:val="0"/>
                  <w:marRight w:val="0"/>
                  <w:marTop w:val="0"/>
                  <w:marBottom w:val="0"/>
                  <w:divBdr>
                    <w:top w:val="none" w:sz="0" w:space="0" w:color="auto"/>
                    <w:left w:val="none" w:sz="0" w:space="0" w:color="auto"/>
                    <w:bottom w:val="none" w:sz="0" w:space="0" w:color="auto"/>
                    <w:right w:val="none" w:sz="0" w:space="0" w:color="auto"/>
                  </w:divBdr>
                  <w:divsChild>
                    <w:div w:id="571815846">
                      <w:marLeft w:val="0"/>
                      <w:marRight w:val="0"/>
                      <w:marTop w:val="0"/>
                      <w:marBottom w:val="0"/>
                      <w:divBdr>
                        <w:top w:val="none" w:sz="0" w:space="0" w:color="auto"/>
                        <w:left w:val="none" w:sz="0" w:space="0" w:color="auto"/>
                        <w:bottom w:val="none" w:sz="0" w:space="0" w:color="auto"/>
                        <w:right w:val="none" w:sz="0" w:space="0" w:color="auto"/>
                      </w:divBdr>
                    </w:div>
                    <w:div w:id="1948610632">
                      <w:marLeft w:val="0"/>
                      <w:marRight w:val="0"/>
                      <w:marTop w:val="0"/>
                      <w:marBottom w:val="0"/>
                      <w:divBdr>
                        <w:top w:val="none" w:sz="0" w:space="0" w:color="auto"/>
                        <w:left w:val="none" w:sz="0" w:space="0" w:color="auto"/>
                        <w:bottom w:val="none" w:sz="0" w:space="0" w:color="auto"/>
                        <w:right w:val="none" w:sz="0" w:space="0" w:color="auto"/>
                      </w:divBdr>
                    </w:div>
                  </w:divsChild>
                </w:div>
                <w:div w:id="1958102865">
                  <w:marLeft w:val="0"/>
                  <w:marRight w:val="0"/>
                  <w:marTop w:val="0"/>
                  <w:marBottom w:val="0"/>
                  <w:divBdr>
                    <w:top w:val="none" w:sz="0" w:space="0" w:color="auto"/>
                    <w:left w:val="none" w:sz="0" w:space="0" w:color="auto"/>
                    <w:bottom w:val="none" w:sz="0" w:space="0" w:color="auto"/>
                    <w:right w:val="none" w:sz="0" w:space="0" w:color="auto"/>
                  </w:divBdr>
                  <w:divsChild>
                    <w:div w:id="1549681999">
                      <w:marLeft w:val="0"/>
                      <w:marRight w:val="0"/>
                      <w:marTop w:val="0"/>
                      <w:marBottom w:val="0"/>
                      <w:divBdr>
                        <w:top w:val="none" w:sz="0" w:space="0" w:color="auto"/>
                        <w:left w:val="none" w:sz="0" w:space="0" w:color="auto"/>
                        <w:bottom w:val="none" w:sz="0" w:space="0" w:color="auto"/>
                        <w:right w:val="none" w:sz="0" w:space="0" w:color="auto"/>
                      </w:divBdr>
                    </w:div>
                  </w:divsChild>
                </w:div>
                <w:div w:id="1961718287">
                  <w:marLeft w:val="0"/>
                  <w:marRight w:val="0"/>
                  <w:marTop w:val="0"/>
                  <w:marBottom w:val="0"/>
                  <w:divBdr>
                    <w:top w:val="none" w:sz="0" w:space="0" w:color="auto"/>
                    <w:left w:val="none" w:sz="0" w:space="0" w:color="auto"/>
                    <w:bottom w:val="none" w:sz="0" w:space="0" w:color="auto"/>
                    <w:right w:val="none" w:sz="0" w:space="0" w:color="auto"/>
                  </w:divBdr>
                  <w:divsChild>
                    <w:div w:id="441339555">
                      <w:marLeft w:val="0"/>
                      <w:marRight w:val="0"/>
                      <w:marTop w:val="0"/>
                      <w:marBottom w:val="0"/>
                      <w:divBdr>
                        <w:top w:val="none" w:sz="0" w:space="0" w:color="auto"/>
                        <w:left w:val="none" w:sz="0" w:space="0" w:color="auto"/>
                        <w:bottom w:val="none" w:sz="0" w:space="0" w:color="auto"/>
                        <w:right w:val="none" w:sz="0" w:space="0" w:color="auto"/>
                      </w:divBdr>
                    </w:div>
                  </w:divsChild>
                </w:div>
                <w:div w:id="2143309932">
                  <w:marLeft w:val="0"/>
                  <w:marRight w:val="0"/>
                  <w:marTop w:val="0"/>
                  <w:marBottom w:val="0"/>
                  <w:divBdr>
                    <w:top w:val="none" w:sz="0" w:space="0" w:color="auto"/>
                    <w:left w:val="none" w:sz="0" w:space="0" w:color="auto"/>
                    <w:bottom w:val="none" w:sz="0" w:space="0" w:color="auto"/>
                    <w:right w:val="none" w:sz="0" w:space="0" w:color="auto"/>
                  </w:divBdr>
                  <w:divsChild>
                    <w:div w:id="953708281">
                      <w:marLeft w:val="0"/>
                      <w:marRight w:val="0"/>
                      <w:marTop w:val="0"/>
                      <w:marBottom w:val="0"/>
                      <w:divBdr>
                        <w:top w:val="none" w:sz="0" w:space="0" w:color="auto"/>
                        <w:left w:val="none" w:sz="0" w:space="0" w:color="auto"/>
                        <w:bottom w:val="none" w:sz="0" w:space="0" w:color="auto"/>
                        <w:right w:val="none" w:sz="0" w:space="0" w:color="auto"/>
                      </w:divBdr>
                    </w:div>
                  </w:divsChild>
                </w:div>
                <w:div w:id="2146700325">
                  <w:marLeft w:val="0"/>
                  <w:marRight w:val="0"/>
                  <w:marTop w:val="0"/>
                  <w:marBottom w:val="0"/>
                  <w:divBdr>
                    <w:top w:val="none" w:sz="0" w:space="0" w:color="auto"/>
                    <w:left w:val="none" w:sz="0" w:space="0" w:color="auto"/>
                    <w:bottom w:val="none" w:sz="0" w:space="0" w:color="auto"/>
                    <w:right w:val="none" w:sz="0" w:space="0" w:color="auto"/>
                  </w:divBdr>
                  <w:divsChild>
                    <w:div w:id="2551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07060">
          <w:marLeft w:val="0"/>
          <w:marRight w:val="0"/>
          <w:marTop w:val="0"/>
          <w:marBottom w:val="0"/>
          <w:divBdr>
            <w:top w:val="none" w:sz="0" w:space="0" w:color="auto"/>
            <w:left w:val="none" w:sz="0" w:space="0" w:color="auto"/>
            <w:bottom w:val="none" w:sz="0" w:space="0" w:color="auto"/>
            <w:right w:val="none" w:sz="0" w:space="0" w:color="auto"/>
          </w:divBdr>
        </w:div>
        <w:div w:id="715206775">
          <w:marLeft w:val="0"/>
          <w:marRight w:val="0"/>
          <w:marTop w:val="0"/>
          <w:marBottom w:val="0"/>
          <w:divBdr>
            <w:top w:val="none" w:sz="0" w:space="0" w:color="auto"/>
            <w:left w:val="none" w:sz="0" w:space="0" w:color="auto"/>
            <w:bottom w:val="none" w:sz="0" w:space="0" w:color="auto"/>
            <w:right w:val="none" w:sz="0" w:space="0" w:color="auto"/>
          </w:divBdr>
        </w:div>
        <w:div w:id="727071345">
          <w:marLeft w:val="0"/>
          <w:marRight w:val="0"/>
          <w:marTop w:val="0"/>
          <w:marBottom w:val="0"/>
          <w:divBdr>
            <w:top w:val="none" w:sz="0" w:space="0" w:color="auto"/>
            <w:left w:val="none" w:sz="0" w:space="0" w:color="auto"/>
            <w:bottom w:val="none" w:sz="0" w:space="0" w:color="auto"/>
            <w:right w:val="none" w:sz="0" w:space="0" w:color="auto"/>
          </w:divBdr>
        </w:div>
        <w:div w:id="1518275062">
          <w:marLeft w:val="0"/>
          <w:marRight w:val="0"/>
          <w:marTop w:val="0"/>
          <w:marBottom w:val="0"/>
          <w:divBdr>
            <w:top w:val="none" w:sz="0" w:space="0" w:color="auto"/>
            <w:left w:val="none" w:sz="0" w:space="0" w:color="auto"/>
            <w:bottom w:val="none" w:sz="0" w:space="0" w:color="auto"/>
            <w:right w:val="none" w:sz="0" w:space="0" w:color="auto"/>
          </w:divBdr>
        </w:div>
        <w:div w:id="1761027811">
          <w:marLeft w:val="0"/>
          <w:marRight w:val="0"/>
          <w:marTop w:val="0"/>
          <w:marBottom w:val="0"/>
          <w:divBdr>
            <w:top w:val="none" w:sz="0" w:space="0" w:color="auto"/>
            <w:left w:val="none" w:sz="0" w:space="0" w:color="auto"/>
            <w:bottom w:val="none" w:sz="0" w:space="0" w:color="auto"/>
            <w:right w:val="none" w:sz="0" w:space="0" w:color="auto"/>
          </w:divBdr>
        </w:div>
        <w:div w:id="1894147532">
          <w:marLeft w:val="0"/>
          <w:marRight w:val="0"/>
          <w:marTop w:val="0"/>
          <w:marBottom w:val="0"/>
          <w:divBdr>
            <w:top w:val="none" w:sz="0" w:space="0" w:color="auto"/>
            <w:left w:val="none" w:sz="0" w:space="0" w:color="auto"/>
            <w:bottom w:val="none" w:sz="0" w:space="0" w:color="auto"/>
            <w:right w:val="none" w:sz="0" w:space="0" w:color="auto"/>
          </w:divBdr>
          <w:divsChild>
            <w:div w:id="611517246">
              <w:marLeft w:val="-75"/>
              <w:marRight w:val="0"/>
              <w:marTop w:val="30"/>
              <w:marBottom w:val="30"/>
              <w:divBdr>
                <w:top w:val="none" w:sz="0" w:space="0" w:color="auto"/>
                <w:left w:val="none" w:sz="0" w:space="0" w:color="auto"/>
                <w:bottom w:val="none" w:sz="0" w:space="0" w:color="auto"/>
                <w:right w:val="none" w:sz="0" w:space="0" w:color="auto"/>
              </w:divBdr>
              <w:divsChild>
                <w:div w:id="131562428">
                  <w:marLeft w:val="0"/>
                  <w:marRight w:val="0"/>
                  <w:marTop w:val="0"/>
                  <w:marBottom w:val="0"/>
                  <w:divBdr>
                    <w:top w:val="none" w:sz="0" w:space="0" w:color="auto"/>
                    <w:left w:val="none" w:sz="0" w:space="0" w:color="auto"/>
                    <w:bottom w:val="none" w:sz="0" w:space="0" w:color="auto"/>
                    <w:right w:val="none" w:sz="0" w:space="0" w:color="auto"/>
                  </w:divBdr>
                  <w:divsChild>
                    <w:div w:id="706218989">
                      <w:marLeft w:val="0"/>
                      <w:marRight w:val="0"/>
                      <w:marTop w:val="0"/>
                      <w:marBottom w:val="0"/>
                      <w:divBdr>
                        <w:top w:val="none" w:sz="0" w:space="0" w:color="auto"/>
                        <w:left w:val="none" w:sz="0" w:space="0" w:color="auto"/>
                        <w:bottom w:val="none" w:sz="0" w:space="0" w:color="auto"/>
                        <w:right w:val="none" w:sz="0" w:space="0" w:color="auto"/>
                      </w:divBdr>
                    </w:div>
                  </w:divsChild>
                </w:div>
                <w:div w:id="321085997">
                  <w:marLeft w:val="0"/>
                  <w:marRight w:val="0"/>
                  <w:marTop w:val="0"/>
                  <w:marBottom w:val="0"/>
                  <w:divBdr>
                    <w:top w:val="none" w:sz="0" w:space="0" w:color="auto"/>
                    <w:left w:val="none" w:sz="0" w:space="0" w:color="auto"/>
                    <w:bottom w:val="none" w:sz="0" w:space="0" w:color="auto"/>
                    <w:right w:val="none" w:sz="0" w:space="0" w:color="auto"/>
                  </w:divBdr>
                  <w:divsChild>
                    <w:div w:id="3021816">
                      <w:marLeft w:val="0"/>
                      <w:marRight w:val="0"/>
                      <w:marTop w:val="0"/>
                      <w:marBottom w:val="0"/>
                      <w:divBdr>
                        <w:top w:val="none" w:sz="0" w:space="0" w:color="auto"/>
                        <w:left w:val="none" w:sz="0" w:space="0" w:color="auto"/>
                        <w:bottom w:val="none" w:sz="0" w:space="0" w:color="auto"/>
                        <w:right w:val="none" w:sz="0" w:space="0" w:color="auto"/>
                      </w:divBdr>
                    </w:div>
                  </w:divsChild>
                </w:div>
                <w:div w:id="367073130">
                  <w:marLeft w:val="0"/>
                  <w:marRight w:val="0"/>
                  <w:marTop w:val="0"/>
                  <w:marBottom w:val="0"/>
                  <w:divBdr>
                    <w:top w:val="none" w:sz="0" w:space="0" w:color="auto"/>
                    <w:left w:val="none" w:sz="0" w:space="0" w:color="auto"/>
                    <w:bottom w:val="none" w:sz="0" w:space="0" w:color="auto"/>
                    <w:right w:val="none" w:sz="0" w:space="0" w:color="auto"/>
                  </w:divBdr>
                  <w:divsChild>
                    <w:div w:id="1060129701">
                      <w:marLeft w:val="0"/>
                      <w:marRight w:val="0"/>
                      <w:marTop w:val="0"/>
                      <w:marBottom w:val="0"/>
                      <w:divBdr>
                        <w:top w:val="none" w:sz="0" w:space="0" w:color="auto"/>
                        <w:left w:val="none" w:sz="0" w:space="0" w:color="auto"/>
                        <w:bottom w:val="none" w:sz="0" w:space="0" w:color="auto"/>
                        <w:right w:val="none" w:sz="0" w:space="0" w:color="auto"/>
                      </w:divBdr>
                    </w:div>
                  </w:divsChild>
                </w:div>
                <w:div w:id="392974433">
                  <w:marLeft w:val="0"/>
                  <w:marRight w:val="0"/>
                  <w:marTop w:val="0"/>
                  <w:marBottom w:val="0"/>
                  <w:divBdr>
                    <w:top w:val="none" w:sz="0" w:space="0" w:color="auto"/>
                    <w:left w:val="none" w:sz="0" w:space="0" w:color="auto"/>
                    <w:bottom w:val="none" w:sz="0" w:space="0" w:color="auto"/>
                    <w:right w:val="none" w:sz="0" w:space="0" w:color="auto"/>
                  </w:divBdr>
                  <w:divsChild>
                    <w:div w:id="1665011814">
                      <w:marLeft w:val="0"/>
                      <w:marRight w:val="0"/>
                      <w:marTop w:val="0"/>
                      <w:marBottom w:val="0"/>
                      <w:divBdr>
                        <w:top w:val="none" w:sz="0" w:space="0" w:color="auto"/>
                        <w:left w:val="none" w:sz="0" w:space="0" w:color="auto"/>
                        <w:bottom w:val="none" w:sz="0" w:space="0" w:color="auto"/>
                        <w:right w:val="none" w:sz="0" w:space="0" w:color="auto"/>
                      </w:divBdr>
                    </w:div>
                  </w:divsChild>
                </w:div>
                <w:div w:id="756363010">
                  <w:marLeft w:val="0"/>
                  <w:marRight w:val="0"/>
                  <w:marTop w:val="0"/>
                  <w:marBottom w:val="0"/>
                  <w:divBdr>
                    <w:top w:val="none" w:sz="0" w:space="0" w:color="auto"/>
                    <w:left w:val="none" w:sz="0" w:space="0" w:color="auto"/>
                    <w:bottom w:val="none" w:sz="0" w:space="0" w:color="auto"/>
                    <w:right w:val="none" w:sz="0" w:space="0" w:color="auto"/>
                  </w:divBdr>
                  <w:divsChild>
                    <w:div w:id="2028209330">
                      <w:marLeft w:val="0"/>
                      <w:marRight w:val="0"/>
                      <w:marTop w:val="0"/>
                      <w:marBottom w:val="0"/>
                      <w:divBdr>
                        <w:top w:val="none" w:sz="0" w:space="0" w:color="auto"/>
                        <w:left w:val="none" w:sz="0" w:space="0" w:color="auto"/>
                        <w:bottom w:val="none" w:sz="0" w:space="0" w:color="auto"/>
                        <w:right w:val="none" w:sz="0" w:space="0" w:color="auto"/>
                      </w:divBdr>
                    </w:div>
                  </w:divsChild>
                </w:div>
                <w:div w:id="1046953336">
                  <w:marLeft w:val="0"/>
                  <w:marRight w:val="0"/>
                  <w:marTop w:val="0"/>
                  <w:marBottom w:val="0"/>
                  <w:divBdr>
                    <w:top w:val="none" w:sz="0" w:space="0" w:color="auto"/>
                    <w:left w:val="none" w:sz="0" w:space="0" w:color="auto"/>
                    <w:bottom w:val="none" w:sz="0" w:space="0" w:color="auto"/>
                    <w:right w:val="none" w:sz="0" w:space="0" w:color="auto"/>
                  </w:divBdr>
                  <w:divsChild>
                    <w:div w:id="1042949067">
                      <w:marLeft w:val="0"/>
                      <w:marRight w:val="0"/>
                      <w:marTop w:val="0"/>
                      <w:marBottom w:val="0"/>
                      <w:divBdr>
                        <w:top w:val="none" w:sz="0" w:space="0" w:color="auto"/>
                        <w:left w:val="none" w:sz="0" w:space="0" w:color="auto"/>
                        <w:bottom w:val="none" w:sz="0" w:space="0" w:color="auto"/>
                        <w:right w:val="none" w:sz="0" w:space="0" w:color="auto"/>
                      </w:divBdr>
                    </w:div>
                  </w:divsChild>
                </w:div>
                <w:div w:id="1057437705">
                  <w:marLeft w:val="0"/>
                  <w:marRight w:val="0"/>
                  <w:marTop w:val="0"/>
                  <w:marBottom w:val="0"/>
                  <w:divBdr>
                    <w:top w:val="none" w:sz="0" w:space="0" w:color="auto"/>
                    <w:left w:val="none" w:sz="0" w:space="0" w:color="auto"/>
                    <w:bottom w:val="none" w:sz="0" w:space="0" w:color="auto"/>
                    <w:right w:val="none" w:sz="0" w:space="0" w:color="auto"/>
                  </w:divBdr>
                  <w:divsChild>
                    <w:div w:id="10768281">
                      <w:marLeft w:val="0"/>
                      <w:marRight w:val="0"/>
                      <w:marTop w:val="0"/>
                      <w:marBottom w:val="0"/>
                      <w:divBdr>
                        <w:top w:val="none" w:sz="0" w:space="0" w:color="auto"/>
                        <w:left w:val="none" w:sz="0" w:space="0" w:color="auto"/>
                        <w:bottom w:val="none" w:sz="0" w:space="0" w:color="auto"/>
                        <w:right w:val="none" w:sz="0" w:space="0" w:color="auto"/>
                      </w:divBdr>
                    </w:div>
                  </w:divsChild>
                </w:div>
                <w:div w:id="1227572941">
                  <w:marLeft w:val="0"/>
                  <w:marRight w:val="0"/>
                  <w:marTop w:val="0"/>
                  <w:marBottom w:val="0"/>
                  <w:divBdr>
                    <w:top w:val="none" w:sz="0" w:space="0" w:color="auto"/>
                    <w:left w:val="none" w:sz="0" w:space="0" w:color="auto"/>
                    <w:bottom w:val="none" w:sz="0" w:space="0" w:color="auto"/>
                    <w:right w:val="none" w:sz="0" w:space="0" w:color="auto"/>
                  </w:divBdr>
                  <w:divsChild>
                    <w:div w:id="1059130034">
                      <w:marLeft w:val="0"/>
                      <w:marRight w:val="0"/>
                      <w:marTop w:val="0"/>
                      <w:marBottom w:val="0"/>
                      <w:divBdr>
                        <w:top w:val="none" w:sz="0" w:space="0" w:color="auto"/>
                        <w:left w:val="none" w:sz="0" w:space="0" w:color="auto"/>
                        <w:bottom w:val="none" w:sz="0" w:space="0" w:color="auto"/>
                        <w:right w:val="none" w:sz="0" w:space="0" w:color="auto"/>
                      </w:divBdr>
                    </w:div>
                  </w:divsChild>
                </w:div>
                <w:div w:id="1285188653">
                  <w:marLeft w:val="0"/>
                  <w:marRight w:val="0"/>
                  <w:marTop w:val="0"/>
                  <w:marBottom w:val="0"/>
                  <w:divBdr>
                    <w:top w:val="none" w:sz="0" w:space="0" w:color="auto"/>
                    <w:left w:val="none" w:sz="0" w:space="0" w:color="auto"/>
                    <w:bottom w:val="none" w:sz="0" w:space="0" w:color="auto"/>
                    <w:right w:val="none" w:sz="0" w:space="0" w:color="auto"/>
                  </w:divBdr>
                  <w:divsChild>
                    <w:div w:id="1318415369">
                      <w:marLeft w:val="0"/>
                      <w:marRight w:val="0"/>
                      <w:marTop w:val="0"/>
                      <w:marBottom w:val="0"/>
                      <w:divBdr>
                        <w:top w:val="none" w:sz="0" w:space="0" w:color="auto"/>
                        <w:left w:val="none" w:sz="0" w:space="0" w:color="auto"/>
                        <w:bottom w:val="none" w:sz="0" w:space="0" w:color="auto"/>
                        <w:right w:val="none" w:sz="0" w:space="0" w:color="auto"/>
                      </w:divBdr>
                    </w:div>
                  </w:divsChild>
                </w:div>
                <w:div w:id="1368214186">
                  <w:marLeft w:val="0"/>
                  <w:marRight w:val="0"/>
                  <w:marTop w:val="0"/>
                  <w:marBottom w:val="0"/>
                  <w:divBdr>
                    <w:top w:val="none" w:sz="0" w:space="0" w:color="auto"/>
                    <w:left w:val="none" w:sz="0" w:space="0" w:color="auto"/>
                    <w:bottom w:val="none" w:sz="0" w:space="0" w:color="auto"/>
                    <w:right w:val="none" w:sz="0" w:space="0" w:color="auto"/>
                  </w:divBdr>
                  <w:divsChild>
                    <w:div w:id="1044449983">
                      <w:marLeft w:val="0"/>
                      <w:marRight w:val="0"/>
                      <w:marTop w:val="0"/>
                      <w:marBottom w:val="0"/>
                      <w:divBdr>
                        <w:top w:val="none" w:sz="0" w:space="0" w:color="auto"/>
                        <w:left w:val="none" w:sz="0" w:space="0" w:color="auto"/>
                        <w:bottom w:val="none" w:sz="0" w:space="0" w:color="auto"/>
                        <w:right w:val="none" w:sz="0" w:space="0" w:color="auto"/>
                      </w:divBdr>
                    </w:div>
                    <w:div w:id="1391997473">
                      <w:marLeft w:val="0"/>
                      <w:marRight w:val="0"/>
                      <w:marTop w:val="0"/>
                      <w:marBottom w:val="0"/>
                      <w:divBdr>
                        <w:top w:val="none" w:sz="0" w:space="0" w:color="auto"/>
                        <w:left w:val="none" w:sz="0" w:space="0" w:color="auto"/>
                        <w:bottom w:val="none" w:sz="0" w:space="0" w:color="auto"/>
                        <w:right w:val="none" w:sz="0" w:space="0" w:color="auto"/>
                      </w:divBdr>
                    </w:div>
                  </w:divsChild>
                </w:div>
                <w:div w:id="1658651985">
                  <w:marLeft w:val="0"/>
                  <w:marRight w:val="0"/>
                  <w:marTop w:val="0"/>
                  <w:marBottom w:val="0"/>
                  <w:divBdr>
                    <w:top w:val="none" w:sz="0" w:space="0" w:color="auto"/>
                    <w:left w:val="none" w:sz="0" w:space="0" w:color="auto"/>
                    <w:bottom w:val="none" w:sz="0" w:space="0" w:color="auto"/>
                    <w:right w:val="none" w:sz="0" w:space="0" w:color="auto"/>
                  </w:divBdr>
                  <w:divsChild>
                    <w:div w:id="944268901">
                      <w:marLeft w:val="0"/>
                      <w:marRight w:val="0"/>
                      <w:marTop w:val="0"/>
                      <w:marBottom w:val="0"/>
                      <w:divBdr>
                        <w:top w:val="none" w:sz="0" w:space="0" w:color="auto"/>
                        <w:left w:val="none" w:sz="0" w:space="0" w:color="auto"/>
                        <w:bottom w:val="none" w:sz="0" w:space="0" w:color="auto"/>
                        <w:right w:val="none" w:sz="0" w:space="0" w:color="auto"/>
                      </w:divBdr>
                    </w:div>
                    <w:div w:id="2128043753">
                      <w:marLeft w:val="0"/>
                      <w:marRight w:val="0"/>
                      <w:marTop w:val="0"/>
                      <w:marBottom w:val="0"/>
                      <w:divBdr>
                        <w:top w:val="none" w:sz="0" w:space="0" w:color="auto"/>
                        <w:left w:val="none" w:sz="0" w:space="0" w:color="auto"/>
                        <w:bottom w:val="none" w:sz="0" w:space="0" w:color="auto"/>
                        <w:right w:val="none" w:sz="0" w:space="0" w:color="auto"/>
                      </w:divBdr>
                    </w:div>
                  </w:divsChild>
                </w:div>
                <w:div w:id="1815027951">
                  <w:marLeft w:val="0"/>
                  <w:marRight w:val="0"/>
                  <w:marTop w:val="0"/>
                  <w:marBottom w:val="0"/>
                  <w:divBdr>
                    <w:top w:val="none" w:sz="0" w:space="0" w:color="auto"/>
                    <w:left w:val="none" w:sz="0" w:space="0" w:color="auto"/>
                    <w:bottom w:val="none" w:sz="0" w:space="0" w:color="auto"/>
                    <w:right w:val="none" w:sz="0" w:space="0" w:color="auto"/>
                  </w:divBdr>
                  <w:divsChild>
                    <w:div w:id="944846628">
                      <w:marLeft w:val="0"/>
                      <w:marRight w:val="0"/>
                      <w:marTop w:val="0"/>
                      <w:marBottom w:val="0"/>
                      <w:divBdr>
                        <w:top w:val="none" w:sz="0" w:space="0" w:color="auto"/>
                        <w:left w:val="none" w:sz="0" w:space="0" w:color="auto"/>
                        <w:bottom w:val="none" w:sz="0" w:space="0" w:color="auto"/>
                        <w:right w:val="none" w:sz="0" w:space="0" w:color="auto"/>
                      </w:divBdr>
                    </w:div>
                  </w:divsChild>
                </w:div>
                <w:div w:id="1842768326">
                  <w:marLeft w:val="0"/>
                  <w:marRight w:val="0"/>
                  <w:marTop w:val="0"/>
                  <w:marBottom w:val="0"/>
                  <w:divBdr>
                    <w:top w:val="none" w:sz="0" w:space="0" w:color="auto"/>
                    <w:left w:val="none" w:sz="0" w:space="0" w:color="auto"/>
                    <w:bottom w:val="none" w:sz="0" w:space="0" w:color="auto"/>
                    <w:right w:val="none" w:sz="0" w:space="0" w:color="auto"/>
                  </w:divBdr>
                  <w:divsChild>
                    <w:div w:id="1263221256">
                      <w:marLeft w:val="0"/>
                      <w:marRight w:val="0"/>
                      <w:marTop w:val="0"/>
                      <w:marBottom w:val="0"/>
                      <w:divBdr>
                        <w:top w:val="none" w:sz="0" w:space="0" w:color="auto"/>
                        <w:left w:val="none" w:sz="0" w:space="0" w:color="auto"/>
                        <w:bottom w:val="none" w:sz="0" w:space="0" w:color="auto"/>
                        <w:right w:val="none" w:sz="0" w:space="0" w:color="auto"/>
                      </w:divBdr>
                    </w:div>
                  </w:divsChild>
                </w:div>
                <w:div w:id="1874492157">
                  <w:marLeft w:val="0"/>
                  <w:marRight w:val="0"/>
                  <w:marTop w:val="0"/>
                  <w:marBottom w:val="0"/>
                  <w:divBdr>
                    <w:top w:val="none" w:sz="0" w:space="0" w:color="auto"/>
                    <w:left w:val="none" w:sz="0" w:space="0" w:color="auto"/>
                    <w:bottom w:val="none" w:sz="0" w:space="0" w:color="auto"/>
                    <w:right w:val="none" w:sz="0" w:space="0" w:color="auto"/>
                  </w:divBdr>
                  <w:divsChild>
                    <w:div w:id="87389121">
                      <w:marLeft w:val="0"/>
                      <w:marRight w:val="0"/>
                      <w:marTop w:val="0"/>
                      <w:marBottom w:val="0"/>
                      <w:divBdr>
                        <w:top w:val="none" w:sz="0" w:space="0" w:color="auto"/>
                        <w:left w:val="none" w:sz="0" w:space="0" w:color="auto"/>
                        <w:bottom w:val="none" w:sz="0" w:space="0" w:color="auto"/>
                        <w:right w:val="none" w:sz="0" w:space="0" w:color="auto"/>
                      </w:divBdr>
                    </w:div>
                  </w:divsChild>
                </w:div>
                <w:div w:id="1928339613">
                  <w:marLeft w:val="0"/>
                  <w:marRight w:val="0"/>
                  <w:marTop w:val="0"/>
                  <w:marBottom w:val="0"/>
                  <w:divBdr>
                    <w:top w:val="none" w:sz="0" w:space="0" w:color="auto"/>
                    <w:left w:val="none" w:sz="0" w:space="0" w:color="auto"/>
                    <w:bottom w:val="none" w:sz="0" w:space="0" w:color="auto"/>
                    <w:right w:val="none" w:sz="0" w:space="0" w:color="auto"/>
                  </w:divBdr>
                  <w:divsChild>
                    <w:div w:id="61492856">
                      <w:marLeft w:val="0"/>
                      <w:marRight w:val="0"/>
                      <w:marTop w:val="0"/>
                      <w:marBottom w:val="0"/>
                      <w:divBdr>
                        <w:top w:val="none" w:sz="0" w:space="0" w:color="auto"/>
                        <w:left w:val="none" w:sz="0" w:space="0" w:color="auto"/>
                        <w:bottom w:val="none" w:sz="0" w:space="0" w:color="auto"/>
                        <w:right w:val="none" w:sz="0" w:space="0" w:color="auto"/>
                      </w:divBdr>
                    </w:div>
                  </w:divsChild>
                </w:div>
                <w:div w:id="2016498690">
                  <w:marLeft w:val="0"/>
                  <w:marRight w:val="0"/>
                  <w:marTop w:val="0"/>
                  <w:marBottom w:val="0"/>
                  <w:divBdr>
                    <w:top w:val="none" w:sz="0" w:space="0" w:color="auto"/>
                    <w:left w:val="none" w:sz="0" w:space="0" w:color="auto"/>
                    <w:bottom w:val="none" w:sz="0" w:space="0" w:color="auto"/>
                    <w:right w:val="none" w:sz="0" w:space="0" w:color="auto"/>
                  </w:divBdr>
                  <w:divsChild>
                    <w:div w:id="226115966">
                      <w:marLeft w:val="0"/>
                      <w:marRight w:val="0"/>
                      <w:marTop w:val="0"/>
                      <w:marBottom w:val="0"/>
                      <w:divBdr>
                        <w:top w:val="none" w:sz="0" w:space="0" w:color="auto"/>
                        <w:left w:val="none" w:sz="0" w:space="0" w:color="auto"/>
                        <w:bottom w:val="none" w:sz="0" w:space="0" w:color="auto"/>
                        <w:right w:val="none" w:sz="0" w:space="0" w:color="auto"/>
                      </w:divBdr>
                    </w:div>
                    <w:div w:id="5313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23217">
      <w:bodyDiv w:val="1"/>
      <w:marLeft w:val="0"/>
      <w:marRight w:val="0"/>
      <w:marTop w:val="0"/>
      <w:marBottom w:val="0"/>
      <w:divBdr>
        <w:top w:val="none" w:sz="0" w:space="0" w:color="auto"/>
        <w:left w:val="none" w:sz="0" w:space="0" w:color="auto"/>
        <w:bottom w:val="none" w:sz="0" w:space="0" w:color="auto"/>
        <w:right w:val="none" w:sz="0" w:space="0" w:color="auto"/>
      </w:divBdr>
    </w:div>
    <w:div w:id="719480889">
      <w:bodyDiv w:val="1"/>
      <w:marLeft w:val="0"/>
      <w:marRight w:val="0"/>
      <w:marTop w:val="0"/>
      <w:marBottom w:val="0"/>
      <w:divBdr>
        <w:top w:val="none" w:sz="0" w:space="0" w:color="auto"/>
        <w:left w:val="none" w:sz="0" w:space="0" w:color="auto"/>
        <w:bottom w:val="none" w:sz="0" w:space="0" w:color="auto"/>
        <w:right w:val="none" w:sz="0" w:space="0" w:color="auto"/>
      </w:divBdr>
    </w:div>
    <w:div w:id="733426680">
      <w:bodyDiv w:val="1"/>
      <w:marLeft w:val="0"/>
      <w:marRight w:val="0"/>
      <w:marTop w:val="0"/>
      <w:marBottom w:val="0"/>
      <w:divBdr>
        <w:top w:val="none" w:sz="0" w:space="0" w:color="auto"/>
        <w:left w:val="none" w:sz="0" w:space="0" w:color="auto"/>
        <w:bottom w:val="none" w:sz="0" w:space="0" w:color="auto"/>
        <w:right w:val="none" w:sz="0" w:space="0" w:color="auto"/>
      </w:divBdr>
    </w:div>
    <w:div w:id="740178502">
      <w:bodyDiv w:val="1"/>
      <w:marLeft w:val="0"/>
      <w:marRight w:val="0"/>
      <w:marTop w:val="0"/>
      <w:marBottom w:val="0"/>
      <w:divBdr>
        <w:top w:val="none" w:sz="0" w:space="0" w:color="auto"/>
        <w:left w:val="none" w:sz="0" w:space="0" w:color="auto"/>
        <w:bottom w:val="none" w:sz="0" w:space="0" w:color="auto"/>
        <w:right w:val="none" w:sz="0" w:space="0" w:color="auto"/>
      </w:divBdr>
    </w:div>
    <w:div w:id="769854402">
      <w:bodyDiv w:val="1"/>
      <w:marLeft w:val="0"/>
      <w:marRight w:val="0"/>
      <w:marTop w:val="0"/>
      <w:marBottom w:val="0"/>
      <w:divBdr>
        <w:top w:val="none" w:sz="0" w:space="0" w:color="auto"/>
        <w:left w:val="none" w:sz="0" w:space="0" w:color="auto"/>
        <w:bottom w:val="none" w:sz="0" w:space="0" w:color="auto"/>
        <w:right w:val="none" w:sz="0" w:space="0" w:color="auto"/>
      </w:divBdr>
    </w:div>
    <w:div w:id="777944277">
      <w:bodyDiv w:val="1"/>
      <w:marLeft w:val="0"/>
      <w:marRight w:val="0"/>
      <w:marTop w:val="0"/>
      <w:marBottom w:val="0"/>
      <w:divBdr>
        <w:top w:val="none" w:sz="0" w:space="0" w:color="auto"/>
        <w:left w:val="none" w:sz="0" w:space="0" w:color="auto"/>
        <w:bottom w:val="none" w:sz="0" w:space="0" w:color="auto"/>
        <w:right w:val="none" w:sz="0" w:space="0" w:color="auto"/>
      </w:divBdr>
    </w:div>
    <w:div w:id="785470216">
      <w:bodyDiv w:val="1"/>
      <w:marLeft w:val="0"/>
      <w:marRight w:val="0"/>
      <w:marTop w:val="0"/>
      <w:marBottom w:val="0"/>
      <w:divBdr>
        <w:top w:val="none" w:sz="0" w:space="0" w:color="auto"/>
        <w:left w:val="none" w:sz="0" w:space="0" w:color="auto"/>
        <w:bottom w:val="none" w:sz="0" w:space="0" w:color="auto"/>
        <w:right w:val="none" w:sz="0" w:space="0" w:color="auto"/>
      </w:divBdr>
    </w:div>
    <w:div w:id="822820858">
      <w:bodyDiv w:val="1"/>
      <w:marLeft w:val="0"/>
      <w:marRight w:val="0"/>
      <w:marTop w:val="0"/>
      <w:marBottom w:val="0"/>
      <w:divBdr>
        <w:top w:val="none" w:sz="0" w:space="0" w:color="auto"/>
        <w:left w:val="none" w:sz="0" w:space="0" w:color="auto"/>
        <w:bottom w:val="none" w:sz="0" w:space="0" w:color="auto"/>
        <w:right w:val="none" w:sz="0" w:space="0" w:color="auto"/>
      </w:divBdr>
      <w:divsChild>
        <w:div w:id="489519375">
          <w:marLeft w:val="0"/>
          <w:marRight w:val="0"/>
          <w:marTop w:val="0"/>
          <w:marBottom w:val="0"/>
          <w:divBdr>
            <w:top w:val="none" w:sz="0" w:space="0" w:color="auto"/>
            <w:left w:val="none" w:sz="0" w:space="0" w:color="auto"/>
            <w:bottom w:val="none" w:sz="0" w:space="0" w:color="auto"/>
            <w:right w:val="none" w:sz="0" w:space="0" w:color="auto"/>
          </w:divBdr>
          <w:divsChild>
            <w:div w:id="139348921">
              <w:marLeft w:val="0"/>
              <w:marRight w:val="0"/>
              <w:marTop w:val="0"/>
              <w:marBottom w:val="0"/>
              <w:divBdr>
                <w:top w:val="none" w:sz="0" w:space="0" w:color="auto"/>
                <w:left w:val="none" w:sz="0" w:space="0" w:color="auto"/>
                <w:bottom w:val="none" w:sz="0" w:space="0" w:color="auto"/>
                <w:right w:val="none" w:sz="0" w:space="0" w:color="auto"/>
              </w:divBdr>
            </w:div>
          </w:divsChild>
        </w:div>
        <w:div w:id="623117359">
          <w:marLeft w:val="0"/>
          <w:marRight w:val="0"/>
          <w:marTop w:val="0"/>
          <w:marBottom w:val="0"/>
          <w:divBdr>
            <w:top w:val="none" w:sz="0" w:space="0" w:color="auto"/>
            <w:left w:val="none" w:sz="0" w:space="0" w:color="auto"/>
            <w:bottom w:val="none" w:sz="0" w:space="0" w:color="auto"/>
            <w:right w:val="none" w:sz="0" w:space="0" w:color="auto"/>
          </w:divBdr>
          <w:divsChild>
            <w:div w:id="2019303821">
              <w:marLeft w:val="0"/>
              <w:marRight w:val="0"/>
              <w:marTop w:val="0"/>
              <w:marBottom w:val="0"/>
              <w:divBdr>
                <w:top w:val="none" w:sz="0" w:space="0" w:color="auto"/>
                <w:left w:val="none" w:sz="0" w:space="0" w:color="auto"/>
                <w:bottom w:val="none" w:sz="0" w:space="0" w:color="auto"/>
                <w:right w:val="none" w:sz="0" w:space="0" w:color="auto"/>
              </w:divBdr>
            </w:div>
          </w:divsChild>
        </w:div>
        <w:div w:id="942612164">
          <w:marLeft w:val="0"/>
          <w:marRight w:val="0"/>
          <w:marTop w:val="0"/>
          <w:marBottom w:val="0"/>
          <w:divBdr>
            <w:top w:val="none" w:sz="0" w:space="0" w:color="auto"/>
            <w:left w:val="none" w:sz="0" w:space="0" w:color="auto"/>
            <w:bottom w:val="none" w:sz="0" w:space="0" w:color="auto"/>
            <w:right w:val="none" w:sz="0" w:space="0" w:color="auto"/>
          </w:divBdr>
          <w:divsChild>
            <w:div w:id="1420642951">
              <w:marLeft w:val="0"/>
              <w:marRight w:val="0"/>
              <w:marTop w:val="0"/>
              <w:marBottom w:val="0"/>
              <w:divBdr>
                <w:top w:val="none" w:sz="0" w:space="0" w:color="auto"/>
                <w:left w:val="none" w:sz="0" w:space="0" w:color="auto"/>
                <w:bottom w:val="none" w:sz="0" w:space="0" w:color="auto"/>
                <w:right w:val="none" w:sz="0" w:space="0" w:color="auto"/>
              </w:divBdr>
            </w:div>
          </w:divsChild>
        </w:div>
        <w:div w:id="1684555410">
          <w:marLeft w:val="0"/>
          <w:marRight w:val="0"/>
          <w:marTop w:val="0"/>
          <w:marBottom w:val="0"/>
          <w:divBdr>
            <w:top w:val="none" w:sz="0" w:space="0" w:color="auto"/>
            <w:left w:val="none" w:sz="0" w:space="0" w:color="auto"/>
            <w:bottom w:val="none" w:sz="0" w:space="0" w:color="auto"/>
            <w:right w:val="none" w:sz="0" w:space="0" w:color="auto"/>
          </w:divBdr>
          <w:divsChild>
            <w:div w:id="1860000503">
              <w:marLeft w:val="0"/>
              <w:marRight w:val="0"/>
              <w:marTop w:val="0"/>
              <w:marBottom w:val="0"/>
              <w:divBdr>
                <w:top w:val="none" w:sz="0" w:space="0" w:color="auto"/>
                <w:left w:val="none" w:sz="0" w:space="0" w:color="auto"/>
                <w:bottom w:val="none" w:sz="0" w:space="0" w:color="auto"/>
                <w:right w:val="none" w:sz="0" w:space="0" w:color="auto"/>
              </w:divBdr>
            </w:div>
          </w:divsChild>
        </w:div>
        <w:div w:id="1695111511">
          <w:marLeft w:val="0"/>
          <w:marRight w:val="0"/>
          <w:marTop w:val="0"/>
          <w:marBottom w:val="0"/>
          <w:divBdr>
            <w:top w:val="none" w:sz="0" w:space="0" w:color="auto"/>
            <w:left w:val="none" w:sz="0" w:space="0" w:color="auto"/>
            <w:bottom w:val="none" w:sz="0" w:space="0" w:color="auto"/>
            <w:right w:val="none" w:sz="0" w:space="0" w:color="auto"/>
          </w:divBdr>
          <w:divsChild>
            <w:div w:id="1419449995">
              <w:marLeft w:val="0"/>
              <w:marRight w:val="0"/>
              <w:marTop w:val="0"/>
              <w:marBottom w:val="0"/>
              <w:divBdr>
                <w:top w:val="none" w:sz="0" w:space="0" w:color="auto"/>
                <w:left w:val="none" w:sz="0" w:space="0" w:color="auto"/>
                <w:bottom w:val="none" w:sz="0" w:space="0" w:color="auto"/>
                <w:right w:val="none" w:sz="0" w:space="0" w:color="auto"/>
              </w:divBdr>
            </w:div>
          </w:divsChild>
        </w:div>
        <w:div w:id="1856921385">
          <w:marLeft w:val="0"/>
          <w:marRight w:val="0"/>
          <w:marTop w:val="0"/>
          <w:marBottom w:val="0"/>
          <w:divBdr>
            <w:top w:val="none" w:sz="0" w:space="0" w:color="auto"/>
            <w:left w:val="none" w:sz="0" w:space="0" w:color="auto"/>
            <w:bottom w:val="none" w:sz="0" w:space="0" w:color="auto"/>
            <w:right w:val="none" w:sz="0" w:space="0" w:color="auto"/>
          </w:divBdr>
          <w:divsChild>
            <w:div w:id="1722292429">
              <w:marLeft w:val="0"/>
              <w:marRight w:val="0"/>
              <w:marTop w:val="0"/>
              <w:marBottom w:val="0"/>
              <w:divBdr>
                <w:top w:val="none" w:sz="0" w:space="0" w:color="auto"/>
                <w:left w:val="none" w:sz="0" w:space="0" w:color="auto"/>
                <w:bottom w:val="none" w:sz="0" w:space="0" w:color="auto"/>
                <w:right w:val="none" w:sz="0" w:space="0" w:color="auto"/>
              </w:divBdr>
            </w:div>
          </w:divsChild>
        </w:div>
        <w:div w:id="1937597850">
          <w:marLeft w:val="0"/>
          <w:marRight w:val="0"/>
          <w:marTop w:val="0"/>
          <w:marBottom w:val="0"/>
          <w:divBdr>
            <w:top w:val="none" w:sz="0" w:space="0" w:color="auto"/>
            <w:left w:val="none" w:sz="0" w:space="0" w:color="auto"/>
            <w:bottom w:val="none" w:sz="0" w:space="0" w:color="auto"/>
            <w:right w:val="none" w:sz="0" w:space="0" w:color="auto"/>
          </w:divBdr>
          <w:divsChild>
            <w:div w:id="1842960997">
              <w:marLeft w:val="0"/>
              <w:marRight w:val="0"/>
              <w:marTop w:val="0"/>
              <w:marBottom w:val="0"/>
              <w:divBdr>
                <w:top w:val="none" w:sz="0" w:space="0" w:color="auto"/>
                <w:left w:val="none" w:sz="0" w:space="0" w:color="auto"/>
                <w:bottom w:val="none" w:sz="0" w:space="0" w:color="auto"/>
                <w:right w:val="none" w:sz="0" w:space="0" w:color="auto"/>
              </w:divBdr>
            </w:div>
          </w:divsChild>
        </w:div>
        <w:div w:id="1956596750">
          <w:marLeft w:val="0"/>
          <w:marRight w:val="0"/>
          <w:marTop w:val="0"/>
          <w:marBottom w:val="0"/>
          <w:divBdr>
            <w:top w:val="none" w:sz="0" w:space="0" w:color="auto"/>
            <w:left w:val="none" w:sz="0" w:space="0" w:color="auto"/>
            <w:bottom w:val="none" w:sz="0" w:space="0" w:color="auto"/>
            <w:right w:val="none" w:sz="0" w:space="0" w:color="auto"/>
          </w:divBdr>
          <w:divsChild>
            <w:div w:id="4163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1055">
      <w:bodyDiv w:val="1"/>
      <w:marLeft w:val="0"/>
      <w:marRight w:val="0"/>
      <w:marTop w:val="0"/>
      <w:marBottom w:val="0"/>
      <w:divBdr>
        <w:top w:val="none" w:sz="0" w:space="0" w:color="auto"/>
        <w:left w:val="none" w:sz="0" w:space="0" w:color="auto"/>
        <w:bottom w:val="none" w:sz="0" w:space="0" w:color="auto"/>
        <w:right w:val="none" w:sz="0" w:space="0" w:color="auto"/>
      </w:divBdr>
      <w:divsChild>
        <w:div w:id="32462128">
          <w:marLeft w:val="0"/>
          <w:marRight w:val="0"/>
          <w:marTop w:val="0"/>
          <w:marBottom w:val="0"/>
          <w:divBdr>
            <w:top w:val="none" w:sz="0" w:space="0" w:color="auto"/>
            <w:left w:val="none" w:sz="0" w:space="0" w:color="auto"/>
            <w:bottom w:val="none" w:sz="0" w:space="0" w:color="auto"/>
            <w:right w:val="none" w:sz="0" w:space="0" w:color="auto"/>
          </w:divBdr>
          <w:divsChild>
            <w:div w:id="1517647700">
              <w:marLeft w:val="0"/>
              <w:marRight w:val="0"/>
              <w:marTop w:val="0"/>
              <w:marBottom w:val="0"/>
              <w:divBdr>
                <w:top w:val="none" w:sz="0" w:space="0" w:color="auto"/>
                <w:left w:val="none" w:sz="0" w:space="0" w:color="auto"/>
                <w:bottom w:val="none" w:sz="0" w:space="0" w:color="auto"/>
                <w:right w:val="none" w:sz="0" w:space="0" w:color="auto"/>
              </w:divBdr>
            </w:div>
          </w:divsChild>
        </w:div>
        <w:div w:id="45493570">
          <w:marLeft w:val="0"/>
          <w:marRight w:val="0"/>
          <w:marTop w:val="0"/>
          <w:marBottom w:val="0"/>
          <w:divBdr>
            <w:top w:val="none" w:sz="0" w:space="0" w:color="auto"/>
            <w:left w:val="none" w:sz="0" w:space="0" w:color="auto"/>
            <w:bottom w:val="none" w:sz="0" w:space="0" w:color="auto"/>
            <w:right w:val="none" w:sz="0" w:space="0" w:color="auto"/>
          </w:divBdr>
          <w:divsChild>
            <w:div w:id="1980449520">
              <w:marLeft w:val="0"/>
              <w:marRight w:val="0"/>
              <w:marTop w:val="0"/>
              <w:marBottom w:val="0"/>
              <w:divBdr>
                <w:top w:val="none" w:sz="0" w:space="0" w:color="auto"/>
                <w:left w:val="none" w:sz="0" w:space="0" w:color="auto"/>
                <w:bottom w:val="none" w:sz="0" w:space="0" w:color="auto"/>
                <w:right w:val="none" w:sz="0" w:space="0" w:color="auto"/>
              </w:divBdr>
            </w:div>
          </w:divsChild>
        </w:div>
        <w:div w:id="54013869">
          <w:marLeft w:val="0"/>
          <w:marRight w:val="0"/>
          <w:marTop w:val="0"/>
          <w:marBottom w:val="0"/>
          <w:divBdr>
            <w:top w:val="none" w:sz="0" w:space="0" w:color="auto"/>
            <w:left w:val="none" w:sz="0" w:space="0" w:color="auto"/>
            <w:bottom w:val="none" w:sz="0" w:space="0" w:color="auto"/>
            <w:right w:val="none" w:sz="0" w:space="0" w:color="auto"/>
          </w:divBdr>
          <w:divsChild>
            <w:div w:id="1315835575">
              <w:marLeft w:val="0"/>
              <w:marRight w:val="0"/>
              <w:marTop w:val="0"/>
              <w:marBottom w:val="0"/>
              <w:divBdr>
                <w:top w:val="none" w:sz="0" w:space="0" w:color="auto"/>
                <w:left w:val="none" w:sz="0" w:space="0" w:color="auto"/>
                <w:bottom w:val="none" w:sz="0" w:space="0" w:color="auto"/>
                <w:right w:val="none" w:sz="0" w:space="0" w:color="auto"/>
              </w:divBdr>
            </w:div>
          </w:divsChild>
        </w:div>
        <w:div w:id="92476978">
          <w:marLeft w:val="0"/>
          <w:marRight w:val="0"/>
          <w:marTop w:val="0"/>
          <w:marBottom w:val="0"/>
          <w:divBdr>
            <w:top w:val="none" w:sz="0" w:space="0" w:color="auto"/>
            <w:left w:val="none" w:sz="0" w:space="0" w:color="auto"/>
            <w:bottom w:val="none" w:sz="0" w:space="0" w:color="auto"/>
            <w:right w:val="none" w:sz="0" w:space="0" w:color="auto"/>
          </w:divBdr>
          <w:divsChild>
            <w:div w:id="268125045">
              <w:marLeft w:val="0"/>
              <w:marRight w:val="0"/>
              <w:marTop w:val="0"/>
              <w:marBottom w:val="0"/>
              <w:divBdr>
                <w:top w:val="none" w:sz="0" w:space="0" w:color="auto"/>
                <w:left w:val="none" w:sz="0" w:space="0" w:color="auto"/>
                <w:bottom w:val="none" w:sz="0" w:space="0" w:color="auto"/>
                <w:right w:val="none" w:sz="0" w:space="0" w:color="auto"/>
              </w:divBdr>
            </w:div>
            <w:div w:id="727069983">
              <w:marLeft w:val="0"/>
              <w:marRight w:val="0"/>
              <w:marTop w:val="0"/>
              <w:marBottom w:val="0"/>
              <w:divBdr>
                <w:top w:val="none" w:sz="0" w:space="0" w:color="auto"/>
                <w:left w:val="none" w:sz="0" w:space="0" w:color="auto"/>
                <w:bottom w:val="none" w:sz="0" w:space="0" w:color="auto"/>
                <w:right w:val="none" w:sz="0" w:space="0" w:color="auto"/>
              </w:divBdr>
            </w:div>
            <w:div w:id="1158770794">
              <w:marLeft w:val="0"/>
              <w:marRight w:val="0"/>
              <w:marTop w:val="0"/>
              <w:marBottom w:val="0"/>
              <w:divBdr>
                <w:top w:val="none" w:sz="0" w:space="0" w:color="auto"/>
                <w:left w:val="none" w:sz="0" w:space="0" w:color="auto"/>
                <w:bottom w:val="none" w:sz="0" w:space="0" w:color="auto"/>
                <w:right w:val="none" w:sz="0" w:space="0" w:color="auto"/>
              </w:divBdr>
            </w:div>
          </w:divsChild>
        </w:div>
        <w:div w:id="257252857">
          <w:marLeft w:val="0"/>
          <w:marRight w:val="0"/>
          <w:marTop w:val="0"/>
          <w:marBottom w:val="0"/>
          <w:divBdr>
            <w:top w:val="none" w:sz="0" w:space="0" w:color="auto"/>
            <w:left w:val="none" w:sz="0" w:space="0" w:color="auto"/>
            <w:bottom w:val="none" w:sz="0" w:space="0" w:color="auto"/>
            <w:right w:val="none" w:sz="0" w:space="0" w:color="auto"/>
          </w:divBdr>
          <w:divsChild>
            <w:div w:id="1901020929">
              <w:marLeft w:val="0"/>
              <w:marRight w:val="0"/>
              <w:marTop w:val="0"/>
              <w:marBottom w:val="0"/>
              <w:divBdr>
                <w:top w:val="none" w:sz="0" w:space="0" w:color="auto"/>
                <w:left w:val="none" w:sz="0" w:space="0" w:color="auto"/>
                <w:bottom w:val="none" w:sz="0" w:space="0" w:color="auto"/>
                <w:right w:val="none" w:sz="0" w:space="0" w:color="auto"/>
              </w:divBdr>
            </w:div>
          </w:divsChild>
        </w:div>
        <w:div w:id="281543430">
          <w:marLeft w:val="0"/>
          <w:marRight w:val="0"/>
          <w:marTop w:val="0"/>
          <w:marBottom w:val="0"/>
          <w:divBdr>
            <w:top w:val="none" w:sz="0" w:space="0" w:color="auto"/>
            <w:left w:val="none" w:sz="0" w:space="0" w:color="auto"/>
            <w:bottom w:val="none" w:sz="0" w:space="0" w:color="auto"/>
            <w:right w:val="none" w:sz="0" w:space="0" w:color="auto"/>
          </w:divBdr>
          <w:divsChild>
            <w:div w:id="1132986598">
              <w:marLeft w:val="0"/>
              <w:marRight w:val="0"/>
              <w:marTop w:val="0"/>
              <w:marBottom w:val="0"/>
              <w:divBdr>
                <w:top w:val="none" w:sz="0" w:space="0" w:color="auto"/>
                <w:left w:val="none" w:sz="0" w:space="0" w:color="auto"/>
                <w:bottom w:val="none" w:sz="0" w:space="0" w:color="auto"/>
                <w:right w:val="none" w:sz="0" w:space="0" w:color="auto"/>
              </w:divBdr>
            </w:div>
          </w:divsChild>
        </w:div>
        <w:div w:id="443766129">
          <w:marLeft w:val="0"/>
          <w:marRight w:val="0"/>
          <w:marTop w:val="0"/>
          <w:marBottom w:val="0"/>
          <w:divBdr>
            <w:top w:val="none" w:sz="0" w:space="0" w:color="auto"/>
            <w:left w:val="none" w:sz="0" w:space="0" w:color="auto"/>
            <w:bottom w:val="none" w:sz="0" w:space="0" w:color="auto"/>
            <w:right w:val="none" w:sz="0" w:space="0" w:color="auto"/>
          </w:divBdr>
          <w:divsChild>
            <w:div w:id="1981030159">
              <w:marLeft w:val="0"/>
              <w:marRight w:val="0"/>
              <w:marTop w:val="0"/>
              <w:marBottom w:val="0"/>
              <w:divBdr>
                <w:top w:val="none" w:sz="0" w:space="0" w:color="auto"/>
                <w:left w:val="none" w:sz="0" w:space="0" w:color="auto"/>
                <w:bottom w:val="none" w:sz="0" w:space="0" w:color="auto"/>
                <w:right w:val="none" w:sz="0" w:space="0" w:color="auto"/>
              </w:divBdr>
            </w:div>
          </w:divsChild>
        </w:div>
        <w:div w:id="497039181">
          <w:marLeft w:val="0"/>
          <w:marRight w:val="0"/>
          <w:marTop w:val="0"/>
          <w:marBottom w:val="0"/>
          <w:divBdr>
            <w:top w:val="none" w:sz="0" w:space="0" w:color="auto"/>
            <w:left w:val="none" w:sz="0" w:space="0" w:color="auto"/>
            <w:bottom w:val="none" w:sz="0" w:space="0" w:color="auto"/>
            <w:right w:val="none" w:sz="0" w:space="0" w:color="auto"/>
          </w:divBdr>
          <w:divsChild>
            <w:div w:id="1860215">
              <w:marLeft w:val="0"/>
              <w:marRight w:val="0"/>
              <w:marTop w:val="0"/>
              <w:marBottom w:val="0"/>
              <w:divBdr>
                <w:top w:val="none" w:sz="0" w:space="0" w:color="auto"/>
                <w:left w:val="none" w:sz="0" w:space="0" w:color="auto"/>
                <w:bottom w:val="none" w:sz="0" w:space="0" w:color="auto"/>
                <w:right w:val="none" w:sz="0" w:space="0" w:color="auto"/>
              </w:divBdr>
            </w:div>
          </w:divsChild>
        </w:div>
        <w:div w:id="500894657">
          <w:marLeft w:val="0"/>
          <w:marRight w:val="0"/>
          <w:marTop w:val="0"/>
          <w:marBottom w:val="0"/>
          <w:divBdr>
            <w:top w:val="none" w:sz="0" w:space="0" w:color="auto"/>
            <w:left w:val="none" w:sz="0" w:space="0" w:color="auto"/>
            <w:bottom w:val="none" w:sz="0" w:space="0" w:color="auto"/>
            <w:right w:val="none" w:sz="0" w:space="0" w:color="auto"/>
          </w:divBdr>
          <w:divsChild>
            <w:div w:id="676690640">
              <w:marLeft w:val="0"/>
              <w:marRight w:val="0"/>
              <w:marTop w:val="0"/>
              <w:marBottom w:val="0"/>
              <w:divBdr>
                <w:top w:val="none" w:sz="0" w:space="0" w:color="auto"/>
                <w:left w:val="none" w:sz="0" w:space="0" w:color="auto"/>
                <w:bottom w:val="none" w:sz="0" w:space="0" w:color="auto"/>
                <w:right w:val="none" w:sz="0" w:space="0" w:color="auto"/>
              </w:divBdr>
            </w:div>
          </w:divsChild>
        </w:div>
        <w:div w:id="581567489">
          <w:marLeft w:val="0"/>
          <w:marRight w:val="0"/>
          <w:marTop w:val="0"/>
          <w:marBottom w:val="0"/>
          <w:divBdr>
            <w:top w:val="none" w:sz="0" w:space="0" w:color="auto"/>
            <w:left w:val="none" w:sz="0" w:space="0" w:color="auto"/>
            <w:bottom w:val="none" w:sz="0" w:space="0" w:color="auto"/>
            <w:right w:val="none" w:sz="0" w:space="0" w:color="auto"/>
          </w:divBdr>
          <w:divsChild>
            <w:div w:id="1156069944">
              <w:marLeft w:val="0"/>
              <w:marRight w:val="0"/>
              <w:marTop w:val="0"/>
              <w:marBottom w:val="0"/>
              <w:divBdr>
                <w:top w:val="none" w:sz="0" w:space="0" w:color="auto"/>
                <w:left w:val="none" w:sz="0" w:space="0" w:color="auto"/>
                <w:bottom w:val="none" w:sz="0" w:space="0" w:color="auto"/>
                <w:right w:val="none" w:sz="0" w:space="0" w:color="auto"/>
              </w:divBdr>
            </w:div>
          </w:divsChild>
        </w:div>
        <w:div w:id="627246273">
          <w:marLeft w:val="0"/>
          <w:marRight w:val="0"/>
          <w:marTop w:val="0"/>
          <w:marBottom w:val="0"/>
          <w:divBdr>
            <w:top w:val="none" w:sz="0" w:space="0" w:color="auto"/>
            <w:left w:val="none" w:sz="0" w:space="0" w:color="auto"/>
            <w:bottom w:val="none" w:sz="0" w:space="0" w:color="auto"/>
            <w:right w:val="none" w:sz="0" w:space="0" w:color="auto"/>
          </w:divBdr>
          <w:divsChild>
            <w:div w:id="26608161">
              <w:marLeft w:val="0"/>
              <w:marRight w:val="0"/>
              <w:marTop w:val="0"/>
              <w:marBottom w:val="0"/>
              <w:divBdr>
                <w:top w:val="none" w:sz="0" w:space="0" w:color="auto"/>
                <w:left w:val="none" w:sz="0" w:space="0" w:color="auto"/>
                <w:bottom w:val="none" w:sz="0" w:space="0" w:color="auto"/>
                <w:right w:val="none" w:sz="0" w:space="0" w:color="auto"/>
              </w:divBdr>
            </w:div>
          </w:divsChild>
        </w:div>
        <w:div w:id="771508589">
          <w:marLeft w:val="0"/>
          <w:marRight w:val="0"/>
          <w:marTop w:val="0"/>
          <w:marBottom w:val="0"/>
          <w:divBdr>
            <w:top w:val="none" w:sz="0" w:space="0" w:color="auto"/>
            <w:left w:val="none" w:sz="0" w:space="0" w:color="auto"/>
            <w:bottom w:val="none" w:sz="0" w:space="0" w:color="auto"/>
            <w:right w:val="none" w:sz="0" w:space="0" w:color="auto"/>
          </w:divBdr>
          <w:divsChild>
            <w:div w:id="1323389438">
              <w:marLeft w:val="0"/>
              <w:marRight w:val="0"/>
              <w:marTop w:val="0"/>
              <w:marBottom w:val="0"/>
              <w:divBdr>
                <w:top w:val="none" w:sz="0" w:space="0" w:color="auto"/>
                <w:left w:val="none" w:sz="0" w:space="0" w:color="auto"/>
                <w:bottom w:val="none" w:sz="0" w:space="0" w:color="auto"/>
                <w:right w:val="none" w:sz="0" w:space="0" w:color="auto"/>
              </w:divBdr>
            </w:div>
          </w:divsChild>
        </w:div>
        <w:div w:id="1040402790">
          <w:marLeft w:val="0"/>
          <w:marRight w:val="0"/>
          <w:marTop w:val="0"/>
          <w:marBottom w:val="0"/>
          <w:divBdr>
            <w:top w:val="none" w:sz="0" w:space="0" w:color="auto"/>
            <w:left w:val="none" w:sz="0" w:space="0" w:color="auto"/>
            <w:bottom w:val="none" w:sz="0" w:space="0" w:color="auto"/>
            <w:right w:val="none" w:sz="0" w:space="0" w:color="auto"/>
          </w:divBdr>
          <w:divsChild>
            <w:div w:id="1913929320">
              <w:marLeft w:val="0"/>
              <w:marRight w:val="0"/>
              <w:marTop w:val="0"/>
              <w:marBottom w:val="0"/>
              <w:divBdr>
                <w:top w:val="none" w:sz="0" w:space="0" w:color="auto"/>
                <w:left w:val="none" w:sz="0" w:space="0" w:color="auto"/>
                <w:bottom w:val="none" w:sz="0" w:space="0" w:color="auto"/>
                <w:right w:val="none" w:sz="0" w:space="0" w:color="auto"/>
              </w:divBdr>
            </w:div>
          </w:divsChild>
        </w:div>
        <w:div w:id="1135412745">
          <w:marLeft w:val="0"/>
          <w:marRight w:val="0"/>
          <w:marTop w:val="0"/>
          <w:marBottom w:val="0"/>
          <w:divBdr>
            <w:top w:val="none" w:sz="0" w:space="0" w:color="auto"/>
            <w:left w:val="none" w:sz="0" w:space="0" w:color="auto"/>
            <w:bottom w:val="none" w:sz="0" w:space="0" w:color="auto"/>
            <w:right w:val="none" w:sz="0" w:space="0" w:color="auto"/>
          </w:divBdr>
          <w:divsChild>
            <w:div w:id="1920139679">
              <w:marLeft w:val="0"/>
              <w:marRight w:val="0"/>
              <w:marTop w:val="0"/>
              <w:marBottom w:val="0"/>
              <w:divBdr>
                <w:top w:val="none" w:sz="0" w:space="0" w:color="auto"/>
                <w:left w:val="none" w:sz="0" w:space="0" w:color="auto"/>
                <w:bottom w:val="none" w:sz="0" w:space="0" w:color="auto"/>
                <w:right w:val="none" w:sz="0" w:space="0" w:color="auto"/>
              </w:divBdr>
            </w:div>
          </w:divsChild>
        </w:div>
        <w:div w:id="1213153561">
          <w:marLeft w:val="0"/>
          <w:marRight w:val="0"/>
          <w:marTop w:val="0"/>
          <w:marBottom w:val="0"/>
          <w:divBdr>
            <w:top w:val="none" w:sz="0" w:space="0" w:color="auto"/>
            <w:left w:val="none" w:sz="0" w:space="0" w:color="auto"/>
            <w:bottom w:val="none" w:sz="0" w:space="0" w:color="auto"/>
            <w:right w:val="none" w:sz="0" w:space="0" w:color="auto"/>
          </w:divBdr>
          <w:divsChild>
            <w:div w:id="1853643524">
              <w:marLeft w:val="0"/>
              <w:marRight w:val="0"/>
              <w:marTop w:val="0"/>
              <w:marBottom w:val="0"/>
              <w:divBdr>
                <w:top w:val="none" w:sz="0" w:space="0" w:color="auto"/>
                <w:left w:val="none" w:sz="0" w:space="0" w:color="auto"/>
                <w:bottom w:val="none" w:sz="0" w:space="0" w:color="auto"/>
                <w:right w:val="none" w:sz="0" w:space="0" w:color="auto"/>
              </w:divBdr>
            </w:div>
          </w:divsChild>
        </w:div>
        <w:div w:id="1216164964">
          <w:marLeft w:val="0"/>
          <w:marRight w:val="0"/>
          <w:marTop w:val="0"/>
          <w:marBottom w:val="0"/>
          <w:divBdr>
            <w:top w:val="none" w:sz="0" w:space="0" w:color="auto"/>
            <w:left w:val="none" w:sz="0" w:space="0" w:color="auto"/>
            <w:bottom w:val="none" w:sz="0" w:space="0" w:color="auto"/>
            <w:right w:val="none" w:sz="0" w:space="0" w:color="auto"/>
          </w:divBdr>
          <w:divsChild>
            <w:div w:id="437026193">
              <w:marLeft w:val="0"/>
              <w:marRight w:val="0"/>
              <w:marTop w:val="0"/>
              <w:marBottom w:val="0"/>
              <w:divBdr>
                <w:top w:val="none" w:sz="0" w:space="0" w:color="auto"/>
                <w:left w:val="none" w:sz="0" w:space="0" w:color="auto"/>
                <w:bottom w:val="none" w:sz="0" w:space="0" w:color="auto"/>
                <w:right w:val="none" w:sz="0" w:space="0" w:color="auto"/>
              </w:divBdr>
            </w:div>
          </w:divsChild>
        </w:div>
        <w:div w:id="1568685949">
          <w:marLeft w:val="0"/>
          <w:marRight w:val="0"/>
          <w:marTop w:val="0"/>
          <w:marBottom w:val="0"/>
          <w:divBdr>
            <w:top w:val="none" w:sz="0" w:space="0" w:color="auto"/>
            <w:left w:val="none" w:sz="0" w:space="0" w:color="auto"/>
            <w:bottom w:val="none" w:sz="0" w:space="0" w:color="auto"/>
            <w:right w:val="none" w:sz="0" w:space="0" w:color="auto"/>
          </w:divBdr>
          <w:divsChild>
            <w:div w:id="761268631">
              <w:marLeft w:val="0"/>
              <w:marRight w:val="0"/>
              <w:marTop w:val="0"/>
              <w:marBottom w:val="0"/>
              <w:divBdr>
                <w:top w:val="none" w:sz="0" w:space="0" w:color="auto"/>
                <w:left w:val="none" w:sz="0" w:space="0" w:color="auto"/>
                <w:bottom w:val="none" w:sz="0" w:space="0" w:color="auto"/>
                <w:right w:val="none" w:sz="0" w:space="0" w:color="auto"/>
              </w:divBdr>
            </w:div>
          </w:divsChild>
        </w:div>
        <w:div w:id="1571845577">
          <w:marLeft w:val="0"/>
          <w:marRight w:val="0"/>
          <w:marTop w:val="0"/>
          <w:marBottom w:val="0"/>
          <w:divBdr>
            <w:top w:val="none" w:sz="0" w:space="0" w:color="auto"/>
            <w:left w:val="none" w:sz="0" w:space="0" w:color="auto"/>
            <w:bottom w:val="none" w:sz="0" w:space="0" w:color="auto"/>
            <w:right w:val="none" w:sz="0" w:space="0" w:color="auto"/>
          </w:divBdr>
          <w:divsChild>
            <w:div w:id="801000115">
              <w:marLeft w:val="0"/>
              <w:marRight w:val="0"/>
              <w:marTop w:val="0"/>
              <w:marBottom w:val="0"/>
              <w:divBdr>
                <w:top w:val="none" w:sz="0" w:space="0" w:color="auto"/>
                <w:left w:val="none" w:sz="0" w:space="0" w:color="auto"/>
                <w:bottom w:val="none" w:sz="0" w:space="0" w:color="auto"/>
                <w:right w:val="none" w:sz="0" w:space="0" w:color="auto"/>
              </w:divBdr>
            </w:div>
          </w:divsChild>
        </w:div>
        <w:div w:id="1587686010">
          <w:marLeft w:val="0"/>
          <w:marRight w:val="0"/>
          <w:marTop w:val="0"/>
          <w:marBottom w:val="0"/>
          <w:divBdr>
            <w:top w:val="none" w:sz="0" w:space="0" w:color="auto"/>
            <w:left w:val="none" w:sz="0" w:space="0" w:color="auto"/>
            <w:bottom w:val="none" w:sz="0" w:space="0" w:color="auto"/>
            <w:right w:val="none" w:sz="0" w:space="0" w:color="auto"/>
          </w:divBdr>
          <w:divsChild>
            <w:div w:id="1274678005">
              <w:marLeft w:val="0"/>
              <w:marRight w:val="0"/>
              <w:marTop w:val="0"/>
              <w:marBottom w:val="0"/>
              <w:divBdr>
                <w:top w:val="none" w:sz="0" w:space="0" w:color="auto"/>
                <w:left w:val="none" w:sz="0" w:space="0" w:color="auto"/>
                <w:bottom w:val="none" w:sz="0" w:space="0" w:color="auto"/>
                <w:right w:val="none" w:sz="0" w:space="0" w:color="auto"/>
              </w:divBdr>
            </w:div>
          </w:divsChild>
        </w:div>
        <w:div w:id="1828015315">
          <w:marLeft w:val="0"/>
          <w:marRight w:val="0"/>
          <w:marTop w:val="0"/>
          <w:marBottom w:val="0"/>
          <w:divBdr>
            <w:top w:val="none" w:sz="0" w:space="0" w:color="auto"/>
            <w:left w:val="none" w:sz="0" w:space="0" w:color="auto"/>
            <w:bottom w:val="none" w:sz="0" w:space="0" w:color="auto"/>
            <w:right w:val="none" w:sz="0" w:space="0" w:color="auto"/>
          </w:divBdr>
          <w:divsChild>
            <w:div w:id="550927098">
              <w:marLeft w:val="0"/>
              <w:marRight w:val="0"/>
              <w:marTop w:val="0"/>
              <w:marBottom w:val="0"/>
              <w:divBdr>
                <w:top w:val="none" w:sz="0" w:space="0" w:color="auto"/>
                <w:left w:val="none" w:sz="0" w:space="0" w:color="auto"/>
                <w:bottom w:val="none" w:sz="0" w:space="0" w:color="auto"/>
                <w:right w:val="none" w:sz="0" w:space="0" w:color="auto"/>
              </w:divBdr>
            </w:div>
          </w:divsChild>
        </w:div>
        <w:div w:id="2073502494">
          <w:marLeft w:val="0"/>
          <w:marRight w:val="0"/>
          <w:marTop w:val="0"/>
          <w:marBottom w:val="0"/>
          <w:divBdr>
            <w:top w:val="none" w:sz="0" w:space="0" w:color="auto"/>
            <w:left w:val="none" w:sz="0" w:space="0" w:color="auto"/>
            <w:bottom w:val="none" w:sz="0" w:space="0" w:color="auto"/>
            <w:right w:val="none" w:sz="0" w:space="0" w:color="auto"/>
          </w:divBdr>
          <w:divsChild>
            <w:div w:id="2144300286">
              <w:marLeft w:val="0"/>
              <w:marRight w:val="0"/>
              <w:marTop w:val="0"/>
              <w:marBottom w:val="0"/>
              <w:divBdr>
                <w:top w:val="none" w:sz="0" w:space="0" w:color="auto"/>
                <w:left w:val="none" w:sz="0" w:space="0" w:color="auto"/>
                <w:bottom w:val="none" w:sz="0" w:space="0" w:color="auto"/>
                <w:right w:val="none" w:sz="0" w:space="0" w:color="auto"/>
              </w:divBdr>
            </w:div>
          </w:divsChild>
        </w:div>
        <w:div w:id="2076975027">
          <w:marLeft w:val="0"/>
          <w:marRight w:val="0"/>
          <w:marTop w:val="0"/>
          <w:marBottom w:val="0"/>
          <w:divBdr>
            <w:top w:val="none" w:sz="0" w:space="0" w:color="auto"/>
            <w:left w:val="none" w:sz="0" w:space="0" w:color="auto"/>
            <w:bottom w:val="none" w:sz="0" w:space="0" w:color="auto"/>
            <w:right w:val="none" w:sz="0" w:space="0" w:color="auto"/>
          </w:divBdr>
          <w:divsChild>
            <w:div w:id="2509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48637">
      <w:bodyDiv w:val="1"/>
      <w:marLeft w:val="0"/>
      <w:marRight w:val="0"/>
      <w:marTop w:val="0"/>
      <w:marBottom w:val="0"/>
      <w:divBdr>
        <w:top w:val="none" w:sz="0" w:space="0" w:color="auto"/>
        <w:left w:val="none" w:sz="0" w:space="0" w:color="auto"/>
        <w:bottom w:val="none" w:sz="0" w:space="0" w:color="auto"/>
        <w:right w:val="none" w:sz="0" w:space="0" w:color="auto"/>
      </w:divBdr>
    </w:div>
    <w:div w:id="942225352">
      <w:bodyDiv w:val="1"/>
      <w:marLeft w:val="0"/>
      <w:marRight w:val="0"/>
      <w:marTop w:val="0"/>
      <w:marBottom w:val="0"/>
      <w:divBdr>
        <w:top w:val="none" w:sz="0" w:space="0" w:color="auto"/>
        <w:left w:val="none" w:sz="0" w:space="0" w:color="auto"/>
        <w:bottom w:val="none" w:sz="0" w:space="0" w:color="auto"/>
        <w:right w:val="none" w:sz="0" w:space="0" w:color="auto"/>
      </w:divBdr>
    </w:div>
    <w:div w:id="943225987">
      <w:bodyDiv w:val="1"/>
      <w:marLeft w:val="0"/>
      <w:marRight w:val="0"/>
      <w:marTop w:val="0"/>
      <w:marBottom w:val="0"/>
      <w:divBdr>
        <w:top w:val="none" w:sz="0" w:space="0" w:color="auto"/>
        <w:left w:val="none" w:sz="0" w:space="0" w:color="auto"/>
        <w:bottom w:val="none" w:sz="0" w:space="0" w:color="auto"/>
        <w:right w:val="none" w:sz="0" w:space="0" w:color="auto"/>
      </w:divBdr>
    </w:div>
    <w:div w:id="956957243">
      <w:bodyDiv w:val="1"/>
      <w:marLeft w:val="0"/>
      <w:marRight w:val="0"/>
      <w:marTop w:val="0"/>
      <w:marBottom w:val="0"/>
      <w:divBdr>
        <w:top w:val="none" w:sz="0" w:space="0" w:color="auto"/>
        <w:left w:val="none" w:sz="0" w:space="0" w:color="auto"/>
        <w:bottom w:val="none" w:sz="0" w:space="0" w:color="auto"/>
        <w:right w:val="none" w:sz="0" w:space="0" w:color="auto"/>
      </w:divBdr>
    </w:div>
    <w:div w:id="957951218">
      <w:bodyDiv w:val="1"/>
      <w:marLeft w:val="0"/>
      <w:marRight w:val="0"/>
      <w:marTop w:val="0"/>
      <w:marBottom w:val="0"/>
      <w:divBdr>
        <w:top w:val="none" w:sz="0" w:space="0" w:color="auto"/>
        <w:left w:val="none" w:sz="0" w:space="0" w:color="auto"/>
        <w:bottom w:val="none" w:sz="0" w:space="0" w:color="auto"/>
        <w:right w:val="none" w:sz="0" w:space="0" w:color="auto"/>
      </w:divBdr>
    </w:div>
    <w:div w:id="963923044">
      <w:bodyDiv w:val="1"/>
      <w:marLeft w:val="0"/>
      <w:marRight w:val="0"/>
      <w:marTop w:val="0"/>
      <w:marBottom w:val="0"/>
      <w:divBdr>
        <w:top w:val="none" w:sz="0" w:space="0" w:color="auto"/>
        <w:left w:val="none" w:sz="0" w:space="0" w:color="auto"/>
        <w:bottom w:val="none" w:sz="0" w:space="0" w:color="auto"/>
        <w:right w:val="none" w:sz="0" w:space="0" w:color="auto"/>
      </w:divBdr>
    </w:div>
    <w:div w:id="989602295">
      <w:bodyDiv w:val="1"/>
      <w:marLeft w:val="0"/>
      <w:marRight w:val="0"/>
      <w:marTop w:val="0"/>
      <w:marBottom w:val="0"/>
      <w:divBdr>
        <w:top w:val="none" w:sz="0" w:space="0" w:color="auto"/>
        <w:left w:val="none" w:sz="0" w:space="0" w:color="auto"/>
        <w:bottom w:val="none" w:sz="0" w:space="0" w:color="auto"/>
        <w:right w:val="none" w:sz="0" w:space="0" w:color="auto"/>
      </w:divBdr>
    </w:div>
    <w:div w:id="1036277308">
      <w:bodyDiv w:val="1"/>
      <w:marLeft w:val="0"/>
      <w:marRight w:val="0"/>
      <w:marTop w:val="0"/>
      <w:marBottom w:val="0"/>
      <w:divBdr>
        <w:top w:val="none" w:sz="0" w:space="0" w:color="auto"/>
        <w:left w:val="none" w:sz="0" w:space="0" w:color="auto"/>
        <w:bottom w:val="none" w:sz="0" w:space="0" w:color="auto"/>
        <w:right w:val="none" w:sz="0" w:space="0" w:color="auto"/>
      </w:divBdr>
    </w:div>
    <w:div w:id="1050498301">
      <w:bodyDiv w:val="1"/>
      <w:marLeft w:val="0"/>
      <w:marRight w:val="0"/>
      <w:marTop w:val="0"/>
      <w:marBottom w:val="0"/>
      <w:divBdr>
        <w:top w:val="none" w:sz="0" w:space="0" w:color="auto"/>
        <w:left w:val="none" w:sz="0" w:space="0" w:color="auto"/>
        <w:bottom w:val="none" w:sz="0" w:space="0" w:color="auto"/>
        <w:right w:val="none" w:sz="0" w:space="0" w:color="auto"/>
      </w:divBdr>
      <w:divsChild>
        <w:div w:id="210195884">
          <w:marLeft w:val="0"/>
          <w:marRight w:val="0"/>
          <w:marTop w:val="0"/>
          <w:marBottom w:val="0"/>
          <w:divBdr>
            <w:top w:val="none" w:sz="0" w:space="0" w:color="auto"/>
            <w:left w:val="none" w:sz="0" w:space="0" w:color="auto"/>
            <w:bottom w:val="none" w:sz="0" w:space="0" w:color="auto"/>
            <w:right w:val="none" w:sz="0" w:space="0" w:color="auto"/>
          </w:divBdr>
        </w:div>
        <w:div w:id="300772062">
          <w:marLeft w:val="0"/>
          <w:marRight w:val="0"/>
          <w:marTop w:val="0"/>
          <w:marBottom w:val="0"/>
          <w:divBdr>
            <w:top w:val="none" w:sz="0" w:space="0" w:color="auto"/>
            <w:left w:val="none" w:sz="0" w:space="0" w:color="auto"/>
            <w:bottom w:val="none" w:sz="0" w:space="0" w:color="auto"/>
            <w:right w:val="none" w:sz="0" w:space="0" w:color="auto"/>
          </w:divBdr>
        </w:div>
        <w:div w:id="903681256">
          <w:marLeft w:val="0"/>
          <w:marRight w:val="0"/>
          <w:marTop w:val="0"/>
          <w:marBottom w:val="0"/>
          <w:divBdr>
            <w:top w:val="none" w:sz="0" w:space="0" w:color="auto"/>
            <w:left w:val="none" w:sz="0" w:space="0" w:color="auto"/>
            <w:bottom w:val="none" w:sz="0" w:space="0" w:color="auto"/>
            <w:right w:val="none" w:sz="0" w:space="0" w:color="auto"/>
          </w:divBdr>
        </w:div>
        <w:div w:id="1649289185">
          <w:marLeft w:val="0"/>
          <w:marRight w:val="0"/>
          <w:marTop w:val="0"/>
          <w:marBottom w:val="0"/>
          <w:divBdr>
            <w:top w:val="none" w:sz="0" w:space="0" w:color="auto"/>
            <w:left w:val="none" w:sz="0" w:space="0" w:color="auto"/>
            <w:bottom w:val="none" w:sz="0" w:space="0" w:color="auto"/>
            <w:right w:val="none" w:sz="0" w:space="0" w:color="auto"/>
          </w:divBdr>
        </w:div>
        <w:div w:id="1848015228">
          <w:marLeft w:val="0"/>
          <w:marRight w:val="0"/>
          <w:marTop w:val="0"/>
          <w:marBottom w:val="0"/>
          <w:divBdr>
            <w:top w:val="none" w:sz="0" w:space="0" w:color="auto"/>
            <w:left w:val="none" w:sz="0" w:space="0" w:color="auto"/>
            <w:bottom w:val="none" w:sz="0" w:space="0" w:color="auto"/>
            <w:right w:val="none" w:sz="0" w:space="0" w:color="auto"/>
          </w:divBdr>
        </w:div>
      </w:divsChild>
    </w:div>
    <w:div w:id="1083338925">
      <w:bodyDiv w:val="1"/>
      <w:marLeft w:val="0"/>
      <w:marRight w:val="0"/>
      <w:marTop w:val="0"/>
      <w:marBottom w:val="0"/>
      <w:divBdr>
        <w:top w:val="none" w:sz="0" w:space="0" w:color="auto"/>
        <w:left w:val="none" w:sz="0" w:space="0" w:color="auto"/>
        <w:bottom w:val="none" w:sz="0" w:space="0" w:color="auto"/>
        <w:right w:val="none" w:sz="0" w:space="0" w:color="auto"/>
      </w:divBdr>
    </w:div>
    <w:div w:id="1116212206">
      <w:bodyDiv w:val="1"/>
      <w:marLeft w:val="0"/>
      <w:marRight w:val="0"/>
      <w:marTop w:val="0"/>
      <w:marBottom w:val="0"/>
      <w:divBdr>
        <w:top w:val="none" w:sz="0" w:space="0" w:color="auto"/>
        <w:left w:val="none" w:sz="0" w:space="0" w:color="auto"/>
        <w:bottom w:val="none" w:sz="0" w:space="0" w:color="auto"/>
        <w:right w:val="none" w:sz="0" w:space="0" w:color="auto"/>
      </w:divBdr>
    </w:div>
    <w:div w:id="1202550504">
      <w:bodyDiv w:val="1"/>
      <w:marLeft w:val="0"/>
      <w:marRight w:val="0"/>
      <w:marTop w:val="0"/>
      <w:marBottom w:val="0"/>
      <w:divBdr>
        <w:top w:val="none" w:sz="0" w:space="0" w:color="auto"/>
        <w:left w:val="none" w:sz="0" w:space="0" w:color="auto"/>
        <w:bottom w:val="none" w:sz="0" w:space="0" w:color="auto"/>
        <w:right w:val="none" w:sz="0" w:space="0" w:color="auto"/>
      </w:divBdr>
      <w:divsChild>
        <w:div w:id="1215124414">
          <w:marLeft w:val="0"/>
          <w:marRight w:val="0"/>
          <w:marTop w:val="0"/>
          <w:marBottom w:val="0"/>
          <w:divBdr>
            <w:top w:val="none" w:sz="0" w:space="0" w:color="auto"/>
            <w:left w:val="none" w:sz="0" w:space="0" w:color="auto"/>
            <w:bottom w:val="none" w:sz="0" w:space="0" w:color="auto"/>
            <w:right w:val="none" w:sz="0" w:space="0" w:color="auto"/>
          </w:divBdr>
        </w:div>
        <w:div w:id="1888646164">
          <w:marLeft w:val="0"/>
          <w:marRight w:val="0"/>
          <w:marTop w:val="0"/>
          <w:marBottom w:val="0"/>
          <w:divBdr>
            <w:top w:val="none" w:sz="0" w:space="0" w:color="auto"/>
            <w:left w:val="none" w:sz="0" w:space="0" w:color="auto"/>
            <w:bottom w:val="none" w:sz="0" w:space="0" w:color="auto"/>
            <w:right w:val="none" w:sz="0" w:space="0" w:color="auto"/>
          </w:divBdr>
        </w:div>
      </w:divsChild>
    </w:div>
    <w:div w:id="1237015030">
      <w:bodyDiv w:val="1"/>
      <w:marLeft w:val="0"/>
      <w:marRight w:val="0"/>
      <w:marTop w:val="0"/>
      <w:marBottom w:val="0"/>
      <w:divBdr>
        <w:top w:val="none" w:sz="0" w:space="0" w:color="auto"/>
        <w:left w:val="none" w:sz="0" w:space="0" w:color="auto"/>
        <w:bottom w:val="none" w:sz="0" w:space="0" w:color="auto"/>
        <w:right w:val="none" w:sz="0" w:space="0" w:color="auto"/>
      </w:divBdr>
    </w:div>
    <w:div w:id="1251043936">
      <w:bodyDiv w:val="1"/>
      <w:marLeft w:val="0"/>
      <w:marRight w:val="0"/>
      <w:marTop w:val="0"/>
      <w:marBottom w:val="0"/>
      <w:divBdr>
        <w:top w:val="none" w:sz="0" w:space="0" w:color="auto"/>
        <w:left w:val="none" w:sz="0" w:space="0" w:color="auto"/>
        <w:bottom w:val="none" w:sz="0" w:space="0" w:color="auto"/>
        <w:right w:val="none" w:sz="0" w:space="0" w:color="auto"/>
      </w:divBdr>
    </w:div>
    <w:div w:id="1251085784">
      <w:bodyDiv w:val="1"/>
      <w:marLeft w:val="0"/>
      <w:marRight w:val="0"/>
      <w:marTop w:val="0"/>
      <w:marBottom w:val="0"/>
      <w:divBdr>
        <w:top w:val="none" w:sz="0" w:space="0" w:color="auto"/>
        <w:left w:val="none" w:sz="0" w:space="0" w:color="auto"/>
        <w:bottom w:val="none" w:sz="0" w:space="0" w:color="auto"/>
        <w:right w:val="none" w:sz="0" w:space="0" w:color="auto"/>
      </w:divBdr>
      <w:divsChild>
        <w:div w:id="582034913">
          <w:marLeft w:val="0"/>
          <w:marRight w:val="0"/>
          <w:marTop w:val="0"/>
          <w:marBottom w:val="0"/>
          <w:divBdr>
            <w:top w:val="none" w:sz="0" w:space="0" w:color="auto"/>
            <w:left w:val="none" w:sz="0" w:space="0" w:color="auto"/>
            <w:bottom w:val="none" w:sz="0" w:space="0" w:color="auto"/>
            <w:right w:val="none" w:sz="0" w:space="0" w:color="auto"/>
          </w:divBdr>
        </w:div>
        <w:div w:id="843515192">
          <w:marLeft w:val="0"/>
          <w:marRight w:val="0"/>
          <w:marTop w:val="0"/>
          <w:marBottom w:val="0"/>
          <w:divBdr>
            <w:top w:val="none" w:sz="0" w:space="0" w:color="auto"/>
            <w:left w:val="none" w:sz="0" w:space="0" w:color="auto"/>
            <w:bottom w:val="none" w:sz="0" w:space="0" w:color="auto"/>
            <w:right w:val="none" w:sz="0" w:space="0" w:color="auto"/>
          </w:divBdr>
        </w:div>
        <w:div w:id="962419046">
          <w:marLeft w:val="0"/>
          <w:marRight w:val="0"/>
          <w:marTop w:val="0"/>
          <w:marBottom w:val="0"/>
          <w:divBdr>
            <w:top w:val="none" w:sz="0" w:space="0" w:color="auto"/>
            <w:left w:val="none" w:sz="0" w:space="0" w:color="auto"/>
            <w:bottom w:val="none" w:sz="0" w:space="0" w:color="auto"/>
            <w:right w:val="none" w:sz="0" w:space="0" w:color="auto"/>
          </w:divBdr>
        </w:div>
        <w:div w:id="1349065968">
          <w:marLeft w:val="0"/>
          <w:marRight w:val="0"/>
          <w:marTop w:val="0"/>
          <w:marBottom w:val="0"/>
          <w:divBdr>
            <w:top w:val="none" w:sz="0" w:space="0" w:color="auto"/>
            <w:left w:val="none" w:sz="0" w:space="0" w:color="auto"/>
            <w:bottom w:val="none" w:sz="0" w:space="0" w:color="auto"/>
            <w:right w:val="none" w:sz="0" w:space="0" w:color="auto"/>
          </w:divBdr>
        </w:div>
      </w:divsChild>
    </w:div>
    <w:div w:id="1287202795">
      <w:bodyDiv w:val="1"/>
      <w:marLeft w:val="0"/>
      <w:marRight w:val="0"/>
      <w:marTop w:val="0"/>
      <w:marBottom w:val="0"/>
      <w:divBdr>
        <w:top w:val="none" w:sz="0" w:space="0" w:color="auto"/>
        <w:left w:val="none" w:sz="0" w:space="0" w:color="auto"/>
        <w:bottom w:val="none" w:sz="0" w:space="0" w:color="auto"/>
        <w:right w:val="none" w:sz="0" w:space="0" w:color="auto"/>
      </w:divBdr>
    </w:div>
    <w:div w:id="1311246250">
      <w:bodyDiv w:val="1"/>
      <w:marLeft w:val="0"/>
      <w:marRight w:val="0"/>
      <w:marTop w:val="0"/>
      <w:marBottom w:val="0"/>
      <w:divBdr>
        <w:top w:val="none" w:sz="0" w:space="0" w:color="auto"/>
        <w:left w:val="none" w:sz="0" w:space="0" w:color="auto"/>
        <w:bottom w:val="none" w:sz="0" w:space="0" w:color="auto"/>
        <w:right w:val="none" w:sz="0" w:space="0" w:color="auto"/>
      </w:divBdr>
      <w:divsChild>
        <w:div w:id="384136436">
          <w:marLeft w:val="0"/>
          <w:marRight w:val="0"/>
          <w:marTop w:val="0"/>
          <w:marBottom w:val="0"/>
          <w:divBdr>
            <w:top w:val="none" w:sz="0" w:space="0" w:color="auto"/>
            <w:left w:val="none" w:sz="0" w:space="0" w:color="auto"/>
            <w:bottom w:val="none" w:sz="0" w:space="0" w:color="auto"/>
            <w:right w:val="none" w:sz="0" w:space="0" w:color="auto"/>
          </w:divBdr>
          <w:divsChild>
            <w:div w:id="261183164">
              <w:marLeft w:val="0"/>
              <w:marRight w:val="0"/>
              <w:marTop w:val="30"/>
              <w:marBottom w:val="30"/>
              <w:divBdr>
                <w:top w:val="none" w:sz="0" w:space="0" w:color="auto"/>
                <w:left w:val="none" w:sz="0" w:space="0" w:color="auto"/>
                <w:bottom w:val="none" w:sz="0" w:space="0" w:color="auto"/>
                <w:right w:val="none" w:sz="0" w:space="0" w:color="auto"/>
              </w:divBdr>
              <w:divsChild>
                <w:div w:id="169180865">
                  <w:marLeft w:val="0"/>
                  <w:marRight w:val="0"/>
                  <w:marTop w:val="0"/>
                  <w:marBottom w:val="0"/>
                  <w:divBdr>
                    <w:top w:val="none" w:sz="0" w:space="0" w:color="auto"/>
                    <w:left w:val="none" w:sz="0" w:space="0" w:color="auto"/>
                    <w:bottom w:val="none" w:sz="0" w:space="0" w:color="auto"/>
                    <w:right w:val="none" w:sz="0" w:space="0" w:color="auto"/>
                  </w:divBdr>
                  <w:divsChild>
                    <w:div w:id="1486580076">
                      <w:marLeft w:val="0"/>
                      <w:marRight w:val="0"/>
                      <w:marTop w:val="0"/>
                      <w:marBottom w:val="0"/>
                      <w:divBdr>
                        <w:top w:val="none" w:sz="0" w:space="0" w:color="auto"/>
                        <w:left w:val="none" w:sz="0" w:space="0" w:color="auto"/>
                        <w:bottom w:val="none" w:sz="0" w:space="0" w:color="auto"/>
                        <w:right w:val="none" w:sz="0" w:space="0" w:color="auto"/>
                      </w:divBdr>
                    </w:div>
                  </w:divsChild>
                </w:div>
                <w:div w:id="216859921">
                  <w:marLeft w:val="0"/>
                  <w:marRight w:val="0"/>
                  <w:marTop w:val="0"/>
                  <w:marBottom w:val="0"/>
                  <w:divBdr>
                    <w:top w:val="none" w:sz="0" w:space="0" w:color="auto"/>
                    <w:left w:val="none" w:sz="0" w:space="0" w:color="auto"/>
                    <w:bottom w:val="none" w:sz="0" w:space="0" w:color="auto"/>
                    <w:right w:val="none" w:sz="0" w:space="0" w:color="auto"/>
                  </w:divBdr>
                  <w:divsChild>
                    <w:div w:id="1308633475">
                      <w:marLeft w:val="0"/>
                      <w:marRight w:val="0"/>
                      <w:marTop w:val="0"/>
                      <w:marBottom w:val="0"/>
                      <w:divBdr>
                        <w:top w:val="none" w:sz="0" w:space="0" w:color="auto"/>
                        <w:left w:val="none" w:sz="0" w:space="0" w:color="auto"/>
                        <w:bottom w:val="none" w:sz="0" w:space="0" w:color="auto"/>
                        <w:right w:val="none" w:sz="0" w:space="0" w:color="auto"/>
                      </w:divBdr>
                    </w:div>
                  </w:divsChild>
                </w:div>
                <w:div w:id="1085493593">
                  <w:marLeft w:val="0"/>
                  <w:marRight w:val="0"/>
                  <w:marTop w:val="0"/>
                  <w:marBottom w:val="0"/>
                  <w:divBdr>
                    <w:top w:val="none" w:sz="0" w:space="0" w:color="auto"/>
                    <w:left w:val="none" w:sz="0" w:space="0" w:color="auto"/>
                    <w:bottom w:val="none" w:sz="0" w:space="0" w:color="auto"/>
                    <w:right w:val="none" w:sz="0" w:space="0" w:color="auto"/>
                  </w:divBdr>
                  <w:divsChild>
                    <w:div w:id="912131284">
                      <w:marLeft w:val="0"/>
                      <w:marRight w:val="0"/>
                      <w:marTop w:val="0"/>
                      <w:marBottom w:val="0"/>
                      <w:divBdr>
                        <w:top w:val="none" w:sz="0" w:space="0" w:color="auto"/>
                        <w:left w:val="none" w:sz="0" w:space="0" w:color="auto"/>
                        <w:bottom w:val="none" w:sz="0" w:space="0" w:color="auto"/>
                        <w:right w:val="none" w:sz="0" w:space="0" w:color="auto"/>
                      </w:divBdr>
                    </w:div>
                  </w:divsChild>
                </w:div>
                <w:div w:id="1189759346">
                  <w:marLeft w:val="0"/>
                  <w:marRight w:val="0"/>
                  <w:marTop w:val="0"/>
                  <w:marBottom w:val="0"/>
                  <w:divBdr>
                    <w:top w:val="none" w:sz="0" w:space="0" w:color="auto"/>
                    <w:left w:val="none" w:sz="0" w:space="0" w:color="auto"/>
                    <w:bottom w:val="none" w:sz="0" w:space="0" w:color="auto"/>
                    <w:right w:val="none" w:sz="0" w:space="0" w:color="auto"/>
                  </w:divBdr>
                  <w:divsChild>
                    <w:div w:id="20136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14282">
          <w:marLeft w:val="0"/>
          <w:marRight w:val="0"/>
          <w:marTop w:val="0"/>
          <w:marBottom w:val="0"/>
          <w:divBdr>
            <w:top w:val="none" w:sz="0" w:space="0" w:color="auto"/>
            <w:left w:val="none" w:sz="0" w:space="0" w:color="auto"/>
            <w:bottom w:val="none" w:sz="0" w:space="0" w:color="auto"/>
            <w:right w:val="none" w:sz="0" w:space="0" w:color="auto"/>
          </w:divBdr>
        </w:div>
        <w:div w:id="2108033697">
          <w:marLeft w:val="0"/>
          <w:marRight w:val="0"/>
          <w:marTop w:val="0"/>
          <w:marBottom w:val="0"/>
          <w:divBdr>
            <w:top w:val="none" w:sz="0" w:space="0" w:color="auto"/>
            <w:left w:val="none" w:sz="0" w:space="0" w:color="auto"/>
            <w:bottom w:val="none" w:sz="0" w:space="0" w:color="auto"/>
            <w:right w:val="none" w:sz="0" w:space="0" w:color="auto"/>
          </w:divBdr>
        </w:div>
      </w:divsChild>
    </w:div>
    <w:div w:id="1318026114">
      <w:bodyDiv w:val="1"/>
      <w:marLeft w:val="0"/>
      <w:marRight w:val="0"/>
      <w:marTop w:val="0"/>
      <w:marBottom w:val="0"/>
      <w:divBdr>
        <w:top w:val="none" w:sz="0" w:space="0" w:color="auto"/>
        <w:left w:val="none" w:sz="0" w:space="0" w:color="auto"/>
        <w:bottom w:val="none" w:sz="0" w:space="0" w:color="auto"/>
        <w:right w:val="none" w:sz="0" w:space="0" w:color="auto"/>
      </w:divBdr>
      <w:divsChild>
        <w:div w:id="183518313">
          <w:marLeft w:val="0"/>
          <w:marRight w:val="0"/>
          <w:marTop w:val="0"/>
          <w:marBottom w:val="0"/>
          <w:divBdr>
            <w:top w:val="none" w:sz="0" w:space="0" w:color="auto"/>
            <w:left w:val="none" w:sz="0" w:space="0" w:color="auto"/>
            <w:bottom w:val="none" w:sz="0" w:space="0" w:color="auto"/>
            <w:right w:val="none" w:sz="0" w:space="0" w:color="auto"/>
          </w:divBdr>
        </w:div>
        <w:div w:id="198589842">
          <w:marLeft w:val="0"/>
          <w:marRight w:val="0"/>
          <w:marTop w:val="0"/>
          <w:marBottom w:val="0"/>
          <w:divBdr>
            <w:top w:val="none" w:sz="0" w:space="0" w:color="auto"/>
            <w:left w:val="none" w:sz="0" w:space="0" w:color="auto"/>
            <w:bottom w:val="none" w:sz="0" w:space="0" w:color="auto"/>
            <w:right w:val="none" w:sz="0" w:space="0" w:color="auto"/>
          </w:divBdr>
        </w:div>
        <w:div w:id="1365402349">
          <w:marLeft w:val="0"/>
          <w:marRight w:val="0"/>
          <w:marTop w:val="0"/>
          <w:marBottom w:val="0"/>
          <w:divBdr>
            <w:top w:val="none" w:sz="0" w:space="0" w:color="auto"/>
            <w:left w:val="none" w:sz="0" w:space="0" w:color="auto"/>
            <w:bottom w:val="none" w:sz="0" w:space="0" w:color="auto"/>
            <w:right w:val="none" w:sz="0" w:space="0" w:color="auto"/>
          </w:divBdr>
          <w:divsChild>
            <w:div w:id="334889109">
              <w:marLeft w:val="0"/>
              <w:marRight w:val="0"/>
              <w:marTop w:val="30"/>
              <w:marBottom w:val="30"/>
              <w:divBdr>
                <w:top w:val="none" w:sz="0" w:space="0" w:color="auto"/>
                <w:left w:val="none" w:sz="0" w:space="0" w:color="auto"/>
                <w:bottom w:val="none" w:sz="0" w:space="0" w:color="auto"/>
                <w:right w:val="none" w:sz="0" w:space="0" w:color="auto"/>
              </w:divBdr>
              <w:divsChild>
                <w:div w:id="145443589">
                  <w:marLeft w:val="0"/>
                  <w:marRight w:val="0"/>
                  <w:marTop w:val="0"/>
                  <w:marBottom w:val="0"/>
                  <w:divBdr>
                    <w:top w:val="none" w:sz="0" w:space="0" w:color="auto"/>
                    <w:left w:val="none" w:sz="0" w:space="0" w:color="auto"/>
                    <w:bottom w:val="none" w:sz="0" w:space="0" w:color="auto"/>
                    <w:right w:val="none" w:sz="0" w:space="0" w:color="auto"/>
                  </w:divBdr>
                  <w:divsChild>
                    <w:div w:id="541676743">
                      <w:marLeft w:val="0"/>
                      <w:marRight w:val="0"/>
                      <w:marTop w:val="0"/>
                      <w:marBottom w:val="0"/>
                      <w:divBdr>
                        <w:top w:val="none" w:sz="0" w:space="0" w:color="auto"/>
                        <w:left w:val="none" w:sz="0" w:space="0" w:color="auto"/>
                        <w:bottom w:val="none" w:sz="0" w:space="0" w:color="auto"/>
                        <w:right w:val="none" w:sz="0" w:space="0" w:color="auto"/>
                      </w:divBdr>
                    </w:div>
                  </w:divsChild>
                </w:div>
                <w:div w:id="1812823829">
                  <w:marLeft w:val="0"/>
                  <w:marRight w:val="0"/>
                  <w:marTop w:val="0"/>
                  <w:marBottom w:val="0"/>
                  <w:divBdr>
                    <w:top w:val="none" w:sz="0" w:space="0" w:color="auto"/>
                    <w:left w:val="none" w:sz="0" w:space="0" w:color="auto"/>
                    <w:bottom w:val="none" w:sz="0" w:space="0" w:color="auto"/>
                    <w:right w:val="none" w:sz="0" w:space="0" w:color="auto"/>
                  </w:divBdr>
                  <w:divsChild>
                    <w:div w:id="1593125413">
                      <w:marLeft w:val="0"/>
                      <w:marRight w:val="0"/>
                      <w:marTop w:val="0"/>
                      <w:marBottom w:val="0"/>
                      <w:divBdr>
                        <w:top w:val="none" w:sz="0" w:space="0" w:color="auto"/>
                        <w:left w:val="none" w:sz="0" w:space="0" w:color="auto"/>
                        <w:bottom w:val="none" w:sz="0" w:space="0" w:color="auto"/>
                        <w:right w:val="none" w:sz="0" w:space="0" w:color="auto"/>
                      </w:divBdr>
                    </w:div>
                  </w:divsChild>
                </w:div>
                <w:div w:id="1860586370">
                  <w:marLeft w:val="0"/>
                  <w:marRight w:val="0"/>
                  <w:marTop w:val="0"/>
                  <w:marBottom w:val="0"/>
                  <w:divBdr>
                    <w:top w:val="none" w:sz="0" w:space="0" w:color="auto"/>
                    <w:left w:val="none" w:sz="0" w:space="0" w:color="auto"/>
                    <w:bottom w:val="none" w:sz="0" w:space="0" w:color="auto"/>
                    <w:right w:val="none" w:sz="0" w:space="0" w:color="auto"/>
                  </w:divBdr>
                  <w:divsChild>
                    <w:div w:id="773131454">
                      <w:marLeft w:val="0"/>
                      <w:marRight w:val="0"/>
                      <w:marTop w:val="0"/>
                      <w:marBottom w:val="0"/>
                      <w:divBdr>
                        <w:top w:val="none" w:sz="0" w:space="0" w:color="auto"/>
                        <w:left w:val="none" w:sz="0" w:space="0" w:color="auto"/>
                        <w:bottom w:val="none" w:sz="0" w:space="0" w:color="auto"/>
                        <w:right w:val="none" w:sz="0" w:space="0" w:color="auto"/>
                      </w:divBdr>
                    </w:div>
                  </w:divsChild>
                </w:div>
                <w:div w:id="2131046735">
                  <w:marLeft w:val="0"/>
                  <w:marRight w:val="0"/>
                  <w:marTop w:val="0"/>
                  <w:marBottom w:val="0"/>
                  <w:divBdr>
                    <w:top w:val="none" w:sz="0" w:space="0" w:color="auto"/>
                    <w:left w:val="none" w:sz="0" w:space="0" w:color="auto"/>
                    <w:bottom w:val="none" w:sz="0" w:space="0" w:color="auto"/>
                    <w:right w:val="none" w:sz="0" w:space="0" w:color="auto"/>
                  </w:divBdr>
                  <w:divsChild>
                    <w:div w:id="18864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60321">
      <w:bodyDiv w:val="1"/>
      <w:marLeft w:val="0"/>
      <w:marRight w:val="0"/>
      <w:marTop w:val="0"/>
      <w:marBottom w:val="0"/>
      <w:divBdr>
        <w:top w:val="none" w:sz="0" w:space="0" w:color="auto"/>
        <w:left w:val="none" w:sz="0" w:space="0" w:color="auto"/>
        <w:bottom w:val="none" w:sz="0" w:space="0" w:color="auto"/>
        <w:right w:val="none" w:sz="0" w:space="0" w:color="auto"/>
      </w:divBdr>
      <w:divsChild>
        <w:div w:id="113865344">
          <w:marLeft w:val="0"/>
          <w:marRight w:val="0"/>
          <w:marTop w:val="0"/>
          <w:marBottom w:val="0"/>
          <w:divBdr>
            <w:top w:val="none" w:sz="0" w:space="0" w:color="auto"/>
            <w:left w:val="none" w:sz="0" w:space="0" w:color="auto"/>
            <w:bottom w:val="none" w:sz="0" w:space="0" w:color="auto"/>
            <w:right w:val="none" w:sz="0" w:space="0" w:color="auto"/>
          </w:divBdr>
          <w:divsChild>
            <w:div w:id="997001554">
              <w:marLeft w:val="0"/>
              <w:marRight w:val="0"/>
              <w:marTop w:val="0"/>
              <w:marBottom w:val="0"/>
              <w:divBdr>
                <w:top w:val="none" w:sz="0" w:space="0" w:color="auto"/>
                <w:left w:val="none" w:sz="0" w:space="0" w:color="auto"/>
                <w:bottom w:val="none" w:sz="0" w:space="0" w:color="auto"/>
                <w:right w:val="none" w:sz="0" w:space="0" w:color="auto"/>
              </w:divBdr>
            </w:div>
          </w:divsChild>
        </w:div>
        <w:div w:id="136459615">
          <w:marLeft w:val="0"/>
          <w:marRight w:val="0"/>
          <w:marTop w:val="0"/>
          <w:marBottom w:val="0"/>
          <w:divBdr>
            <w:top w:val="none" w:sz="0" w:space="0" w:color="auto"/>
            <w:left w:val="none" w:sz="0" w:space="0" w:color="auto"/>
            <w:bottom w:val="none" w:sz="0" w:space="0" w:color="auto"/>
            <w:right w:val="none" w:sz="0" w:space="0" w:color="auto"/>
          </w:divBdr>
          <w:divsChild>
            <w:div w:id="2019773128">
              <w:marLeft w:val="0"/>
              <w:marRight w:val="0"/>
              <w:marTop w:val="0"/>
              <w:marBottom w:val="0"/>
              <w:divBdr>
                <w:top w:val="none" w:sz="0" w:space="0" w:color="auto"/>
                <w:left w:val="none" w:sz="0" w:space="0" w:color="auto"/>
                <w:bottom w:val="none" w:sz="0" w:space="0" w:color="auto"/>
                <w:right w:val="none" w:sz="0" w:space="0" w:color="auto"/>
              </w:divBdr>
            </w:div>
          </w:divsChild>
        </w:div>
        <w:div w:id="210653666">
          <w:marLeft w:val="0"/>
          <w:marRight w:val="0"/>
          <w:marTop w:val="0"/>
          <w:marBottom w:val="0"/>
          <w:divBdr>
            <w:top w:val="none" w:sz="0" w:space="0" w:color="auto"/>
            <w:left w:val="none" w:sz="0" w:space="0" w:color="auto"/>
            <w:bottom w:val="none" w:sz="0" w:space="0" w:color="auto"/>
            <w:right w:val="none" w:sz="0" w:space="0" w:color="auto"/>
          </w:divBdr>
          <w:divsChild>
            <w:div w:id="319777509">
              <w:marLeft w:val="0"/>
              <w:marRight w:val="0"/>
              <w:marTop w:val="0"/>
              <w:marBottom w:val="0"/>
              <w:divBdr>
                <w:top w:val="none" w:sz="0" w:space="0" w:color="auto"/>
                <w:left w:val="none" w:sz="0" w:space="0" w:color="auto"/>
                <w:bottom w:val="none" w:sz="0" w:space="0" w:color="auto"/>
                <w:right w:val="none" w:sz="0" w:space="0" w:color="auto"/>
              </w:divBdr>
            </w:div>
          </w:divsChild>
        </w:div>
        <w:div w:id="239943833">
          <w:marLeft w:val="0"/>
          <w:marRight w:val="0"/>
          <w:marTop w:val="0"/>
          <w:marBottom w:val="0"/>
          <w:divBdr>
            <w:top w:val="none" w:sz="0" w:space="0" w:color="auto"/>
            <w:left w:val="none" w:sz="0" w:space="0" w:color="auto"/>
            <w:bottom w:val="none" w:sz="0" w:space="0" w:color="auto"/>
            <w:right w:val="none" w:sz="0" w:space="0" w:color="auto"/>
          </w:divBdr>
          <w:divsChild>
            <w:div w:id="675839112">
              <w:marLeft w:val="0"/>
              <w:marRight w:val="0"/>
              <w:marTop w:val="0"/>
              <w:marBottom w:val="0"/>
              <w:divBdr>
                <w:top w:val="none" w:sz="0" w:space="0" w:color="auto"/>
                <w:left w:val="none" w:sz="0" w:space="0" w:color="auto"/>
                <w:bottom w:val="none" w:sz="0" w:space="0" w:color="auto"/>
                <w:right w:val="none" w:sz="0" w:space="0" w:color="auto"/>
              </w:divBdr>
            </w:div>
          </w:divsChild>
        </w:div>
        <w:div w:id="242421690">
          <w:marLeft w:val="0"/>
          <w:marRight w:val="0"/>
          <w:marTop w:val="0"/>
          <w:marBottom w:val="0"/>
          <w:divBdr>
            <w:top w:val="none" w:sz="0" w:space="0" w:color="auto"/>
            <w:left w:val="none" w:sz="0" w:space="0" w:color="auto"/>
            <w:bottom w:val="none" w:sz="0" w:space="0" w:color="auto"/>
            <w:right w:val="none" w:sz="0" w:space="0" w:color="auto"/>
          </w:divBdr>
          <w:divsChild>
            <w:div w:id="747651010">
              <w:marLeft w:val="0"/>
              <w:marRight w:val="0"/>
              <w:marTop w:val="0"/>
              <w:marBottom w:val="0"/>
              <w:divBdr>
                <w:top w:val="none" w:sz="0" w:space="0" w:color="auto"/>
                <w:left w:val="none" w:sz="0" w:space="0" w:color="auto"/>
                <w:bottom w:val="none" w:sz="0" w:space="0" w:color="auto"/>
                <w:right w:val="none" w:sz="0" w:space="0" w:color="auto"/>
              </w:divBdr>
            </w:div>
          </w:divsChild>
        </w:div>
        <w:div w:id="424158635">
          <w:marLeft w:val="0"/>
          <w:marRight w:val="0"/>
          <w:marTop w:val="0"/>
          <w:marBottom w:val="0"/>
          <w:divBdr>
            <w:top w:val="none" w:sz="0" w:space="0" w:color="auto"/>
            <w:left w:val="none" w:sz="0" w:space="0" w:color="auto"/>
            <w:bottom w:val="none" w:sz="0" w:space="0" w:color="auto"/>
            <w:right w:val="none" w:sz="0" w:space="0" w:color="auto"/>
          </w:divBdr>
          <w:divsChild>
            <w:div w:id="381907319">
              <w:marLeft w:val="0"/>
              <w:marRight w:val="0"/>
              <w:marTop w:val="0"/>
              <w:marBottom w:val="0"/>
              <w:divBdr>
                <w:top w:val="none" w:sz="0" w:space="0" w:color="auto"/>
                <w:left w:val="none" w:sz="0" w:space="0" w:color="auto"/>
                <w:bottom w:val="none" w:sz="0" w:space="0" w:color="auto"/>
                <w:right w:val="none" w:sz="0" w:space="0" w:color="auto"/>
              </w:divBdr>
            </w:div>
          </w:divsChild>
        </w:div>
        <w:div w:id="439570481">
          <w:marLeft w:val="0"/>
          <w:marRight w:val="0"/>
          <w:marTop w:val="0"/>
          <w:marBottom w:val="0"/>
          <w:divBdr>
            <w:top w:val="none" w:sz="0" w:space="0" w:color="auto"/>
            <w:left w:val="none" w:sz="0" w:space="0" w:color="auto"/>
            <w:bottom w:val="none" w:sz="0" w:space="0" w:color="auto"/>
            <w:right w:val="none" w:sz="0" w:space="0" w:color="auto"/>
          </w:divBdr>
          <w:divsChild>
            <w:div w:id="495532373">
              <w:marLeft w:val="0"/>
              <w:marRight w:val="0"/>
              <w:marTop w:val="0"/>
              <w:marBottom w:val="0"/>
              <w:divBdr>
                <w:top w:val="none" w:sz="0" w:space="0" w:color="auto"/>
                <w:left w:val="none" w:sz="0" w:space="0" w:color="auto"/>
                <w:bottom w:val="none" w:sz="0" w:space="0" w:color="auto"/>
                <w:right w:val="none" w:sz="0" w:space="0" w:color="auto"/>
              </w:divBdr>
            </w:div>
          </w:divsChild>
        </w:div>
        <w:div w:id="454327296">
          <w:marLeft w:val="0"/>
          <w:marRight w:val="0"/>
          <w:marTop w:val="0"/>
          <w:marBottom w:val="0"/>
          <w:divBdr>
            <w:top w:val="none" w:sz="0" w:space="0" w:color="auto"/>
            <w:left w:val="none" w:sz="0" w:space="0" w:color="auto"/>
            <w:bottom w:val="none" w:sz="0" w:space="0" w:color="auto"/>
            <w:right w:val="none" w:sz="0" w:space="0" w:color="auto"/>
          </w:divBdr>
          <w:divsChild>
            <w:div w:id="1909463850">
              <w:marLeft w:val="0"/>
              <w:marRight w:val="0"/>
              <w:marTop w:val="0"/>
              <w:marBottom w:val="0"/>
              <w:divBdr>
                <w:top w:val="none" w:sz="0" w:space="0" w:color="auto"/>
                <w:left w:val="none" w:sz="0" w:space="0" w:color="auto"/>
                <w:bottom w:val="none" w:sz="0" w:space="0" w:color="auto"/>
                <w:right w:val="none" w:sz="0" w:space="0" w:color="auto"/>
              </w:divBdr>
            </w:div>
          </w:divsChild>
        </w:div>
        <w:div w:id="484861964">
          <w:marLeft w:val="0"/>
          <w:marRight w:val="0"/>
          <w:marTop w:val="0"/>
          <w:marBottom w:val="0"/>
          <w:divBdr>
            <w:top w:val="none" w:sz="0" w:space="0" w:color="auto"/>
            <w:left w:val="none" w:sz="0" w:space="0" w:color="auto"/>
            <w:bottom w:val="none" w:sz="0" w:space="0" w:color="auto"/>
            <w:right w:val="none" w:sz="0" w:space="0" w:color="auto"/>
          </w:divBdr>
          <w:divsChild>
            <w:div w:id="1641764597">
              <w:marLeft w:val="0"/>
              <w:marRight w:val="0"/>
              <w:marTop w:val="0"/>
              <w:marBottom w:val="0"/>
              <w:divBdr>
                <w:top w:val="none" w:sz="0" w:space="0" w:color="auto"/>
                <w:left w:val="none" w:sz="0" w:space="0" w:color="auto"/>
                <w:bottom w:val="none" w:sz="0" w:space="0" w:color="auto"/>
                <w:right w:val="none" w:sz="0" w:space="0" w:color="auto"/>
              </w:divBdr>
            </w:div>
          </w:divsChild>
        </w:div>
        <w:div w:id="577787856">
          <w:marLeft w:val="0"/>
          <w:marRight w:val="0"/>
          <w:marTop w:val="0"/>
          <w:marBottom w:val="0"/>
          <w:divBdr>
            <w:top w:val="none" w:sz="0" w:space="0" w:color="auto"/>
            <w:left w:val="none" w:sz="0" w:space="0" w:color="auto"/>
            <w:bottom w:val="none" w:sz="0" w:space="0" w:color="auto"/>
            <w:right w:val="none" w:sz="0" w:space="0" w:color="auto"/>
          </w:divBdr>
          <w:divsChild>
            <w:div w:id="1412198425">
              <w:marLeft w:val="0"/>
              <w:marRight w:val="0"/>
              <w:marTop w:val="0"/>
              <w:marBottom w:val="0"/>
              <w:divBdr>
                <w:top w:val="none" w:sz="0" w:space="0" w:color="auto"/>
                <w:left w:val="none" w:sz="0" w:space="0" w:color="auto"/>
                <w:bottom w:val="none" w:sz="0" w:space="0" w:color="auto"/>
                <w:right w:val="none" w:sz="0" w:space="0" w:color="auto"/>
              </w:divBdr>
            </w:div>
          </w:divsChild>
        </w:div>
        <w:div w:id="725177628">
          <w:marLeft w:val="0"/>
          <w:marRight w:val="0"/>
          <w:marTop w:val="0"/>
          <w:marBottom w:val="0"/>
          <w:divBdr>
            <w:top w:val="none" w:sz="0" w:space="0" w:color="auto"/>
            <w:left w:val="none" w:sz="0" w:space="0" w:color="auto"/>
            <w:bottom w:val="none" w:sz="0" w:space="0" w:color="auto"/>
            <w:right w:val="none" w:sz="0" w:space="0" w:color="auto"/>
          </w:divBdr>
          <w:divsChild>
            <w:div w:id="1653168742">
              <w:marLeft w:val="0"/>
              <w:marRight w:val="0"/>
              <w:marTop w:val="0"/>
              <w:marBottom w:val="0"/>
              <w:divBdr>
                <w:top w:val="none" w:sz="0" w:space="0" w:color="auto"/>
                <w:left w:val="none" w:sz="0" w:space="0" w:color="auto"/>
                <w:bottom w:val="none" w:sz="0" w:space="0" w:color="auto"/>
                <w:right w:val="none" w:sz="0" w:space="0" w:color="auto"/>
              </w:divBdr>
            </w:div>
          </w:divsChild>
        </w:div>
        <w:div w:id="725565067">
          <w:marLeft w:val="0"/>
          <w:marRight w:val="0"/>
          <w:marTop w:val="0"/>
          <w:marBottom w:val="0"/>
          <w:divBdr>
            <w:top w:val="none" w:sz="0" w:space="0" w:color="auto"/>
            <w:left w:val="none" w:sz="0" w:space="0" w:color="auto"/>
            <w:bottom w:val="none" w:sz="0" w:space="0" w:color="auto"/>
            <w:right w:val="none" w:sz="0" w:space="0" w:color="auto"/>
          </w:divBdr>
          <w:divsChild>
            <w:div w:id="1394432441">
              <w:marLeft w:val="0"/>
              <w:marRight w:val="0"/>
              <w:marTop w:val="0"/>
              <w:marBottom w:val="0"/>
              <w:divBdr>
                <w:top w:val="none" w:sz="0" w:space="0" w:color="auto"/>
                <w:left w:val="none" w:sz="0" w:space="0" w:color="auto"/>
                <w:bottom w:val="none" w:sz="0" w:space="0" w:color="auto"/>
                <w:right w:val="none" w:sz="0" w:space="0" w:color="auto"/>
              </w:divBdr>
            </w:div>
          </w:divsChild>
        </w:div>
        <w:div w:id="844782127">
          <w:marLeft w:val="0"/>
          <w:marRight w:val="0"/>
          <w:marTop w:val="0"/>
          <w:marBottom w:val="0"/>
          <w:divBdr>
            <w:top w:val="none" w:sz="0" w:space="0" w:color="auto"/>
            <w:left w:val="none" w:sz="0" w:space="0" w:color="auto"/>
            <w:bottom w:val="none" w:sz="0" w:space="0" w:color="auto"/>
            <w:right w:val="none" w:sz="0" w:space="0" w:color="auto"/>
          </w:divBdr>
          <w:divsChild>
            <w:div w:id="1853445584">
              <w:marLeft w:val="0"/>
              <w:marRight w:val="0"/>
              <w:marTop w:val="0"/>
              <w:marBottom w:val="0"/>
              <w:divBdr>
                <w:top w:val="none" w:sz="0" w:space="0" w:color="auto"/>
                <w:left w:val="none" w:sz="0" w:space="0" w:color="auto"/>
                <w:bottom w:val="none" w:sz="0" w:space="0" w:color="auto"/>
                <w:right w:val="none" w:sz="0" w:space="0" w:color="auto"/>
              </w:divBdr>
            </w:div>
          </w:divsChild>
        </w:div>
        <w:div w:id="992029823">
          <w:marLeft w:val="0"/>
          <w:marRight w:val="0"/>
          <w:marTop w:val="0"/>
          <w:marBottom w:val="0"/>
          <w:divBdr>
            <w:top w:val="none" w:sz="0" w:space="0" w:color="auto"/>
            <w:left w:val="none" w:sz="0" w:space="0" w:color="auto"/>
            <w:bottom w:val="none" w:sz="0" w:space="0" w:color="auto"/>
            <w:right w:val="none" w:sz="0" w:space="0" w:color="auto"/>
          </w:divBdr>
          <w:divsChild>
            <w:div w:id="455484457">
              <w:marLeft w:val="0"/>
              <w:marRight w:val="0"/>
              <w:marTop w:val="0"/>
              <w:marBottom w:val="0"/>
              <w:divBdr>
                <w:top w:val="none" w:sz="0" w:space="0" w:color="auto"/>
                <w:left w:val="none" w:sz="0" w:space="0" w:color="auto"/>
                <w:bottom w:val="none" w:sz="0" w:space="0" w:color="auto"/>
                <w:right w:val="none" w:sz="0" w:space="0" w:color="auto"/>
              </w:divBdr>
            </w:div>
          </w:divsChild>
        </w:div>
        <w:div w:id="1017467007">
          <w:marLeft w:val="0"/>
          <w:marRight w:val="0"/>
          <w:marTop w:val="0"/>
          <w:marBottom w:val="0"/>
          <w:divBdr>
            <w:top w:val="none" w:sz="0" w:space="0" w:color="auto"/>
            <w:left w:val="none" w:sz="0" w:space="0" w:color="auto"/>
            <w:bottom w:val="none" w:sz="0" w:space="0" w:color="auto"/>
            <w:right w:val="none" w:sz="0" w:space="0" w:color="auto"/>
          </w:divBdr>
          <w:divsChild>
            <w:div w:id="1319068924">
              <w:marLeft w:val="0"/>
              <w:marRight w:val="0"/>
              <w:marTop w:val="0"/>
              <w:marBottom w:val="0"/>
              <w:divBdr>
                <w:top w:val="none" w:sz="0" w:space="0" w:color="auto"/>
                <w:left w:val="none" w:sz="0" w:space="0" w:color="auto"/>
                <w:bottom w:val="none" w:sz="0" w:space="0" w:color="auto"/>
                <w:right w:val="none" w:sz="0" w:space="0" w:color="auto"/>
              </w:divBdr>
            </w:div>
          </w:divsChild>
        </w:div>
        <w:div w:id="1172064639">
          <w:marLeft w:val="0"/>
          <w:marRight w:val="0"/>
          <w:marTop w:val="0"/>
          <w:marBottom w:val="0"/>
          <w:divBdr>
            <w:top w:val="none" w:sz="0" w:space="0" w:color="auto"/>
            <w:left w:val="none" w:sz="0" w:space="0" w:color="auto"/>
            <w:bottom w:val="none" w:sz="0" w:space="0" w:color="auto"/>
            <w:right w:val="none" w:sz="0" w:space="0" w:color="auto"/>
          </w:divBdr>
          <w:divsChild>
            <w:div w:id="720133091">
              <w:marLeft w:val="0"/>
              <w:marRight w:val="0"/>
              <w:marTop w:val="0"/>
              <w:marBottom w:val="0"/>
              <w:divBdr>
                <w:top w:val="none" w:sz="0" w:space="0" w:color="auto"/>
                <w:left w:val="none" w:sz="0" w:space="0" w:color="auto"/>
                <w:bottom w:val="none" w:sz="0" w:space="0" w:color="auto"/>
                <w:right w:val="none" w:sz="0" w:space="0" w:color="auto"/>
              </w:divBdr>
            </w:div>
          </w:divsChild>
        </w:div>
        <w:div w:id="1189415670">
          <w:marLeft w:val="0"/>
          <w:marRight w:val="0"/>
          <w:marTop w:val="0"/>
          <w:marBottom w:val="0"/>
          <w:divBdr>
            <w:top w:val="none" w:sz="0" w:space="0" w:color="auto"/>
            <w:left w:val="none" w:sz="0" w:space="0" w:color="auto"/>
            <w:bottom w:val="none" w:sz="0" w:space="0" w:color="auto"/>
            <w:right w:val="none" w:sz="0" w:space="0" w:color="auto"/>
          </w:divBdr>
          <w:divsChild>
            <w:div w:id="945622382">
              <w:marLeft w:val="0"/>
              <w:marRight w:val="0"/>
              <w:marTop w:val="0"/>
              <w:marBottom w:val="0"/>
              <w:divBdr>
                <w:top w:val="none" w:sz="0" w:space="0" w:color="auto"/>
                <w:left w:val="none" w:sz="0" w:space="0" w:color="auto"/>
                <w:bottom w:val="none" w:sz="0" w:space="0" w:color="auto"/>
                <w:right w:val="none" w:sz="0" w:space="0" w:color="auto"/>
              </w:divBdr>
            </w:div>
          </w:divsChild>
        </w:div>
        <w:div w:id="1245797289">
          <w:marLeft w:val="0"/>
          <w:marRight w:val="0"/>
          <w:marTop w:val="0"/>
          <w:marBottom w:val="0"/>
          <w:divBdr>
            <w:top w:val="none" w:sz="0" w:space="0" w:color="auto"/>
            <w:left w:val="none" w:sz="0" w:space="0" w:color="auto"/>
            <w:bottom w:val="none" w:sz="0" w:space="0" w:color="auto"/>
            <w:right w:val="none" w:sz="0" w:space="0" w:color="auto"/>
          </w:divBdr>
          <w:divsChild>
            <w:div w:id="321933997">
              <w:marLeft w:val="0"/>
              <w:marRight w:val="0"/>
              <w:marTop w:val="0"/>
              <w:marBottom w:val="0"/>
              <w:divBdr>
                <w:top w:val="none" w:sz="0" w:space="0" w:color="auto"/>
                <w:left w:val="none" w:sz="0" w:space="0" w:color="auto"/>
                <w:bottom w:val="none" w:sz="0" w:space="0" w:color="auto"/>
                <w:right w:val="none" w:sz="0" w:space="0" w:color="auto"/>
              </w:divBdr>
            </w:div>
          </w:divsChild>
        </w:div>
        <w:div w:id="1281107665">
          <w:marLeft w:val="0"/>
          <w:marRight w:val="0"/>
          <w:marTop w:val="0"/>
          <w:marBottom w:val="0"/>
          <w:divBdr>
            <w:top w:val="none" w:sz="0" w:space="0" w:color="auto"/>
            <w:left w:val="none" w:sz="0" w:space="0" w:color="auto"/>
            <w:bottom w:val="none" w:sz="0" w:space="0" w:color="auto"/>
            <w:right w:val="none" w:sz="0" w:space="0" w:color="auto"/>
          </w:divBdr>
          <w:divsChild>
            <w:div w:id="246234412">
              <w:marLeft w:val="0"/>
              <w:marRight w:val="0"/>
              <w:marTop w:val="0"/>
              <w:marBottom w:val="0"/>
              <w:divBdr>
                <w:top w:val="none" w:sz="0" w:space="0" w:color="auto"/>
                <w:left w:val="none" w:sz="0" w:space="0" w:color="auto"/>
                <w:bottom w:val="none" w:sz="0" w:space="0" w:color="auto"/>
                <w:right w:val="none" w:sz="0" w:space="0" w:color="auto"/>
              </w:divBdr>
            </w:div>
          </w:divsChild>
        </w:div>
        <w:div w:id="1434083799">
          <w:marLeft w:val="0"/>
          <w:marRight w:val="0"/>
          <w:marTop w:val="0"/>
          <w:marBottom w:val="0"/>
          <w:divBdr>
            <w:top w:val="none" w:sz="0" w:space="0" w:color="auto"/>
            <w:left w:val="none" w:sz="0" w:space="0" w:color="auto"/>
            <w:bottom w:val="none" w:sz="0" w:space="0" w:color="auto"/>
            <w:right w:val="none" w:sz="0" w:space="0" w:color="auto"/>
          </w:divBdr>
          <w:divsChild>
            <w:div w:id="628437241">
              <w:marLeft w:val="0"/>
              <w:marRight w:val="0"/>
              <w:marTop w:val="0"/>
              <w:marBottom w:val="0"/>
              <w:divBdr>
                <w:top w:val="none" w:sz="0" w:space="0" w:color="auto"/>
                <w:left w:val="none" w:sz="0" w:space="0" w:color="auto"/>
                <w:bottom w:val="none" w:sz="0" w:space="0" w:color="auto"/>
                <w:right w:val="none" w:sz="0" w:space="0" w:color="auto"/>
              </w:divBdr>
            </w:div>
          </w:divsChild>
        </w:div>
        <w:div w:id="1601648064">
          <w:marLeft w:val="0"/>
          <w:marRight w:val="0"/>
          <w:marTop w:val="0"/>
          <w:marBottom w:val="0"/>
          <w:divBdr>
            <w:top w:val="none" w:sz="0" w:space="0" w:color="auto"/>
            <w:left w:val="none" w:sz="0" w:space="0" w:color="auto"/>
            <w:bottom w:val="none" w:sz="0" w:space="0" w:color="auto"/>
            <w:right w:val="none" w:sz="0" w:space="0" w:color="auto"/>
          </w:divBdr>
          <w:divsChild>
            <w:div w:id="707146207">
              <w:marLeft w:val="0"/>
              <w:marRight w:val="0"/>
              <w:marTop w:val="0"/>
              <w:marBottom w:val="0"/>
              <w:divBdr>
                <w:top w:val="none" w:sz="0" w:space="0" w:color="auto"/>
                <w:left w:val="none" w:sz="0" w:space="0" w:color="auto"/>
                <w:bottom w:val="none" w:sz="0" w:space="0" w:color="auto"/>
                <w:right w:val="none" w:sz="0" w:space="0" w:color="auto"/>
              </w:divBdr>
            </w:div>
          </w:divsChild>
        </w:div>
        <w:div w:id="1659073911">
          <w:marLeft w:val="0"/>
          <w:marRight w:val="0"/>
          <w:marTop w:val="0"/>
          <w:marBottom w:val="0"/>
          <w:divBdr>
            <w:top w:val="none" w:sz="0" w:space="0" w:color="auto"/>
            <w:left w:val="none" w:sz="0" w:space="0" w:color="auto"/>
            <w:bottom w:val="none" w:sz="0" w:space="0" w:color="auto"/>
            <w:right w:val="none" w:sz="0" w:space="0" w:color="auto"/>
          </w:divBdr>
          <w:divsChild>
            <w:div w:id="524443534">
              <w:marLeft w:val="0"/>
              <w:marRight w:val="0"/>
              <w:marTop w:val="0"/>
              <w:marBottom w:val="0"/>
              <w:divBdr>
                <w:top w:val="none" w:sz="0" w:space="0" w:color="auto"/>
                <w:left w:val="none" w:sz="0" w:space="0" w:color="auto"/>
                <w:bottom w:val="none" w:sz="0" w:space="0" w:color="auto"/>
                <w:right w:val="none" w:sz="0" w:space="0" w:color="auto"/>
              </w:divBdr>
            </w:div>
          </w:divsChild>
        </w:div>
        <w:div w:id="1812094469">
          <w:marLeft w:val="0"/>
          <w:marRight w:val="0"/>
          <w:marTop w:val="0"/>
          <w:marBottom w:val="0"/>
          <w:divBdr>
            <w:top w:val="none" w:sz="0" w:space="0" w:color="auto"/>
            <w:left w:val="none" w:sz="0" w:space="0" w:color="auto"/>
            <w:bottom w:val="none" w:sz="0" w:space="0" w:color="auto"/>
            <w:right w:val="none" w:sz="0" w:space="0" w:color="auto"/>
          </w:divBdr>
          <w:divsChild>
            <w:div w:id="1960528587">
              <w:marLeft w:val="0"/>
              <w:marRight w:val="0"/>
              <w:marTop w:val="0"/>
              <w:marBottom w:val="0"/>
              <w:divBdr>
                <w:top w:val="none" w:sz="0" w:space="0" w:color="auto"/>
                <w:left w:val="none" w:sz="0" w:space="0" w:color="auto"/>
                <w:bottom w:val="none" w:sz="0" w:space="0" w:color="auto"/>
                <w:right w:val="none" w:sz="0" w:space="0" w:color="auto"/>
              </w:divBdr>
            </w:div>
          </w:divsChild>
        </w:div>
        <w:div w:id="2099129329">
          <w:marLeft w:val="0"/>
          <w:marRight w:val="0"/>
          <w:marTop w:val="0"/>
          <w:marBottom w:val="0"/>
          <w:divBdr>
            <w:top w:val="none" w:sz="0" w:space="0" w:color="auto"/>
            <w:left w:val="none" w:sz="0" w:space="0" w:color="auto"/>
            <w:bottom w:val="none" w:sz="0" w:space="0" w:color="auto"/>
            <w:right w:val="none" w:sz="0" w:space="0" w:color="auto"/>
          </w:divBdr>
          <w:divsChild>
            <w:div w:id="19729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83608">
      <w:bodyDiv w:val="1"/>
      <w:marLeft w:val="0"/>
      <w:marRight w:val="0"/>
      <w:marTop w:val="0"/>
      <w:marBottom w:val="0"/>
      <w:divBdr>
        <w:top w:val="none" w:sz="0" w:space="0" w:color="auto"/>
        <w:left w:val="none" w:sz="0" w:space="0" w:color="auto"/>
        <w:bottom w:val="none" w:sz="0" w:space="0" w:color="auto"/>
        <w:right w:val="none" w:sz="0" w:space="0" w:color="auto"/>
      </w:divBdr>
      <w:divsChild>
        <w:div w:id="124348735">
          <w:marLeft w:val="0"/>
          <w:marRight w:val="0"/>
          <w:marTop w:val="0"/>
          <w:marBottom w:val="0"/>
          <w:divBdr>
            <w:top w:val="none" w:sz="0" w:space="0" w:color="auto"/>
            <w:left w:val="none" w:sz="0" w:space="0" w:color="auto"/>
            <w:bottom w:val="none" w:sz="0" w:space="0" w:color="auto"/>
            <w:right w:val="none" w:sz="0" w:space="0" w:color="auto"/>
          </w:divBdr>
        </w:div>
        <w:div w:id="176695945">
          <w:marLeft w:val="0"/>
          <w:marRight w:val="0"/>
          <w:marTop w:val="0"/>
          <w:marBottom w:val="0"/>
          <w:divBdr>
            <w:top w:val="none" w:sz="0" w:space="0" w:color="auto"/>
            <w:left w:val="none" w:sz="0" w:space="0" w:color="auto"/>
            <w:bottom w:val="none" w:sz="0" w:space="0" w:color="auto"/>
            <w:right w:val="none" w:sz="0" w:space="0" w:color="auto"/>
          </w:divBdr>
        </w:div>
        <w:div w:id="1174540047">
          <w:marLeft w:val="0"/>
          <w:marRight w:val="0"/>
          <w:marTop w:val="0"/>
          <w:marBottom w:val="0"/>
          <w:divBdr>
            <w:top w:val="none" w:sz="0" w:space="0" w:color="auto"/>
            <w:left w:val="none" w:sz="0" w:space="0" w:color="auto"/>
            <w:bottom w:val="none" w:sz="0" w:space="0" w:color="auto"/>
            <w:right w:val="none" w:sz="0" w:space="0" w:color="auto"/>
          </w:divBdr>
        </w:div>
        <w:div w:id="1197280170">
          <w:marLeft w:val="0"/>
          <w:marRight w:val="0"/>
          <w:marTop w:val="0"/>
          <w:marBottom w:val="0"/>
          <w:divBdr>
            <w:top w:val="none" w:sz="0" w:space="0" w:color="auto"/>
            <w:left w:val="none" w:sz="0" w:space="0" w:color="auto"/>
            <w:bottom w:val="none" w:sz="0" w:space="0" w:color="auto"/>
            <w:right w:val="none" w:sz="0" w:space="0" w:color="auto"/>
          </w:divBdr>
        </w:div>
        <w:div w:id="1230725619">
          <w:marLeft w:val="0"/>
          <w:marRight w:val="0"/>
          <w:marTop w:val="0"/>
          <w:marBottom w:val="0"/>
          <w:divBdr>
            <w:top w:val="none" w:sz="0" w:space="0" w:color="auto"/>
            <w:left w:val="none" w:sz="0" w:space="0" w:color="auto"/>
            <w:bottom w:val="none" w:sz="0" w:space="0" w:color="auto"/>
            <w:right w:val="none" w:sz="0" w:space="0" w:color="auto"/>
          </w:divBdr>
        </w:div>
      </w:divsChild>
    </w:div>
    <w:div w:id="1374306627">
      <w:bodyDiv w:val="1"/>
      <w:marLeft w:val="0"/>
      <w:marRight w:val="0"/>
      <w:marTop w:val="0"/>
      <w:marBottom w:val="0"/>
      <w:divBdr>
        <w:top w:val="none" w:sz="0" w:space="0" w:color="auto"/>
        <w:left w:val="none" w:sz="0" w:space="0" w:color="auto"/>
        <w:bottom w:val="none" w:sz="0" w:space="0" w:color="auto"/>
        <w:right w:val="none" w:sz="0" w:space="0" w:color="auto"/>
      </w:divBdr>
      <w:divsChild>
        <w:div w:id="139881387">
          <w:marLeft w:val="0"/>
          <w:marRight w:val="0"/>
          <w:marTop w:val="0"/>
          <w:marBottom w:val="0"/>
          <w:divBdr>
            <w:top w:val="none" w:sz="0" w:space="0" w:color="auto"/>
            <w:left w:val="none" w:sz="0" w:space="0" w:color="auto"/>
            <w:bottom w:val="none" w:sz="0" w:space="0" w:color="auto"/>
            <w:right w:val="none" w:sz="0" w:space="0" w:color="auto"/>
          </w:divBdr>
          <w:divsChild>
            <w:div w:id="2030180878">
              <w:marLeft w:val="0"/>
              <w:marRight w:val="0"/>
              <w:marTop w:val="0"/>
              <w:marBottom w:val="0"/>
              <w:divBdr>
                <w:top w:val="none" w:sz="0" w:space="0" w:color="auto"/>
                <w:left w:val="none" w:sz="0" w:space="0" w:color="auto"/>
                <w:bottom w:val="none" w:sz="0" w:space="0" w:color="auto"/>
                <w:right w:val="none" w:sz="0" w:space="0" w:color="auto"/>
              </w:divBdr>
            </w:div>
          </w:divsChild>
        </w:div>
        <w:div w:id="229926721">
          <w:marLeft w:val="0"/>
          <w:marRight w:val="0"/>
          <w:marTop w:val="0"/>
          <w:marBottom w:val="0"/>
          <w:divBdr>
            <w:top w:val="none" w:sz="0" w:space="0" w:color="auto"/>
            <w:left w:val="none" w:sz="0" w:space="0" w:color="auto"/>
            <w:bottom w:val="none" w:sz="0" w:space="0" w:color="auto"/>
            <w:right w:val="none" w:sz="0" w:space="0" w:color="auto"/>
          </w:divBdr>
          <w:divsChild>
            <w:div w:id="1103065990">
              <w:marLeft w:val="0"/>
              <w:marRight w:val="0"/>
              <w:marTop w:val="0"/>
              <w:marBottom w:val="0"/>
              <w:divBdr>
                <w:top w:val="none" w:sz="0" w:space="0" w:color="auto"/>
                <w:left w:val="none" w:sz="0" w:space="0" w:color="auto"/>
                <w:bottom w:val="none" w:sz="0" w:space="0" w:color="auto"/>
                <w:right w:val="none" w:sz="0" w:space="0" w:color="auto"/>
              </w:divBdr>
            </w:div>
          </w:divsChild>
        </w:div>
        <w:div w:id="278992567">
          <w:marLeft w:val="0"/>
          <w:marRight w:val="0"/>
          <w:marTop w:val="0"/>
          <w:marBottom w:val="0"/>
          <w:divBdr>
            <w:top w:val="none" w:sz="0" w:space="0" w:color="auto"/>
            <w:left w:val="none" w:sz="0" w:space="0" w:color="auto"/>
            <w:bottom w:val="none" w:sz="0" w:space="0" w:color="auto"/>
            <w:right w:val="none" w:sz="0" w:space="0" w:color="auto"/>
          </w:divBdr>
          <w:divsChild>
            <w:div w:id="432239588">
              <w:marLeft w:val="0"/>
              <w:marRight w:val="0"/>
              <w:marTop w:val="0"/>
              <w:marBottom w:val="0"/>
              <w:divBdr>
                <w:top w:val="none" w:sz="0" w:space="0" w:color="auto"/>
                <w:left w:val="none" w:sz="0" w:space="0" w:color="auto"/>
                <w:bottom w:val="none" w:sz="0" w:space="0" w:color="auto"/>
                <w:right w:val="none" w:sz="0" w:space="0" w:color="auto"/>
              </w:divBdr>
            </w:div>
          </w:divsChild>
        </w:div>
        <w:div w:id="302389564">
          <w:marLeft w:val="0"/>
          <w:marRight w:val="0"/>
          <w:marTop w:val="0"/>
          <w:marBottom w:val="0"/>
          <w:divBdr>
            <w:top w:val="none" w:sz="0" w:space="0" w:color="auto"/>
            <w:left w:val="none" w:sz="0" w:space="0" w:color="auto"/>
            <w:bottom w:val="none" w:sz="0" w:space="0" w:color="auto"/>
            <w:right w:val="none" w:sz="0" w:space="0" w:color="auto"/>
          </w:divBdr>
          <w:divsChild>
            <w:div w:id="2053190513">
              <w:marLeft w:val="0"/>
              <w:marRight w:val="0"/>
              <w:marTop w:val="0"/>
              <w:marBottom w:val="0"/>
              <w:divBdr>
                <w:top w:val="none" w:sz="0" w:space="0" w:color="auto"/>
                <w:left w:val="none" w:sz="0" w:space="0" w:color="auto"/>
                <w:bottom w:val="none" w:sz="0" w:space="0" w:color="auto"/>
                <w:right w:val="none" w:sz="0" w:space="0" w:color="auto"/>
              </w:divBdr>
            </w:div>
          </w:divsChild>
        </w:div>
        <w:div w:id="342707766">
          <w:marLeft w:val="0"/>
          <w:marRight w:val="0"/>
          <w:marTop w:val="0"/>
          <w:marBottom w:val="0"/>
          <w:divBdr>
            <w:top w:val="none" w:sz="0" w:space="0" w:color="auto"/>
            <w:left w:val="none" w:sz="0" w:space="0" w:color="auto"/>
            <w:bottom w:val="none" w:sz="0" w:space="0" w:color="auto"/>
            <w:right w:val="none" w:sz="0" w:space="0" w:color="auto"/>
          </w:divBdr>
          <w:divsChild>
            <w:div w:id="1003430451">
              <w:marLeft w:val="0"/>
              <w:marRight w:val="0"/>
              <w:marTop w:val="0"/>
              <w:marBottom w:val="0"/>
              <w:divBdr>
                <w:top w:val="none" w:sz="0" w:space="0" w:color="auto"/>
                <w:left w:val="none" w:sz="0" w:space="0" w:color="auto"/>
                <w:bottom w:val="none" w:sz="0" w:space="0" w:color="auto"/>
                <w:right w:val="none" w:sz="0" w:space="0" w:color="auto"/>
              </w:divBdr>
            </w:div>
          </w:divsChild>
        </w:div>
        <w:div w:id="431096247">
          <w:marLeft w:val="0"/>
          <w:marRight w:val="0"/>
          <w:marTop w:val="0"/>
          <w:marBottom w:val="0"/>
          <w:divBdr>
            <w:top w:val="none" w:sz="0" w:space="0" w:color="auto"/>
            <w:left w:val="none" w:sz="0" w:space="0" w:color="auto"/>
            <w:bottom w:val="none" w:sz="0" w:space="0" w:color="auto"/>
            <w:right w:val="none" w:sz="0" w:space="0" w:color="auto"/>
          </w:divBdr>
          <w:divsChild>
            <w:div w:id="1284271436">
              <w:marLeft w:val="0"/>
              <w:marRight w:val="0"/>
              <w:marTop w:val="0"/>
              <w:marBottom w:val="0"/>
              <w:divBdr>
                <w:top w:val="none" w:sz="0" w:space="0" w:color="auto"/>
                <w:left w:val="none" w:sz="0" w:space="0" w:color="auto"/>
                <w:bottom w:val="none" w:sz="0" w:space="0" w:color="auto"/>
                <w:right w:val="none" w:sz="0" w:space="0" w:color="auto"/>
              </w:divBdr>
            </w:div>
          </w:divsChild>
        </w:div>
        <w:div w:id="515315113">
          <w:marLeft w:val="0"/>
          <w:marRight w:val="0"/>
          <w:marTop w:val="0"/>
          <w:marBottom w:val="0"/>
          <w:divBdr>
            <w:top w:val="none" w:sz="0" w:space="0" w:color="auto"/>
            <w:left w:val="none" w:sz="0" w:space="0" w:color="auto"/>
            <w:bottom w:val="none" w:sz="0" w:space="0" w:color="auto"/>
            <w:right w:val="none" w:sz="0" w:space="0" w:color="auto"/>
          </w:divBdr>
          <w:divsChild>
            <w:div w:id="2094934280">
              <w:marLeft w:val="0"/>
              <w:marRight w:val="0"/>
              <w:marTop w:val="0"/>
              <w:marBottom w:val="0"/>
              <w:divBdr>
                <w:top w:val="none" w:sz="0" w:space="0" w:color="auto"/>
                <w:left w:val="none" w:sz="0" w:space="0" w:color="auto"/>
                <w:bottom w:val="none" w:sz="0" w:space="0" w:color="auto"/>
                <w:right w:val="none" w:sz="0" w:space="0" w:color="auto"/>
              </w:divBdr>
            </w:div>
          </w:divsChild>
        </w:div>
        <w:div w:id="608053207">
          <w:marLeft w:val="0"/>
          <w:marRight w:val="0"/>
          <w:marTop w:val="0"/>
          <w:marBottom w:val="0"/>
          <w:divBdr>
            <w:top w:val="none" w:sz="0" w:space="0" w:color="auto"/>
            <w:left w:val="none" w:sz="0" w:space="0" w:color="auto"/>
            <w:bottom w:val="none" w:sz="0" w:space="0" w:color="auto"/>
            <w:right w:val="none" w:sz="0" w:space="0" w:color="auto"/>
          </w:divBdr>
          <w:divsChild>
            <w:div w:id="111826324">
              <w:marLeft w:val="0"/>
              <w:marRight w:val="0"/>
              <w:marTop w:val="0"/>
              <w:marBottom w:val="0"/>
              <w:divBdr>
                <w:top w:val="none" w:sz="0" w:space="0" w:color="auto"/>
                <w:left w:val="none" w:sz="0" w:space="0" w:color="auto"/>
                <w:bottom w:val="none" w:sz="0" w:space="0" w:color="auto"/>
                <w:right w:val="none" w:sz="0" w:space="0" w:color="auto"/>
              </w:divBdr>
            </w:div>
          </w:divsChild>
        </w:div>
        <w:div w:id="617371260">
          <w:marLeft w:val="0"/>
          <w:marRight w:val="0"/>
          <w:marTop w:val="0"/>
          <w:marBottom w:val="0"/>
          <w:divBdr>
            <w:top w:val="none" w:sz="0" w:space="0" w:color="auto"/>
            <w:left w:val="none" w:sz="0" w:space="0" w:color="auto"/>
            <w:bottom w:val="none" w:sz="0" w:space="0" w:color="auto"/>
            <w:right w:val="none" w:sz="0" w:space="0" w:color="auto"/>
          </w:divBdr>
          <w:divsChild>
            <w:div w:id="487864482">
              <w:marLeft w:val="0"/>
              <w:marRight w:val="0"/>
              <w:marTop w:val="0"/>
              <w:marBottom w:val="0"/>
              <w:divBdr>
                <w:top w:val="none" w:sz="0" w:space="0" w:color="auto"/>
                <w:left w:val="none" w:sz="0" w:space="0" w:color="auto"/>
                <w:bottom w:val="none" w:sz="0" w:space="0" w:color="auto"/>
                <w:right w:val="none" w:sz="0" w:space="0" w:color="auto"/>
              </w:divBdr>
            </w:div>
          </w:divsChild>
        </w:div>
        <w:div w:id="652609244">
          <w:marLeft w:val="0"/>
          <w:marRight w:val="0"/>
          <w:marTop w:val="0"/>
          <w:marBottom w:val="0"/>
          <w:divBdr>
            <w:top w:val="none" w:sz="0" w:space="0" w:color="auto"/>
            <w:left w:val="none" w:sz="0" w:space="0" w:color="auto"/>
            <w:bottom w:val="none" w:sz="0" w:space="0" w:color="auto"/>
            <w:right w:val="none" w:sz="0" w:space="0" w:color="auto"/>
          </w:divBdr>
          <w:divsChild>
            <w:div w:id="52579341">
              <w:marLeft w:val="0"/>
              <w:marRight w:val="0"/>
              <w:marTop w:val="0"/>
              <w:marBottom w:val="0"/>
              <w:divBdr>
                <w:top w:val="none" w:sz="0" w:space="0" w:color="auto"/>
                <w:left w:val="none" w:sz="0" w:space="0" w:color="auto"/>
                <w:bottom w:val="none" w:sz="0" w:space="0" w:color="auto"/>
                <w:right w:val="none" w:sz="0" w:space="0" w:color="auto"/>
              </w:divBdr>
            </w:div>
          </w:divsChild>
        </w:div>
        <w:div w:id="678238802">
          <w:marLeft w:val="0"/>
          <w:marRight w:val="0"/>
          <w:marTop w:val="0"/>
          <w:marBottom w:val="0"/>
          <w:divBdr>
            <w:top w:val="none" w:sz="0" w:space="0" w:color="auto"/>
            <w:left w:val="none" w:sz="0" w:space="0" w:color="auto"/>
            <w:bottom w:val="none" w:sz="0" w:space="0" w:color="auto"/>
            <w:right w:val="none" w:sz="0" w:space="0" w:color="auto"/>
          </w:divBdr>
          <w:divsChild>
            <w:div w:id="1665158948">
              <w:marLeft w:val="0"/>
              <w:marRight w:val="0"/>
              <w:marTop w:val="0"/>
              <w:marBottom w:val="0"/>
              <w:divBdr>
                <w:top w:val="none" w:sz="0" w:space="0" w:color="auto"/>
                <w:left w:val="none" w:sz="0" w:space="0" w:color="auto"/>
                <w:bottom w:val="none" w:sz="0" w:space="0" w:color="auto"/>
                <w:right w:val="none" w:sz="0" w:space="0" w:color="auto"/>
              </w:divBdr>
            </w:div>
          </w:divsChild>
        </w:div>
        <w:div w:id="749423194">
          <w:marLeft w:val="0"/>
          <w:marRight w:val="0"/>
          <w:marTop w:val="0"/>
          <w:marBottom w:val="0"/>
          <w:divBdr>
            <w:top w:val="none" w:sz="0" w:space="0" w:color="auto"/>
            <w:left w:val="none" w:sz="0" w:space="0" w:color="auto"/>
            <w:bottom w:val="none" w:sz="0" w:space="0" w:color="auto"/>
            <w:right w:val="none" w:sz="0" w:space="0" w:color="auto"/>
          </w:divBdr>
          <w:divsChild>
            <w:div w:id="73598874">
              <w:marLeft w:val="0"/>
              <w:marRight w:val="0"/>
              <w:marTop w:val="0"/>
              <w:marBottom w:val="0"/>
              <w:divBdr>
                <w:top w:val="none" w:sz="0" w:space="0" w:color="auto"/>
                <w:left w:val="none" w:sz="0" w:space="0" w:color="auto"/>
                <w:bottom w:val="none" w:sz="0" w:space="0" w:color="auto"/>
                <w:right w:val="none" w:sz="0" w:space="0" w:color="auto"/>
              </w:divBdr>
            </w:div>
          </w:divsChild>
        </w:div>
        <w:div w:id="775950227">
          <w:marLeft w:val="0"/>
          <w:marRight w:val="0"/>
          <w:marTop w:val="0"/>
          <w:marBottom w:val="0"/>
          <w:divBdr>
            <w:top w:val="none" w:sz="0" w:space="0" w:color="auto"/>
            <w:left w:val="none" w:sz="0" w:space="0" w:color="auto"/>
            <w:bottom w:val="none" w:sz="0" w:space="0" w:color="auto"/>
            <w:right w:val="none" w:sz="0" w:space="0" w:color="auto"/>
          </w:divBdr>
          <w:divsChild>
            <w:div w:id="303046062">
              <w:marLeft w:val="0"/>
              <w:marRight w:val="0"/>
              <w:marTop w:val="0"/>
              <w:marBottom w:val="0"/>
              <w:divBdr>
                <w:top w:val="none" w:sz="0" w:space="0" w:color="auto"/>
                <w:left w:val="none" w:sz="0" w:space="0" w:color="auto"/>
                <w:bottom w:val="none" w:sz="0" w:space="0" w:color="auto"/>
                <w:right w:val="none" w:sz="0" w:space="0" w:color="auto"/>
              </w:divBdr>
            </w:div>
          </w:divsChild>
        </w:div>
        <w:div w:id="788746694">
          <w:marLeft w:val="0"/>
          <w:marRight w:val="0"/>
          <w:marTop w:val="0"/>
          <w:marBottom w:val="0"/>
          <w:divBdr>
            <w:top w:val="none" w:sz="0" w:space="0" w:color="auto"/>
            <w:left w:val="none" w:sz="0" w:space="0" w:color="auto"/>
            <w:bottom w:val="none" w:sz="0" w:space="0" w:color="auto"/>
            <w:right w:val="none" w:sz="0" w:space="0" w:color="auto"/>
          </w:divBdr>
          <w:divsChild>
            <w:div w:id="1717196340">
              <w:marLeft w:val="0"/>
              <w:marRight w:val="0"/>
              <w:marTop w:val="0"/>
              <w:marBottom w:val="0"/>
              <w:divBdr>
                <w:top w:val="none" w:sz="0" w:space="0" w:color="auto"/>
                <w:left w:val="none" w:sz="0" w:space="0" w:color="auto"/>
                <w:bottom w:val="none" w:sz="0" w:space="0" w:color="auto"/>
                <w:right w:val="none" w:sz="0" w:space="0" w:color="auto"/>
              </w:divBdr>
            </w:div>
          </w:divsChild>
        </w:div>
        <w:div w:id="1027607900">
          <w:marLeft w:val="0"/>
          <w:marRight w:val="0"/>
          <w:marTop w:val="0"/>
          <w:marBottom w:val="0"/>
          <w:divBdr>
            <w:top w:val="none" w:sz="0" w:space="0" w:color="auto"/>
            <w:left w:val="none" w:sz="0" w:space="0" w:color="auto"/>
            <w:bottom w:val="none" w:sz="0" w:space="0" w:color="auto"/>
            <w:right w:val="none" w:sz="0" w:space="0" w:color="auto"/>
          </w:divBdr>
          <w:divsChild>
            <w:div w:id="381751799">
              <w:marLeft w:val="0"/>
              <w:marRight w:val="0"/>
              <w:marTop w:val="0"/>
              <w:marBottom w:val="0"/>
              <w:divBdr>
                <w:top w:val="none" w:sz="0" w:space="0" w:color="auto"/>
                <w:left w:val="none" w:sz="0" w:space="0" w:color="auto"/>
                <w:bottom w:val="none" w:sz="0" w:space="0" w:color="auto"/>
                <w:right w:val="none" w:sz="0" w:space="0" w:color="auto"/>
              </w:divBdr>
            </w:div>
          </w:divsChild>
        </w:div>
        <w:div w:id="1066145362">
          <w:marLeft w:val="0"/>
          <w:marRight w:val="0"/>
          <w:marTop w:val="0"/>
          <w:marBottom w:val="0"/>
          <w:divBdr>
            <w:top w:val="none" w:sz="0" w:space="0" w:color="auto"/>
            <w:left w:val="none" w:sz="0" w:space="0" w:color="auto"/>
            <w:bottom w:val="none" w:sz="0" w:space="0" w:color="auto"/>
            <w:right w:val="none" w:sz="0" w:space="0" w:color="auto"/>
          </w:divBdr>
          <w:divsChild>
            <w:div w:id="1094324814">
              <w:marLeft w:val="0"/>
              <w:marRight w:val="0"/>
              <w:marTop w:val="0"/>
              <w:marBottom w:val="0"/>
              <w:divBdr>
                <w:top w:val="none" w:sz="0" w:space="0" w:color="auto"/>
                <w:left w:val="none" w:sz="0" w:space="0" w:color="auto"/>
                <w:bottom w:val="none" w:sz="0" w:space="0" w:color="auto"/>
                <w:right w:val="none" w:sz="0" w:space="0" w:color="auto"/>
              </w:divBdr>
            </w:div>
          </w:divsChild>
        </w:div>
        <w:div w:id="1147934508">
          <w:marLeft w:val="0"/>
          <w:marRight w:val="0"/>
          <w:marTop w:val="0"/>
          <w:marBottom w:val="0"/>
          <w:divBdr>
            <w:top w:val="none" w:sz="0" w:space="0" w:color="auto"/>
            <w:left w:val="none" w:sz="0" w:space="0" w:color="auto"/>
            <w:bottom w:val="none" w:sz="0" w:space="0" w:color="auto"/>
            <w:right w:val="none" w:sz="0" w:space="0" w:color="auto"/>
          </w:divBdr>
          <w:divsChild>
            <w:div w:id="894118339">
              <w:marLeft w:val="0"/>
              <w:marRight w:val="0"/>
              <w:marTop w:val="0"/>
              <w:marBottom w:val="0"/>
              <w:divBdr>
                <w:top w:val="none" w:sz="0" w:space="0" w:color="auto"/>
                <w:left w:val="none" w:sz="0" w:space="0" w:color="auto"/>
                <w:bottom w:val="none" w:sz="0" w:space="0" w:color="auto"/>
                <w:right w:val="none" w:sz="0" w:space="0" w:color="auto"/>
              </w:divBdr>
            </w:div>
          </w:divsChild>
        </w:div>
        <w:div w:id="1152714504">
          <w:marLeft w:val="0"/>
          <w:marRight w:val="0"/>
          <w:marTop w:val="0"/>
          <w:marBottom w:val="0"/>
          <w:divBdr>
            <w:top w:val="none" w:sz="0" w:space="0" w:color="auto"/>
            <w:left w:val="none" w:sz="0" w:space="0" w:color="auto"/>
            <w:bottom w:val="none" w:sz="0" w:space="0" w:color="auto"/>
            <w:right w:val="none" w:sz="0" w:space="0" w:color="auto"/>
          </w:divBdr>
          <w:divsChild>
            <w:div w:id="1456095235">
              <w:marLeft w:val="0"/>
              <w:marRight w:val="0"/>
              <w:marTop w:val="0"/>
              <w:marBottom w:val="0"/>
              <w:divBdr>
                <w:top w:val="none" w:sz="0" w:space="0" w:color="auto"/>
                <w:left w:val="none" w:sz="0" w:space="0" w:color="auto"/>
                <w:bottom w:val="none" w:sz="0" w:space="0" w:color="auto"/>
                <w:right w:val="none" w:sz="0" w:space="0" w:color="auto"/>
              </w:divBdr>
            </w:div>
          </w:divsChild>
        </w:div>
        <w:div w:id="1188250766">
          <w:marLeft w:val="0"/>
          <w:marRight w:val="0"/>
          <w:marTop w:val="0"/>
          <w:marBottom w:val="0"/>
          <w:divBdr>
            <w:top w:val="none" w:sz="0" w:space="0" w:color="auto"/>
            <w:left w:val="none" w:sz="0" w:space="0" w:color="auto"/>
            <w:bottom w:val="none" w:sz="0" w:space="0" w:color="auto"/>
            <w:right w:val="none" w:sz="0" w:space="0" w:color="auto"/>
          </w:divBdr>
          <w:divsChild>
            <w:div w:id="1862935960">
              <w:marLeft w:val="0"/>
              <w:marRight w:val="0"/>
              <w:marTop w:val="0"/>
              <w:marBottom w:val="0"/>
              <w:divBdr>
                <w:top w:val="none" w:sz="0" w:space="0" w:color="auto"/>
                <w:left w:val="none" w:sz="0" w:space="0" w:color="auto"/>
                <w:bottom w:val="none" w:sz="0" w:space="0" w:color="auto"/>
                <w:right w:val="none" w:sz="0" w:space="0" w:color="auto"/>
              </w:divBdr>
            </w:div>
          </w:divsChild>
        </w:div>
        <w:div w:id="1331906710">
          <w:marLeft w:val="0"/>
          <w:marRight w:val="0"/>
          <w:marTop w:val="0"/>
          <w:marBottom w:val="0"/>
          <w:divBdr>
            <w:top w:val="none" w:sz="0" w:space="0" w:color="auto"/>
            <w:left w:val="none" w:sz="0" w:space="0" w:color="auto"/>
            <w:bottom w:val="none" w:sz="0" w:space="0" w:color="auto"/>
            <w:right w:val="none" w:sz="0" w:space="0" w:color="auto"/>
          </w:divBdr>
          <w:divsChild>
            <w:div w:id="21059015">
              <w:marLeft w:val="0"/>
              <w:marRight w:val="0"/>
              <w:marTop w:val="0"/>
              <w:marBottom w:val="0"/>
              <w:divBdr>
                <w:top w:val="none" w:sz="0" w:space="0" w:color="auto"/>
                <w:left w:val="none" w:sz="0" w:space="0" w:color="auto"/>
                <w:bottom w:val="none" w:sz="0" w:space="0" w:color="auto"/>
                <w:right w:val="none" w:sz="0" w:space="0" w:color="auto"/>
              </w:divBdr>
            </w:div>
          </w:divsChild>
        </w:div>
        <w:div w:id="1439522619">
          <w:marLeft w:val="0"/>
          <w:marRight w:val="0"/>
          <w:marTop w:val="0"/>
          <w:marBottom w:val="0"/>
          <w:divBdr>
            <w:top w:val="none" w:sz="0" w:space="0" w:color="auto"/>
            <w:left w:val="none" w:sz="0" w:space="0" w:color="auto"/>
            <w:bottom w:val="none" w:sz="0" w:space="0" w:color="auto"/>
            <w:right w:val="none" w:sz="0" w:space="0" w:color="auto"/>
          </w:divBdr>
          <w:divsChild>
            <w:div w:id="1548489098">
              <w:marLeft w:val="0"/>
              <w:marRight w:val="0"/>
              <w:marTop w:val="0"/>
              <w:marBottom w:val="0"/>
              <w:divBdr>
                <w:top w:val="none" w:sz="0" w:space="0" w:color="auto"/>
                <w:left w:val="none" w:sz="0" w:space="0" w:color="auto"/>
                <w:bottom w:val="none" w:sz="0" w:space="0" w:color="auto"/>
                <w:right w:val="none" w:sz="0" w:space="0" w:color="auto"/>
              </w:divBdr>
            </w:div>
          </w:divsChild>
        </w:div>
        <w:div w:id="1450902409">
          <w:marLeft w:val="0"/>
          <w:marRight w:val="0"/>
          <w:marTop w:val="0"/>
          <w:marBottom w:val="0"/>
          <w:divBdr>
            <w:top w:val="none" w:sz="0" w:space="0" w:color="auto"/>
            <w:left w:val="none" w:sz="0" w:space="0" w:color="auto"/>
            <w:bottom w:val="none" w:sz="0" w:space="0" w:color="auto"/>
            <w:right w:val="none" w:sz="0" w:space="0" w:color="auto"/>
          </w:divBdr>
          <w:divsChild>
            <w:div w:id="855266953">
              <w:marLeft w:val="0"/>
              <w:marRight w:val="0"/>
              <w:marTop w:val="0"/>
              <w:marBottom w:val="0"/>
              <w:divBdr>
                <w:top w:val="none" w:sz="0" w:space="0" w:color="auto"/>
                <w:left w:val="none" w:sz="0" w:space="0" w:color="auto"/>
                <w:bottom w:val="none" w:sz="0" w:space="0" w:color="auto"/>
                <w:right w:val="none" w:sz="0" w:space="0" w:color="auto"/>
              </w:divBdr>
            </w:div>
          </w:divsChild>
        </w:div>
        <w:div w:id="1709527425">
          <w:marLeft w:val="0"/>
          <w:marRight w:val="0"/>
          <w:marTop w:val="0"/>
          <w:marBottom w:val="0"/>
          <w:divBdr>
            <w:top w:val="none" w:sz="0" w:space="0" w:color="auto"/>
            <w:left w:val="none" w:sz="0" w:space="0" w:color="auto"/>
            <w:bottom w:val="none" w:sz="0" w:space="0" w:color="auto"/>
            <w:right w:val="none" w:sz="0" w:space="0" w:color="auto"/>
          </w:divBdr>
          <w:divsChild>
            <w:div w:id="17123309">
              <w:marLeft w:val="0"/>
              <w:marRight w:val="0"/>
              <w:marTop w:val="0"/>
              <w:marBottom w:val="0"/>
              <w:divBdr>
                <w:top w:val="none" w:sz="0" w:space="0" w:color="auto"/>
                <w:left w:val="none" w:sz="0" w:space="0" w:color="auto"/>
                <w:bottom w:val="none" w:sz="0" w:space="0" w:color="auto"/>
                <w:right w:val="none" w:sz="0" w:space="0" w:color="auto"/>
              </w:divBdr>
            </w:div>
          </w:divsChild>
        </w:div>
        <w:div w:id="1982077963">
          <w:marLeft w:val="0"/>
          <w:marRight w:val="0"/>
          <w:marTop w:val="0"/>
          <w:marBottom w:val="0"/>
          <w:divBdr>
            <w:top w:val="none" w:sz="0" w:space="0" w:color="auto"/>
            <w:left w:val="none" w:sz="0" w:space="0" w:color="auto"/>
            <w:bottom w:val="none" w:sz="0" w:space="0" w:color="auto"/>
            <w:right w:val="none" w:sz="0" w:space="0" w:color="auto"/>
          </w:divBdr>
          <w:divsChild>
            <w:div w:id="3387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98538">
      <w:bodyDiv w:val="1"/>
      <w:marLeft w:val="0"/>
      <w:marRight w:val="0"/>
      <w:marTop w:val="0"/>
      <w:marBottom w:val="0"/>
      <w:divBdr>
        <w:top w:val="none" w:sz="0" w:space="0" w:color="auto"/>
        <w:left w:val="none" w:sz="0" w:space="0" w:color="auto"/>
        <w:bottom w:val="none" w:sz="0" w:space="0" w:color="auto"/>
        <w:right w:val="none" w:sz="0" w:space="0" w:color="auto"/>
      </w:divBdr>
    </w:div>
    <w:div w:id="1427844326">
      <w:bodyDiv w:val="1"/>
      <w:marLeft w:val="0"/>
      <w:marRight w:val="0"/>
      <w:marTop w:val="0"/>
      <w:marBottom w:val="0"/>
      <w:divBdr>
        <w:top w:val="none" w:sz="0" w:space="0" w:color="auto"/>
        <w:left w:val="none" w:sz="0" w:space="0" w:color="auto"/>
        <w:bottom w:val="none" w:sz="0" w:space="0" w:color="auto"/>
        <w:right w:val="none" w:sz="0" w:space="0" w:color="auto"/>
      </w:divBdr>
    </w:div>
    <w:div w:id="1457288965">
      <w:bodyDiv w:val="1"/>
      <w:marLeft w:val="0"/>
      <w:marRight w:val="0"/>
      <w:marTop w:val="0"/>
      <w:marBottom w:val="0"/>
      <w:divBdr>
        <w:top w:val="none" w:sz="0" w:space="0" w:color="auto"/>
        <w:left w:val="none" w:sz="0" w:space="0" w:color="auto"/>
        <w:bottom w:val="none" w:sz="0" w:space="0" w:color="auto"/>
        <w:right w:val="none" w:sz="0" w:space="0" w:color="auto"/>
      </w:divBdr>
    </w:div>
    <w:div w:id="1457413130">
      <w:bodyDiv w:val="1"/>
      <w:marLeft w:val="0"/>
      <w:marRight w:val="0"/>
      <w:marTop w:val="0"/>
      <w:marBottom w:val="0"/>
      <w:divBdr>
        <w:top w:val="none" w:sz="0" w:space="0" w:color="auto"/>
        <w:left w:val="none" w:sz="0" w:space="0" w:color="auto"/>
        <w:bottom w:val="none" w:sz="0" w:space="0" w:color="auto"/>
        <w:right w:val="none" w:sz="0" w:space="0" w:color="auto"/>
      </w:divBdr>
    </w:div>
    <w:div w:id="1474176503">
      <w:bodyDiv w:val="1"/>
      <w:marLeft w:val="0"/>
      <w:marRight w:val="0"/>
      <w:marTop w:val="0"/>
      <w:marBottom w:val="0"/>
      <w:divBdr>
        <w:top w:val="none" w:sz="0" w:space="0" w:color="auto"/>
        <w:left w:val="none" w:sz="0" w:space="0" w:color="auto"/>
        <w:bottom w:val="none" w:sz="0" w:space="0" w:color="auto"/>
        <w:right w:val="none" w:sz="0" w:space="0" w:color="auto"/>
      </w:divBdr>
    </w:div>
    <w:div w:id="1475608776">
      <w:bodyDiv w:val="1"/>
      <w:marLeft w:val="0"/>
      <w:marRight w:val="0"/>
      <w:marTop w:val="0"/>
      <w:marBottom w:val="0"/>
      <w:divBdr>
        <w:top w:val="none" w:sz="0" w:space="0" w:color="auto"/>
        <w:left w:val="none" w:sz="0" w:space="0" w:color="auto"/>
        <w:bottom w:val="none" w:sz="0" w:space="0" w:color="auto"/>
        <w:right w:val="none" w:sz="0" w:space="0" w:color="auto"/>
      </w:divBdr>
    </w:div>
    <w:div w:id="1492522515">
      <w:bodyDiv w:val="1"/>
      <w:marLeft w:val="0"/>
      <w:marRight w:val="0"/>
      <w:marTop w:val="0"/>
      <w:marBottom w:val="0"/>
      <w:divBdr>
        <w:top w:val="none" w:sz="0" w:space="0" w:color="auto"/>
        <w:left w:val="none" w:sz="0" w:space="0" w:color="auto"/>
        <w:bottom w:val="none" w:sz="0" w:space="0" w:color="auto"/>
        <w:right w:val="none" w:sz="0" w:space="0" w:color="auto"/>
      </w:divBdr>
    </w:div>
    <w:div w:id="1493521439">
      <w:bodyDiv w:val="1"/>
      <w:marLeft w:val="0"/>
      <w:marRight w:val="0"/>
      <w:marTop w:val="0"/>
      <w:marBottom w:val="0"/>
      <w:divBdr>
        <w:top w:val="none" w:sz="0" w:space="0" w:color="auto"/>
        <w:left w:val="none" w:sz="0" w:space="0" w:color="auto"/>
        <w:bottom w:val="none" w:sz="0" w:space="0" w:color="auto"/>
        <w:right w:val="none" w:sz="0" w:space="0" w:color="auto"/>
      </w:divBdr>
    </w:div>
    <w:div w:id="1495610149">
      <w:bodyDiv w:val="1"/>
      <w:marLeft w:val="0"/>
      <w:marRight w:val="0"/>
      <w:marTop w:val="0"/>
      <w:marBottom w:val="0"/>
      <w:divBdr>
        <w:top w:val="none" w:sz="0" w:space="0" w:color="auto"/>
        <w:left w:val="none" w:sz="0" w:space="0" w:color="auto"/>
        <w:bottom w:val="none" w:sz="0" w:space="0" w:color="auto"/>
        <w:right w:val="none" w:sz="0" w:space="0" w:color="auto"/>
      </w:divBdr>
      <w:divsChild>
        <w:div w:id="1717467987">
          <w:marLeft w:val="0"/>
          <w:marRight w:val="0"/>
          <w:marTop w:val="0"/>
          <w:marBottom w:val="0"/>
          <w:divBdr>
            <w:top w:val="none" w:sz="0" w:space="0" w:color="auto"/>
            <w:left w:val="none" w:sz="0" w:space="0" w:color="auto"/>
            <w:bottom w:val="none" w:sz="0" w:space="0" w:color="auto"/>
            <w:right w:val="none" w:sz="0" w:space="0" w:color="auto"/>
          </w:divBdr>
        </w:div>
      </w:divsChild>
    </w:div>
    <w:div w:id="1554383848">
      <w:bodyDiv w:val="1"/>
      <w:marLeft w:val="0"/>
      <w:marRight w:val="0"/>
      <w:marTop w:val="0"/>
      <w:marBottom w:val="0"/>
      <w:divBdr>
        <w:top w:val="none" w:sz="0" w:space="0" w:color="auto"/>
        <w:left w:val="none" w:sz="0" w:space="0" w:color="auto"/>
        <w:bottom w:val="none" w:sz="0" w:space="0" w:color="auto"/>
        <w:right w:val="none" w:sz="0" w:space="0" w:color="auto"/>
      </w:divBdr>
    </w:div>
    <w:div w:id="1558323852">
      <w:bodyDiv w:val="1"/>
      <w:marLeft w:val="0"/>
      <w:marRight w:val="0"/>
      <w:marTop w:val="0"/>
      <w:marBottom w:val="0"/>
      <w:divBdr>
        <w:top w:val="none" w:sz="0" w:space="0" w:color="auto"/>
        <w:left w:val="none" w:sz="0" w:space="0" w:color="auto"/>
        <w:bottom w:val="none" w:sz="0" w:space="0" w:color="auto"/>
        <w:right w:val="none" w:sz="0" w:space="0" w:color="auto"/>
      </w:divBdr>
    </w:div>
    <w:div w:id="1594361414">
      <w:bodyDiv w:val="1"/>
      <w:marLeft w:val="0"/>
      <w:marRight w:val="0"/>
      <w:marTop w:val="0"/>
      <w:marBottom w:val="0"/>
      <w:divBdr>
        <w:top w:val="none" w:sz="0" w:space="0" w:color="auto"/>
        <w:left w:val="none" w:sz="0" w:space="0" w:color="auto"/>
        <w:bottom w:val="none" w:sz="0" w:space="0" w:color="auto"/>
        <w:right w:val="none" w:sz="0" w:space="0" w:color="auto"/>
      </w:divBdr>
    </w:div>
    <w:div w:id="1654721744">
      <w:bodyDiv w:val="1"/>
      <w:marLeft w:val="0"/>
      <w:marRight w:val="0"/>
      <w:marTop w:val="0"/>
      <w:marBottom w:val="0"/>
      <w:divBdr>
        <w:top w:val="none" w:sz="0" w:space="0" w:color="auto"/>
        <w:left w:val="none" w:sz="0" w:space="0" w:color="auto"/>
        <w:bottom w:val="none" w:sz="0" w:space="0" w:color="auto"/>
        <w:right w:val="none" w:sz="0" w:space="0" w:color="auto"/>
      </w:divBdr>
    </w:div>
    <w:div w:id="1658461914">
      <w:bodyDiv w:val="1"/>
      <w:marLeft w:val="0"/>
      <w:marRight w:val="0"/>
      <w:marTop w:val="0"/>
      <w:marBottom w:val="0"/>
      <w:divBdr>
        <w:top w:val="none" w:sz="0" w:space="0" w:color="auto"/>
        <w:left w:val="none" w:sz="0" w:space="0" w:color="auto"/>
        <w:bottom w:val="none" w:sz="0" w:space="0" w:color="auto"/>
        <w:right w:val="none" w:sz="0" w:space="0" w:color="auto"/>
      </w:divBdr>
      <w:divsChild>
        <w:div w:id="11878806">
          <w:marLeft w:val="0"/>
          <w:marRight w:val="0"/>
          <w:marTop w:val="0"/>
          <w:marBottom w:val="0"/>
          <w:divBdr>
            <w:top w:val="none" w:sz="0" w:space="0" w:color="auto"/>
            <w:left w:val="none" w:sz="0" w:space="0" w:color="auto"/>
            <w:bottom w:val="none" w:sz="0" w:space="0" w:color="auto"/>
            <w:right w:val="none" w:sz="0" w:space="0" w:color="auto"/>
          </w:divBdr>
        </w:div>
        <w:div w:id="113524142">
          <w:marLeft w:val="0"/>
          <w:marRight w:val="0"/>
          <w:marTop w:val="0"/>
          <w:marBottom w:val="0"/>
          <w:divBdr>
            <w:top w:val="none" w:sz="0" w:space="0" w:color="auto"/>
            <w:left w:val="none" w:sz="0" w:space="0" w:color="auto"/>
            <w:bottom w:val="none" w:sz="0" w:space="0" w:color="auto"/>
            <w:right w:val="none" w:sz="0" w:space="0" w:color="auto"/>
          </w:divBdr>
          <w:divsChild>
            <w:div w:id="1797064044">
              <w:marLeft w:val="0"/>
              <w:marRight w:val="0"/>
              <w:marTop w:val="30"/>
              <w:marBottom w:val="30"/>
              <w:divBdr>
                <w:top w:val="none" w:sz="0" w:space="0" w:color="auto"/>
                <w:left w:val="none" w:sz="0" w:space="0" w:color="auto"/>
                <w:bottom w:val="none" w:sz="0" w:space="0" w:color="auto"/>
                <w:right w:val="none" w:sz="0" w:space="0" w:color="auto"/>
              </w:divBdr>
              <w:divsChild>
                <w:div w:id="58601076">
                  <w:marLeft w:val="0"/>
                  <w:marRight w:val="0"/>
                  <w:marTop w:val="0"/>
                  <w:marBottom w:val="0"/>
                  <w:divBdr>
                    <w:top w:val="none" w:sz="0" w:space="0" w:color="auto"/>
                    <w:left w:val="none" w:sz="0" w:space="0" w:color="auto"/>
                    <w:bottom w:val="none" w:sz="0" w:space="0" w:color="auto"/>
                    <w:right w:val="none" w:sz="0" w:space="0" w:color="auto"/>
                  </w:divBdr>
                  <w:divsChild>
                    <w:div w:id="1916815715">
                      <w:marLeft w:val="0"/>
                      <w:marRight w:val="0"/>
                      <w:marTop w:val="0"/>
                      <w:marBottom w:val="0"/>
                      <w:divBdr>
                        <w:top w:val="none" w:sz="0" w:space="0" w:color="auto"/>
                        <w:left w:val="none" w:sz="0" w:space="0" w:color="auto"/>
                        <w:bottom w:val="none" w:sz="0" w:space="0" w:color="auto"/>
                        <w:right w:val="none" w:sz="0" w:space="0" w:color="auto"/>
                      </w:divBdr>
                    </w:div>
                  </w:divsChild>
                </w:div>
                <w:div w:id="1384524012">
                  <w:marLeft w:val="0"/>
                  <w:marRight w:val="0"/>
                  <w:marTop w:val="0"/>
                  <w:marBottom w:val="0"/>
                  <w:divBdr>
                    <w:top w:val="none" w:sz="0" w:space="0" w:color="auto"/>
                    <w:left w:val="none" w:sz="0" w:space="0" w:color="auto"/>
                    <w:bottom w:val="none" w:sz="0" w:space="0" w:color="auto"/>
                    <w:right w:val="none" w:sz="0" w:space="0" w:color="auto"/>
                  </w:divBdr>
                  <w:divsChild>
                    <w:div w:id="1151483890">
                      <w:marLeft w:val="0"/>
                      <w:marRight w:val="0"/>
                      <w:marTop w:val="0"/>
                      <w:marBottom w:val="0"/>
                      <w:divBdr>
                        <w:top w:val="none" w:sz="0" w:space="0" w:color="auto"/>
                        <w:left w:val="none" w:sz="0" w:space="0" w:color="auto"/>
                        <w:bottom w:val="none" w:sz="0" w:space="0" w:color="auto"/>
                        <w:right w:val="none" w:sz="0" w:space="0" w:color="auto"/>
                      </w:divBdr>
                    </w:div>
                  </w:divsChild>
                </w:div>
                <w:div w:id="1810825228">
                  <w:marLeft w:val="0"/>
                  <w:marRight w:val="0"/>
                  <w:marTop w:val="0"/>
                  <w:marBottom w:val="0"/>
                  <w:divBdr>
                    <w:top w:val="none" w:sz="0" w:space="0" w:color="auto"/>
                    <w:left w:val="none" w:sz="0" w:space="0" w:color="auto"/>
                    <w:bottom w:val="none" w:sz="0" w:space="0" w:color="auto"/>
                    <w:right w:val="none" w:sz="0" w:space="0" w:color="auto"/>
                  </w:divBdr>
                  <w:divsChild>
                    <w:div w:id="2077312428">
                      <w:marLeft w:val="0"/>
                      <w:marRight w:val="0"/>
                      <w:marTop w:val="0"/>
                      <w:marBottom w:val="0"/>
                      <w:divBdr>
                        <w:top w:val="none" w:sz="0" w:space="0" w:color="auto"/>
                        <w:left w:val="none" w:sz="0" w:space="0" w:color="auto"/>
                        <w:bottom w:val="none" w:sz="0" w:space="0" w:color="auto"/>
                        <w:right w:val="none" w:sz="0" w:space="0" w:color="auto"/>
                      </w:divBdr>
                    </w:div>
                  </w:divsChild>
                </w:div>
                <w:div w:id="1945382791">
                  <w:marLeft w:val="0"/>
                  <w:marRight w:val="0"/>
                  <w:marTop w:val="0"/>
                  <w:marBottom w:val="0"/>
                  <w:divBdr>
                    <w:top w:val="none" w:sz="0" w:space="0" w:color="auto"/>
                    <w:left w:val="none" w:sz="0" w:space="0" w:color="auto"/>
                    <w:bottom w:val="none" w:sz="0" w:space="0" w:color="auto"/>
                    <w:right w:val="none" w:sz="0" w:space="0" w:color="auto"/>
                  </w:divBdr>
                  <w:divsChild>
                    <w:div w:id="13505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4179">
          <w:marLeft w:val="0"/>
          <w:marRight w:val="0"/>
          <w:marTop w:val="0"/>
          <w:marBottom w:val="0"/>
          <w:divBdr>
            <w:top w:val="none" w:sz="0" w:space="0" w:color="auto"/>
            <w:left w:val="none" w:sz="0" w:space="0" w:color="auto"/>
            <w:bottom w:val="none" w:sz="0" w:space="0" w:color="auto"/>
            <w:right w:val="none" w:sz="0" w:space="0" w:color="auto"/>
          </w:divBdr>
        </w:div>
      </w:divsChild>
    </w:div>
    <w:div w:id="1724451145">
      <w:bodyDiv w:val="1"/>
      <w:marLeft w:val="0"/>
      <w:marRight w:val="0"/>
      <w:marTop w:val="0"/>
      <w:marBottom w:val="0"/>
      <w:divBdr>
        <w:top w:val="none" w:sz="0" w:space="0" w:color="auto"/>
        <w:left w:val="none" w:sz="0" w:space="0" w:color="auto"/>
        <w:bottom w:val="none" w:sz="0" w:space="0" w:color="auto"/>
        <w:right w:val="none" w:sz="0" w:space="0" w:color="auto"/>
      </w:divBdr>
    </w:div>
    <w:div w:id="1747730311">
      <w:bodyDiv w:val="1"/>
      <w:marLeft w:val="0"/>
      <w:marRight w:val="0"/>
      <w:marTop w:val="0"/>
      <w:marBottom w:val="0"/>
      <w:divBdr>
        <w:top w:val="none" w:sz="0" w:space="0" w:color="auto"/>
        <w:left w:val="none" w:sz="0" w:space="0" w:color="auto"/>
        <w:bottom w:val="none" w:sz="0" w:space="0" w:color="auto"/>
        <w:right w:val="none" w:sz="0" w:space="0" w:color="auto"/>
      </w:divBdr>
    </w:div>
    <w:div w:id="1798377772">
      <w:bodyDiv w:val="1"/>
      <w:marLeft w:val="0"/>
      <w:marRight w:val="0"/>
      <w:marTop w:val="0"/>
      <w:marBottom w:val="0"/>
      <w:divBdr>
        <w:top w:val="none" w:sz="0" w:space="0" w:color="auto"/>
        <w:left w:val="none" w:sz="0" w:space="0" w:color="auto"/>
        <w:bottom w:val="none" w:sz="0" w:space="0" w:color="auto"/>
        <w:right w:val="none" w:sz="0" w:space="0" w:color="auto"/>
      </w:divBdr>
      <w:divsChild>
        <w:div w:id="14159490">
          <w:marLeft w:val="0"/>
          <w:marRight w:val="0"/>
          <w:marTop w:val="0"/>
          <w:marBottom w:val="0"/>
          <w:divBdr>
            <w:top w:val="none" w:sz="0" w:space="0" w:color="auto"/>
            <w:left w:val="none" w:sz="0" w:space="0" w:color="auto"/>
            <w:bottom w:val="none" w:sz="0" w:space="0" w:color="auto"/>
            <w:right w:val="none" w:sz="0" w:space="0" w:color="auto"/>
          </w:divBdr>
          <w:divsChild>
            <w:div w:id="564685955">
              <w:marLeft w:val="0"/>
              <w:marRight w:val="0"/>
              <w:marTop w:val="0"/>
              <w:marBottom w:val="0"/>
              <w:divBdr>
                <w:top w:val="none" w:sz="0" w:space="0" w:color="auto"/>
                <w:left w:val="none" w:sz="0" w:space="0" w:color="auto"/>
                <w:bottom w:val="none" w:sz="0" w:space="0" w:color="auto"/>
                <w:right w:val="none" w:sz="0" w:space="0" w:color="auto"/>
              </w:divBdr>
            </w:div>
          </w:divsChild>
        </w:div>
        <w:div w:id="25565939">
          <w:marLeft w:val="0"/>
          <w:marRight w:val="0"/>
          <w:marTop w:val="0"/>
          <w:marBottom w:val="0"/>
          <w:divBdr>
            <w:top w:val="none" w:sz="0" w:space="0" w:color="auto"/>
            <w:left w:val="none" w:sz="0" w:space="0" w:color="auto"/>
            <w:bottom w:val="none" w:sz="0" w:space="0" w:color="auto"/>
            <w:right w:val="none" w:sz="0" w:space="0" w:color="auto"/>
          </w:divBdr>
          <w:divsChild>
            <w:div w:id="1935361289">
              <w:marLeft w:val="0"/>
              <w:marRight w:val="0"/>
              <w:marTop w:val="0"/>
              <w:marBottom w:val="0"/>
              <w:divBdr>
                <w:top w:val="none" w:sz="0" w:space="0" w:color="auto"/>
                <w:left w:val="none" w:sz="0" w:space="0" w:color="auto"/>
                <w:bottom w:val="none" w:sz="0" w:space="0" w:color="auto"/>
                <w:right w:val="none" w:sz="0" w:space="0" w:color="auto"/>
              </w:divBdr>
            </w:div>
          </w:divsChild>
        </w:div>
        <w:div w:id="160656000">
          <w:marLeft w:val="0"/>
          <w:marRight w:val="0"/>
          <w:marTop w:val="0"/>
          <w:marBottom w:val="0"/>
          <w:divBdr>
            <w:top w:val="none" w:sz="0" w:space="0" w:color="auto"/>
            <w:left w:val="none" w:sz="0" w:space="0" w:color="auto"/>
            <w:bottom w:val="none" w:sz="0" w:space="0" w:color="auto"/>
            <w:right w:val="none" w:sz="0" w:space="0" w:color="auto"/>
          </w:divBdr>
          <w:divsChild>
            <w:div w:id="1658336600">
              <w:marLeft w:val="0"/>
              <w:marRight w:val="0"/>
              <w:marTop w:val="0"/>
              <w:marBottom w:val="0"/>
              <w:divBdr>
                <w:top w:val="none" w:sz="0" w:space="0" w:color="auto"/>
                <w:left w:val="none" w:sz="0" w:space="0" w:color="auto"/>
                <w:bottom w:val="none" w:sz="0" w:space="0" w:color="auto"/>
                <w:right w:val="none" w:sz="0" w:space="0" w:color="auto"/>
              </w:divBdr>
            </w:div>
          </w:divsChild>
        </w:div>
        <w:div w:id="231354110">
          <w:marLeft w:val="0"/>
          <w:marRight w:val="0"/>
          <w:marTop w:val="0"/>
          <w:marBottom w:val="0"/>
          <w:divBdr>
            <w:top w:val="none" w:sz="0" w:space="0" w:color="auto"/>
            <w:left w:val="none" w:sz="0" w:space="0" w:color="auto"/>
            <w:bottom w:val="none" w:sz="0" w:space="0" w:color="auto"/>
            <w:right w:val="none" w:sz="0" w:space="0" w:color="auto"/>
          </w:divBdr>
        </w:div>
        <w:div w:id="232861192">
          <w:marLeft w:val="0"/>
          <w:marRight w:val="0"/>
          <w:marTop w:val="0"/>
          <w:marBottom w:val="0"/>
          <w:divBdr>
            <w:top w:val="none" w:sz="0" w:space="0" w:color="auto"/>
            <w:left w:val="none" w:sz="0" w:space="0" w:color="auto"/>
            <w:bottom w:val="none" w:sz="0" w:space="0" w:color="auto"/>
            <w:right w:val="none" w:sz="0" w:space="0" w:color="auto"/>
          </w:divBdr>
          <w:divsChild>
            <w:div w:id="758603393">
              <w:marLeft w:val="0"/>
              <w:marRight w:val="0"/>
              <w:marTop w:val="0"/>
              <w:marBottom w:val="0"/>
              <w:divBdr>
                <w:top w:val="none" w:sz="0" w:space="0" w:color="auto"/>
                <w:left w:val="none" w:sz="0" w:space="0" w:color="auto"/>
                <w:bottom w:val="none" w:sz="0" w:space="0" w:color="auto"/>
                <w:right w:val="none" w:sz="0" w:space="0" w:color="auto"/>
              </w:divBdr>
            </w:div>
          </w:divsChild>
        </w:div>
        <w:div w:id="437873977">
          <w:marLeft w:val="0"/>
          <w:marRight w:val="0"/>
          <w:marTop w:val="0"/>
          <w:marBottom w:val="0"/>
          <w:divBdr>
            <w:top w:val="none" w:sz="0" w:space="0" w:color="auto"/>
            <w:left w:val="none" w:sz="0" w:space="0" w:color="auto"/>
            <w:bottom w:val="none" w:sz="0" w:space="0" w:color="auto"/>
            <w:right w:val="none" w:sz="0" w:space="0" w:color="auto"/>
          </w:divBdr>
          <w:divsChild>
            <w:div w:id="542717907">
              <w:marLeft w:val="0"/>
              <w:marRight w:val="0"/>
              <w:marTop w:val="0"/>
              <w:marBottom w:val="0"/>
              <w:divBdr>
                <w:top w:val="none" w:sz="0" w:space="0" w:color="auto"/>
                <w:left w:val="none" w:sz="0" w:space="0" w:color="auto"/>
                <w:bottom w:val="none" w:sz="0" w:space="0" w:color="auto"/>
                <w:right w:val="none" w:sz="0" w:space="0" w:color="auto"/>
              </w:divBdr>
            </w:div>
            <w:div w:id="735081167">
              <w:marLeft w:val="0"/>
              <w:marRight w:val="0"/>
              <w:marTop w:val="0"/>
              <w:marBottom w:val="0"/>
              <w:divBdr>
                <w:top w:val="none" w:sz="0" w:space="0" w:color="auto"/>
                <w:left w:val="none" w:sz="0" w:space="0" w:color="auto"/>
                <w:bottom w:val="none" w:sz="0" w:space="0" w:color="auto"/>
                <w:right w:val="none" w:sz="0" w:space="0" w:color="auto"/>
              </w:divBdr>
            </w:div>
            <w:div w:id="916592543">
              <w:marLeft w:val="0"/>
              <w:marRight w:val="0"/>
              <w:marTop w:val="0"/>
              <w:marBottom w:val="0"/>
              <w:divBdr>
                <w:top w:val="none" w:sz="0" w:space="0" w:color="auto"/>
                <w:left w:val="none" w:sz="0" w:space="0" w:color="auto"/>
                <w:bottom w:val="none" w:sz="0" w:space="0" w:color="auto"/>
                <w:right w:val="none" w:sz="0" w:space="0" w:color="auto"/>
              </w:divBdr>
            </w:div>
            <w:div w:id="1132212076">
              <w:marLeft w:val="0"/>
              <w:marRight w:val="0"/>
              <w:marTop w:val="0"/>
              <w:marBottom w:val="0"/>
              <w:divBdr>
                <w:top w:val="none" w:sz="0" w:space="0" w:color="auto"/>
                <w:left w:val="none" w:sz="0" w:space="0" w:color="auto"/>
                <w:bottom w:val="none" w:sz="0" w:space="0" w:color="auto"/>
                <w:right w:val="none" w:sz="0" w:space="0" w:color="auto"/>
              </w:divBdr>
            </w:div>
          </w:divsChild>
        </w:div>
        <w:div w:id="472411423">
          <w:marLeft w:val="0"/>
          <w:marRight w:val="0"/>
          <w:marTop w:val="0"/>
          <w:marBottom w:val="0"/>
          <w:divBdr>
            <w:top w:val="none" w:sz="0" w:space="0" w:color="auto"/>
            <w:left w:val="none" w:sz="0" w:space="0" w:color="auto"/>
            <w:bottom w:val="none" w:sz="0" w:space="0" w:color="auto"/>
            <w:right w:val="none" w:sz="0" w:space="0" w:color="auto"/>
          </w:divBdr>
          <w:divsChild>
            <w:div w:id="230652834">
              <w:marLeft w:val="0"/>
              <w:marRight w:val="0"/>
              <w:marTop w:val="0"/>
              <w:marBottom w:val="0"/>
              <w:divBdr>
                <w:top w:val="none" w:sz="0" w:space="0" w:color="auto"/>
                <w:left w:val="none" w:sz="0" w:space="0" w:color="auto"/>
                <w:bottom w:val="none" w:sz="0" w:space="0" w:color="auto"/>
                <w:right w:val="none" w:sz="0" w:space="0" w:color="auto"/>
              </w:divBdr>
            </w:div>
          </w:divsChild>
        </w:div>
        <w:div w:id="540361586">
          <w:marLeft w:val="0"/>
          <w:marRight w:val="0"/>
          <w:marTop w:val="0"/>
          <w:marBottom w:val="0"/>
          <w:divBdr>
            <w:top w:val="none" w:sz="0" w:space="0" w:color="auto"/>
            <w:left w:val="none" w:sz="0" w:space="0" w:color="auto"/>
            <w:bottom w:val="none" w:sz="0" w:space="0" w:color="auto"/>
            <w:right w:val="none" w:sz="0" w:space="0" w:color="auto"/>
          </w:divBdr>
          <w:divsChild>
            <w:div w:id="1580284526">
              <w:marLeft w:val="0"/>
              <w:marRight w:val="0"/>
              <w:marTop w:val="0"/>
              <w:marBottom w:val="0"/>
              <w:divBdr>
                <w:top w:val="none" w:sz="0" w:space="0" w:color="auto"/>
                <w:left w:val="none" w:sz="0" w:space="0" w:color="auto"/>
                <w:bottom w:val="none" w:sz="0" w:space="0" w:color="auto"/>
                <w:right w:val="none" w:sz="0" w:space="0" w:color="auto"/>
              </w:divBdr>
            </w:div>
          </w:divsChild>
        </w:div>
        <w:div w:id="576210574">
          <w:marLeft w:val="0"/>
          <w:marRight w:val="0"/>
          <w:marTop w:val="0"/>
          <w:marBottom w:val="0"/>
          <w:divBdr>
            <w:top w:val="none" w:sz="0" w:space="0" w:color="auto"/>
            <w:left w:val="none" w:sz="0" w:space="0" w:color="auto"/>
            <w:bottom w:val="none" w:sz="0" w:space="0" w:color="auto"/>
            <w:right w:val="none" w:sz="0" w:space="0" w:color="auto"/>
          </w:divBdr>
          <w:divsChild>
            <w:div w:id="1378092033">
              <w:marLeft w:val="0"/>
              <w:marRight w:val="0"/>
              <w:marTop w:val="0"/>
              <w:marBottom w:val="0"/>
              <w:divBdr>
                <w:top w:val="none" w:sz="0" w:space="0" w:color="auto"/>
                <w:left w:val="none" w:sz="0" w:space="0" w:color="auto"/>
                <w:bottom w:val="none" w:sz="0" w:space="0" w:color="auto"/>
                <w:right w:val="none" w:sz="0" w:space="0" w:color="auto"/>
              </w:divBdr>
            </w:div>
          </w:divsChild>
        </w:div>
        <w:div w:id="713193988">
          <w:marLeft w:val="0"/>
          <w:marRight w:val="0"/>
          <w:marTop w:val="0"/>
          <w:marBottom w:val="0"/>
          <w:divBdr>
            <w:top w:val="none" w:sz="0" w:space="0" w:color="auto"/>
            <w:left w:val="none" w:sz="0" w:space="0" w:color="auto"/>
            <w:bottom w:val="none" w:sz="0" w:space="0" w:color="auto"/>
            <w:right w:val="none" w:sz="0" w:space="0" w:color="auto"/>
          </w:divBdr>
          <w:divsChild>
            <w:div w:id="1701318361">
              <w:marLeft w:val="0"/>
              <w:marRight w:val="0"/>
              <w:marTop w:val="0"/>
              <w:marBottom w:val="0"/>
              <w:divBdr>
                <w:top w:val="none" w:sz="0" w:space="0" w:color="auto"/>
                <w:left w:val="none" w:sz="0" w:space="0" w:color="auto"/>
                <w:bottom w:val="none" w:sz="0" w:space="0" w:color="auto"/>
                <w:right w:val="none" w:sz="0" w:space="0" w:color="auto"/>
              </w:divBdr>
            </w:div>
          </w:divsChild>
        </w:div>
        <w:div w:id="757603731">
          <w:marLeft w:val="0"/>
          <w:marRight w:val="0"/>
          <w:marTop w:val="0"/>
          <w:marBottom w:val="0"/>
          <w:divBdr>
            <w:top w:val="none" w:sz="0" w:space="0" w:color="auto"/>
            <w:left w:val="none" w:sz="0" w:space="0" w:color="auto"/>
            <w:bottom w:val="none" w:sz="0" w:space="0" w:color="auto"/>
            <w:right w:val="none" w:sz="0" w:space="0" w:color="auto"/>
          </w:divBdr>
          <w:divsChild>
            <w:div w:id="1545823137">
              <w:marLeft w:val="0"/>
              <w:marRight w:val="0"/>
              <w:marTop w:val="0"/>
              <w:marBottom w:val="0"/>
              <w:divBdr>
                <w:top w:val="none" w:sz="0" w:space="0" w:color="auto"/>
                <w:left w:val="none" w:sz="0" w:space="0" w:color="auto"/>
                <w:bottom w:val="none" w:sz="0" w:space="0" w:color="auto"/>
                <w:right w:val="none" w:sz="0" w:space="0" w:color="auto"/>
              </w:divBdr>
            </w:div>
          </w:divsChild>
        </w:div>
        <w:div w:id="799882808">
          <w:marLeft w:val="0"/>
          <w:marRight w:val="0"/>
          <w:marTop w:val="0"/>
          <w:marBottom w:val="0"/>
          <w:divBdr>
            <w:top w:val="none" w:sz="0" w:space="0" w:color="auto"/>
            <w:left w:val="none" w:sz="0" w:space="0" w:color="auto"/>
            <w:bottom w:val="none" w:sz="0" w:space="0" w:color="auto"/>
            <w:right w:val="none" w:sz="0" w:space="0" w:color="auto"/>
          </w:divBdr>
          <w:divsChild>
            <w:div w:id="343174013">
              <w:marLeft w:val="0"/>
              <w:marRight w:val="0"/>
              <w:marTop w:val="0"/>
              <w:marBottom w:val="0"/>
              <w:divBdr>
                <w:top w:val="none" w:sz="0" w:space="0" w:color="auto"/>
                <w:left w:val="none" w:sz="0" w:space="0" w:color="auto"/>
                <w:bottom w:val="none" w:sz="0" w:space="0" w:color="auto"/>
                <w:right w:val="none" w:sz="0" w:space="0" w:color="auto"/>
              </w:divBdr>
            </w:div>
          </w:divsChild>
        </w:div>
        <w:div w:id="846946527">
          <w:marLeft w:val="0"/>
          <w:marRight w:val="0"/>
          <w:marTop w:val="0"/>
          <w:marBottom w:val="0"/>
          <w:divBdr>
            <w:top w:val="none" w:sz="0" w:space="0" w:color="auto"/>
            <w:left w:val="none" w:sz="0" w:space="0" w:color="auto"/>
            <w:bottom w:val="none" w:sz="0" w:space="0" w:color="auto"/>
            <w:right w:val="none" w:sz="0" w:space="0" w:color="auto"/>
          </w:divBdr>
          <w:divsChild>
            <w:div w:id="394427605">
              <w:marLeft w:val="0"/>
              <w:marRight w:val="0"/>
              <w:marTop w:val="0"/>
              <w:marBottom w:val="0"/>
              <w:divBdr>
                <w:top w:val="none" w:sz="0" w:space="0" w:color="auto"/>
                <w:left w:val="none" w:sz="0" w:space="0" w:color="auto"/>
                <w:bottom w:val="none" w:sz="0" w:space="0" w:color="auto"/>
                <w:right w:val="none" w:sz="0" w:space="0" w:color="auto"/>
              </w:divBdr>
            </w:div>
          </w:divsChild>
        </w:div>
        <w:div w:id="881090247">
          <w:marLeft w:val="0"/>
          <w:marRight w:val="0"/>
          <w:marTop w:val="0"/>
          <w:marBottom w:val="0"/>
          <w:divBdr>
            <w:top w:val="none" w:sz="0" w:space="0" w:color="auto"/>
            <w:left w:val="none" w:sz="0" w:space="0" w:color="auto"/>
            <w:bottom w:val="none" w:sz="0" w:space="0" w:color="auto"/>
            <w:right w:val="none" w:sz="0" w:space="0" w:color="auto"/>
          </w:divBdr>
          <w:divsChild>
            <w:div w:id="873887724">
              <w:marLeft w:val="0"/>
              <w:marRight w:val="0"/>
              <w:marTop w:val="0"/>
              <w:marBottom w:val="0"/>
              <w:divBdr>
                <w:top w:val="none" w:sz="0" w:space="0" w:color="auto"/>
                <w:left w:val="none" w:sz="0" w:space="0" w:color="auto"/>
                <w:bottom w:val="none" w:sz="0" w:space="0" w:color="auto"/>
                <w:right w:val="none" w:sz="0" w:space="0" w:color="auto"/>
              </w:divBdr>
            </w:div>
          </w:divsChild>
        </w:div>
        <w:div w:id="902721477">
          <w:marLeft w:val="0"/>
          <w:marRight w:val="0"/>
          <w:marTop w:val="0"/>
          <w:marBottom w:val="0"/>
          <w:divBdr>
            <w:top w:val="none" w:sz="0" w:space="0" w:color="auto"/>
            <w:left w:val="none" w:sz="0" w:space="0" w:color="auto"/>
            <w:bottom w:val="none" w:sz="0" w:space="0" w:color="auto"/>
            <w:right w:val="none" w:sz="0" w:space="0" w:color="auto"/>
          </w:divBdr>
          <w:divsChild>
            <w:div w:id="1305623534">
              <w:marLeft w:val="0"/>
              <w:marRight w:val="0"/>
              <w:marTop w:val="0"/>
              <w:marBottom w:val="0"/>
              <w:divBdr>
                <w:top w:val="none" w:sz="0" w:space="0" w:color="auto"/>
                <w:left w:val="none" w:sz="0" w:space="0" w:color="auto"/>
                <w:bottom w:val="none" w:sz="0" w:space="0" w:color="auto"/>
                <w:right w:val="none" w:sz="0" w:space="0" w:color="auto"/>
              </w:divBdr>
            </w:div>
          </w:divsChild>
        </w:div>
        <w:div w:id="968323603">
          <w:marLeft w:val="0"/>
          <w:marRight w:val="0"/>
          <w:marTop w:val="0"/>
          <w:marBottom w:val="0"/>
          <w:divBdr>
            <w:top w:val="none" w:sz="0" w:space="0" w:color="auto"/>
            <w:left w:val="none" w:sz="0" w:space="0" w:color="auto"/>
            <w:bottom w:val="none" w:sz="0" w:space="0" w:color="auto"/>
            <w:right w:val="none" w:sz="0" w:space="0" w:color="auto"/>
          </w:divBdr>
          <w:divsChild>
            <w:div w:id="914972864">
              <w:marLeft w:val="0"/>
              <w:marRight w:val="0"/>
              <w:marTop w:val="0"/>
              <w:marBottom w:val="0"/>
              <w:divBdr>
                <w:top w:val="none" w:sz="0" w:space="0" w:color="auto"/>
                <w:left w:val="none" w:sz="0" w:space="0" w:color="auto"/>
                <w:bottom w:val="none" w:sz="0" w:space="0" w:color="auto"/>
                <w:right w:val="none" w:sz="0" w:space="0" w:color="auto"/>
              </w:divBdr>
            </w:div>
          </w:divsChild>
        </w:div>
        <w:div w:id="1014570129">
          <w:marLeft w:val="0"/>
          <w:marRight w:val="0"/>
          <w:marTop w:val="0"/>
          <w:marBottom w:val="0"/>
          <w:divBdr>
            <w:top w:val="none" w:sz="0" w:space="0" w:color="auto"/>
            <w:left w:val="none" w:sz="0" w:space="0" w:color="auto"/>
            <w:bottom w:val="none" w:sz="0" w:space="0" w:color="auto"/>
            <w:right w:val="none" w:sz="0" w:space="0" w:color="auto"/>
          </w:divBdr>
          <w:divsChild>
            <w:div w:id="1698846581">
              <w:marLeft w:val="0"/>
              <w:marRight w:val="0"/>
              <w:marTop w:val="0"/>
              <w:marBottom w:val="0"/>
              <w:divBdr>
                <w:top w:val="none" w:sz="0" w:space="0" w:color="auto"/>
                <w:left w:val="none" w:sz="0" w:space="0" w:color="auto"/>
                <w:bottom w:val="none" w:sz="0" w:space="0" w:color="auto"/>
                <w:right w:val="none" w:sz="0" w:space="0" w:color="auto"/>
              </w:divBdr>
            </w:div>
          </w:divsChild>
        </w:div>
        <w:div w:id="1049886989">
          <w:marLeft w:val="0"/>
          <w:marRight w:val="0"/>
          <w:marTop w:val="0"/>
          <w:marBottom w:val="0"/>
          <w:divBdr>
            <w:top w:val="none" w:sz="0" w:space="0" w:color="auto"/>
            <w:left w:val="none" w:sz="0" w:space="0" w:color="auto"/>
            <w:bottom w:val="none" w:sz="0" w:space="0" w:color="auto"/>
            <w:right w:val="none" w:sz="0" w:space="0" w:color="auto"/>
          </w:divBdr>
        </w:div>
        <w:div w:id="1119496984">
          <w:marLeft w:val="0"/>
          <w:marRight w:val="0"/>
          <w:marTop w:val="0"/>
          <w:marBottom w:val="0"/>
          <w:divBdr>
            <w:top w:val="none" w:sz="0" w:space="0" w:color="auto"/>
            <w:left w:val="none" w:sz="0" w:space="0" w:color="auto"/>
            <w:bottom w:val="none" w:sz="0" w:space="0" w:color="auto"/>
            <w:right w:val="none" w:sz="0" w:space="0" w:color="auto"/>
          </w:divBdr>
          <w:divsChild>
            <w:div w:id="30736519">
              <w:marLeft w:val="0"/>
              <w:marRight w:val="0"/>
              <w:marTop w:val="0"/>
              <w:marBottom w:val="0"/>
              <w:divBdr>
                <w:top w:val="none" w:sz="0" w:space="0" w:color="auto"/>
                <w:left w:val="none" w:sz="0" w:space="0" w:color="auto"/>
                <w:bottom w:val="none" w:sz="0" w:space="0" w:color="auto"/>
                <w:right w:val="none" w:sz="0" w:space="0" w:color="auto"/>
              </w:divBdr>
            </w:div>
          </w:divsChild>
        </w:div>
        <w:div w:id="1228999564">
          <w:marLeft w:val="0"/>
          <w:marRight w:val="0"/>
          <w:marTop w:val="0"/>
          <w:marBottom w:val="0"/>
          <w:divBdr>
            <w:top w:val="none" w:sz="0" w:space="0" w:color="auto"/>
            <w:left w:val="none" w:sz="0" w:space="0" w:color="auto"/>
            <w:bottom w:val="none" w:sz="0" w:space="0" w:color="auto"/>
            <w:right w:val="none" w:sz="0" w:space="0" w:color="auto"/>
          </w:divBdr>
        </w:div>
        <w:div w:id="1260601912">
          <w:marLeft w:val="0"/>
          <w:marRight w:val="0"/>
          <w:marTop w:val="0"/>
          <w:marBottom w:val="0"/>
          <w:divBdr>
            <w:top w:val="none" w:sz="0" w:space="0" w:color="auto"/>
            <w:left w:val="none" w:sz="0" w:space="0" w:color="auto"/>
            <w:bottom w:val="none" w:sz="0" w:space="0" w:color="auto"/>
            <w:right w:val="none" w:sz="0" w:space="0" w:color="auto"/>
          </w:divBdr>
          <w:divsChild>
            <w:div w:id="820654769">
              <w:marLeft w:val="0"/>
              <w:marRight w:val="0"/>
              <w:marTop w:val="0"/>
              <w:marBottom w:val="0"/>
              <w:divBdr>
                <w:top w:val="none" w:sz="0" w:space="0" w:color="auto"/>
                <w:left w:val="none" w:sz="0" w:space="0" w:color="auto"/>
                <w:bottom w:val="none" w:sz="0" w:space="0" w:color="auto"/>
                <w:right w:val="none" w:sz="0" w:space="0" w:color="auto"/>
              </w:divBdr>
            </w:div>
          </w:divsChild>
        </w:div>
        <w:div w:id="1272322593">
          <w:marLeft w:val="0"/>
          <w:marRight w:val="0"/>
          <w:marTop w:val="0"/>
          <w:marBottom w:val="0"/>
          <w:divBdr>
            <w:top w:val="none" w:sz="0" w:space="0" w:color="auto"/>
            <w:left w:val="none" w:sz="0" w:space="0" w:color="auto"/>
            <w:bottom w:val="none" w:sz="0" w:space="0" w:color="auto"/>
            <w:right w:val="none" w:sz="0" w:space="0" w:color="auto"/>
          </w:divBdr>
          <w:divsChild>
            <w:div w:id="619994264">
              <w:marLeft w:val="0"/>
              <w:marRight w:val="0"/>
              <w:marTop w:val="0"/>
              <w:marBottom w:val="0"/>
              <w:divBdr>
                <w:top w:val="none" w:sz="0" w:space="0" w:color="auto"/>
                <w:left w:val="none" w:sz="0" w:space="0" w:color="auto"/>
                <w:bottom w:val="none" w:sz="0" w:space="0" w:color="auto"/>
                <w:right w:val="none" w:sz="0" w:space="0" w:color="auto"/>
              </w:divBdr>
            </w:div>
          </w:divsChild>
        </w:div>
        <w:div w:id="1327854503">
          <w:marLeft w:val="0"/>
          <w:marRight w:val="0"/>
          <w:marTop w:val="0"/>
          <w:marBottom w:val="0"/>
          <w:divBdr>
            <w:top w:val="none" w:sz="0" w:space="0" w:color="auto"/>
            <w:left w:val="none" w:sz="0" w:space="0" w:color="auto"/>
            <w:bottom w:val="none" w:sz="0" w:space="0" w:color="auto"/>
            <w:right w:val="none" w:sz="0" w:space="0" w:color="auto"/>
          </w:divBdr>
          <w:divsChild>
            <w:div w:id="394939970">
              <w:marLeft w:val="0"/>
              <w:marRight w:val="0"/>
              <w:marTop w:val="0"/>
              <w:marBottom w:val="0"/>
              <w:divBdr>
                <w:top w:val="none" w:sz="0" w:space="0" w:color="auto"/>
                <w:left w:val="none" w:sz="0" w:space="0" w:color="auto"/>
                <w:bottom w:val="none" w:sz="0" w:space="0" w:color="auto"/>
                <w:right w:val="none" w:sz="0" w:space="0" w:color="auto"/>
              </w:divBdr>
            </w:div>
          </w:divsChild>
        </w:div>
        <w:div w:id="1371103854">
          <w:marLeft w:val="0"/>
          <w:marRight w:val="0"/>
          <w:marTop w:val="0"/>
          <w:marBottom w:val="0"/>
          <w:divBdr>
            <w:top w:val="none" w:sz="0" w:space="0" w:color="auto"/>
            <w:left w:val="none" w:sz="0" w:space="0" w:color="auto"/>
            <w:bottom w:val="none" w:sz="0" w:space="0" w:color="auto"/>
            <w:right w:val="none" w:sz="0" w:space="0" w:color="auto"/>
          </w:divBdr>
          <w:divsChild>
            <w:div w:id="1920165413">
              <w:marLeft w:val="0"/>
              <w:marRight w:val="0"/>
              <w:marTop w:val="0"/>
              <w:marBottom w:val="0"/>
              <w:divBdr>
                <w:top w:val="none" w:sz="0" w:space="0" w:color="auto"/>
                <w:left w:val="none" w:sz="0" w:space="0" w:color="auto"/>
                <w:bottom w:val="none" w:sz="0" w:space="0" w:color="auto"/>
                <w:right w:val="none" w:sz="0" w:space="0" w:color="auto"/>
              </w:divBdr>
            </w:div>
          </w:divsChild>
        </w:div>
        <w:div w:id="1401175057">
          <w:marLeft w:val="0"/>
          <w:marRight w:val="0"/>
          <w:marTop w:val="0"/>
          <w:marBottom w:val="0"/>
          <w:divBdr>
            <w:top w:val="none" w:sz="0" w:space="0" w:color="auto"/>
            <w:left w:val="none" w:sz="0" w:space="0" w:color="auto"/>
            <w:bottom w:val="none" w:sz="0" w:space="0" w:color="auto"/>
            <w:right w:val="none" w:sz="0" w:space="0" w:color="auto"/>
          </w:divBdr>
          <w:divsChild>
            <w:div w:id="475336247">
              <w:marLeft w:val="0"/>
              <w:marRight w:val="0"/>
              <w:marTop w:val="0"/>
              <w:marBottom w:val="0"/>
              <w:divBdr>
                <w:top w:val="none" w:sz="0" w:space="0" w:color="auto"/>
                <w:left w:val="none" w:sz="0" w:space="0" w:color="auto"/>
                <w:bottom w:val="none" w:sz="0" w:space="0" w:color="auto"/>
                <w:right w:val="none" w:sz="0" w:space="0" w:color="auto"/>
              </w:divBdr>
            </w:div>
          </w:divsChild>
        </w:div>
        <w:div w:id="1462311170">
          <w:marLeft w:val="0"/>
          <w:marRight w:val="0"/>
          <w:marTop w:val="0"/>
          <w:marBottom w:val="0"/>
          <w:divBdr>
            <w:top w:val="none" w:sz="0" w:space="0" w:color="auto"/>
            <w:left w:val="none" w:sz="0" w:space="0" w:color="auto"/>
            <w:bottom w:val="none" w:sz="0" w:space="0" w:color="auto"/>
            <w:right w:val="none" w:sz="0" w:space="0" w:color="auto"/>
          </w:divBdr>
          <w:divsChild>
            <w:div w:id="811143021">
              <w:marLeft w:val="0"/>
              <w:marRight w:val="0"/>
              <w:marTop w:val="0"/>
              <w:marBottom w:val="0"/>
              <w:divBdr>
                <w:top w:val="none" w:sz="0" w:space="0" w:color="auto"/>
                <w:left w:val="none" w:sz="0" w:space="0" w:color="auto"/>
                <w:bottom w:val="none" w:sz="0" w:space="0" w:color="auto"/>
                <w:right w:val="none" w:sz="0" w:space="0" w:color="auto"/>
              </w:divBdr>
            </w:div>
          </w:divsChild>
        </w:div>
        <w:div w:id="1492676704">
          <w:marLeft w:val="0"/>
          <w:marRight w:val="0"/>
          <w:marTop w:val="0"/>
          <w:marBottom w:val="0"/>
          <w:divBdr>
            <w:top w:val="none" w:sz="0" w:space="0" w:color="auto"/>
            <w:left w:val="none" w:sz="0" w:space="0" w:color="auto"/>
            <w:bottom w:val="none" w:sz="0" w:space="0" w:color="auto"/>
            <w:right w:val="none" w:sz="0" w:space="0" w:color="auto"/>
          </w:divBdr>
          <w:divsChild>
            <w:div w:id="2116242416">
              <w:marLeft w:val="0"/>
              <w:marRight w:val="0"/>
              <w:marTop w:val="0"/>
              <w:marBottom w:val="0"/>
              <w:divBdr>
                <w:top w:val="none" w:sz="0" w:space="0" w:color="auto"/>
                <w:left w:val="none" w:sz="0" w:space="0" w:color="auto"/>
                <w:bottom w:val="none" w:sz="0" w:space="0" w:color="auto"/>
                <w:right w:val="none" w:sz="0" w:space="0" w:color="auto"/>
              </w:divBdr>
            </w:div>
          </w:divsChild>
        </w:div>
        <w:div w:id="1495225011">
          <w:marLeft w:val="0"/>
          <w:marRight w:val="0"/>
          <w:marTop w:val="0"/>
          <w:marBottom w:val="0"/>
          <w:divBdr>
            <w:top w:val="none" w:sz="0" w:space="0" w:color="auto"/>
            <w:left w:val="none" w:sz="0" w:space="0" w:color="auto"/>
            <w:bottom w:val="none" w:sz="0" w:space="0" w:color="auto"/>
            <w:right w:val="none" w:sz="0" w:space="0" w:color="auto"/>
          </w:divBdr>
          <w:divsChild>
            <w:div w:id="22437590">
              <w:marLeft w:val="0"/>
              <w:marRight w:val="0"/>
              <w:marTop w:val="0"/>
              <w:marBottom w:val="0"/>
              <w:divBdr>
                <w:top w:val="none" w:sz="0" w:space="0" w:color="auto"/>
                <w:left w:val="none" w:sz="0" w:space="0" w:color="auto"/>
                <w:bottom w:val="none" w:sz="0" w:space="0" w:color="auto"/>
                <w:right w:val="none" w:sz="0" w:space="0" w:color="auto"/>
              </w:divBdr>
            </w:div>
          </w:divsChild>
        </w:div>
        <w:div w:id="1566211707">
          <w:marLeft w:val="0"/>
          <w:marRight w:val="0"/>
          <w:marTop w:val="0"/>
          <w:marBottom w:val="0"/>
          <w:divBdr>
            <w:top w:val="none" w:sz="0" w:space="0" w:color="auto"/>
            <w:left w:val="none" w:sz="0" w:space="0" w:color="auto"/>
            <w:bottom w:val="none" w:sz="0" w:space="0" w:color="auto"/>
            <w:right w:val="none" w:sz="0" w:space="0" w:color="auto"/>
          </w:divBdr>
          <w:divsChild>
            <w:div w:id="1475875113">
              <w:marLeft w:val="0"/>
              <w:marRight w:val="0"/>
              <w:marTop w:val="0"/>
              <w:marBottom w:val="0"/>
              <w:divBdr>
                <w:top w:val="none" w:sz="0" w:space="0" w:color="auto"/>
                <w:left w:val="none" w:sz="0" w:space="0" w:color="auto"/>
                <w:bottom w:val="none" w:sz="0" w:space="0" w:color="auto"/>
                <w:right w:val="none" w:sz="0" w:space="0" w:color="auto"/>
              </w:divBdr>
            </w:div>
          </w:divsChild>
        </w:div>
        <w:div w:id="1569656478">
          <w:marLeft w:val="0"/>
          <w:marRight w:val="0"/>
          <w:marTop w:val="0"/>
          <w:marBottom w:val="0"/>
          <w:divBdr>
            <w:top w:val="none" w:sz="0" w:space="0" w:color="auto"/>
            <w:left w:val="none" w:sz="0" w:space="0" w:color="auto"/>
            <w:bottom w:val="none" w:sz="0" w:space="0" w:color="auto"/>
            <w:right w:val="none" w:sz="0" w:space="0" w:color="auto"/>
          </w:divBdr>
          <w:divsChild>
            <w:div w:id="231934979">
              <w:marLeft w:val="0"/>
              <w:marRight w:val="0"/>
              <w:marTop w:val="0"/>
              <w:marBottom w:val="0"/>
              <w:divBdr>
                <w:top w:val="none" w:sz="0" w:space="0" w:color="auto"/>
                <w:left w:val="none" w:sz="0" w:space="0" w:color="auto"/>
                <w:bottom w:val="none" w:sz="0" w:space="0" w:color="auto"/>
                <w:right w:val="none" w:sz="0" w:space="0" w:color="auto"/>
              </w:divBdr>
            </w:div>
          </w:divsChild>
        </w:div>
        <w:div w:id="1580402569">
          <w:marLeft w:val="0"/>
          <w:marRight w:val="0"/>
          <w:marTop w:val="0"/>
          <w:marBottom w:val="0"/>
          <w:divBdr>
            <w:top w:val="none" w:sz="0" w:space="0" w:color="auto"/>
            <w:left w:val="none" w:sz="0" w:space="0" w:color="auto"/>
            <w:bottom w:val="none" w:sz="0" w:space="0" w:color="auto"/>
            <w:right w:val="none" w:sz="0" w:space="0" w:color="auto"/>
          </w:divBdr>
          <w:divsChild>
            <w:div w:id="1219169513">
              <w:marLeft w:val="0"/>
              <w:marRight w:val="0"/>
              <w:marTop w:val="0"/>
              <w:marBottom w:val="0"/>
              <w:divBdr>
                <w:top w:val="none" w:sz="0" w:space="0" w:color="auto"/>
                <w:left w:val="none" w:sz="0" w:space="0" w:color="auto"/>
                <w:bottom w:val="none" w:sz="0" w:space="0" w:color="auto"/>
                <w:right w:val="none" w:sz="0" w:space="0" w:color="auto"/>
              </w:divBdr>
            </w:div>
          </w:divsChild>
        </w:div>
        <w:div w:id="1585144606">
          <w:marLeft w:val="0"/>
          <w:marRight w:val="0"/>
          <w:marTop w:val="0"/>
          <w:marBottom w:val="0"/>
          <w:divBdr>
            <w:top w:val="none" w:sz="0" w:space="0" w:color="auto"/>
            <w:left w:val="none" w:sz="0" w:space="0" w:color="auto"/>
            <w:bottom w:val="none" w:sz="0" w:space="0" w:color="auto"/>
            <w:right w:val="none" w:sz="0" w:space="0" w:color="auto"/>
          </w:divBdr>
          <w:divsChild>
            <w:div w:id="1042748416">
              <w:marLeft w:val="0"/>
              <w:marRight w:val="0"/>
              <w:marTop w:val="0"/>
              <w:marBottom w:val="0"/>
              <w:divBdr>
                <w:top w:val="none" w:sz="0" w:space="0" w:color="auto"/>
                <w:left w:val="none" w:sz="0" w:space="0" w:color="auto"/>
                <w:bottom w:val="none" w:sz="0" w:space="0" w:color="auto"/>
                <w:right w:val="none" w:sz="0" w:space="0" w:color="auto"/>
              </w:divBdr>
            </w:div>
          </w:divsChild>
        </w:div>
        <w:div w:id="1607737401">
          <w:marLeft w:val="0"/>
          <w:marRight w:val="0"/>
          <w:marTop w:val="0"/>
          <w:marBottom w:val="0"/>
          <w:divBdr>
            <w:top w:val="none" w:sz="0" w:space="0" w:color="auto"/>
            <w:left w:val="none" w:sz="0" w:space="0" w:color="auto"/>
            <w:bottom w:val="none" w:sz="0" w:space="0" w:color="auto"/>
            <w:right w:val="none" w:sz="0" w:space="0" w:color="auto"/>
          </w:divBdr>
          <w:divsChild>
            <w:div w:id="1866553636">
              <w:marLeft w:val="0"/>
              <w:marRight w:val="0"/>
              <w:marTop w:val="0"/>
              <w:marBottom w:val="0"/>
              <w:divBdr>
                <w:top w:val="none" w:sz="0" w:space="0" w:color="auto"/>
                <w:left w:val="none" w:sz="0" w:space="0" w:color="auto"/>
                <w:bottom w:val="none" w:sz="0" w:space="0" w:color="auto"/>
                <w:right w:val="none" w:sz="0" w:space="0" w:color="auto"/>
              </w:divBdr>
            </w:div>
          </w:divsChild>
        </w:div>
        <w:div w:id="1614627348">
          <w:marLeft w:val="0"/>
          <w:marRight w:val="0"/>
          <w:marTop w:val="0"/>
          <w:marBottom w:val="0"/>
          <w:divBdr>
            <w:top w:val="none" w:sz="0" w:space="0" w:color="auto"/>
            <w:left w:val="none" w:sz="0" w:space="0" w:color="auto"/>
            <w:bottom w:val="none" w:sz="0" w:space="0" w:color="auto"/>
            <w:right w:val="none" w:sz="0" w:space="0" w:color="auto"/>
          </w:divBdr>
          <w:divsChild>
            <w:div w:id="1770659217">
              <w:marLeft w:val="0"/>
              <w:marRight w:val="0"/>
              <w:marTop w:val="0"/>
              <w:marBottom w:val="0"/>
              <w:divBdr>
                <w:top w:val="none" w:sz="0" w:space="0" w:color="auto"/>
                <w:left w:val="none" w:sz="0" w:space="0" w:color="auto"/>
                <w:bottom w:val="none" w:sz="0" w:space="0" w:color="auto"/>
                <w:right w:val="none" w:sz="0" w:space="0" w:color="auto"/>
              </w:divBdr>
            </w:div>
          </w:divsChild>
        </w:div>
        <w:div w:id="1728652192">
          <w:marLeft w:val="0"/>
          <w:marRight w:val="0"/>
          <w:marTop w:val="0"/>
          <w:marBottom w:val="0"/>
          <w:divBdr>
            <w:top w:val="none" w:sz="0" w:space="0" w:color="auto"/>
            <w:left w:val="none" w:sz="0" w:space="0" w:color="auto"/>
            <w:bottom w:val="none" w:sz="0" w:space="0" w:color="auto"/>
            <w:right w:val="none" w:sz="0" w:space="0" w:color="auto"/>
          </w:divBdr>
          <w:divsChild>
            <w:div w:id="586889386">
              <w:marLeft w:val="0"/>
              <w:marRight w:val="0"/>
              <w:marTop w:val="0"/>
              <w:marBottom w:val="0"/>
              <w:divBdr>
                <w:top w:val="none" w:sz="0" w:space="0" w:color="auto"/>
                <w:left w:val="none" w:sz="0" w:space="0" w:color="auto"/>
                <w:bottom w:val="none" w:sz="0" w:space="0" w:color="auto"/>
                <w:right w:val="none" w:sz="0" w:space="0" w:color="auto"/>
              </w:divBdr>
            </w:div>
          </w:divsChild>
        </w:div>
        <w:div w:id="1737776664">
          <w:marLeft w:val="0"/>
          <w:marRight w:val="0"/>
          <w:marTop w:val="0"/>
          <w:marBottom w:val="0"/>
          <w:divBdr>
            <w:top w:val="none" w:sz="0" w:space="0" w:color="auto"/>
            <w:left w:val="none" w:sz="0" w:space="0" w:color="auto"/>
            <w:bottom w:val="none" w:sz="0" w:space="0" w:color="auto"/>
            <w:right w:val="none" w:sz="0" w:space="0" w:color="auto"/>
          </w:divBdr>
          <w:divsChild>
            <w:div w:id="31003672">
              <w:marLeft w:val="0"/>
              <w:marRight w:val="0"/>
              <w:marTop w:val="0"/>
              <w:marBottom w:val="0"/>
              <w:divBdr>
                <w:top w:val="none" w:sz="0" w:space="0" w:color="auto"/>
                <w:left w:val="none" w:sz="0" w:space="0" w:color="auto"/>
                <w:bottom w:val="none" w:sz="0" w:space="0" w:color="auto"/>
                <w:right w:val="none" w:sz="0" w:space="0" w:color="auto"/>
              </w:divBdr>
            </w:div>
          </w:divsChild>
        </w:div>
        <w:div w:id="1812168237">
          <w:marLeft w:val="0"/>
          <w:marRight w:val="0"/>
          <w:marTop w:val="0"/>
          <w:marBottom w:val="0"/>
          <w:divBdr>
            <w:top w:val="none" w:sz="0" w:space="0" w:color="auto"/>
            <w:left w:val="none" w:sz="0" w:space="0" w:color="auto"/>
            <w:bottom w:val="none" w:sz="0" w:space="0" w:color="auto"/>
            <w:right w:val="none" w:sz="0" w:space="0" w:color="auto"/>
          </w:divBdr>
          <w:divsChild>
            <w:div w:id="229343063">
              <w:marLeft w:val="0"/>
              <w:marRight w:val="0"/>
              <w:marTop w:val="0"/>
              <w:marBottom w:val="0"/>
              <w:divBdr>
                <w:top w:val="none" w:sz="0" w:space="0" w:color="auto"/>
                <w:left w:val="none" w:sz="0" w:space="0" w:color="auto"/>
                <w:bottom w:val="none" w:sz="0" w:space="0" w:color="auto"/>
                <w:right w:val="none" w:sz="0" w:space="0" w:color="auto"/>
              </w:divBdr>
            </w:div>
          </w:divsChild>
        </w:div>
        <w:div w:id="1839731997">
          <w:marLeft w:val="0"/>
          <w:marRight w:val="0"/>
          <w:marTop w:val="0"/>
          <w:marBottom w:val="0"/>
          <w:divBdr>
            <w:top w:val="none" w:sz="0" w:space="0" w:color="auto"/>
            <w:left w:val="none" w:sz="0" w:space="0" w:color="auto"/>
            <w:bottom w:val="none" w:sz="0" w:space="0" w:color="auto"/>
            <w:right w:val="none" w:sz="0" w:space="0" w:color="auto"/>
          </w:divBdr>
          <w:divsChild>
            <w:div w:id="2147122955">
              <w:marLeft w:val="-75"/>
              <w:marRight w:val="0"/>
              <w:marTop w:val="30"/>
              <w:marBottom w:val="30"/>
              <w:divBdr>
                <w:top w:val="none" w:sz="0" w:space="0" w:color="auto"/>
                <w:left w:val="none" w:sz="0" w:space="0" w:color="auto"/>
                <w:bottom w:val="none" w:sz="0" w:space="0" w:color="auto"/>
                <w:right w:val="none" w:sz="0" w:space="0" w:color="auto"/>
              </w:divBdr>
              <w:divsChild>
                <w:div w:id="111824654">
                  <w:marLeft w:val="0"/>
                  <w:marRight w:val="0"/>
                  <w:marTop w:val="0"/>
                  <w:marBottom w:val="0"/>
                  <w:divBdr>
                    <w:top w:val="none" w:sz="0" w:space="0" w:color="auto"/>
                    <w:left w:val="none" w:sz="0" w:space="0" w:color="auto"/>
                    <w:bottom w:val="none" w:sz="0" w:space="0" w:color="auto"/>
                    <w:right w:val="none" w:sz="0" w:space="0" w:color="auto"/>
                  </w:divBdr>
                  <w:divsChild>
                    <w:div w:id="375590156">
                      <w:marLeft w:val="0"/>
                      <w:marRight w:val="0"/>
                      <w:marTop w:val="0"/>
                      <w:marBottom w:val="0"/>
                      <w:divBdr>
                        <w:top w:val="none" w:sz="0" w:space="0" w:color="auto"/>
                        <w:left w:val="none" w:sz="0" w:space="0" w:color="auto"/>
                        <w:bottom w:val="none" w:sz="0" w:space="0" w:color="auto"/>
                        <w:right w:val="none" w:sz="0" w:space="0" w:color="auto"/>
                      </w:divBdr>
                    </w:div>
                  </w:divsChild>
                </w:div>
                <w:div w:id="157619540">
                  <w:marLeft w:val="0"/>
                  <w:marRight w:val="0"/>
                  <w:marTop w:val="0"/>
                  <w:marBottom w:val="0"/>
                  <w:divBdr>
                    <w:top w:val="none" w:sz="0" w:space="0" w:color="auto"/>
                    <w:left w:val="none" w:sz="0" w:space="0" w:color="auto"/>
                    <w:bottom w:val="none" w:sz="0" w:space="0" w:color="auto"/>
                    <w:right w:val="none" w:sz="0" w:space="0" w:color="auto"/>
                  </w:divBdr>
                  <w:divsChild>
                    <w:div w:id="1293974724">
                      <w:marLeft w:val="0"/>
                      <w:marRight w:val="0"/>
                      <w:marTop w:val="0"/>
                      <w:marBottom w:val="0"/>
                      <w:divBdr>
                        <w:top w:val="none" w:sz="0" w:space="0" w:color="auto"/>
                        <w:left w:val="none" w:sz="0" w:space="0" w:color="auto"/>
                        <w:bottom w:val="none" w:sz="0" w:space="0" w:color="auto"/>
                        <w:right w:val="none" w:sz="0" w:space="0" w:color="auto"/>
                      </w:divBdr>
                    </w:div>
                  </w:divsChild>
                </w:div>
                <w:div w:id="233702739">
                  <w:marLeft w:val="0"/>
                  <w:marRight w:val="0"/>
                  <w:marTop w:val="0"/>
                  <w:marBottom w:val="0"/>
                  <w:divBdr>
                    <w:top w:val="none" w:sz="0" w:space="0" w:color="auto"/>
                    <w:left w:val="none" w:sz="0" w:space="0" w:color="auto"/>
                    <w:bottom w:val="none" w:sz="0" w:space="0" w:color="auto"/>
                    <w:right w:val="none" w:sz="0" w:space="0" w:color="auto"/>
                  </w:divBdr>
                  <w:divsChild>
                    <w:div w:id="1040587638">
                      <w:marLeft w:val="0"/>
                      <w:marRight w:val="0"/>
                      <w:marTop w:val="0"/>
                      <w:marBottom w:val="0"/>
                      <w:divBdr>
                        <w:top w:val="none" w:sz="0" w:space="0" w:color="auto"/>
                        <w:left w:val="none" w:sz="0" w:space="0" w:color="auto"/>
                        <w:bottom w:val="none" w:sz="0" w:space="0" w:color="auto"/>
                        <w:right w:val="none" w:sz="0" w:space="0" w:color="auto"/>
                      </w:divBdr>
                    </w:div>
                  </w:divsChild>
                </w:div>
                <w:div w:id="476189708">
                  <w:marLeft w:val="0"/>
                  <w:marRight w:val="0"/>
                  <w:marTop w:val="0"/>
                  <w:marBottom w:val="0"/>
                  <w:divBdr>
                    <w:top w:val="none" w:sz="0" w:space="0" w:color="auto"/>
                    <w:left w:val="none" w:sz="0" w:space="0" w:color="auto"/>
                    <w:bottom w:val="none" w:sz="0" w:space="0" w:color="auto"/>
                    <w:right w:val="none" w:sz="0" w:space="0" w:color="auto"/>
                  </w:divBdr>
                  <w:divsChild>
                    <w:div w:id="1016007645">
                      <w:marLeft w:val="0"/>
                      <w:marRight w:val="0"/>
                      <w:marTop w:val="0"/>
                      <w:marBottom w:val="0"/>
                      <w:divBdr>
                        <w:top w:val="none" w:sz="0" w:space="0" w:color="auto"/>
                        <w:left w:val="none" w:sz="0" w:space="0" w:color="auto"/>
                        <w:bottom w:val="none" w:sz="0" w:space="0" w:color="auto"/>
                        <w:right w:val="none" w:sz="0" w:space="0" w:color="auto"/>
                      </w:divBdr>
                    </w:div>
                  </w:divsChild>
                </w:div>
                <w:div w:id="489953838">
                  <w:marLeft w:val="0"/>
                  <w:marRight w:val="0"/>
                  <w:marTop w:val="0"/>
                  <w:marBottom w:val="0"/>
                  <w:divBdr>
                    <w:top w:val="none" w:sz="0" w:space="0" w:color="auto"/>
                    <w:left w:val="none" w:sz="0" w:space="0" w:color="auto"/>
                    <w:bottom w:val="none" w:sz="0" w:space="0" w:color="auto"/>
                    <w:right w:val="none" w:sz="0" w:space="0" w:color="auto"/>
                  </w:divBdr>
                  <w:divsChild>
                    <w:div w:id="1481995610">
                      <w:marLeft w:val="0"/>
                      <w:marRight w:val="0"/>
                      <w:marTop w:val="0"/>
                      <w:marBottom w:val="0"/>
                      <w:divBdr>
                        <w:top w:val="none" w:sz="0" w:space="0" w:color="auto"/>
                        <w:left w:val="none" w:sz="0" w:space="0" w:color="auto"/>
                        <w:bottom w:val="none" w:sz="0" w:space="0" w:color="auto"/>
                        <w:right w:val="none" w:sz="0" w:space="0" w:color="auto"/>
                      </w:divBdr>
                    </w:div>
                  </w:divsChild>
                </w:div>
                <w:div w:id="490222272">
                  <w:marLeft w:val="0"/>
                  <w:marRight w:val="0"/>
                  <w:marTop w:val="0"/>
                  <w:marBottom w:val="0"/>
                  <w:divBdr>
                    <w:top w:val="none" w:sz="0" w:space="0" w:color="auto"/>
                    <w:left w:val="none" w:sz="0" w:space="0" w:color="auto"/>
                    <w:bottom w:val="none" w:sz="0" w:space="0" w:color="auto"/>
                    <w:right w:val="none" w:sz="0" w:space="0" w:color="auto"/>
                  </w:divBdr>
                  <w:divsChild>
                    <w:div w:id="1168054107">
                      <w:marLeft w:val="0"/>
                      <w:marRight w:val="0"/>
                      <w:marTop w:val="0"/>
                      <w:marBottom w:val="0"/>
                      <w:divBdr>
                        <w:top w:val="none" w:sz="0" w:space="0" w:color="auto"/>
                        <w:left w:val="none" w:sz="0" w:space="0" w:color="auto"/>
                        <w:bottom w:val="none" w:sz="0" w:space="0" w:color="auto"/>
                        <w:right w:val="none" w:sz="0" w:space="0" w:color="auto"/>
                      </w:divBdr>
                    </w:div>
                  </w:divsChild>
                </w:div>
                <w:div w:id="544801836">
                  <w:marLeft w:val="0"/>
                  <w:marRight w:val="0"/>
                  <w:marTop w:val="0"/>
                  <w:marBottom w:val="0"/>
                  <w:divBdr>
                    <w:top w:val="none" w:sz="0" w:space="0" w:color="auto"/>
                    <w:left w:val="none" w:sz="0" w:space="0" w:color="auto"/>
                    <w:bottom w:val="none" w:sz="0" w:space="0" w:color="auto"/>
                    <w:right w:val="none" w:sz="0" w:space="0" w:color="auto"/>
                  </w:divBdr>
                  <w:divsChild>
                    <w:div w:id="743180476">
                      <w:marLeft w:val="0"/>
                      <w:marRight w:val="0"/>
                      <w:marTop w:val="0"/>
                      <w:marBottom w:val="0"/>
                      <w:divBdr>
                        <w:top w:val="none" w:sz="0" w:space="0" w:color="auto"/>
                        <w:left w:val="none" w:sz="0" w:space="0" w:color="auto"/>
                        <w:bottom w:val="none" w:sz="0" w:space="0" w:color="auto"/>
                        <w:right w:val="none" w:sz="0" w:space="0" w:color="auto"/>
                      </w:divBdr>
                    </w:div>
                  </w:divsChild>
                </w:div>
                <w:div w:id="563831170">
                  <w:marLeft w:val="0"/>
                  <w:marRight w:val="0"/>
                  <w:marTop w:val="0"/>
                  <w:marBottom w:val="0"/>
                  <w:divBdr>
                    <w:top w:val="none" w:sz="0" w:space="0" w:color="auto"/>
                    <w:left w:val="none" w:sz="0" w:space="0" w:color="auto"/>
                    <w:bottom w:val="none" w:sz="0" w:space="0" w:color="auto"/>
                    <w:right w:val="none" w:sz="0" w:space="0" w:color="auto"/>
                  </w:divBdr>
                  <w:divsChild>
                    <w:div w:id="418478256">
                      <w:marLeft w:val="0"/>
                      <w:marRight w:val="0"/>
                      <w:marTop w:val="0"/>
                      <w:marBottom w:val="0"/>
                      <w:divBdr>
                        <w:top w:val="none" w:sz="0" w:space="0" w:color="auto"/>
                        <w:left w:val="none" w:sz="0" w:space="0" w:color="auto"/>
                        <w:bottom w:val="none" w:sz="0" w:space="0" w:color="auto"/>
                        <w:right w:val="none" w:sz="0" w:space="0" w:color="auto"/>
                      </w:divBdr>
                    </w:div>
                  </w:divsChild>
                </w:div>
                <w:div w:id="565263495">
                  <w:marLeft w:val="0"/>
                  <w:marRight w:val="0"/>
                  <w:marTop w:val="0"/>
                  <w:marBottom w:val="0"/>
                  <w:divBdr>
                    <w:top w:val="none" w:sz="0" w:space="0" w:color="auto"/>
                    <w:left w:val="none" w:sz="0" w:space="0" w:color="auto"/>
                    <w:bottom w:val="none" w:sz="0" w:space="0" w:color="auto"/>
                    <w:right w:val="none" w:sz="0" w:space="0" w:color="auto"/>
                  </w:divBdr>
                  <w:divsChild>
                    <w:div w:id="1440447070">
                      <w:marLeft w:val="0"/>
                      <w:marRight w:val="0"/>
                      <w:marTop w:val="0"/>
                      <w:marBottom w:val="0"/>
                      <w:divBdr>
                        <w:top w:val="none" w:sz="0" w:space="0" w:color="auto"/>
                        <w:left w:val="none" w:sz="0" w:space="0" w:color="auto"/>
                        <w:bottom w:val="none" w:sz="0" w:space="0" w:color="auto"/>
                        <w:right w:val="none" w:sz="0" w:space="0" w:color="auto"/>
                      </w:divBdr>
                    </w:div>
                  </w:divsChild>
                </w:div>
                <w:div w:id="589776208">
                  <w:marLeft w:val="0"/>
                  <w:marRight w:val="0"/>
                  <w:marTop w:val="0"/>
                  <w:marBottom w:val="0"/>
                  <w:divBdr>
                    <w:top w:val="none" w:sz="0" w:space="0" w:color="auto"/>
                    <w:left w:val="none" w:sz="0" w:space="0" w:color="auto"/>
                    <w:bottom w:val="none" w:sz="0" w:space="0" w:color="auto"/>
                    <w:right w:val="none" w:sz="0" w:space="0" w:color="auto"/>
                  </w:divBdr>
                  <w:divsChild>
                    <w:div w:id="956376187">
                      <w:marLeft w:val="0"/>
                      <w:marRight w:val="0"/>
                      <w:marTop w:val="0"/>
                      <w:marBottom w:val="0"/>
                      <w:divBdr>
                        <w:top w:val="none" w:sz="0" w:space="0" w:color="auto"/>
                        <w:left w:val="none" w:sz="0" w:space="0" w:color="auto"/>
                        <w:bottom w:val="none" w:sz="0" w:space="0" w:color="auto"/>
                        <w:right w:val="none" w:sz="0" w:space="0" w:color="auto"/>
                      </w:divBdr>
                    </w:div>
                  </w:divsChild>
                </w:div>
                <w:div w:id="664630245">
                  <w:marLeft w:val="0"/>
                  <w:marRight w:val="0"/>
                  <w:marTop w:val="0"/>
                  <w:marBottom w:val="0"/>
                  <w:divBdr>
                    <w:top w:val="none" w:sz="0" w:space="0" w:color="auto"/>
                    <w:left w:val="none" w:sz="0" w:space="0" w:color="auto"/>
                    <w:bottom w:val="none" w:sz="0" w:space="0" w:color="auto"/>
                    <w:right w:val="none" w:sz="0" w:space="0" w:color="auto"/>
                  </w:divBdr>
                  <w:divsChild>
                    <w:div w:id="1703825862">
                      <w:marLeft w:val="0"/>
                      <w:marRight w:val="0"/>
                      <w:marTop w:val="0"/>
                      <w:marBottom w:val="0"/>
                      <w:divBdr>
                        <w:top w:val="none" w:sz="0" w:space="0" w:color="auto"/>
                        <w:left w:val="none" w:sz="0" w:space="0" w:color="auto"/>
                        <w:bottom w:val="none" w:sz="0" w:space="0" w:color="auto"/>
                        <w:right w:val="none" w:sz="0" w:space="0" w:color="auto"/>
                      </w:divBdr>
                    </w:div>
                  </w:divsChild>
                </w:div>
                <w:div w:id="774789992">
                  <w:marLeft w:val="0"/>
                  <w:marRight w:val="0"/>
                  <w:marTop w:val="0"/>
                  <w:marBottom w:val="0"/>
                  <w:divBdr>
                    <w:top w:val="none" w:sz="0" w:space="0" w:color="auto"/>
                    <w:left w:val="none" w:sz="0" w:space="0" w:color="auto"/>
                    <w:bottom w:val="none" w:sz="0" w:space="0" w:color="auto"/>
                    <w:right w:val="none" w:sz="0" w:space="0" w:color="auto"/>
                  </w:divBdr>
                  <w:divsChild>
                    <w:div w:id="1551452546">
                      <w:marLeft w:val="0"/>
                      <w:marRight w:val="0"/>
                      <w:marTop w:val="0"/>
                      <w:marBottom w:val="0"/>
                      <w:divBdr>
                        <w:top w:val="none" w:sz="0" w:space="0" w:color="auto"/>
                        <w:left w:val="none" w:sz="0" w:space="0" w:color="auto"/>
                        <w:bottom w:val="none" w:sz="0" w:space="0" w:color="auto"/>
                        <w:right w:val="none" w:sz="0" w:space="0" w:color="auto"/>
                      </w:divBdr>
                    </w:div>
                  </w:divsChild>
                </w:div>
                <w:div w:id="782114453">
                  <w:marLeft w:val="0"/>
                  <w:marRight w:val="0"/>
                  <w:marTop w:val="0"/>
                  <w:marBottom w:val="0"/>
                  <w:divBdr>
                    <w:top w:val="none" w:sz="0" w:space="0" w:color="auto"/>
                    <w:left w:val="none" w:sz="0" w:space="0" w:color="auto"/>
                    <w:bottom w:val="none" w:sz="0" w:space="0" w:color="auto"/>
                    <w:right w:val="none" w:sz="0" w:space="0" w:color="auto"/>
                  </w:divBdr>
                  <w:divsChild>
                    <w:div w:id="1083644681">
                      <w:marLeft w:val="0"/>
                      <w:marRight w:val="0"/>
                      <w:marTop w:val="0"/>
                      <w:marBottom w:val="0"/>
                      <w:divBdr>
                        <w:top w:val="none" w:sz="0" w:space="0" w:color="auto"/>
                        <w:left w:val="none" w:sz="0" w:space="0" w:color="auto"/>
                        <w:bottom w:val="none" w:sz="0" w:space="0" w:color="auto"/>
                        <w:right w:val="none" w:sz="0" w:space="0" w:color="auto"/>
                      </w:divBdr>
                    </w:div>
                  </w:divsChild>
                </w:div>
                <w:div w:id="980495785">
                  <w:marLeft w:val="0"/>
                  <w:marRight w:val="0"/>
                  <w:marTop w:val="0"/>
                  <w:marBottom w:val="0"/>
                  <w:divBdr>
                    <w:top w:val="none" w:sz="0" w:space="0" w:color="auto"/>
                    <w:left w:val="none" w:sz="0" w:space="0" w:color="auto"/>
                    <w:bottom w:val="none" w:sz="0" w:space="0" w:color="auto"/>
                    <w:right w:val="none" w:sz="0" w:space="0" w:color="auto"/>
                  </w:divBdr>
                  <w:divsChild>
                    <w:div w:id="495263918">
                      <w:marLeft w:val="0"/>
                      <w:marRight w:val="0"/>
                      <w:marTop w:val="0"/>
                      <w:marBottom w:val="0"/>
                      <w:divBdr>
                        <w:top w:val="none" w:sz="0" w:space="0" w:color="auto"/>
                        <w:left w:val="none" w:sz="0" w:space="0" w:color="auto"/>
                        <w:bottom w:val="none" w:sz="0" w:space="0" w:color="auto"/>
                        <w:right w:val="none" w:sz="0" w:space="0" w:color="auto"/>
                      </w:divBdr>
                    </w:div>
                  </w:divsChild>
                </w:div>
                <w:div w:id="1059790196">
                  <w:marLeft w:val="0"/>
                  <w:marRight w:val="0"/>
                  <w:marTop w:val="0"/>
                  <w:marBottom w:val="0"/>
                  <w:divBdr>
                    <w:top w:val="none" w:sz="0" w:space="0" w:color="auto"/>
                    <w:left w:val="none" w:sz="0" w:space="0" w:color="auto"/>
                    <w:bottom w:val="none" w:sz="0" w:space="0" w:color="auto"/>
                    <w:right w:val="none" w:sz="0" w:space="0" w:color="auto"/>
                  </w:divBdr>
                  <w:divsChild>
                    <w:div w:id="815033607">
                      <w:marLeft w:val="0"/>
                      <w:marRight w:val="0"/>
                      <w:marTop w:val="0"/>
                      <w:marBottom w:val="0"/>
                      <w:divBdr>
                        <w:top w:val="none" w:sz="0" w:space="0" w:color="auto"/>
                        <w:left w:val="none" w:sz="0" w:space="0" w:color="auto"/>
                        <w:bottom w:val="none" w:sz="0" w:space="0" w:color="auto"/>
                        <w:right w:val="none" w:sz="0" w:space="0" w:color="auto"/>
                      </w:divBdr>
                    </w:div>
                  </w:divsChild>
                </w:div>
                <w:div w:id="1062364533">
                  <w:marLeft w:val="0"/>
                  <w:marRight w:val="0"/>
                  <w:marTop w:val="0"/>
                  <w:marBottom w:val="0"/>
                  <w:divBdr>
                    <w:top w:val="none" w:sz="0" w:space="0" w:color="auto"/>
                    <w:left w:val="none" w:sz="0" w:space="0" w:color="auto"/>
                    <w:bottom w:val="none" w:sz="0" w:space="0" w:color="auto"/>
                    <w:right w:val="none" w:sz="0" w:space="0" w:color="auto"/>
                  </w:divBdr>
                  <w:divsChild>
                    <w:div w:id="304700137">
                      <w:marLeft w:val="0"/>
                      <w:marRight w:val="0"/>
                      <w:marTop w:val="0"/>
                      <w:marBottom w:val="0"/>
                      <w:divBdr>
                        <w:top w:val="none" w:sz="0" w:space="0" w:color="auto"/>
                        <w:left w:val="none" w:sz="0" w:space="0" w:color="auto"/>
                        <w:bottom w:val="none" w:sz="0" w:space="0" w:color="auto"/>
                        <w:right w:val="none" w:sz="0" w:space="0" w:color="auto"/>
                      </w:divBdr>
                    </w:div>
                  </w:divsChild>
                </w:div>
                <w:div w:id="1086732947">
                  <w:marLeft w:val="0"/>
                  <w:marRight w:val="0"/>
                  <w:marTop w:val="0"/>
                  <w:marBottom w:val="0"/>
                  <w:divBdr>
                    <w:top w:val="none" w:sz="0" w:space="0" w:color="auto"/>
                    <w:left w:val="none" w:sz="0" w:space="0" w:color="auto"/>
                    <w:bottom w:val="none" w:sz="0" w:space="0" w:color="auto"/>
                    <w:right w:val="none" w:sz="0" w:space="0" w:color="auto"/>
                  </w:divBdr>
                  <w:divsChild>
                    <w:div w:id="569510257">
                      <w:marLeft w:val="0"/>
                      <w:marRight w:val="0"/>
                      <w:marTop w:val="0"/>
                      <w:marBottom w:val="0"/>
                      <w:divBdr>
                        <w:top w:val="none" w:sz="0" w:space="0" w:color="auto"/>
                        <w:left w:val="none" w:sz="0" w:space="0" w:color="auto"/>
                        <w:bottom w:val="none" w:sz="0" w:space="0" w:color="auto"/>
                        <w:right w:val="none" w:sz="0" w:space="0" w:color="auto"/>
                      </w:divBdr>
                    </w:div>
                  </w:divsChild>
                </w:div>
                <w:div w:id="1088044775">
                  <w:marLeft w:val="0"/>
                  <w:marRight w:val="0"/>
                  <w:marTop w:val="0"/>
                  <w:marBottom w:val="0"/>
                  <w:divBdr>
                    <w:top w:val="none" w:sz="0" w:space="0" w:color="auto"/>
                    <w:left w:val="none" w:sz="0" w:space="0" w:color="auto"/>
                    <w:bottom w:val="none" w:sz="0" w:space="0" w:color="auto"/>
                    <w:right w:val="none" w:sz="0" w:space="0" w:color="auto"/>
                  </w:divBdr>
                  <w:divsChild>
                    <w:div w:id="170998756">
                      <w:marLeft w:val="0"/>
                      <w:marRight w:val="0"/>
                      <w:marTop w:val="0"/>
                      <w:marBottom w:val="0"/>
                      <w:divBdr>
                        <w:top w:val="none" w:sz="0" w:space="0" w:color="auto"/>
                        <w:left w:val="none" w:sz="0" w:space="0" w:color="auto"/>
                        <w:bottom w:val="none" w:sz="0" w:space="0" w:color="auto"/>
                        <w:right w:val="none" w:sz="0" w:space="0" w:color="auto"/>
                      </w:divBdr>
                    </w:div>
                  </w:divsChild>
                </w:div>
                <w:div w:id="1108432601">
                  <w:marLeft w:val="0"/>
                  <w:marRight w:val="0"/>
                  <w:marTop w:val="0"/>
                  <w:marBottom w:val="0"/>
                  <w:divBdr>
                    <w:top w:val="none" w:sz="0" w:space="0" w:color="auto"/>
                    <w:left w:val="none" w:sz="0" w:space="0" w:color="auto"/>
                    <w:bottom w:val="none" w:sz="0" w:space="0" w:color="auto"/>
                    <w:right w:val="none" w:sz="0" w:space="0" w:color="auto"/>
                  </w:divBdr>
                  <w:divsChild>
                    <w:div w:id="1587492826">
                      <w:marLeft w:val="0"/>
                      <w:marRight w:val="0"/>
                      <w:marTop w:val="0"/>
                      <w:marBottom w:val="0"/>
                      <w:divBdr>
                        <w:top w:val="none" w:sz="0" w:space="0" w:color="auto"/>
                        <w:left w:val="none" w:sz="0" w:space="0" w:color="auto"/>
                        <w:bottom w:val="none" w:sz="0" w:space="0" w:color="auto"/>
                        <w:right w:val="none" w:sz="0" w:space="0" w:color="auto"/>
                      </w:divBdr>
                    </w:div>
                  </w:divsChild>
                </w:div>
                <w:div w:id="1159808370">
                  <w:marLeft w:val="0"/>
                  <w:marRight w:val="0"/>
                  <w:marTop w:val="0"/>
                  <w:marBottom w:val="0"/>
                  <w:divBdr>
                    <w:top w:val="none" w:sz="0" w:space="0" w:color="auto"/>
                    <w:left w:val="none" w:sz="0" w:space="0" w:color="auto"/>
                    <w:bottom w:val="none" w:sz="0" w:space="0" w:color="auto"/>
                    <w:right w:val="none" w:sz="0" w:space="0" w:color="auto"/>
                  </w:divBdr>
                  <w:divsChild>
                    <w:div w:id="1221094366">
                      <w:marLeft w:val="0"/>
                      <w:marRight w:val="0"/>
                      <w:marTop w:val="0"/>
                      <w:marBottom w:val="0"/>
                      <w:divBdr>
                        <w:top w:val="none" w:sz="0" w:space="0" w:color="auto"/>
                        <w:left w:val="none" w:sz="0" w:space="0" w:color="auto"/>
                        <w:bottom w:val="none" w:sz="0" w:space="0" w:color="auto"/>
                        <w:right w:val="none" w:sz="0" w:space="0" w:color="auto"/>
                      </w:divBdr>
                    </w:div>
                  </w:divsChild>
                </w:div>
                <w:div w:id="1171792915">
                  <w:marLeft w:val="0"/>
                  <w:marRight w:val="0"/>
                  <w:marTop w:val="0"/>
                  <w:marBottom w:val="0"/>
                  <w:divBdr>
                    <w:top w:val="none" w:sz="0" w:space="0" w:color="auto"/>
                    <w:left w:val="none" w:sz="0" w:space="0" w:color="auto"/>
                    <w:bottom w:val="none" w:sz="0" w:space="0" w:color="auto"/>
                    <w:right w:val="none" w:sz="0" w:space="0" w:color="auto"/>
                  </w:divBdr>
                  <w:divsChild>
                    <w:div w:id="605846902">
                      <w:marLeft w:val="0"/>
                      <w:marRight w:val="0"/>
                      <w:marTop w:val="0"/>
                      <w:marBottom w:val="0"/>
                      <w:divBdr>
                        <w:top w:val="none" w:sz="0" w:space="0" w:color="auto"/>
                        <w:left w:val="none" w:sz="0" w:space="0" w:color="auto"/>
                        <w:bottom w:val="none" w:sz="0" w:space="0" w:color="auto"/>
                        <w:right w:val="none" w:sz="0" w:space="0" w:color="auto"/>
                      </w:divBdr>
                    </w:div>
                  </w:divsChild>
                </w:div>
                <w:div w:id="1218392586">
                  <w:marLeft w:val="0"/>
                  <w:marRight w:val="0"/>
                  <w:marTop w:val="0"/>
                  <w:marBottom w:val="0"/>
                  <w:divBdr>
                    <w:top w:val="none" w:sz="0" w:space="0" w:color="auto"/>
                    <w:left w:val="none" w:sz="0" w:space="0" w:color="auto"/>
                    <w:bottom w:val="none" w:sz="0" w:space="0" w:color="auto"/>
                    <w:right w:val="none" w:sz="0" w:space="0" w:color="auto"/>
                  </w:divBdr>
                  <w:divsChild>
                    <w:div w:id="1003894272">
                      <w:marLeft w:val="0"/>
                      <w:marRight w:val="0"/>
                      <w:marTop w:val="0"/>
                      <w:marBottom w:val="0"/>
                      <w:divBdr>
                        <w:top w:val="none" w:sz="0" w:space="0" w:color="auto"/>
                        <w:left w:val="none" w:sz="0" w:space="0" w:color="auto"/>
                        <w:bottom w:val="none" w:sz="0" w:space="0" w:color="auto"/>
                        <w:right w:val="none" w:sz="0" w:space="0" w:color="auto"/>
                      </w:divBdr>
                    </w:div>
                  </w:divsChild>
                </w:div>
                <w:div w:id="1237399711">
                  <w:marLeft w:val="0"/>
                  <w:marRight w:val="0"/>
                  <w:marTop w:val="0"/>
                  <w:marBottom w:val="0"/>
                  <w:divBdr>
                    <w:top w:val="none" w:sz="0" w:space="0" w:color="auto"/>
                    <w:left w:val="none" w:sz="0" w:space="0" w:color="auto"/>
                    <w:bottom w:val="none" w:sz="0" w:space="0" w:color="auto"/>
                    <w:right w:val="none" w:sz="0" w:space="0" w:color="auto"/>
                  </w:divBdr>
                  <w:divsChild>
                    <w:div w:id="1810854134">
                      <w:marLeft w:val="0"/>
                      <w:marRight w:val="0"/>
                      <w:marTop w:val="0"/>
                      <w:marBottom w:val="0"/>
                      <w:divBdr>
                        <w:top w:val="none" w:sz="0" w:space="0" w:color="auto"/>
                        <w:left w:val="none" w:sz="0" w:space="0" w:color="auto"/>
                        <w:bottom w:val="none" w:sz="0" w:space="0" w:color="auto"/>
                        <w:right w:val="none" w:sz="0" w:space="0" w:color="auto"/>
                      </w:divBdr>
                    </w:div>
                  </w:divsChild>
                </w:div>
                <w:div w:id="1509060437">
                  <w:marLeft w:val="0"/>
                  <w:marRight w:val="0"/>
                  <w:marTop w:val="0"/>
                  <w:marBottom w:val="0"/>
                  <w:divBdr>
                    <w:top w:val="none" w:sz="0" w:space="0" w:color="auto"/>
                    <w:left w:val="none" w:sz="0" w:space="0" w:color="auto"/>
                    <w:bottom w:val="none" w:sz="0" w:space="0" w:color="auto"/>
                    <w:right w:val="none" w:sz="0" w:space="0" w:color="auto"/>
                  </w:divBdr>
                  <w:divsChild>
                    <w:div w:id="1295139373">
                      <w:marLeft w:val="0"/>
                      <w:marRight w:val="0"/>
                      <w:marTop w:val="0"/>
                      <w:marBottom w:val="0"/>
                      <w:divBdr>
                        <w:top w:val="none" w:sz="0" w:space="0" w:color="auto"/>
                        <w:left w:val="none" w:sz="0" w:space="0" w:color="auto"/>
                        <w:bottom w:val="none" w:sz="0" w:space="0" w:color="auto"/>
                        <w:right w:val="none" w:sz="0" w:space="0" w:color="auto"/>
                      </w:divBdr>
                    </w:div>
                  </w:divsChild>
                </w:div>
                <w:div w:id="1648314906">
                  <w:marLeft w:val="0"/>
                  <w:marRight w:val="0"/>
                  <w:marTop w:val="0"/>
                  <w:marBottom w:val="0"/>
                  <w:divBdr>
                    <w:top w:val="none" w:sz="0" w:space="0" w:color="auto"/>
                    <w:left w:val="none" w:sz="0" w:space="0" w:color="auto"/>
                    <w:bottom w:val="none" w:sz="0" w:space="0" w:color="auto"/>
                    <w:right w:val="none" w:sz="0" w:space="0" w:color="auto"/>
                  </w:divBdr>
                  <w:divsChild>
                    <w:div w:id="730540881">
                      <w:marLeft w:val="0"/>
                      <w:marRight w:val="0"/>
                      <w:marTop w:val="0"/>
                      <w:marBottom w:val="0"/>
                      <w:divBdr>
                        <w:top w:val="none" w:sz="0" w:space="0" w:color="auto"/>
                        <w:left w:val="none" w:sz="0" w:space="0" w:color="auto"/>
                        <w:bottom w:val="none" w:sz="0" w:space="0" w:color="auto"/>
                        <w:right w:val="none" w:sz="0" w:space="0" w:color="auto"/>
                      </w:divBdr>
                    </w:div>
                  </w:divsChild>
                </w:div>
                <w:div w:id="1655141401">
                  <w:marLeft w:val="0"/>
                  <w:marRight w:val="0"/>
                  <w:marTop w:val="0"/>
                  <w:marBottom w:val="0"/>
                  <w:divBdr>
                    <w:top w:val="none" w:sz="0" w:space="0" w:color="auto"/>
                    <w:left w:val="none" w:sz="0" w:space="0" w:color="auto"/>
                    <w:bottom w:val="none" w:sz="0" w:space="0" w:color="auto"/>
                    <w:right w:val="none" w:sz="0" w:space="0" w:color="auto"/>
                  </w:divBdr>
                  <w:divsChild>
                    <w:div w:id="989752680">
                      <w:marLeft w:val="0"/>
                      <w:marRight w:val="0"/>
                      <w:marTop w:val="0"/>
                      <w:marBottom w:val="0"/>
                      <w:divBdr>
                        <w:top w:val="none" w:sz="0" w:space="0" w:color="auto"/>
                        <w:left w:val="none" w:sz="0" w:space="0" w:color="auto"/>
                        <w:bottom w:val="none" w:sz="0" w:space="0" w:color="auto"/>
                        <w:right w:val="none" w:sz="0" w:space="0" w:color="auto"/>
                      </w:divBdr>
                    </w:div>
                  </w:divsChild>
                </w:div>
                <w:div w:id="1730033292">
                  <w:marLeft w:val="0"/>
                  <w:marRight w:val="0"/>
                  <w:marTop w:val="0"/>
                  <w:marBottom w:val="0"/>
                  <w:divBdr>
                    <w:top w:val="none" w:sz="0" w:space="0" w:color="auto"/>
                    <w:left w:val="none" w:sz="0" w:space="0" w:color="auto"/>
                    <w:bottom w:val="none" w:sz="0" w:space="0" w:color="auto"/>
                    <w:right w:val="none" w:sz="0" w:space="0" w:color="auto"/>
                  </w:divBdr>
                  <w:divsChild>
                    <w:div w:id="1786076332">
                      <w:marLeft w:val="0"/>
                      <w:marRight w:val="0"/>
                      <w:marTop w:val="0"/>
                      <w:marBottom w:val="0"/>
                      <w:divBdr>
                        <w:top w:val="none" w:sz="0" w:space="0" w:color="auto"/>
                        <w:left w:val="none" w:sz="0" w:space="0" w:color="auto"/>
                        <w:bottom w:val="none" w:sz="0" w:space="0" w:color="auto"/>
                        <w:right w:val="none" w:sz="0" w:space="0" w:color="auto"/>
                      </w:divBdr>
                    </w:div>
                  </w:divsChild>
                </w:div>
                <w:div w:id="1747190138">
                  <w:marLeft w:val="0"/>
                  <w:marRight w:val="0"/>
                  <w:marTop w:val="0"/>
                  <w:marBottom w:val="0"/>
                  <w:divBdr>
                    <w:top w:val="none" w:sz="0" w:space="0" w:color="auto"/>
                    <w:left w:val="none" w:sz="0" w:space="0" w:color="auto"/>
                    <w:bottom w:val="none" w:sz="0" w:space="0" w:color="auto"/>
                    <w:right w:val="none" w:sz="0" w:space="0" w:color="auto"/>
                  </w:divBdr>
                  <w:divsChild>
                    <w:div w:id="553389727">
                      <w:marLeft w:val="0"/>
                      <w:marRight w:val="0"/>
                      <w:marTop w:val="0"/>
                      <w:marBottom w:val="0"/>
                      <w:divBdr>
                        <w:top w:val="none" w:sz="0" w:space="0" w:color="auto"/>
                        <w:left w:val="none" w:sz="0" w:space="0" w:color="auto"/>
                        <w:bottom w:val="none" w:sz="0" w:space="0" w:color="auto"/>
                        <w:right w:val="none" w:sz="0" w:space="0" w:color="auto"/>
                      </w:divBdr>
                    </w:div>
                  </w:divsChild>
                </w:div>
                <w:div w:id="1842771531">
                  <w:marLeft w:val="0"/>
                  <w:marRight w:val="0"/>
                  <w:marTop w:val="0"/>
                  <w:marBottom w:val="0"/>
                  <w:divBdr>
                    <w:top w:val="none" w:sz="0" w:space="0" w:color="auto"/>
                    <w:left w:val="none" w:sz="0" w:space="0" w:color="auto"/>
                    <w:bottom w:val="none" w:sz="0" w:space="0" w:color="auto"/>
                    <w:right w:val="none" w:sz="0" w:space="0" w:color="auto"/>
                  </w:divBdr>
                  <w:divsChild>
                    <w:div w:id="2101366669">
                      <w:marLeft w:val="0"/>
                      <w:marRight w:val="0"/>
                      <w:marTop w:val="0"/>
                      <w:marBottom w:val="0"/>
                      <w:divBdr>
                        <w:top w:val="none" w:sz="0" w:space="0" w:color="auto"/>
                        <w:left w:val="none" w:sz="0" w:space="0" w:color="auto"/>
                        <w:bottom w:val="none" w:sz="0" w:space="0" w:color="auto"/>
                        <w:right w:val="none" w:sz="0" w:space="0" w:color="auto"/>
                      </w:divBdr>
                    </w:div>
                  </w:divsChild>
                </w:div>
                <w:div w:id="1855266631">
                  <w:marLeft w:val="0"/>
                  <w:marRight w:val="0"/>
                  <w:marTop w:val="0"/>
                  <w:marBottom w:val="0"/>
                  <w:divBdr>
                    <w:top w:val="none" w:sz="0" w:space="0" w:color="auto"/>
                    <w:left w:val="none" w:sz="0" w:space="0" w:color="auto"/>
                    <w:bottom w:val="none" w:sz="0" w:space="0" w:color="auto"/>
                    <w:right w:val="none" w:sz="0" w:space="0" w:color="auto"/>
                  </w:divBdr>
                  <w:divsChild>
                    <w:div w:id="871724050">
                      <w:marLeft w:val="0"/>
                      <w:marRight w:val="0"/>
                      <w:marTop w:val="0"/>
                      <w:marBottom w:val="0"/>
                      <w:divBdr>
                        <w:top w:val="none" w:sz="0" w:space="0" w:color="auto"/>
                        <w:left w:val="none" w:sz="0" w:space="0" w:color="auto"/>
                        <w:bottom w:val="none" w:sz="0" w:space="0" w:color="auto"/>
                        <w:right w:val="none" w:sz="0" w:space="0" w:color="auto"/>
                      </w:divBdr>
                    </w:div>
                  </w:divsChild>
                </w:div>
                <w:div w:id="1985348855">
                  <w:marLeft w:val="0"/>
                  <w:marRight w:val="0"/>
                  <w:marTop w:val="0"/>
                  <w:marBottom w:val="0"/>
                  <w:divBdr>
                    <w:top w:val="none" w:sz="0" w:space="0" w:color="auto"/>
                    <w:left w:val="none" w:sz="0" w:space="0" w:color="auto"/>
                    <w:bottom w:val="none" w:sz="0" w:space="0" w:color="auto"/>
                    <w:right w:val="none" w:sz="0" w:space="0" w:color="auto"/>
                  </w:divBdr>
                  <w:divsChild>
                    <w:div w:id="1234200199">
                      <w:marLeft w:val="0"/>
                      <w:marRight w:val="0"/>
                      <w:marTop w:val="0"/>
                      <w:marBottom w:val="0"/>
                      <w:divBdr>
                        <w:top w:val="none" w:sz="0" w:space="0" w:color="auto"/>
                        <w:left w:val="none" w:sz="0" w:space="0" w:color="auto"/>
                        <w:bottom w:val="none" w:sz="0" w:space="0" w:color="auto"/>
                        <w:right w:val="none" w:sz="0" w:space="0" w:color="auto"/>
                      </w:divBdr>
                    </w:div>
                  </w:divsChild>
                </w:div>
                <w:div w:id="1999921223">
                  <w:marLeft w:val="0"/>
                  <w:marRight w:val="0"/>
                  <w:marTop w:val="0"/>
                  <w:marBottom w:val="0"/>
                  <w:divBdr>
                    <w:top w:val="none" w:sz="0" w:space="0" w:color="auto"/>
                    <w:left w:val="none" w:sz="0" w:space="0" w:color="auto"/>
                    <w:bottom w:val="none" w:sz="0" w:space="0" w:color="auto"/>
                    <w:right w:val="none" w:sz="0" w:space="0" w:color="auto"/>
                  </w:divBdr>
                  <w:divsChild>
                    <w:div w:id="21471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04355">
          <w:marLeft w:val="0"/>
          <w:marRight w:val="0"/>
          <w:marTop w:val="0"/>
          <w:marBottom w:val="0"/>
          <w:divBdr>
            <w:top w:val="none" w:sz="0" w:space="0" w:color="auto"/>
            <w:left w:val="none" w:sz="0" w:space="0" w:color="auto"/>
            <w:bottom w:val="none" w:sz="0" w:space="0" w:color="auto"/>
            <w:right w:val="none" w:sz="0" w:space="0" w:color="auto"/>
          </w:divBdr>
          <w:divsChild>
            <w:div w:id="1216545705">
              <w:marLeft w:val="0"/>
              <w:marRight w:val="0"/>
              <w:marTop w:val="0"/>
              <w:marBottom w:val="0"/>
              <w:divBdr>
                <w:top w:val="none" w:sz="0" w:space="0" w:color="auto"/>
                <w:left w:val="none" w:sz="0" w:space="0" w:color="auto"/>
                <w:bottom w:val="none" w:sz="0" w:space="0" w:color="auto"/>
                <w:right w:val="none" w:sz="0" w:space="0" w:color="auto"/>
              </w:divBdr>
            </w:div>
          </w:divsChild>
        </w:div>
        <w:div w:id="1927492412">
          <w:marLeft w:val="0"/>
          <w:marRight w:val="0"/>
          <w:marTop w:val="0"/>
          <w:marBottom w:val="0"/>
          <w:divBdr>
            <w:top w:val="none" w:sz="0" w:space="0" w:color="auto"/>
            <w:left w:val="none" w:sz="0" w:space="0" w:color="auto"/>
            <w:bottom w:val="none" w:sz="0" w:space="0" w:color="auto"/>
            <w:right w:val="none" w:sz="0" w:space="0" w:color="auto"/>
          </w:divBdr>
          <w:divsChild>
            <w:div w:id="1658224452">
              <w:marLeft w:val="0"/>
              <w:marRight w:val="0"/>
              <w:marTop w:val="0"/>
              <w:marBottom w:val="0"/>
              <w:divBdr>
                <w:top w:val="none" w:sz="0" w:space="0" w:color="auto"/>
                <w:left w:val="none" w:sz="0" w:space="0" w:color="auto"/>
                <w:bottom w:val="none" w:sz="0" w:space="0" w:color="auto"/>
                <w:right w:val="none" w:sz="0" w:space="0" w:color="auto"/>
              </w:divBdr>
            </w:div>
          </w:divsChild>
        </w:div>
        <w:div w:id="1997027218">
          <w:marLeft w:val="0"/>
          <w:marRight w:val="0"/>
          <w:marTop w:val="0"/>
          <w:marBottom w:val="0"/>
          <w:divBdr>
            <w:top w:val="none" w:sz="0" w:space="0" w:color="auto"/>
            <w:left w:val="none" w:sz="0" w:space="0" w:color="auto"/>
            <w:bottom w:val="none" w:sz="0" w:space="0" w:color="auto"/>
            <w:right w:val="none" w:sz="0" w:space="0" w:color="auto"/>
          </w:divBdr>
          <w:divsChild>
            <w:div w:id="635989790">
              <w:marLeft w:val="0"/>
              <w:marRight w:val="0"/>
              <w:marTop w:val="0"/>
              <w:marBottom w:val="0"/>
              <w:divBdr>
                <w:top w:val="none" w:sz="0" w:space="0" w:color="auto"/>
                <w:left w:val="none" w:sz="0" w:space="0" w:color="auto"/>
                <w:bottom w:val="none" w:sz="0" w:space="0" w:color="auto"/>
                <w:right w:val="none" w:sz="0" w:space="0" w:color="auto"/>
              </w:divBdr>
            </w:div>
          </w:divsChild>
        </w:div>
        <w:div w:id="2041972405">
          <w:marLeft w:val="0"/>
          <w:marRight w:val="0"/>
          <w:marTop w:val="0"/>
          <w:marBottom w:val="0"/>
          <w:divBdr>
            <w:top w:val="none" w:sz="0" w:space="0" w:color="auto"/>
            <w:left w:val="none" w:sz="0" w:space="0" w:color="auto"/>
            <w:bottom w:val="none" w:sz="0" w:space="0" w:color="auto"/>
            <w:right w:val="none" w:sz="0" w:space="0" w:color="auto"/>
          </w:divBdr>
          <w:divsChild>
            <w:div w:id="351034044">
              <w:marLeft w:val="0"/>
              <w:marRight w:val="0"/>
              <w:marTop w:val="0"/>
              <w:marBottom w:val="0"/>
              <w:divBdr>
                <w:top w:val="none" w:sz="0" w:space="0" w:color="auto"/>
                <w:left w:val="none" w:sz="0" w:space="0" w:color="auto"/>
                <w:bottom w:val="none" w:sz="0" w:space="0" w:color="auto"/>
                <w:right w:val="none" w:sz="0" w:space="0" w:color="auto"/>
              </w:divBdr>
            </w:div>
          </w:divsChild>
        </w:div>
        <w:div w:id="2046368089">
          <w:marLeft w:val="0"/>
          <w:marRight w:val="0"/>
          <w:marTop w:val="0"/>
          <w:marBottom w:val="0"/>
          <w:divBdr>
            <w:top w:val="none" w:sz="0" w:space="0" w:color="auto"/>
            <w:left w:val="none" w:sz="0" w:space="0" w:color="auto"/>
            <w:bottom w:val="none" w:sz="0" w:space="0" w:color="auto"/>
            <w:right w:val="none" w:sz="0" w:space="0" w:color="auto"/>
          </w:divBdr>
          <w:divsChild>
            <w:div w:id="18291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12762">
      <w:bodyDiv w:val="1"/>
      <w:marLeft w:val="0"/>
      <w:marRight w:val="0"/>
      <w:marTop w:val="0"/>
      <w:marBottom w:val="0"/>
      <w:divBdr>
        <w:top w:val="none" w:sz="0" w:space="0" w:color="auto"/>
        <w:left w:val="none" w:sz="0" w:space="0" w:color="auto"/>
        <w:bottom w:val="none" w:sz="0" w:space="0" w:color="auto"/>
        <w:right w:val="none" w:sz="0" w:space="0" w:color="auto"/>
      </w:divBdr>
    </w:div>
    <w:div w:id="1872377368">
      <w:bodyDiv w:val="1"/>
      <w:marLeft w:val="0"/>
      <w:marRight w:val="0"/>
      <w:marTop w:val="0"/>
      <w:marBottom w:val="0"/>
      <w:divBdr>
        <w:top w:val="none" w:sz="0" w:space="0" w:color="auto"/>
        <w:left w:val="none" w:sz="0" w:space="0" w:color="auto"/>
        <w:bottom w:val="none" w:sz="0" w:space="0" w:color="auto"/>
        <w:right w:val="none" w:sz="0" w:space="0" w:color="auto"/>
      </w:divBdr>
    </w:div>
    <w:div w:id="1905138354">
      <w:bodyDiv w:val="1"/>
      <w:marLeft w:val="0"/>
      <w:marRight w:val="0"/>
      <w:marTop w:val="0"/>
      <w:marBottom w:val="0"/>
      <w:divBdr>
        <w:top w:val="none" w:sz="0" w:space="0" w:color="auto"/>
        <w:left w:val="none" w:sz="0" w:space="0" w:color="auto"/>
        <w:bottom w:val="none" w:sz="0" w:space="0" w:color="auto"/>
        <w:right w:val="none" w:sz="0" w:space="0" w:color="auto"/>
      </w:divBdr>
    </w:div>
    <w:div w:id="1968974847">
      <w:bodyDiv w:val="1"/>
      <w:marLeft w:val="0"/>
      <w:marRight w:val="0"/>
      <w:marTop w:val="0"/>
      <w:marBottom w:val="0"/>
      <w:divBdr>
        <w:top w:val="none" w:sz="0" w:space="0" w:color="auto"/>
        <w:left w:val="none" w:sz="0" w:space="0" w:color="auto"/>
        <w:bottom w:val="none" w:sz="0" w:space="0" w:color="auto"/>
        <w:right w:val="none" w:sz="0" w:space="0" w:color="auto"/>
      </w:divBdr>
      <w:divsChild>
        <w:div w:id="576986077">
          <w:marLeft w:val="0"/>
          <w:marRight w:val="0"/>
          <w:marTop w:val="0"/>
          <w:marBottom w:val="0"/>
          <w:divBdr>
            <w:top w:val="none" w:sz="0" w:space="0" w:color="auto"/>
            <w:left w:val="none" w:sz="0" w:space="0" w:color="auto"/>
            <w:bottom w:val="none" w:sz="0" w:space="0" w:color="auto"/>
            <w:right w:val="none" w:sz="0" w:space="0" w:color="auto"/>
          </w:divBdr>
          <w:divsChild>
            <w:div w:id="1379428063">
              <w:marLeft w:val="0"/>
              <w:marRight w:val="0"/>
              <w:marTop w:val="0"/>
              <w:marBottom w:val="0"/>
              <w:divBdr>
                <w:top w:val="none" w:sz="0" w:space="0" w:color="auto"/>
                <w:left w:val="none" w:sz="0" w:space="0" w:color="auto"/>
                <w:bottom w:val="none" w:sz="0" w:space="0" w:color="auto"/>
                <w:right w:val="none" w:sz="0" w:space="0" w:color="auto"/>
              </w:divBdr>
            </w:div>
          </w:divsChild>
        </w:div>
        <w:div w:id="630984045">
          <w:marLeft w:val="0"/>
          <w:marRight w:val="0"/>
          <w:marTop w:val="0"/>
          <w:marBottom w:val="0"/>
          <w:divBdr>
            <w:top w:val="none" w:sz="0" w:space="0" w:color="auto"/>
            <w:left w:val="none" w:sz="0" w:space="0" w:color="auto"/>
            <w:bottom w:val="none" w:sz="0" w:space="0" w:color="auto"/>
            <w:right w:val="none" w:sz="0" w:space="0" w:color="auto"/>
          </w:divBdr>
          <w:divsChild>
            <w:div w:id="646402735">
              <w:marLeft w:val="0"/>
              <w:marRight w:val="0"/>
              <w:marTop w:val="0"/>
              <w:marBottom w:val="0"/>
              <w:divBdr>
                <w:top w:val="none" w:sz="0" w:space="0" w:color="auto"/>
                <w:left w:val="none" w:sz="0" w:space="0" w:color="auto"/>
                <w:bottom w:val="none" w:sz="0" w:space="0" w:color="auto"/>
                <w:right w:val="none" w:sz="0" w:space="0" w:color="auto"/>
              </w:divBdr>
            </w:div>
          </w:divsChild>
        </w:div>
        <w:div w:id="708335668">
          <w:marLeft w:val="0"/>
          <w:marRight w:val="0"/>
          <w:marTop w:val="0"/>
          <w:marBottom w:val="0"/>
          <w:divBdr>
            <w:top w:val="none" w:sz="0" w:space="0" w:color="auto"/>
            <w:left w:val="none" w:sz="0" w:space="0" w:color="auto"/>
            <w:bottom w:val="none" w:sz="0" w:space="0" w:color="auto"/>
            <w:right w:val="none" w:sz="0" w:space="0" w:color="auto"/>
          </w:divBdr>
          <w:divsChild>
            <w:div w:id="2002780908">
              <w:marLeft w:val="0"/>
              <w:marRight w:val="0"/>
              <w:marTop w:val="0"/>
              <w:marBottom w:val="0"/>
              <w:divBdr>
                <w:top w:val="none" w:sz="0" w:space="0" w:color="auto"/>
                <w:left w:val="none" w:sz="0" w:space="0" w:color="auto"/>
                <w:bottom w:val="none" w:sz="0" w:space="0" w:color="auto"/>
                <w:right w:val="none" w:sz="0" w:space="0" w:color="auto"/>
              </w:divBdr>
            </w:div>
          </w:divsChild>
        </w:div>
        <w:div w:id="1577131588">
          <w:marLeft w:val="0"/>
          <w:marRight w:val="0"/>
          <w:marTop w:val="0"/>
          <w:marBottom w:val="0"/>
          <w:divBdr>
            <w:top w:val="none" w:sz="0" w:space="0" w:color="auto"/>
            <w:left w:val="none" w:sz="0" w:space="0" w:color="auto"/>
            <w:bottom w:val="none" w:sz="0" w:space="0" w:color="auto"/>
            <w:right w:val="none" w:sz="0" w:space="0" w:color="auto"/>
          </w:divBdr>
          <w:divsChild>
            <w:div w:id="1423339520">
              <w:marLeft w:val="0"/>
              <w:marRight w:val="0"/>
              <w:marTop w:val="0"/>
              <w:marBottom w:val="0"/>
              <w:divBdr>
                <w:top w:val="none" w:sz="0" w:space="0" w:color="auto"/>
                <w:left w:val="none" w:sz="0" w:space="0" w:color="auto"/>
                <w:bottom w:val="none" w:sz="0" w:space="0" w:color="auto"/>
                <w:right w:val="none" w:sz="0" w:space="0" w:color="auto"/>
              </w:divBdr>
            </w:div>
          </w:divsChild>
        </w:div>
        <w:div w:id="1623263927">
          <w:marLeft w:val="0"/>
          <w:marRight w:val="0"/>
          <w:marTop w:val="0"/>
          <w:marBottom w:val="0"/>
          <w:divBdr>
            <w:top w:val="none" w:sz="0" w:space="0" w:color="auto"/>
            <w:left w:val="none" w:sz="0" w:space="0" w:color="auto"/>
            <w:bottom w:val="none" w:sz="0" w:space="0" w:color="auto"/>
            <w:right w:val="none" w:sz="0" w:space="0" w:color="auto"/>
          </w:divBdr>
          <w:divsChild>
            <w:div w:id="680085378">
              <w:marLeft w:val="0"/>
              <w:marRight w:val="0"/>
              <w:marTop w:val="0"/>
              <w:marBottom w:val="0"/>
              <w:divBdr>
                <w:top w:val="none" w:sz="0" w:space="0" w:color="auto"/>
                <w:left w:val="none" w:sz="0" w:space="0" w:color="auto"/>
                <w:bottom w:val="none" w:sz="0" w:space="0" w:color="auto"/>
                <w:right w:val="none" w:sz="0" w:space="0" w:color="auto"/>
              </w:divBdr>
            </w:div>
          </w:divsChild>
        </w:div>
        <w:div w:id="1806386994">
          <w:marLeft w:val="0"/>
          <w:marRight w:val="0"/>
          <w:marTop w:val="0"/>
          <w:marBottom w:val="0"/>
          <w:divBdr>
            <w:top w:val="none" w:sz="0" w:space="0" w:color="auto"/>
            <w:left w:val="none" w:sz="0" w:space="0" w:color="auto"/>
            <w:bottom w:val="none" w:sz="0" w:space="0" w:color="auto"/>
            <w:right w:val="none" w:sz="0" w:space="0" w:color="auto"/>
          </w:divBdr>
          <w:divsChild>
            <w:div w:id="346491884">
              <w:marLeft w:val="0"/>
              <w:marRight w:val="0"/>
              <w:marTop w:val="0"/>
              <w:marBottom w:val="0"/>
              <w:divBdr>
                <w:top w:val="none" w:sz="0" w:space="0" w:color="auto"/>
                <w:left w:val="none" w:sz="0" w:space="0" w:color="auto"/>
                <w:bottom w:val="none" w:sz="0" w:space="0" w:color="auto"/>
                <w:right w:val="none" w:sz="0" w:space="0" w:color="auto"/>
              </w:divBdr>
            </w:div>
          </w:divsChild>
        </w:div>
        <w:div w:id="1914272574">
          <w:marLeft w:val="0"/>
          <w:marRight w:val="0"/>
          <w:marTop w:val="0"/>
          <w:marBottom w:val="0"/>
          <w:divBdr>
            <w:top w:val="none" w:sz="0" w:space="0" w:color="auto"/>
            <w:left w:val="none" w:sz="0" w:space="0" w:color="auto"/>
            <w:bottom w:val="none" w:sz="0" w:space="0" w:color="auto"/>
            <w:right w:val="none" w:sz="0" w:space="0" w:color="auto"/>
          </w:divBdr>
          <w:divsChild>
            <w:div w:id="708648878">
              <w:marLeft w:val="0"/>
              <w:marRight w:val="0"/>
              <w:marTop w:val="0"/>
              <w:marBottom w:val="0"/>
              <w:divBdr>
                <w:top w:val="none" w:sz="0" w:space="0" w:color="auto"/>
                <w:left w:val="none" w:sz="0" w:space="0" w:color="auto"/>
                <w:bottom w:val="none" w:sz="0" w:space="0" w:color="auto"/>
                <w:right w:val="none" w:sz="0" w:space="0" w:color="auto"/>
              </w:divBdr>
            </w:div>
          </w:divsChild>
        </w:div>
        <w:div w:id="2140800712">
          <w:marLeft w:val="0"/>
          <w:marRight w:val="0"/>
          <w:marTop w:val="0"/>
          <w:marBottom w:val="0"/>
          <w:divBdr>
            <w:top w:val="none" w:sz="0" w:space="0" w:color="auto"/>
            <w:left w:val="none" w:sz="0" w:space="0" w:color="auto"/>
            <w:bottom w:val="none" w:sz="0" w:space="0" w:color="auto"/>
            <w:right w:val="none" w:sz="0" w:space="0" w:color="auto"/>
          </w:divBdr>
          <w:divsChild>
            <w:div w:id="598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9598">
      <w:bodyDiv w:val="1"/>
      <w:marLeft w:val="0"/>
      <w:marRight w:val="0"/>
      <w:marTop w:val="0"/>
      <w:marBottom w:val="0"/>
      <w:divBdr>
        <w:top w:val="none" w:sz="0" w:space="0" w:color="auto"/>
        <w:left w:val="none" w:sz="0" w:space="0" w:color="auto"/>
        <w:bottom w:val="none" w:sz="0" w:space="0" w:color="auto"/>
        <w:right w:val="none" w:sz="0" w:space="0" w:color="auto"/>
      </w:divBdr>
    </w:div>
    <w:div w:id="2007781158">
      <w:bodyDiv w:val="1"/>
      <w:marLeft w:val="0"/>
      <w:marRight w:val="0"/>
      <w:marTop w:val="0"/>
      <w:marBottom w:val="0"/>
      <w:divBdr>
        <w:top w:val="none" w:sz="0" w:space="0" w:color="auto"/>
        <w:left w:val="none" w:sz="0" w:space="0" w:color="auto"/>
        <w:bottom w:val="none" w:sz="0" w:space="0" w:color="auto"/>
        <w:right w:val="none" w:sz="0" w:space="0" w:color="auto"/>
      </w:divBdr>
      <w:divsChild>
        <w:div w:id="940182799">
          <w:marLeft w:val="0"/>
          <w:marRight w:val="0"/>
          <w:marTop w:val="0"/>
          <w:marBottom w:val="0"/>
          <w:divBdr>
            <w:top w:val="none" w:sz="0" w:space="0" w:color="auto"/>
            <w:left w:val="none" w:sz="0" w:space="0" w:color="auto"/>
            <w:bottom w:val="none" w:sz="0" w:space="0" w:color="auto"/>
            <w:right w:val="none" w:sz="0" w:space="0" w:color="auto"/>
          </w:divBdr>
        </w:div>
        <w:div w:id="1459834413">
          <w:marLeft w:val="0"/>
          <w:marRight w:val="0"/>
          <w:marTop w:val="0"/>
          <w:marBottom w:val="0"/>
          <w:divBdr>
            <w:top w:val="none" w:sz="0" w:space="0" w:color="auto"/>
            <w:left w:val="none" w:sz="0" w:space="0" w:color="auto"/>
            <w:bottom w:val="none" w:sz="0" w:space="0" w:color="auto"/>
            <w:right w:val="none" w:sz="0" w:space="0" w:color="auto"/>
          </w:divBdr>
        </w:div>
      </w:divsChild>
    </w:div>
    <w:div w:id="2024434781">
      <w:bodyDiv w:val="1"/>
      <w:marLeft w:val="0"/>
      <w:marRight w:val="0"/>
      <w:marTop w:val="0"/>
      <w:marBottom w:val="0"/>
      <w:divBdr>
        <w:top w:val="none" w:sz="0" w:space="0" w:color="auto"/>
        <w:left w:val="none" w:sz="0" w:space="0" w:color="auto"/>
        <w:bottom w:val="none" w:sz="0" w:space="0" w:color="auto"/>
        <w:right w:val="none" w:sz="0" w:space="0" w:color="auto"/>
      </w:divBdr>
      <w:divsChild>
        <w:div w:id="287323322">
          <w:marLeft w:val="0"/>
          <w:marRight w:val="0"/>
          <w:marTop w:val="0"/>
          <w:marBottom w:val="0"/>
          <w:divBdr>
            <w:top w:val="none" w:sz="0" w:space="0" w:color="auto"/>
            <w:left w:val="none" w:sz="0" w:space="0" w:color="auto"/>
            <w:bottom w:val="none" w:sz="0" w:space="0" w:color="auto"/>
            <w:right w:val="none" w:sz="0" w:space="0" w:color="auto"/>
          </w:divBdr>
          <w:divsChild>
            <w:div w:id="1045058172">
              <w:marLeft w:val="0"/>
              <w:marRight w:val="0"/>
              <w:marTop w:val="0"/>
              <w:marBottom w:val="0"/>
              <w:divBdr>
                <w:top w:val="none" w:sz="0" w:space="0" w:color="auto"/>
                <w:left w:val="none" w:sz="0" w:space="0" w:color="auto"/>
                <w:bottom w:val="none" w:sz="0" w:space="0" w:color="auto"/>
                <w:right w:val="none" w:sz="0" w:space="0" w:color="auto"/>
              </w:divBdr>
            </w:div>
          </w:divsChild>
        </w:div>
        <w:div w:id="422846514">
          <w:marLeft w:val="0"/>
          <w:marRight w:val="0"/>
          <w:marTop w:val="0"/>
          <w:marBottom w:val="0"/>
          <w:divBdr>
            <w:top w:val="none" w:sz="0" w:space="0" w:color="auto"/>
            <w:left w:val="none" w:sz="0" w:space="0" w:color="auto"/>
            <w:bottom w:val="none" w:sz="0" w:space="0" w:color="auto"/>
            <w:right w:val="none" w:sz="0" w:space="0" w:color="auto"/>
          </w:divBdr>
          <w:divsChild>
            <w:div w:id="2056002723">
              <w:marLeft w:val="0"/>
              <w:marRight w:val="0"/>
              <w:marTop w:val="0"/>
              <w:marBottom w:val="0"/>
              <w:divBdr>
                <w:top w:val="none" w:sz="0" w:space="0" w:color="auto"/>
                <w:left w:val="none" w:sz="0" w:space="0" w:color="auto"/>
                <w:bottom w:val="none" w:sz="0" w:space="0" w:color="auto"/>
                <w:right w:val="none" w:sz="0" w:space="0" w:color="auto"/>
              </w:divBdr>
            </w:div>
          </w:divsChild>
        </w:div>
        <w:div w:id="765921404">
          <w:marLeft w:val="0"/>
          <w:marRight w:val="0"/>
          <w:marTop w:val="0"/>
          <w:marBottom w:val="0"/>
          <w:divBdr>
            <w:top w:val="none" w:sz="0" w:space="0" w:color="auto"/>
            <w:left w:val="none" w:sz="0" w:space="0" w:color="auto"/>
            <w:bottom w:val="none" w:sz="0" w:space="0" w:color="auto"/>
            <w:right w:val="none" w:sz="0" w:space="0" w:color="auto"/>
          </w:divBdr>
          <w:divsChild>
            <w:div w:id="1336347560">
              <w:marLeft w:val="0"/>
              <w:marRight w:val="0"/>
              <w:marTop w:val="0"/>
              <w:marBottom w:val="0"/>
              <w:divBdr>
                <w:top w:val="none" w:sz="0" w:space="0" w:color="auto"/>
                <w:left w:val="none" w:sz="0" w:space="0" w:color="auto"/>
                <w:bottom w:val="none" w:sz="0" w:space="0" w:color="auto"/>
                <w:right w:val="none" w:sz="0" w:space="0" w:color="auto"/>
              </w:divBdr>
            </w:div>
          </w:divsChild>
        </w:div>
        <w:div w:id="1379091519">
          <w:marLeft w:val="0"/>
          <w:marRight w:val="0"/>
          <w:marTop w:val="0"/>
          <w:marBottom w:val="0"/>
          <w:divBdr>
            <w:top w:val="none" w:sz="0" w:space="0" w:color="auto"/>
            <w:left w:val="none" w:sz="0" w:space="0" w:color="auto"/>
            <w:bottom w:val="none" w:sz="0" w:space="0" w:color="auto"/>
            <w:right w:val="none" w:sz="0" w:space="0" w:color="auto"/>
          </w:divBdr>
          <w:divsChild>
            <w:div w:id="688409697">
              <w:marLeft w:val="0"/>
              <w:marRight w:val="0"/>
              <w:marTop w:val="0"/>
              <w:marBottom w:val="0"/>
              <w:divBdr>
                <w:top w:val="none" w:sz="0" w:space="0" w:color="auto"/>
                <w:left w:val="none" w:sz="0" w:space="0" w:color="auto"/>
                <w:bottom w:val="none" w:sz="0" w:space="0" w:color="auto"/>
                <w:right w:val="none" w:sz="0" w:space="0" w:color="auto"/>
              </w:divBdr>
            </w:div>
          </w:divsChild>
        </w:div>
        <w:div w:id="1551958704">
          <w:marLeft w:val="0"/>
          <w:marRight w:val="0"/>
          <w:marTop w:val="0"/>
          <w:marBottom w:val="0"/>
          <w:divBdr>
            <w:top w:val="none" w:sz="0" w:space="0" w:color="auto"/>
            <w:left w:val="none" w:sz="0" w:space="0" w:color="auto"/>
            <w:bottom w:val="none" w:sz="0" w:space="0" w:color="auto"/>
            <w:right w:val="none" w:sz="0" w:space="0" w:color="auto"/>
          </w:divBdr>
          <w:divsChild>
            <w:div w:id="306513015">
              <w:marLeft w:val="0"/>
              <w:marRight w:val="0"/>
              <w:marTop w:val="0"/>
              <w:marBottom w:val="0"/>
              <w:divBdr>
                <w:top w:val="none" w:sz="0" w:space="0" w:color="auto"/>
                <w:left w:val="none" w:sz="0" w:space="0" w:color="auto"/>
                <w:bottom w:val="none" w:sz="0" w:space="0" w:color="auto"/>
                <w:right w:val="none" w:sz="0" w:space="0" w:color="auto"/>
              </w:divBdr>
            </w:div>
          </w:divsChild>
        </w:div>
        <w:div w:id="1667896449">
          <w:marLeft w:val="0"/>
          <w:marRight w:val="0"/>
          <w:marTop w:val="0"/>
          <w:marBottom w:val="0"/>
          <w:divBdr>
            <w:top w:val="none" w:sz="0" w:space="0" w:color="auto"/>
            <w:left w:val="none" w:sz="0" w:space="0" w:color="auto"/>
            <w:bottom w:val="none" w:sz="0" w:space="0" w:color="auto"/>
            <w:right w:val="none" w:sz="0" w:space="0" w:color="auto"/>
          </w:divBdr>
          <w:divsChild>
            <w:div w:id="1213729668">
              <w:marLeft w:val="0"/>
              <w:marRight w:val="0"/>
              <w:marTop w:val="0"/>
              <w:marBottom w:val="0"/>
              <w:divBdr>
                <w:top w:val="none" w:sz="0" w:space="0" w:color="auto"/>
                <w:left w:val="none" w:sz="0" w:space="0" w:color="auto"/>
                <w:bottom w:val="none" w:sz="0" w:space="0" w:color="auto"/>
                <w:right w:val="none" w:sz="0" w:space="0" w:color="auto"/>
              </w:divBdr>
            </w:div>
          </w:divsChild>
        </w:div>
        <w:div w:id="2001300567">
          <w:marLeft w:val="0"/>
          <w:marRight w:val="0"/>
          <w:marTop w:val="0"/>
          <w:marBottom w:val="0"/>
          <w:divBdr>
            <w:top w:val="none" w:sz="0" w:space="0" w:color="auto"/>
            <w:left w:val="none" w:sz="0" w:space="0" w:color="auto"/>
            <w:bottom w:val="none" w:sz="0" w:space="0" w:color="auto"/>
            <w:right w:val="none" w:sz="0" w:space="0" w:color="auto"/>
          </w:divBdr>
          <w:divsChild>
            <w:div w:id="1834249787">
              <w:marLeft w:val="0"/>
              <w:marRight w:val="0"/>
              <w:marTop w:val="0"/>
              <w:marBottom w:val="0"/>
              <w:divBdr>
                <w:top w:val="none" w:sz="0" w:space="0" w:color="auto"/>
                <w:left w:val="none" w:sz="0" w:space="0" w:color="auto"/>
                <w:bottom w:val="none" w:sz="0" w:space="0" w:color="auto"/>
                <w:right w:val="none" w:sz="0" w:space="0" w:color="auto"/>
              </w:divBdr>
            </w:div>
          </w:divsChild>
        </w:div>
        <w:div w:id="2058770641">
          <w:marLeft w:val="0"/>
          <w:marRight w:val="0"/>
          <w:marTop w:val="0"/>
          <w:marBottom w:val="0"/>
          <w:divBdr>
            <w:top w:val="none" w:sz="0" w:space="0" w:color="auto"/>
            <w:left w:val="none" w:sz="0" w:space="0" w:color="auto"/>
            <w:bottom w:val="none" w:sz="0" w:space="0" w:color="auto"/>
            <w:right w:val="none" w:sz="0" w:space="0" w:color="auto"/>
          </w:divBdr>
          <w:divsChild>
            <w:div w:id="53511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2567">
      <w:bodyDiv w:val="1"/>
      <w:marLeft w:val="0"/>
      <w:marRight w:val="0"/>
      <w:marTop w:val="0"/>
      <w:marBottom w:val="0"/>
      <w:divBdr>
        <w:top w:val="none" w:sz="0" w:space="0" w:color="auto"/>
        <w:left w:val="none" w:sz="0" w:space="0" w:color="auto"/>
        <w:bottom w:val="none" w:sz="0" w:space="0" w:color="auto"/>
        <w:right w:val="none" w:sz="0" w:space="0" w:color="auto"/>
      </w:divBdr>
    </w:div>
    <w:div w:id="2068675439">
      <w:bodyDiv w:val="1"/>
      <w:marLeft w:val="0"/>
      <w:marRight w:val="0"/>
      <w:marTop w:val="0"/>
      <w:marBottom w:val="0"/>
      <w:divBdr>
        <w:top w:val="none" w:sz="0" w:space="0" w:color="auto"/>
        <w:left w:val="none" w:sz="0" w:space="0" w:color="auto"/>
        <w:bottom w:val="none" w:sz="0" w:space="0" w:color="auto"/>
        <w:right w:val="none" w:sz="0" w:space="0" w:color="auto"/>
      </w:divBdr>
      <w:divsChild>
        <w:div w:id="493224859">
          <w:marLeft w:val="0"/>
          <w:marRight w:val="0"/>
          <w:marTop w:val="0"/>
          <w:marBottom w:val="0"/>
          <w:divBdr>
            <w:top w:val="none" w:sz="0" w:space="0" w:color="auto"/>
            <w:left w:val="none" w:sz="0" w:space="0" w:color="auto"/>
            <w:bottom w:val="none" w:sz="0" w:space="0" w:color="auto"/>
            <w:right w:val="none" w:sz="0" w:space="0" w:color="auto"/>
          </w:divBdr>
        </w:div>
        <w:div w:id="569772134">
          <w:marLeft w:val="0"/>
          <w:marRight w:val="0"/>
          <w:marTop w:val="0"/>
          <w:marBottom w:val="0"/>
          <w:divBdr>
            <w:top w:val="none" w:sz="0" w:space="0" w:color="auto"/>
            <w:left w:val="none" w:sz="0" w:space="0" w:color="auto"/>
            <w:bottom w:val="none" w:sz="0" w:space="0" w:color="auto"/>
            <w:right w:val="none" w:sz="0" w:space="0" w:color="auto"/>
          </w:divBdr>
          <w:divsChild>
            <w:div w:id="2141222004">
              <w:marLeft w:val="-75"/>
              <w:marRight w:val="0"/>
              <w:marTop w:val="30"/>
              <w:marBottom w:val="30"/>
              <w:divBdr>
                <w:top w:val="none" w:sz="0" w:space="0" w:color="auto"/>
                <w:left w:val="none" w:sz="0" w:space="0" w:color="auto"/>
                <w:bottom w:val="none" w:sz="0" w:space="0" w:color="auto"/>
                <w:right w:val="none" w:sz="0" w:space="0" w:color="auto"/>
              </w:divBdr>
              <w:divsChild>
                <w:div w:id="120804436">
                  <w:marLeft w:val="0"/>
                  <w:marRight w:val="0"/>
                  <w:marTop w:val="0"/>
                  <w:marBottom w:val="0"/>
                  <w:divBdr>
                    <w:top w:val="none" w:sz="0" w:space="0" w:color="auto"/>
                    <w:left w:val="none" w:sz="0" w:space="0" w:color="auto"/>
                    <w:bottom w:val="none" w:sz="0" w:space="0" w:color="auto"/>
                    <w:right w:val="none" w:sz="0" w:space="0" w:color="auto"/>
                  </w:divBdr>
                  <w:divsChild>
                    <w:div w:id="814493860">
                      <w:marLeft w:val="0"/>
                      <w:marRight w:val="0"/>
                      <w:marTop w:val="0"/>
                      <w:marBottom w:val="0"/>
                      <w:divBdr>
                        <w:top w:val="none" w:sz="0" w:space="0" w:color="auto"/>
                        <w:left w:val="none" w:sz="0" w:space="0" w:color="auto"/>
                        <w:bottom w:val="none" w:sz="0" w:space="0" w:color="auto"/>
                        <w:right w:val="none" w:sz="0" w:space="0" w:color="auto"/>
                      </w:divBdr>
                    </w:div>
                  </w:divsChild>
                </w:div>
                <w:div w:id="207180142">
                  <w:marLeft w:val="0"/>
                  <w:marRight w:val="0"/>
                  <w:marTop w:val="0"/>
                  <w:marBottom w:val="0"/>
                  <w:divBdr>
                    <w:top w:val="none" w:sz="0" w:space="0" w:color="auto"/>
                    <w:left w:val="none" w:sz="0" w:space="0" w:color="auto"/>
                    <w:bottom w:val="none" w:sz="0" w:space="0" w:color="auto"/>
                    <w:right w:val="none" w:sz="0" w:space="0" w:color="auto"/>
                  </w:divBdr>
                  <w:divsChild>
                    <w:div w:id="937059899">
                      <w:marLeft w:val="0"/>
                      <w:marRight w:val="0"/>
                      <w:marTop w:val="0"/>
                      <w:marBottom w:val="0"/>
                      <w:divBdr>
                        <w:top w:val="none" w:sz="0" w:space="0" w:color="auto"/>
                        <w:left w:val="none" w:sz="0" w:space="0" w:color="auto"/>
                        <w:bottom w:val="none" w:sz="0" w:space="0" w:color="auto"/>
                        <w:right w:val="none" w:sz="0" w:space="0" w:color="auto"/>
                      </w:divBdr>
                    </w:div>
                  </w:divsChild>
                </w:div>
                <w:div w:id="225803008">
                  <w:marLeft w:val="0"/>
                  <w:marRight w:val="0"/>
                  <w:marTop w:val="0"/>
                  <w:marBottom w:val="0"/>
                  <w:divBdr>
                    <w:top w:val="none" w:sz="0" w:space="0" w:color="auto"/>
                    <w:left w:val="none" w:sz="0" w:space="0" w:color="auto"/>
                    <w:bottom w:val="none" w:sz="0" w:space="0" w:color="auto"/>
                    <w:right w:val="none" w:sz="0" w:space="0" w:color="auto"/>
                  </w:divBdr>
                  <w:divsChild>
                    <w:div w:id="1970547005">
                      <w:marLeft w:val="0"/>
                      <w:marRight w:val="0"/>
                      <w:marTop w:val="0"/>
                      <w:marBottom w:val="0"/>
                      <w:divBdr>
                        <w:top w:val="none" w:sz="0" w:space="0" w:color="auto"/>
                        <w:left w:val="none" w:sz="0" w:space="0" w:color="auto"/>
                        <w:bottom w:val="none" w:sz="0" w:space="0" w:color="auto"/>
                        <w:right w:val="none" w:sz="0" w:space="0" w:color="auto"/>
                      </w:divBdr>
                    </w:div>
                  </w:divsChild>
                </w:div>
                <w:div w:id="236719493">
                  <w:marLeft w:val="0"/>
                  <w:marRight w:val="0"/>
                  <w:marTop w:val="0"/>
                  <w:marBottom w:val="0"/>
                  <w:divBdr>
                    <w:top w:val="none" w:sz="0" w:space="0" w:color="auto"/>
                    <w:left w:val="none" w:sz="0" w:space="0" w:color="auto"/>
                    <w:bottom w:val="none" w:sz="0" w:space="0" w:color="auto"/>
                    <w:right w:val="none" w:sz="0" w:space="0" w:color="auto"/>
                  </w:divBdr>
                  <w:divsChild>
                    <w:div w:id="1844779644">
                      <w:marLeft w:val="0"/>
                      <w:marRight w:val="0"/>
                      <w:marTop w:val="0"/>
                      <w:marBottom w:val="0"/>
                      <w:divBdr>
                        <w:top w:val="none" w:sz="0" w:space="0" w:color="auto"/>
                        <w:left w:val="none" w:sz="0" w:space="0" w:color="auto"/>
                        <w:bottom w:val="none" w:sz="0" w:space="0" w:color="auto"/>
                        <w:right w:val="none" w:sz="0" w:space="0" w:color="auto"/>
                      </w:divBdr>
                    </w:div>
                  </w:divsChild>
                </w:div>
                <w:div w:id="246034449">
                  <w:marLeft w:val="0"/>
                  <w:marRight w:val="0"/>
                  <w:marTop w:val="0"/>
                  <w:marBottom w:val="0"/>
                  <w:divBdr>
                    <w:top w:val="none" w:sz="0" w:space="0" w:color="auto"/>
                    <w:left w:val="none" w:sz="0" w:space="0" w:color="auto"/>
                    <w:bottom w:val="none" w:sz="0" w:space="0" w:color="auto"/>
                    <w:right w:val="none" w:sz="0" w:space="0" w:color="auto"/>
                  </w:divBdr>
                  <w:divsChild>
                    <w:div w:id="1657493610">
                      <w:marLeft w:val="0"/>
                      <w:marRight w:val="0"/>
                      <w:marTop w:val="0"/>
                      <w:marBottom w:val="0"/>
                      <w:divBdr>
                        <w:top w:val="none" w:sz="0" w:space="0" w:color="auto"/>
                        <w:left w:val="none" w:sz="0" w:space="0" w:color="auto"/>
                        <w:bottom w:val="none" w:sz="0" w:space="0" w:color="auto"/>
                        <w:right w:val="none" w:sz="0" w:space="0" w:color="auto"/>
                      </w:divBdr>
                    </w:div>
                  </w:divsChild>
                </w:div>
                <w:div w:id="258225483">
                  <w:marLeft w:val="0"/>
                  <w:marRight w:val="0"/>
                  <w:marTop w:val="0"/>
                  <w:marBottom w:val="0"/>
                  <w:divBdr>
                    <w:top w:val="none" w:sz="0" w:space="0" w:color="auto"/>
                    <w:left w:val="none" w:sz="0" w:space="0" w:color="auto"/>
                    <w:bottom w:val="none" w:sz="0" w:space="0" w:color="auto"/>
                    <w:right w:val="none" w:sz="0" w:space="0" w:color="auto"/>
                  </w:divBdr>
                  <w:divsChild>
                    <w:div w:id="1558780490">
                      <w:marLeft w:val="0"/>
                      <w:marRight w:val="0"/>
                      <w:marTop w:val="0"/>
                      <w:marBottom w:val="0"/>
                      <w:divBdr>
                        <w:top w:val="none" w:sz="0" w:space="0" w:color="auto"/>
                        <w:left w:val="none" w:sz="0" w:space="0" w:color="auto"/>
                        <w:bottom w:val="none" w:sz="0" w:space="0" w:color="auto"/>
                        <w:right w:val="none" w:sz="0" w:space="0" w:color="auto"/>
                      </w:divBdr>
                    </w:div>
                    <w:div w:id="1960259279">
                      <w:marLeft w:val="0"/>
                      <w:marRight w:val="0"/>
                      <w:marTop w:val="0"/>
                      <w:marBottom w:val="0"/>
                      <w:divBdr>
                        <w:top w:val="none" w:sz="0" w:space="0" w:color="auto"/>
                        <w:left w:val="none" w:sz="0" w:space="0" w:color="auto"/>
                        <w:bottom w:val="none" w:sz="0" w:space="0" w:color="auto"/>
                        <w:right w:val="none" w:sz="0" w:space="0" w:color="auto"/>
                      </w:divBdr>
                    </w:div>
                  </w:divsChild>
                </w:div>
                <w:div w:id="291601269">
                  <w:marLeft w:val="0"/>
                  <w:marRight w:val="0"/>
                  <w:marTop w:val="0"/>
                  <w:marBottom w:val="0"/>
                  <w:divBdr>
                    <w:top w:val="none" w:sz="0" w:space="0" w:color="auto"/>
                    <w:left w:val="none" w:sz="0" w:space="0" w:color="auto"/>
                    <w:bottom w:val="none" w:sz="0" w:space="0" w:color="auto"/>
                    <w:right w:val="none" w:sz="0" w:space="0" w:color="auto"/>
                  </w:divBdr>
                  <w:divsChild>
                    <w:div w:id="404257036">
                      <w:marLeft w:val="0"/>
                      <w:marRight w:val="0"/>
                      <w:marTop w:val="0"/>
                      <w:marBottom w:val="0"/>
                      <w:divBdr>
                        <w:top w:val="none" w:sz="0" w:space="0" w:color="auto"/>
                        <w:left w:val="none" w:sz="0" w:space="0" w:color="auto"/>
                        <w:bottom w:val="none" w:sz="0" w:space="0" w:color="auto"/>
                        <w:right w:val="none" w:sz="0" w:space="0" w:color="auto"/>
                      </w:divBdr>
                    </w:div>
                    <w:div w:id="2102291701">
                      <w:marLeft w:val="0"/>
                      <w:marRight w:val="0"/>
                      <w:marTop w:val="0"/>
                      <w:marBottom w:val="0"/>
                      <w:divBdr>
                        <w:top w:val="none" w:sz="0" w:space="0" w:color="auto"/>
                        <w:left w:val="none" w:sz="0" w:space="0" w:color="auto"/>
                        <w:bottom w:val="none" w:sz="0" w:space="0" w:color="auto"/>
                        <w:right w:val="none" w:sz="0" w:space="0" w:color="auto"/>
                      </w:divBdr>
                    </w:div>
                  </w:divsChild>
                </w:div>
                <w:div w:id="300313280">
                  <w:marLeft w:val="0"/>
                  <w:marRight w:val="0"/>
                  <w:marTop w:val="0"/>
                  <w:marBottom w:val="0"/>
                  <w:divBdr>
                    <w:top w:val="none" w:sz="0" w:space="0" w:color="auto"/>
                    <w:left w:val="none" w:sz="0" w:space="0" w:color="auto"/>
                    <w:bottom w:val="none" w:sz="0" w:space="0" w:color="auto"/>
                    <w:right w:val="none" w:sz="0" w:space="0" w:color="auto"/>
                  </w:divBdr>
                  <w:divsChild>
                    <w:div w:id="315765814">
                      <w:marLeft w:val="0"/>
                      <w:marRight w:val="0"/>
                      <w:marTop w:val="0"/>
                      <w:marBottom w:val="0"/>
                      <w:divBdr>
                        <w:top w:val="none" w:sz="0" w:space="0" w:color="auto"/>
                        <w:left w:val="none" w:sz="0" w:space="0" w:color="auto"/>
                        <w:bottom w:val="none" w:sz="0" w:space="0" w:color="auto"/>
                        <w:right w:val="none" w:sz="0" w:space="0" w:color="auto"/>
                      </w:divBdr>
                    </w:div>
                  </w:divsChild>
                </w:div>
                <w:div w:id="331838162">
                  <w:marLeft w:val="0"/>
                  <w:marRight w:val="0"/>
                  <w:marTop w:val="0"/>
                  <w:marBottom w:val="0"/>
                  <w:divBdr>
                    <w:top w:val="none" w:sz="0" w:space="0" w:color="auto"/>
                    <w:left w:val="none" w:sz="0" w:space="0" w:color="auto"/>
                    <w:bottom w:val="none" w:sz="0" w:space="0" w:color="auto"/>
                    <w:right w:val="none" w:sz="0" w:space="0" w:color="auto"/>
                  </w:divBdr>
                  <w:divsChild>
                    <w:div w:id="2131821242">
                      <w:marLeft w:val="0"/>
                      <w:marRight w:val="0"/>
                      <w:marTop w:val="0"/>
                      <w:marBottom w:val="0"/>
                      <w:divBdr>
                        <w:top w:val="none" w:sz="0" w:space="0" w:color="auto"/>
                        <w:left w:val="none" w:sz="0" w:space="0" w:color="auto"/>
                        <w:bottom w:val="none" w:sz="0" w:space="0" w:color="auto"/>
                        <w:right w:val="none" w:sz="0" w:space="0" w:color="auto"/>
                      </w:divBdr>
                    </w:div>
                  </w:divsChild>
                </w:div>
                <w:div w:id="336613606">
                  <w:marLeft w:val="0"/>
                  <w:marRight w:val="0"/>
                  <w:marTop w:val="0"/>
                  <w:marBottom w:val="0"/>
                  <w:divBdr>
                    <w:top w:val="none" w:sz="0" w:space="0" w:color="auto"/>
                    <w:left w:val="none" w:sz="0" w:space="0" w:color="auto"/>
                    <w:bottom w:val="none" w:sz="0" w:space="0" w:color="auto"/>
                    <w:right w:val="none" w:sz="0" w:space="0" w:color="auto"/>
                  </w:divBdr>
                  <w:divsChild>
                    <w:div w:id="397897836">
                      <w:marLeft w:val="0"/>
                      <w:marRight w:val="0"/>
                      <w:marTop w:val="0"/>
                      <w:marBottom w:val="0"/>
                      <w:divBdr>
                        <w:top w:val="none" w:sz="0" w:space="0" w:color="auto"/>
                        <w:left w:val="none" w:sz="0" w:space="0" w:color="auto"/>
                        <w:bottom w:val="none" w:sz="0" w:space="0" w:color="auto"/>
                        <w:right w:val="none" w:sz="0" w:space="0" w:color="auto"/>
                      </w:divBdr>
                    </w:div>
                  </w:divsChild>
                </w:div>
                <w:div w:id="429158602">
                  <w:marLeft w:val="0"/>
                  <w:marRight w:val="0"/>
                  <w:marTop w:val="0"/>
                  <w:marBottom w:val="0"/>
                  <w:divBdr>
                    <w:top w:val="none" w:sz="0" w:space="0" w:color="auto"/>
                    <w:left w:val="none" w:sz="0" w:space="0" w:color="auto"/>
                    <w:bottom w:val="none" w:sz="0" w:space="0" w:color="auto"/>
                    <w:right w:val="none" w:sz="0" w:space="0" w:color="auto"/>
                  </w:divBdr>
                  <w:divsChild>
                    <w:div w:id="235677135">
                      <w:marLeft w:val="0"/>
                      <w:marRight w:val="0"/>
                      <w:marTop w:val="0"/>
                      <w:marBottom w:val="0"/>
                      <w:divBdr>
                        <w:top w:val="none" w:sz="0" w:space="0" w:color="auto"/>
                        <w:left w:val="none" w:sz="0" w:space="0" w:color="auto"/>
                        <w:bottom w:val="none" w:sz="0" w:space="0" w:color="auto"/>
                        <w:right w:val="none" w:sz="0" w:space="0" w:color="auto"/>
                      </w:divBdr>
                    </w:div>
                  </w:divsChild>
                </w:div>
                <w:div w:id="475534525">
                  <w:marLeft w:val="0"/>
                  <w:marRight w:val="0"/>
                  <w:marTop w:val="0"/>
                  <w:marBottom w:val="0"/>
                  <w:divBdr>
                    <w:top w:val="none" w:sz="0" w:space="0" w:color="auto"/>
                    <w:left w:val="none" w:sz="0" w:space="0" w:color="auto"/>
                    <w:bottom w:val="none" w:sz="0" w:space="0" w:color="auto"/>
                    <w:right w:val="none" w:sz="0" w:space="0" w:color="auto"/>
                  </w:divBdr>
                  <w:divsChild>
                    <w:div w:id="715281892">
                      <w:marLeft w:val="0"/>
                      <w:marRight w:val="0"/>
                      <w:marTop w:val="0"/>
                      <w:marBottom w:val="0"/>
                      <w:divBdr>
                        <w:top w:val="none" w:sz="0" w:space="0" w:color="auto"/>
                        <w:left w:val="none" w:sz="0" w:space="0" w:color="auto"/>
                        <w:bottom w:val="none" w:sz="0" w:space="0" w:color="auto"/>
                        <w:right w:val="none" w:sz="0" w:space="0" w:color="auto"/>
                      </w:divBdr>
                    </w:div>
                  </w:divsChild>
                </w:div>
                <w:div w:id="487551444">
                  <w:marLeft w:val="0"/>
                  <w:marRight w:val="0"/>
                  <w:marTop w:val="0"/>
                  <w:marBottom w:val="0"/>
                  <w:divBdr>
                    <w:top w:val="none" w:sz="0" w:space="0" w:color="auto"/>
                    <w:left w:val="none" w:sz="0" w:space="0" w:color="auto"/>
                    <w:bottom w:val="none" w:sz="0" w:space="0" w:color="auto"/>
                    <w:right w:val="none" w:sz="0" w:space="0" w:color="auto"/>
                  </w:divBdr>
                  <w:divsChild>
                    <w:div w:id="468019598">
                      <w:marLeft w:val="0"/>
                      <w:marRight w:val="0"/>
                      <w:marTop w:val="0"/>
                      <w:marBottom w:val="0"/>
                      <w:divBdr>
                        <w:top w:val="none" w:sz="0" w:space="0" w:color="auto"/>
                        <w:left w:val="none" w:sz="0" w:space="0" w:color="auto"/>
                        <w:bottom w:val="none" w:sz="0" w:space="0" w:color="auto"/>
                        <w:right w:val="none" w:sz="0" w:space="0" w:color="auto"/>
                      </w:divBdr>
                    </w:div>
                  </w:divsChild>
                </w:div>
                <w:div w:id="546330972">
                  <w:marLeft w:val="0"/>
                  <w:marRight w:val="0"/>
                  <w:marTop w:val="0"/>
                  <w:marBottom w:val="0"/>
                  <w:divBdr>
                    <w:top w:val="none" w:sz="0" w:space="0" w:color="auto"/>
                    <w:left w:val="none" w:sz="0" w:space="0" w:color="auto"/>
                    <w:bottom w:val="none" w:sz="0" w:space="0" w:color="auto"/>
                    <w:right w:val="none" w:sz="0" w:space="0" w:color="auto"/>
                  </w:divBdr>
                  <w:divsChild>
                    <w:div w:id="2108580561">
                      <w:marLeft w:val="0"/>
                      <w:marRight w:val="0"/>
                      <w:marTop w:val="0"/>
                      <w:marBottom w:val="0"/>
                      <w:divBdr>
                        <w:top w:val="none" w:sz="0" w:space="0" w:color="auto"/>
                        <w:left w:val="none" w:sz="0" w:space="0" w:color="auto"/>
                        <w:bottom w:val="none" w:sz="0" w:space="0" w:color="auto"/>
                        <w:right w:val="none" w:sz="0" w:space="0" w:color="auto"/>
                      </w:divBdr>
                    </w:div>
                  </w:divsChild>
                </w:div>
                <w:div w:id="615260670">
                  <w:marLeft w:val="0"/>
                  <w:marRight w:val="0"/>
                  <w:marTop w:val="0"/>
                  <w:marBottom w:val="0"/>
                  <w:divBdr>
                    <w:top w:val="none" w:sz="0" w:space="0" w:color="auto"/>
                    <w:left w:val="none" w:sz="0" w:space="0" w:color="auto"/>
                    <w:bottom w:val="none" w:sz="0" w:space="0" w:color="auto"/>
                    <w:right w:val="none" w:sz="0" w:space="0" w:color="auto"/>
                  </w:divBdr>
                  <w:divsChild>
                    <w:div w:id="2038849510">
                      <w:marLeft w:val="0"/>
                      <w:marRight w:val="0"/>
                      <w:marTop w:val="0"/>
                      <w:marBottom w:val="0"/>
                      <w:divBdr>
                        <w:top w:val="none" w:sz="0" w:space="0" w:color="auto"/>
                        <w:left w:val="none" w:sz="0" w:space="0" w:color="auto"/>
                        <w:bottom w:val="none" w:sz="0" w:space="0" w:color="auto"/>
                        <w:right w:val="none" w:sz="0" w:space="0" w:color="auto"/>
                      </w:divBdr>
                    </w:div>
                  </w:divsChild>
                </w:div>
                <w:div w:id="728696481">
                  <w:marLeft w:val="0"/>
                  <w:marRight w:val="0"/>
                  <w:marTop w:val="0"/>
                  <w:marBottom w:val="0"/>
                  <w:divBdr>
                    <w:top w:val="none" w:sz="0" w:space="0" w:color="auto"/>
                    <w:left w:val="none" w:sz="0" w:space="0" w:color="auto"/>
                    <w:bottom w:val="none" w:sz="0" w:space="0" w:color="auto"/>
                    <w:right w:val="none" w:sz="0" w:space="0" w:color="auto"/>
                  </w:divBdr>
                  <w:divsChild>
                    <w:div w:id="1948728922">
                      <w:marLeft w:val="0"/>
                      <w:marRight w:val="0"/>
                      <w:marTop w:val="0"/>
                      <w:marBottom w:val="0"/>
                      <w:divBdr>
                        <w:top w:val="none" w:sz="0" w:space="0" w:color="auto"/>
                        <w:left w:val="none" w:sz="0" w:space="0" w:color="auto"/>
                        <w:bottom w:val="none" w:sz="0" w:space="0" w:color="auto"/>
                        <w:right w:val="none" w:sz="0" w:space="0" w:color="auto"/>
                      </w:divBdr>
                    </w:div>
                  </w:divsChild>
                </w:div>
                <w:div w:id="728846861">
                  <w:marLeft w:val="0"/>
                  <w:marRight w:val="0"/>
                  <w:marTop w:val="0"/>
                  <w:marBottom w:val="0"/>
                  <w:divBdr>
                    <w:top w:val="none" w:sz="0" w:space="0" w:color="auto"/>
                    <w:left w:val="none" w:sz="0" w:space="0" w:color="auto"/>
                    <w:bottom w:val="none" w:sz="0" w:space="0" w:color="auto"/>
                    <w:right w:val="none" w:sz="0" w:space="0" w:color="auto"/>
                  </w:divBdr>
                  <w:divsChild>
                    <w:div w:id="884029348">
                      <w:marLeft w:val="0"/>
                      <w:marRight w:val="0"/>
                      <w:marTop w:val="0"/>
                      <w:marBottom w:val="0"/>
                      <w:divBdr>
                        <w:top w:val="none" w:sz="0" w:space="0" w:color="auto"/>
                        <w:left w:val="none" w:sz="0" w:space="0" w:color="auto"/>
                        <w:bottom w:val="none" w:sz="0" w:space="0" w:color="auto"/>
                        <w:right w:val="none" w:sz="0" w:space="0" w:color="auto"/>
                      </w:divBdr>
                    </w:div>
                  </w:divsChild>
                </w:div>
                <w:div w:id="762148739">
                  <w:marLeft w:val="0"/>
                  <w:marRight w:val="0"/>
                  <w:marTop w:val="0"/>
                  <w:marBottom w:val="0"/>
                  <w:divBdr>
                    <w:top w:val="none" w:sz="0" w:space="0" w:color="auto"/>
                    <w:left w:val="none" w:sz="0" w:space="0" w:color="auto"/>
                    <w:bottom w:val="none" w:sz="0" w:space="0" w:color="auto"/>
                    <w:right w:val="none" w:sz="0" w:space="0" w:color="auto"/>
                  </w:divBdr>
                  <w:divsChild>
                    <w:div w:id="349599917">
                      <w:marLeft w:val="0"/>
                      <w:marRight w:val="0"/>
                      <w:marTop w:val="0"/>
                      <w:marBottom w:val="0"/>
                      <w:divBdr>
                        <w:top w:val="none" w:sz="0" w:space="0" w:color="auto"/>
                        <w:left w:val="none" w:sz="0" w:space="0" w:color="auto"/>
                        <w:bottom w:val="none" w:sz="0" w:space="0" w:color="auto"/>
                        <w:right w:val="none" w:sz="0" w:space="0" w:color="auto"/>
                      </w:divBdr>
                    </w:div>
                  </w:divsChild>
                </w:div>
                <w:div w:id="766998947">
                  <w:marLeft w:val="0"/>
                  <w:marRight w:val="0"/>
                  <w:marTop w:val="0"/>
                  <w:marBottom w:val="0"/>
                  <w:divBdr>
                    <w:top w:val="none" w:sz="0" w:space="0" w:color="auto"/>
                    <w:left w:val="none" w:sz="0" w:space="0" w:color="auto"/>
                    <w:bottom w:val="none" w:sz="0" w:space="0" w:color="auto"/>
                    <w:right w:val="none" w:sz="0" w:space="0" w:color="auto"/>
                  </w:divBdr>
                  <w:divsChild>
                    <w:div w:id="1878197940">
                      <w:marLeft w:val="0"/>
                      <w:marRight w:val="0"/>
                      <w:marTop w:val="0"/>
                      <w:marBottom w:val="0"/>
                      <w:divBdr>
                        <w:top w:val="none" w:sz="0" w:space="0" w:color="auto"/>
                        <w:left w:val="none" w:sz="0" w:space="0" w:color="auto"/>
                        <w:bottom w:val="none" w:sz="0" w:space="0" w:color="auto"/>
                        <w:right w:val="none" w:sz="0" w:space="0" w:color="auto"/>
                      </w:divBdr>
                    </w:div>
                  </w:divsChild>
                </w:div>
                <w:div w:id="924848025">
                  <w:marLeft w:val="0"/>
                  <w:marRight w:val="0"/>
                  <w:marTop w:val="0"/>
                  <w:marBottom w:val="0"/>
                  <w:divBdr>
                    <w:top w:val="none" w:sz="0" w:space="0" w:color="auto"/>
                    <w:left w:val="none" w:sz="0" w:space="0" w:color="auto"/>
                    <w:bottom w:val="none" w:sz="0" w:space="0" w:color="auto"/>
                    <w:right w:val="none" w:sz="0" w:space="0" w:color="auto"/>
                  </w:divBdr>
                  <w:divsChild>
                    <w:div w:id="219439826">
                      <w:marLeft w:val="0"/>
                      <w:marRight w:val="0"/>
                      <w:marTop w:val="0"/>
                      <w:marBottom w:val="0"/>
                      <w:divBdr>
                        <w:top w:val="none" w:sz="0" w:space="0" w:color="auto"/>
                        <w:left w:val="none" w:sz="0" w:space="0" w:color="auto"/>
                        <w:bottom w:val="none" w:sz="0" w:space="0" w:color="auto"/>
                        <w:right w:val="none" w:sz="0" w:space="0" w:color="auto"/>
                      </w:divBdr>
                    </w:div>
                  </w:divsChild>
                </w:div>
                <w:div w:id="971860452">
                  <w:marLeft w:val="0"/>
                  <w:marRight w:val="0"/>
                  <w:marTop w:val="0"/>
                  <w:marBottom w:val="0"/>
                  <w:divBdr>
                    <w:top w:val="none" w:sz="0" w:space="0" w:color="auto"/>
                    <w:left w:val="none" w:sz="0" w:space="0" w:color="auto"/>
                    <w:bottom w:val="none" w:sz="0" w:space="0" w:color="auto"/>
                    <w:right w:val="none" w:sz="0" w:space="0" w:color="auto"/>
                  </w:divBdr>
                  <w:divsChild>
                    <w:div w:id="1011300250">
                      <w:marLeft w:val="0"/>
                      <w:marRight w:val="0"/>
                      <w:marTop w:val="0"/>
                      <w:marBottom w:val="0"/>
                      <w:divBdr>
                        <w:top w:val="none" w:sz="0" w:space="0" w:color="auto"/>
                        <w:left w:val="none" w:sz="0" w:space="0" w:color="auto"/>
                        <w:bottom w:val="none" w:sz="0" w:space="0" w:color="auto"/>
                        <w:right w:val="none" w:sz="0" w:space="0" w:color="auto"/>
                      </w:divBdr>
                    </w:div>
                  </w:divsChild>
                </w:div>
                <w:div w:id="972295542">
                  <w:marLeft w:val="0"/>
                  <w:marRight w:val="0"/>
                  <w:marTop w:val="0"/>
                  <w:marBottom w:val="0"/>
                  <w:divBdr>
                    <w:top w:val="none" w:sz="0" w:space="0" w:color="auto"/>
                    <w:left w:val="none" w:sz="0" w:space="0" w:color="auto"/>
                    <w:bottom w:val="none" w:sz="0" w:space="0" w:color="auto"/>
                    <w:right w:val="none" w:sz="0" w:space="0" w:color="auto"/>
                  </w:divBdr>
                  <w:divsChild>
                    <w:div w:id="386729889">
                      <w:marLeft w:val="0"/>
                      <w:marRight w:val="0"/>
                      <w:marTop w:val="0"/>
                      <w:marBottom w:val="0"/>
                      <w:divBdr>
                        <w:top w:val="none" w:sz="0" w:space="0" w:color="auto"/>
                        <w:left w:val="none" w:sz="0" w:space="0" w:color="auto"/>
                        <w:bottom w:val="none" w:sz="0" w:space="0" w:color="auto"/>
                        <w:right w:val="none" w:sz="0" w:space="0" w:color="auto"/>
                      </w:divBdr>
                    </w:div>
                  </w:divsChild>
                </w:div>
                <w:div w:id="1064837425">
                  <w:marLeft w:val="0"/>
                  <w:marRight w:val="0"/>
                  <w:marTop w:val="0"/>
                  <w:marBottom w:val="0"/>
                  <w:divBdr>
                    <w:top w:val="none" w:sz="0" w:space="0" w:color="auto"/>
                    <w:left w:val="none" w:sz="0" w:space="0" w:color="auto"/>
                    <w:bottom w:val="none" w:sz="0" w:space="0" w:color="auto"/>
                    <w:right w:val="none" w:sz="0" w:space="0" w:color="auto"/>
                  </w:divBdr>
                  <w:divsChild>
                    <w:div w:id="457650034">
                      <w:marLeft w:val="0"/>
                      <w:marRight w:val="0"/>
                      <w:marTop w:val="0"/>
                      <w:marBottom w:val="0"/>
                      <w:divBdr>
                        <w:top w:val="none" w:sz="0" w:space="0" w:color="auto"/>
                        <w:left w:val="none" w:sz="0" w:space="0" w:color="auto"/>
                        <w:bottom w:val="none" w:sz="0" w:space="0" w:color="auto"/>
                        <w:right w:val="none" w:sz="0" w:space="0" w:color="auto"/>
                      </w:divBdr>
                    </w:div>
                  </w:divsChild>
                </w:div>
                <w:div w:id="1126896747">
                  <w:marLeft w:val="0"/>
                  <w:marRight w:val="0"/>
                  <w:marTop w:val="0"/>
                  <w:marBottom w:val="0"/>
                  <w:divBdr>
                    <w:top w:val="none" w:sz="0" w:space="0" w:color="auto"/>
                    <w:left w:val="none" w:sz="0" w:space="0" w:color="auto"/>
                    <w:bottom w:val="none" w:sz="0" w:space="0" w:color="auto"/>
                    <w:right w:val="none" w:sz="0" w:space="0" w:color="auto"/>
                  </w:divBdr>
                  <w:divsChild>
                    <w:div w:id="552237253">
                      <w:marLeft w:val="0"/>
                      <w:marRight w:val="0"/>
                      <w:marTop w:val="0"/>
                      <w:marBottom w:val="0"/>
                      <w:divBdr>
                        <w:top w:val="none" w:sz="0" w:space="0" w:color="auto"/>
                        <w:left w:val="none" w:sz="0" w:space="0" w:color="auto"/>
                        <w:bottom w:val="none" w:sz="0" w:space="0" w:color="auto"/>
                        <w:right w:val="none" w:sz="0" w:space="0" w:color="auto"/>
                      </w:divBdr>
                    </w:div>
                  </w:divsChild>
                </w:div>
                <w:div w:id="1182205288">
                  <w:marLeft w:val="0"/>
                  <w:marRight w:val="0"/>
                  <w:marTop w:val="0"/>
                  <w:marBottom w:val="0"/>
                  <w:divBdr>
                    <w:top w:val="none" w:sz="0" w:space="0" w:color="auto"/>
                    <w:left w:val="none" w:sz="0" w:space="0" w:color="auto"/>
                    <w:bottom w:val="none" w:sz="0" w:space="0" w:color="auto"/>
                    <w:right w:val="none" w:sz="0" w:space="0" w:color="auto"/>
                  </w:divBdr>
                  <w:divsChild>
                    <w:div w:id="2025667083">
                      <w:marLeft w:val="0"/>
                      <w:marRight w:val="0"/>
                      <w:marTop w:val="0"/>
                      <w:marBottom w:val="0"/>
                      <w:divBdr>
                        <w:top w:val="none" w:sz="0" w:space="0" w:color="auto"/>
                        <w:left w:val="none" w:sz="0" w:space="0" w:color="auto"/>
                        <w:bottom w:val="none" w:sz="0" w:space="0" w:color="auto"/>
                        <w:right w:val="none" w:sz="0" w:space="0" w:color="auto"/>
                      </w:divBdr>
                    </w:div>
                  </w:divsChild>
                </w:div>
                <w:div w:id="1224487360">
                  <w:marLeft w:val="0"/>
                  <w:marRight w:val="0"/>
                  <w:marTop w:val="0"/>
                  <w:marBottom w:val="0"/>
                  <w:divBdr>
                    <w:top w:val="none" w:sz="0" w:space="0" w:color="auto"/>
                    <w:left w:val="none" w:sz="0" w:space="0" w:color="auto"/>
                    <w:bottom w:val="none" w:sz="0" w:space="0" w:color="auto"/>
                    <w:right w:val="none" w:sz="0" w:space="0" w:color="auto"/>
                  </w:divBdr>
                  <w:divsChild>
                    <w:div w:id="1217624545">
                      <w:marLeft w:val="0"/>
                      <w:marRight w:val="0"/>
                      <w:marTop w:val="0"/>
                      <w:marBottom w:val="0"/>
                      <w:divBdr>
                        <w:top w:val="none" w:sz="0" w:space="0" w:color="auto"/>
                        <w:left w:val="none" w:sz="0" w:space="0" w:color="auto"/>
                        <w:bottom w:val="none" w:sz="0" w:space="0" w:color="auto"/>
                        <w:right w:val="none" w:sz="0" w:space="0" w:color="auto"/>
                      </w:divBdr>
                    </w:div>
                  </w:divsChild>
                </w:div>
                <w:div w:id="1245140970">
                  <w:marLeft w:val="0"/>
                  <w:marRight w:val="0"/>
                  <w:marTop w:val="0"/>
                  <w:marBottom w:val="0"/>
                  <w:divBdr>
                    <w:top w:val="none" w:sz="0" w:space="0" w:color="auto"/>
                    <w:left w:val="none" w:sz="0" w:space="0" w:color="auto"/>
                    <w:bottom w:val="none" w:sz="0" w:space="0" w:color="auto"/>
                    <w:right w:val="none" w:sz="0" w:space="0" w:color="auto"/>
                  </w:divBdr>
                  <w:divsChild>
                    <w:div w:id="328141660">
                      <w:marLeft w:val="0"/>
                      <w:marRight w:val="0"/>
                      <w:marTop w:val="0"/>
                      <w:marBottom w:val="0"/>
                      <w:divBdr>
                        <w:top w:val="none" w:sz="0" w:space="0" w:color="auto"/>
                        <w:left w:val="none" w:sz="0" w:space="0" w:color="auto"/>
                        <w:bottom w:val="none" w:sz="0" w:space="0" w:color="auto"/>
                        <w:right w:val="none" w:sz="0" w:space="0" w:color="auto"/>
                      </w:divBdr>
                    </w:div>
                  </w:divsChild>
                </w:div>
                <w:div w:id="1256940536">
                  <w:marLeft w:val="0"/>
                  <w:marRight w:val="0"/>
                  <w:marTop w:val="0"/>
                  <w:marBottom w:val="0"/>
                  <w:divBdr>
                    <w:top w:val="none" w:sz="0" w:space="0" w:color="auto"/>
                    <w:left w:val="none" w:sz="0" w:space="0" w:color="auto"/>
                    <w:bottom w:val="none" w:sz="0" w:space="0" w:color="auto"/>
                    <w:right w:val="none" w:sz="0" w:space="0" w:color="auto"/>
                  </w:divBdr>
                  <w:divsChild>
                    <w:div w:id="992369752">
                      <w:marLeft w:val="0"/>
                      <w:marRight w:val="0"/>
                      <w:marTop w:val="0"/>
                      <w:marBottom w:val="0"/>
                      <w:divBdr>
                        <w:top w:val="none" w:sz="0" w:space="0" w:color="auto"/>
                        <w:left w:val="none" w:sz="0" w:space="0" w:color="auto"/>
                        <w:bottom w:val="none" w:sz="0" w:space="0" w:color="auto"/>
                        <w:right w:val="none" w:sz="0" w:space="0" w:color="auto"/>
                      </w:divBdr>
                    </w:div>
                  </w:divsChild>
                </w:div>
                <w:div w:id="1267887116">
                  <w:marLeft w:val="0"/>
                  <w:marRight w:val="0"/>
                  <w:marTop w:val="0"/>
                  <w:marBottom w:val="0"/>
                  <w:divBdr>
                    <w:top w:val="none" w:sz="0" w:space="0" w:color="auto"/>
                    <w:left w:val="none" w:sz="0" w:space="0" w:color="auto"/>
                    <w:bottom w:val="none" w:sz="0" w:space="0" w:color="auto"/>
                    <w:right w:val="none" w:sz="0" w:space="0" w:color="auto"/>
                  </w:divBdr>
                  <w:divsChild>
                    <w:div w:id="644624212">
                      <w:marLeft w:val="0"/>
                      <w:marRight w:val="0"/>
                      <w:marTop w:val="0"/>
                      <w:marBottom w:val="0"/>
                      <w:divBdr>
                        <w:top w:val="none" w:sz="0" w:space="0" w:color="auto"/>
                        <w:left w:val="none" w:sz="0" w:space="0" w:color="auto"/>
                        <w:bottom w:val="none" w:sz="0" w:space="0" w:color="auto"/>
                        <w:right w:val="none" w:sz="0" w:space="0" w:color="auto"/>
                      </w:divBdr>
                    </w:div>
                  </w:divsChild>
                </w:div>
                <w:div w:id="1376539875">
                  <w:marLeft w:val="0"/>
                  <w:marRight w:val="0"/>
                  <w:marTop w:val="0"/>
                  <w:marBottom w:val="0"/>
                  <w:divBdr>
                    <w:top w:val="none" w:sz="0" w:space="0" w:color="auto"/>
                    <w:left w:val="none" w:sz="0" w:space="0" w:color="auto"/>
                    <w:bottom w:val="none" w:sz="0" w:space="0" w:color="auto"/>
                    <w:right w:val="none" w:sz="0" w:space="0" w:color="auto"/>
                  </w:divBdr>
                  <w:divsChild>
                    <w:div w:id="1264849333">
                      <w:marLeft w:val="0"/>
                      <w:marRight w:val="0"/>
                      <w:marTop w:val="0"/>
                      <w:marBottom w:val="0"/>
                      <w:divBdr>
                        <w:top w:val="none" w:sz="0" w:space="0" w:color="auto"/>
                        <w:left w:val="none" w:sz="0" w:space="0" w:color="auto"/>
                        <w:bottom w:val="none" w:sz="0" w:space="0" w:color="auto"/>
                        <w:right w:val="none" w:sz="0" w:space="0" w:color="auto"/>
                      </w:divBdr>
                    </w:div>
                  </w:divsChild>
                </w:div>
                <w:div w:id="1427577646">
                  <w:marLeft w:val="0"/>
                  <w:marRight w:val="0"/>
                  <w:marTop w:val="0"/>
                  <w:marBottom w:val="0"/>
                  <w:divBdr>
                    <w:top w:val="none" w:sz="0" w:space="0" w:color="auto"/>
                    <w:left w:val="none" w:sz="0" w:space="0" w:color="auto"/>
                    <w:bottom w:val="none" w:sz="0" w:space="0" w:color="auto"/>
                    <w:right w:val="none" w:sz="0" w:space="0" w:color="auto"/>
                  </w:divBdr>
                  <w:divsChild>
                    <w:div w:id="39404668">
                      <w:marLeft w:val="0"/>
                      <w:marRight w:val="0"/>
                      <w:marTop w:val="0"/>
                      <w:marBottom w:val="0"/>
                      <w:divBdr>
                        <w:top w:val="none" w:sz="0" w:space="0" w:color="auto"/>
                        <w:left w:val="none" w:sz="0" w:space="0" w:color="auto"/>
                        <w:bottom w:val="none" w:sz="0" w:space="0" w:color="auto"/>
                        <w:right w:val="none" w:sz="0" w:space="0" w:color="auto"/>
                      </w:divBdr>
                    </w:div>
                  </w:divsChild>
                </w:div>
                <w:div w:id="1478721501">
                  <w:marLeft w:val="0"/>
                  <w:marRight w:val="0"/>
                  <w:marTop w:val="0"/>
                  <w:marBottom w:val="0"/>
                  <w:divBdr>
                    <w:top w:val="none" w:sz="0" w:space="0" w:color="auto"/>
                    <w:left w:val="none" w:sz="0" w:space="0" w:color="auto"/>
                    <w:bottom w:val="none" w:sz="0" w:space="0" w:color="auto"/>
                    <w:right w:val="none" w:sz="0" w:space="0" w:color="auto"/>
                  </w:divBdr>
                  <w:divsChild>
                    <w:div w:id="1491562746">
                      <w:marLeft w:val="0"/>
                      <w:marRight w:val="0"/>
                      <w:marTop w:val="0"/>
                      <w:marBottom w:val="0"/>
                      <w:divBdr>
                        <w:top w:val="none" w:sz="0" w:space="0" w:color="auto"/>
                        <w:left w:val="none" w:sz="0" w:space="0" w:color="auto"/>
                        <w:bottom w:val="none" w:sz="0" w:space="0" w:color="auto"/>
                        <w:right w:val="none" w:sz="0" w:space="0" w:color="auto"/>
                      </w:divBdr>
                    </w:div>
                  </w:divsChild>
                </w:div>
                <w:div w:id="1485389068">
                  <w:marLeft w:val="0"/>
                  <w:marRight w:val="0"/>
                  <w:marTop w:val="0"/>
                  <w:marBottom w:val="0"/>
                  <w:divBdr>
                    <w:top w:val="none" w:sz="0" w:space="0" w:color="auto"/>
                    <w:left w:val="none" w:sz="0" w:space="0" w:color="auto"/>
                    <w:bottom w:val="none" w:sz="0" w:space="0" w:color="auto"/>
                    <w:right w:val="none" w:sz="0" w:space="0" w:color="auto"/>
                  </w:divBdr>
                  <w:divsChild>
                    <w:div w:id="263659104">
                      <w:marLeft w:val="0"/>
                      <w:marRight w:val="0"/>
                      <w:marTop w:val="0"/>
                      <w:marBottom w:val="0"/>
                      <w:divBdr>
                        <w:top w:val="none" w:sz="0" w:space="0" w:color="auto"/>
                        <w:left w:val="none" w:sz="0" w:space="0" w:color="auto"/>
                        <w:bottom w:val="none" w:sz="0" w:space="0" w:color="auto"/>
                        <w:right w:val="none" w:sz="0" w:space="0" w:color="auto"/>
                      </w:divBdr>
                    </w:div>
                    <w:div w:id="808286167">
                      <w:marLeft w:val="0"/>
                      <w:marRight w:val="0"/>
                      <w:marTop w:val="0"/>
                      <w:marBottom w:val="0"/>
                      <w:divBdr>
                        <w:top w:val="none" w:sz="0" w:space="0" w:color="auto"/>
                        <w:left w:val="none" w:sz="0" w:space="0" w:color="auto"/>
                        <w:bottom w:val="none" w:sz="0" w:space="0" w:color="auto"/>
                        <w:right w:val="none" w:sz="0" w:space="0" w:color="auto"/>
                      </w:divBdr>
                    </w:div>
                  </w:divsChild>
                </w:div>
                <w:div w:id="1725719248">
                  <w:marLeft w:val="0"/>
                  <w:marRight w:val="0"/>
                  <w:marTop w:val="0"/>
                  <w:marBottom w:val="0"/>
                  <w:divBdr>
                    <w:top w:val="none" w:sz="0" w:space="0" w:color="auto"/>
                    <w:left w:val="none" w:sz="0" w:space="0" w:color="auto"/>
                    <w:bottom w:val="none" w:sz="0" w:space="0" w:color="auto"/>
                    <w:right w:val="none" w:sz="0" w:space="0" w:color="auto"/>
                  </w:divBdr>
                  <w:divsChild>
                    <w:div w:id="54546480">
                      <w:marLeft w:val="0"/>
                      <w:marRight w:val="0"/>
                      <w:marTop w:val="0"/>
                      <w:marBottom w:val="0"/>
                      <w:divBdr>
                        <w:top w:val="none" w:sz="0" w:space="0" w:color="auto"/>
                        <w:left w:val="none" w:sz="0" w:space="0" w:color="auto"/>
                        <w:bottom w:val="none" w:sz="0" w:space="0" w:color="auto"/>
                        <w:right w:val="none" w:sz="0" w:space="0" w:color="auto"/>
                      </w:divBdr>
                    </w:div>
                  </w:divsChild>
                </w:div>
                <w:div w:id="1810828262">
                  <w:marLeft w:val="0"/>
                  <w:marRight w:val="0"/>
                  <w:marTop w:val="0"/>
                  <w:marBottom w:val="0"/>
                  <w:divBdr>
                    <w:top w:val="none" w:sz="0" w:space="0" w:color="auto"/>
                    <w:left w:val="none" w:sz="0" w:space="0" w:color="auto"/>
                    <w:bottom w:val="none" w:sz="0" w:space="0" w:color="auto"/>
                    <w:right w:val="none" w:sz="0" w:space="0" w:color="auto"/>
                  </w:divBdr>
                  <w:divsChild>
                    <w:div w:id="1425999451">
                      <w:marLeft w:val="0"/>
                      <w:marRight w:val="0"/>
                      <w:marTop w:val="0"/>
                      <w:marBottom w:val="0"/>
                      <w:divBdr>
                        <w:top w:val="none" w:sz="0" w:space="0" w:color="auto"/>
                        <w:left w:val="none" w:sz="0" w:space="0" w:color="auto"/>
                        <w:bottom w:val="none" w:sz="0" w:space="0" w:color="auto"/>
                        <w:right w:val="none" w:sz="0" w:space="0" w:color="auto"/>
                      </w:divBdr>
                    </w:div>
                  </w:divsChild>
                </w:div>
                <w:div w:id="1846435581">
                  <w:marLeft w:val="0"/>
                  <w:marRight w:val="0"/>
                  <w:marTop w:val="0"/>
                  <w:marBottom w:val="0"/>
                  <w:divBdr>
                    <w:top w:val="none" w:sz="0" w:space="0" w:color="auto"/>
                    <w:left w:val="none" w:sz="0" w:space="0" w:color="auto"/>
                    <w:bottom w:val="none" w:sz="0" w:space="0" w:color="auto"/>
                    <w:right w:val="none" w:sz="0" w:space="0" w:color="auto"/>
                  </w:divBdr>
                  <w:divsChild>
                    <w:div w:id="1670789597">
                      <w:marLeft w:val="0"/>
                      <w:marRight w:val="0"/>
                      <w:marTop w:val="0"/>
                      <w:marBottom w:val="0"/>
                      <w:divBdr>
                        <w:top w:val="none" w:sz="0" w:space="0" w:color="auto"/>
                        <w:left w:val="none" w:sz="0" w:space="0" w:color="auto"/>
                        <w:bottom w:val="none" w:sz="0" w:space="0" w:color="auto"/>
                        <w:right w:val="none" w:sz="0" w:space="0" w:color="auto"/>
                      </w:divBdr>
                    </w:div>
                  </w:divsChild>
                </w:div>
                <w:div w:id="1958219755">
                  <w:marLeft w:val="0"/>
                  <w:marRight w:val="0"/>
                  <w:marTop w:val="0"/>
                  <w:marBottom w:val="0"/>
                  <w:divBdr>
                    <w:top w:val="none" w:sz="0" w:space="0" w:color="auto"/>
                    <w:left w:val="none" w:sz="0" w:space="0" w:color="auto"/>
                    <w:bottom w:val="none" w:sz="0" w:space="0" w:color="auto"/>
                    <w:right w:val="none" w:sz="0" w:space="0" w:color="auto"/>
                  </w:divBdr>
                  <w:divsChild>
                    <w:div w:id="1577666598">
                      <w:marLeft w:val="0"/>
                      <w:marRight w:val="0"/>
                      <w:marTop w:val="0"/>
                      <w:marBottom w:val="0"/>
                      <w:divBdr>
                        <w:top w:val="none" w:sz="0" w:space="0" w:color="auto"/>
                        <w:left w:val="none" w:sz="0" w:space="0" w:color="auto"/>
                        <w:bottom w:val="none" w:sz="0" w:space="0" w:color="auto"/>
                        <w:right w:val="none" w:sz="0" w:space="0" w:color="auto"/>
                      </w:divBdr>
                    </w:div>
                  </w:divsChild>
                </w:div>
                <w:div w:id="2055033092">
                  <w:marLeft w:val="0"/>
                  <w:marRight w:val="0"/>
                  <w:marTop w:val="0"/>
                  <w:marBottom w:val="0"/>
                  <w:divBdr>
                    <w:top w:val="none" w:sz="0" w:space="0" w:color="auto"/>
                    <w:left w:val="none" w:sz="0" w:space="0" w:color="auto"/>
                    <w:bottom w:val="none" w:sz="0" w:space="0" w:color="auto"/>
                    <w:right w:val="none" w:sz="0" w:space="0" w:color="auto"/>
                  </w:divBdr>
                  <w:divsChild>
                    <w:div w:id="40322700">
                      <w:marLeft w:val="0"/>
                      <w:marRight w:val="0"/>
                      <w:marTop w:val="0"/>
                      <w:marBottom w:val="0"/>
                      <w:divBdr>
                        <w:top w:val="none" w:sz="0" w:space="0" w:color="auto"/>
                        <w:left w:val="none" w:sz="0" w:space="0" w:color="auto"/>
                        <w:bottom w:val="none" w:sz="0" w:space="0" w:color="auto"/>
                        <w:right w:val="none" w:sz="0" w:space="0" w:color="auto"/>
                      </w:divBdr>
                    </w:div>
                  </w:divsChild>
                </w:div>
                <w:div w:id="2136633303">
                  <w:marLeft w:val="0"/>
                  <w:marRight w:val="0"/>
                  <w:marTop w:val="0"/>
                  <w:marBottom w:val="0"/>
                  <w:divBdr>
                    <w:top w:val="none" w:sz="0" w:space="0" w:color="auto"/>
                    <w:left w:val="none" w:sz="0" w:space="0" w:color="auto"/>
                    <w:bottom w:val="none" w:sz="0" w:space="0" w:color="auto"/>
                    <w:right w:val="none" w:sz="0" w:space="0" w:color="auto"/>
                  </w:divBdr>
                  <w:divsChild>
                    <w:div w:id="321814317">
                      <w:marLeft w:val="0"/>
                      <w:marRight w:val="0"/>
                      <w:marTop w:val="0"/>
                      <w:marBottom w:val="0"/>
                      <w:divBdr>
                        <w:top w:val="none" w:sz="0" w:space="0" w:color="auto"/>
                        <w:left w:val="none" w:sz="0" w:space="0" w:color="auto"/>
                        <w:bottom w:val="none" w:sz="0" w:space="0" w:color="auto"/>
                        <w:right w:val="none" w:sz="0" w:space="0" w:color="auto"/>
                      </w:divBdr>
                    </w:div>
                  </w:divsChild>
                </w:div>
                <w:div w:id="2146316585">
                  <w:marLeft w:val="0"/>
                  <w:marRight w:val="0"/>
                  <w:marTop w:val="0"/>
                  <w:marBottom w:val="0"/>
                  <w:divBdr>
                    <w:top w:val="none" w:sz="0" w:space="0" w:color="auto"/>
                    <w:left w:val="none" w:sz="0" w:space="0" w:color="auto"/>
                    <w:bottom w:val="none" w:sz="0" w:space="0" w:color="auto"/>
                    <w:right w:val="none" w:sz="0" w:space="0" w:color="auto"/>
                  </w:divBdr>
                  <w:divsChild>
                    <w:div w:id="18159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50425">
          <w:marLeft w:val="0"/>
          <w:marRight w:val="0"/>
          <w:marTop w:val="0"/>
          <w:marBottom w:val="0"/>
          <w:divBdr>
            <w:top w:val="none" w:sz="0" w:space="0" w:color="auto"/>
            <w:left w:val="none" w:sz="0" w:space="0" w:color="auto"/>
            <w:bottom w:val="none" w:sz="0" w:space="0" w:color="auto"/>
            <w:right w:val="none" w:sz="0" w:space="0" w:color="auto"/>
          </w:divBdr>
        </w:div>
        <w:div w:id="961963282">
          <w:marLeft w:val="0"/>
          <w:marRight w:val="0"/>
          <w:marTop w:val="0"/>
          <w:marBottom w:val="0"/>
          <w:divBdr>
            <w:top w:val="none" w:sz="0" w:space="0" w:color="auto"/>
            <w:left w:val="none" w:sz="0" w:space="0" w:color="auto"/>
            <w:bottom w:val="none" w:sz="0" w:space="0" w:color="auto"/>
            <w:right w:val="none" w:sz="0" w:space="0" w:color="auto"/>
          </w:divBdr>
        </w:div>
        <w:div w:id="1101216803">
          <w:marLeft w:val="0"/>
          <w:marRight w:val="0"/>
          <w:marTop w:val="0"/>
          <w:marBottom w:val="0"/>
          <w:divBdr>
            <w:top w:val="none" w:sz="0" w:space="0" w:color="auto"/>
            <w:left w:val="none" w:sz="0" w:space="0" w:color="auto"/>
            <w:bottom w:val="none" w:sz="0" w:space="0" w:color="auto"/>
            <w:right w:val="none" w:sz="0" w:space="0" w:color="auto"/>
          </w:divBdr>
        </w:div>
        <w:div w:id="1269192697">
          <w:marLeft w:val="0"/>
          <w:marRight w:val="0"/>
          <w:marTop w:val="0"/>
          <w:marBottom w:val="0"/>
          <w:divBdr>
            <w:top w:val="none" w:sz="0" w:space="0" w:color="auto"/>
            <w:left w:val="none" w:sz="0" w:space="0" w:color="auto"/>
            <w:bottom w:val="none" w:sz="0" w:space="0" w:color="auto"/>
            <w:right w:val="none" w:sz="0" w:space="0" w:color="auto"/>
          </w:divBdr>
        </w:div>
        <w:div w:id="1705328989">
          <w:marLeft w:val="0"/>
          <w:marRight w:val="0"/>
          <w:marTop w:val="0"/>
          <w:marBottom w:val="0"/>
          <w:divBdr>
            <w:top w:val="none" w:sz="0" w:space="0" w:color="auto"/>
            <w:left w:val="none" w:sz="0" w:space="0" w:color="auto"/>
            <w:bottom w:val="none" w:sz="0" w:space="0" w:color="auto"/>
            <w:right w:val="none" w:sz="0" w:space="0" w:color="auto"/>
          </w:divBdr>
          <w:divsChild>
            <w:div w:id="1788616862">
              <w:marLeft w:val="-75"/>
              <w:marRight w:val="0"/>
              <w:marTop w:val="30"/>
              <w:marBottom w:val="30"/>
              <w:divBdr>
                <w:top w:val="none" w:sz="0" w:space="0" w:color="auto"/>
                <w:left w:val="none" w:sz="0" w:space="0" w:color="auto"/>
                <w:bottom w:val="none" w:sz="0" w:space="0" w:color="auto"/>
                <w:right w:val="none" w:sz="0" w:space="0" w:color="auto"/>
              </w:divBdr>
              <w:divsChild>
                <w:div w:id="4063445">
                  <w:marLeft w:val="0"/>
                  <w:marRight w:val="0"/>
                  <w:marTop w:val="0"/>
                  <w:marBottom w:val="0"/>
                  <w:divBdr>
                    <w:top w:val="none" w:sz="0" w:space="0" w:color="auto"/>
                    <w:left w:val="none" w:sz="0" w:space="0" w:color="auto"/>
                    <w:bottom w:val="none" w:sz="0" w:space="0" w:color="auto"/>
                    <w:right w:val="none" w:sz="0" w:space="0" w:color="auto"/>
                  </w:divBdr>
                  <w:divsChild>
                    <w:div w:id="513149809">
                      <w:marLeft w:val="0"/>
                      <w:marRight w:val="0"/>
                      <w:marTop w:val="0"/>
                      <w:marBottom w:val="0"/>
                      <w:divBdr>
                        <w:top w:val="none" w:sz="0" w:space="0" w:color="auto"/>
                        <w:left w:val="none" w:sz="0" w:space="0" w:color="auto"/>
                        <w:bottom w:val="none" w:sz="0" w:space="0" w:color="auto"/>
                        <w:right w:val="none" w:sz="0" w:space="0" w:color="auto"/>
                      </w:divBdr>
                    </w:div>
                  </w:divsChild>
                </w:div>
                <w:div w:id="11223834">
                  <w:marLeft w:val="0"/>
                  <w:marRight w:val="0"/>
                  <w:marTop w:val="0"/>
                  <w:marBottom w:val="0"/>
                  <w:divBdr>
                    <w:top w:val="none" w:sz="0" w:space="0" w:color="auto"/>
                    <w:left w:val="none" w:sz="0" w:space="0" w:color="auto"/>
                    <w:bottom w:val="none" w:sz="0" w:space="0" w:color="auto"/>
                    <w:right w:val="none" w:sz="0" w:space="0" w:color="auto"/>
                  </w:divBdr>
                  <w:divsChild>
                    <w:div w:id="188495661">
                      <w:marLeft w:val="0"/>
                      <w:marRight w:val="0"/>
                      <w:marTop w:val="0"/>
                      <w:marBottom w:val="0"/>
                      <w:divBdr>
                        <w:top w:val="none" w:sz="0" w:space="0" w:color="auto"/>
                        <w:left w:val="none" w:sz="0" w:space="0" w:color="auto"/>
                        <w:bottom w:val="none" w:sz="0" w:space="0" w:color="auto"/>
                        <w:right w:val="none" w:sz="0" w:space="0" w:color="auto"/>
                      </w:divBdr>
                    </w:div>
                    <w:div w:id="1559852050">
                      <w:marLeft w:val="0"/>
                      <w:marRight w:val="0"/>
                      <w:marTop w:val="0"/>
                      <w:marBottom w:val="0"/>
                      <w:divBdr>
                        <w:top w:val="none" w:sz="0" w:space="0" w:color="auto"/>
                        <w:left w:val="none" w:sz="0" w:space="0" w:color="auto"/>
                        <w:bottom w:val="none" w:sz="0" w:space="0" w:color="auto"/>
                        <w:right w:val="none" w:sz="0" w:space="0" w:color="auto"/>
                      </w:divBdr>
                    </w:div>
                  </w:divsChild>
                </w:div>
                <w:div w:id="349334824">
                  <w:marLeft w:val="0"/>
                  <w:marRight w:val="0"/>
                  <w:marTop w:val="0"/>
                  <w:marBottom w:val="0"/>
                  <w:divBdr>
                    <w:top w:val="none" w:sz="0" w:space="0" w:color="auto"/>
                    <w:left w:val="none" w:sz="0" w:space="0" w:color="auto"/>
                    <w:bottom w:val="none" w:sz="0" w:space="0" w:color="auto"/>
                    <w:right w:val="none" w:sz="0" w:space="0" w:color="auto"/>
                  </w:divBdr>
                  <w:divsChild>
                    <w:div w:id="1656107963">
                      <w:marLeft w:val="0"/>
                      <w:marRight w:val="0"/>
                      <w:marTop w:val="0"/>
                      <w:marBottom w:val="0"/>
                      <w:divBdr>
                        <w:top w:val="none" w:sz="0" w:space="0" w:color="auto"/>
                        <w:left w:val="none" w:sz="0" w:space="0" w:color="auto"/>
                        <w:bottom w:val="none" w:sz="0" w:space="0" w:color="auto"/>
                        <w:right w:val="none" w:sz="0" w:space="0" w:color="auto"/>
                      </w:divBdr>
                    </w:div>
                  </w:divsChild>
                </w:div>
                <w:div w:id="420376380">
                  <w:marLeft w:val="0"/>
                  <w:marRight w:val="0"/>
                  <w:marTop w:val="0"/>
                  <w:marBottom w:val="0"/>
                  <w:divBdr>
                    <w:top w:val="none" w:sz="0" w:space="0" w:color="auto"/>
                    <w:left w:val="none" w:sz="0" w:space="0" w:color="auto"/>
                    <w:bottom w:val="none" w:sz="0" w:space="0" w:color="auto"/>
                    <w:right w:val="none" w:sz="0" w:space="0" w:color="auto"/>
                  </w:divBdr>
                  <w:divsChild>
                    <w:div w:id="1065487605">
                      <w:marLeft w:val="0"/>
                      <w:marRight w:val="0"/>
                      <w:marTop w:val="0"/>
                      <w:marBottom w:val="0"/>
                      <w:divBdr>
                        <w:top w:val="none" w:sz="0" w:space="0" w:color="auto"/>
                        <w:left w:val="none" w:sz="0" w:space="0" w:color="auto"/>
                        <w:bottom w:val="none" w:sz="0" w:space="0" w:color="auto"/>
                        <w:right w:val="none" w:sz="0" w:space="0" w:color="auto"/>
                      </w:divBdr>
                    </w:div>
                  </w:divsChild>
                </w:div>
                <w:div w:id="469056953">
                  <w:marLeft w:val="0"/>
                  <w:marRight w:val="0"/>
                  <w:marTop w:val="0"/>
                  <w:marBottom w:val="0"/>
                  <w:divBdr>
                    <w:top w:val="none" w:sz="0" w:space="0" w:color="auto"/>
                    <w:left w:val="none" w:sz="0" w:space="0" w:color="auto"/>
                    <w:bottom w:val="none" w:sz="0" w:space="0" w:color="auto"/>
                    <w:right w:val="none" w:sz="0" w:space="0" w:color="auto"/>
                  </w:divBdr>
                  <w:divsChild>
                    <w:div w:id="841775050">
                      <w:marLeft w:val="0"/>
                      <w:marRight w:val="0"/>
                      <w:marTop w:val="0"/>
                      <w:marBottom w:val="0"/>
                      <w:divBdr>
                        <w:top w:val="none" w:sz="0" w:space="0" w:color="auto"/>
                        <w:left w:val="none" w:sz="0" w:space="0" w:color="auto"/>
                        <w:bottom w:val="none" w:sz="0" w:space="0" w:color="auto"/>
                        <w:right w:val="none" w:sz="0" w:space="0" w:color="auto"/>
                      </w:divBdr>
                    </w:div>
                  </w:divsChild>
                </w:div>
                <w:div w:id="527106186">
                  <w:marLeft w:val="0"/>
                  <w:marRight w:val="0"/>
                  <w:marTop w:val="0"/>
                  <w:marBottom w:val="0"/>
                  <w:divBdr>
                    <w:top w:val="none" w:sz="0" w:space="0" w:color="auto"/>
                    <w:left w:val="none" w:sz="0" w:space="0" w:color="auto"/>
                    <w:bottom w:val="none" w:sz="0" w:space="0" w:color="auto"/>
                    <w:right w:val="none" w:sz="0" w:space="0" w:color="auto"/>
                  </w:divBdr>
                  <w:divsChild>
                    <w:div w:id="60369190">
                      <w:marLeft w:val="0"/>
                      <w:marRight w:val="0"/>
                      <w:marTop w:val="0"/>
                      <w:marBottom w:val="0"/>
                      <w:divBdr>
                        <w:top w:val="none" w:sz="0" w:space="0" w:color="auto"/>
                        <w:left w:val="none" w:sz="0" w:space="0" w:color="auto"/>
                        <w:bottom w:val="none" w:sz="0" w:space="0" w:color="auto"/>
                        <w:right w:val="none" w:sz="0" w:space="0" w:color="auto"/>
                      </w:divBdr>
                    </w:div>
                  </w:divsChild>
                </w:div>
                <w:div w:id="669868860">
                  <w:marLeft w:val="0"/>
                  <w:marRight w:val="0"/>
                  <w:marTop w:val="0"/>
                  <w:marBottom w:val="0"/>
                  <w:divBdr>
                    <w:top w:val="none" w:sz="0" w:space="0" w:color="auto"/>
                    <w:left w:val="none" w:sz="0" w:space="0" w:color="auto"/>
                    <w:bottom w:val="none" w:sz="0" w:space="0" w:color="auto"/>
                    <w:right w:val="none" w:sz="0" w:space="0" w:color="auto"/>
                  </w:divBdr>
                  <w:divsChild>
                    <w:div w:id="1654018021">
                      <w:marLeft w:val="0"/>
                      <w:marRight w:val="0"/>
                      <w:marTop w:val="0"/>
                      <w:marBottom w:val="0"/>
                      <w:divBdr>
                        <w:top w:val="none" w:sz="0" w:space="0" w:color="auto"/>
                        <w:left w:val="none" w:sz="0" w:space="0" w:color="auto"/>
                        <w:bottom w:val="none" w:sz="0" w:space="0" w:color="auto"/>
                        <w:right w:val="none" w:sz="0" w:space="0" w:color="auto"/>
                      </w:divBdr>
                    </w:div>
                  </w:divsChild>
                </w:div>
                <w:div w:id="960498673">
                  <w:marLeft w:val="0"/>
                  <w:marRight w:val="0"/>
                  <w:marTop w:val="0"/>
                  <w:marBottom w:val="0"/>
                  <w:divBdr>
                    <w:top w:val="none" w:sz="0" w:space="0" w:color="auto"/>
                    <w:left w:val="none" w:sz="0" w:space="0" w:color="auto"/>
                    <w:bottom w:val="none" w:sz="0" w:space="0" w:color="auto"/>
                    <w:right w:val="none" w:sz="0" w:space="0" w:color="auto"/>
                  </w:divBdr>
                  <w:divsChild>
                    <w:div w:id="348914182">
                      <w:marLeft w:val="0"/>
                      <w:marRight w:val="0"/>
                      <w:marTop w:val="0"/>
                      <w:marBottom w:val="0"/>
                      <w:divBdr>
                        <w:top w:val="none" w:sz="0" w:space="0" w:color="auto"/>
                        <w:left w:val="none" w:sz="0" w:space="0" w:color="auto"/>
                        <w:bottom w:val="none" w:sz="0" w:space="0" w:color="auto"/>
                        <w:right w:val="none" w:sz="0" w:space="0" w:color="auto"/>
                      </w:divBdr>
                    </w:div>
                  </w:divsChild>
                </w:div>
                <w:div w:id="1211309305">
                  <w:marLeft w:val="0"/>
                  <w:marRight w:val="0"/>
                  <w:marTop w:val="0"/>
                  <w:marBottom w:val="0"/>
                  <w:divBdr>
                    <w:top w:val="none" w:sz="0" w:space="0" w:color="auto"/>
                    <w:left w:val="none" w:sz="0" w:space="0" w:color="auto"/>
                    <w:bottom w:val="none" w:sz="0" w:space="0" w:color="auto"/>
                    <w:right w:val="none" w:sz="0" w:space="0" w:color="auto"/>
                  </w:divBdr>
                  <w:divsChild>
                    <w:div w:id="639383831">
                      <w:marLeft w:val="0"/>
                      <w:marRight w:val="0"/>
                      <w:marTop w:val="0"/>
                      <w:marBottom w:val="0"/>
                      <w:divBdr>
                        <w:top w:val="none" w:sz="0" w:space="0" w:color="auto"/>
                        <w:left w:val="none" w:sz="0" w:space="0" w:color="auto"/>
                        <w:bottom w:val="none" w:sz="0" w:space="0" w:color="auto"/>
                        <w:right w:val="none" w:sz="0" w:space="0" w:color="auto"/>
                      </w:divBdr>
                    </w:div>
                  </w:divsChild>
                </w:div>
                <w:div w:id="1294605369">
                  <w:marLeft w:val="0"/>
                  <w:marRight w:val="0"/>
                  <w:marTop w:val="0"/>
                  <w:marBottom w:val="0"/>
                  <w:divBdr>
                    <w:top w:val="none" w:sz="0" w:space="0" w:color="auto"/>
                    <w:left w:val="none" w:sz="0" w:space="0" w:color="auto"/>
                    <w:bottom w:val="none" w:sz="0" w:space="0" w:color="auto"/>
                    <w:right w:val="none" w:sz="0" w:space="0" w:color="auto"/>
                  </w:divBdr>
                  <w:divsChild>
                    <w:div w:id="167211912">
                      <w:marLeft w:val="0"/>
                      <w:marRight w:val="0"/>
                      <w:marTop w:val="0"/>
                      <w:marBottom w:val="0"/>
                      <w:divBdr>
                        <w:top w:val="none" w:sz="0" w:space="0" w:color="auto"/>
                        <w:left w:val="none" w:sz="0" w:space="0" w:color="auto"/>
                        <w:bottom w:val="none" w:sz="0" w:space="0" w:color="auto"/>
                        <w:right w:val="none" w:sz="0" w:space="0" w:color="auto"/>
                      </w:divBdr>
                    </w:div>
                  </w:divsChild>
                </w:div>
                <w:div w:id="1448160384">
                  <w:marLeft w:val="0"/>
                  <w:marRight w:val="0"/>
                  <w:marTop w:val="0"/>
                  <w:marBottom w:val="0"/>
                  <w:divBdr>
                    <w:top w:val="none" w:sz="0" w:space="0" w:color="auto"/>
                    <w:left w:val="none" w:sz="0" w:space="0" w:color="auto"/>
                    <w:bottom w:val="none" w:sz="0" w:space="0" w:color="auto"/>
                    <w:right w:val="none" w:sz="0" w:space="0" w:color="auto"/>
                  </w:divBdr>
                  <w:divsChild>
                    <w:div w:id="2114746045">
                      <w:marLeft w:val="0"/>
                      <w:marRight w:val="0"/>
                      <w:marTop w:val="0"/>
                      <w:marBottom w:val="0"/>
                      <w:divBdr>
                        <w:top w:val="none" w:sz="0" w:space="0" w:color="auto"/>
                        <w:left w:val="none" w:sz="0" w:space="0" w:color="auto"/>
                        <w:bottom w:val="none" w:sz="0" w:space="0" w:color="auto"/>
                        <w:right w:val="none" w:sz="0" w:space="0" w:color="auto"/>
                      </w:divBdr>
                    </w:div>
                  </w:divsChild>
                </w:div>
                <w:div w:id="1481731692">
                  <w:marLeft w:val="0"/>
                  <w:marRight w:val="0"/>
                  <w:marTop w:val="0"/>
                  <w:marBottom w:val="0"/>
                  <w:divBdr>
                    <w:top w:val="none" w:sz="0" w:space="0" w:color="auto"/>
                    <w:left w:val="none" w:sz="0" w:space="0" w:color="auto"/>
                    <w:bottom w:val="none" w:sz="0" w:space="0" w:color="auto"/>
                    <w:right w:val="none" w:sz="0" w:space="0" w:color="auto"/>
                  </w:divBdr>
                  <w:divsChild>
                    <w:div w:id="1427309087">
                      <w:marLeft w:val="0"/>
                      <w:marRight w:val="0"/>
                      <w:marTop w:val="0"/>
                      <w:marBottom w:val="0"/>
                      <w:divBdr>
                        <w:top w:val="none" w:sz="0" w:space="0" w:color="auto"/>
                        <w:left w:val="none" w:sz="0" w:space="0" w:color="auto"/>
                        <w:bottom w:val="none" w:sz="0" w:space="0" w:color="auto"/>
                        <w:right w:val="none" w:sz="0" w:space="0" w:color="auto"/>
                      </w:divBdr>
                    </w:div>
                  </w:divsChild>
                </w:div>
                <w:div w:id="1604261583">
                  <w:marLeft w:val="0"/>
                  <w:marRight w:val="0"/>
                  <w:marTop w:val="0"/>
                  <w:marBottom w:val="0"/>
                  <w:divBdr>
                    <w:top w:val="none" w:sz="0" w:space="0" w:color="auto"/>
                    <w:left w:val="none" w:sz="0" w:space="0" w:color="auto"/>
                    <w:bottom w:val="none" w:sz="0" w:space="0" w:color="auto"/>
                    <w:right w:val="none" w:sz="0" w:space="0" w:color="auto"/>
                  </w:divBdr>
                  <w:divsChild>
                    <w:div w:id="151676420">
                      <w:marLeft w:val="0"/>
                      <w:marRight w:val="0"/>
                      <w:marTop w:val="0"/>
                      <w:marBottom w:val="0"/>
                      <w:divBdr>
                        <w:top w:val="none" w:sz="0" w:space="0" w:color="auto"/>
                        <w:left w:val="none" w:sz="0" w:space="0" w:color="auto"/>
                        <w:bottom w:val="none" w:sz="0" w:space="0" w:color="auto"/>
                        <w:right w:val="none" w:sz="0" w:space="0" w:color="auto"/>
                      </w:divBdr>
                    </w:div>
                    <w:div w:id="1630428944">
                      <w:marLeft w:val="0"/>
                      <w:marRight w:val="0"/>
                      <w:marTop w:val="0"/>
                      <w:marBottom w:val="0"/>
                      <w:divBdr>
                        <w:top w:val="none" w:sz="0" w:space="0" w:color="auto"/>
                        <w:left w:val="none" w:sz="0" w:space="0" w:color="auto"/>
                        <w:bottom w:val="none" w:sz="0" w:space="0" w:color="auto"/>
                        <w:right w:val="none" w:sz="0" w:space="0" w:color="auto"/>
                      </w:divBdr>
                    </w:div>
                  </w:divsChild>
                </w:div>
                <w:div w:id="1671829099">
                  <w:marLeft w:val="0"/>
                  <w:marRight w:val="0"/>
                  <w:marTop w:val="0"/>
                  <w:marBottom w:val="0"/>
                  <w:divBdr>
                    <w:top w:val="none" w:sz="0" w:space="0" w:color="auto"/>
                    <w:left w:val="none" w:sz="0" w:space="0" w:color="auto"/>
                    <w:bottom w:val="none" w:sz="0" w:space="0" w:color="auto"/>
                    <w:right w:val="none" w:sz="0" w:space="0" w:color="auto"/>
                  </w:divBdr>
                  <w:divsChild>
                    <w:div w:id="2037197893">
                      <w:marLeft w:val="0"/>
                      <w:marRight w:val="0"/>
                      <w:marTop w:val="0"/>
                      <w:marBottom w:val="0"/>
                      <w:divBdr>
                        <w:top w:val="none" w:sz="0" w:space="0" w:color="auto"/>
                        <w:left w:val="none" w:sz="0" w:space="0" w:color="auto"/>
                        <w:bottom w:val="none" w:sz="0" w:space="0" w:color="auto"/>
                        <w:right w:val="none" w:sz="0" w:space="0" w:color="auto"/>
                      </w:divBdr>
                    </w:div>
                  </w:divsChild>
                </w:div>
                <w:div w:id="1727223793">
                  <w:marLeft w:val="0"/>
                  <w:marRight w:val="0"/>
                  <w:marTop w:val="0"/>
                  <w:marBottom w:val="0"/>
                  <w:divBdr>
                    <w:top w:val="none" w:sz="0" w:space="0" w:color="auto"/>
                    <w:left w:val="none" w:sz="0" w:space="0" w:color="auto"/>
                    <w:bottom w:val="none" w:sz="0" w:space="0" w:color="auto"/>
                    <w:right w:val="none" w:sz="0" w:space="0" w:color="auto"/>
                  </w:divBdr>
                  <w:divsChild>
                    <w:div w:id="1115901820">
                      <w:marLeft w:val="0"/>
                      <w:marRight w:val="0"/>
                      <w:marTop w:val="0"/>
                      <w:marBottom w:val="0"/>
                      <w:divBdr>
                        <w:top w:val="none" w:sz="0" w:space="0" w:color="auto"/>
                        <w:left w:val="none" w:sz="0" w:space="0" w:color="auto"/>
                        <w:bottom w:val="none" w:sz="0" w:space="0" w:color="auto"/>
                        <w:right w:val="none" w:sz="0" w:space="0" w:color="auto"/>
                      </w:divBdr>
                    </w:div>
                    <w:div w:id="1455369158">
                      <w:marLeft w:val="0"/>
                      <w:marRight w:val="0"/>
                      <w:marTop w:val="0"/>
                      <w:marBottom w:val="0"/>
                      <w:divBdr>
                        <w:top w:val="none" w:sz="0" w:space="0" w:color="auto"/>
                        <w:left w:val="none" w:sz="0" w:space="0" w:color="auto"/>
                        <w:bottom w:val="none" w:sz="0" w:space="0" w:color="auto"/>
                        <w:right w:val="none" w:sz="0" w:space="0" w:color="auto"/>
                      </w:divBdr>
                    </w:div>
                  </w:divsChild>
                </w:div>
                <w:div w:id="1988239986">
                  <w:marLeft w:val="0"/>
                  <w:marRight w:val="0"/>
                  <w:marTop w:val="0"/>
                  <w:marBottom w:val="0"/>
                  <w:divBdr>
                    <w:top w:val="none" w:sz="0" w:space="0" w:color="auto"/>
                    <w:left w:val="none" w:sz="0" w:space="0" w:color="auto"/>
                    <w:bottom w:val="none" w:sz="0" w:space="0" w:color="auto"/>
                    <w:right w:val="none" w:sz="0" w:space="0" w:color="auto"/>
                  </w:divBdr>
                  <w:divsChild>
                    <w:div w:id="7648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26063">
      <w:bodyDiv w:val="1"/>
      <w:marLeft w:val="0"/>
      <w:marRight w:val="0"/>
      <w:marTop w:val="0"/>
      <w:marBottom w:val="0"/>
      <w:divBdr>
        <w:top w:val="none" w:sz="0" w:space="0" w:color="auto"/>
        <w:left w:val="none" w:sz="0" w:space="0" w:color="auto"/>
        <w:bottom w:val="none" w:sz="0" w:space="0" w:color="auto"/>
        <w:right w:val="none" w:sz="0" w:space="0" w:color="auto"/>
      </w:divBdr>
    </w:div>
    <w:div w:id="2098596418">
      <w:bodyDiv w:val="1"/>
      <w:marLeft w:val="0"/>
      <w:marRight w:val="0"/>
      <w:marTop w:val="0"/>
      <w:marBottom w:val="0"/>
      <w:divBdr>
        <w:top w:val="none" w:sz="0" w:space="0" w:color="auto"/>
        <w:left w:val="none" w:sz="0" w:space="0" w:color="auto"/>
        <w:bottom w:val="none" w:sz="0" w:space="0" w:color="auto"/>
        <w:right w:val="none" w:sz="0" w:space="0" w:color="auto"/>
      </w:divBdr>
    </w:div>
    <w:div w:id="209986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nance.gov.au/government/climate-action-government-operations/commonwealth-climate-disclosure" TargetMode="External"/><Relationship Id="rId21" Type="http://schemas.openxmlformats.org/officeDocument/2006/relationships/header" Target="header4.xml"/><Relationship Id="rId42" Type="http://schemas.openxmlformats.org/officeDocument/2006/relationships/hyperlink" Target="https://ghgprotocol.org/standards-guidance" TargetMode="External"/><Relationship Id="rId47" Type="http://schemas.openxmlformats.org/officeDocument/2006/relationships/hyperlink" Target="https://www.finance.gov.au/government/managing-commonwealth-resources/annual-reports-non-corporate-commonwealth-entities-rmg-135" TargetMode="External"/><Relationship Id="rId63" Type="http://schemas.openxmlformats.org/officeDocument/2006/relationships/hyperlink" Target="https://www.dcceew.gov.au/climate-change/publications/national-greenhouse-accounts-factors-2024" TargetMode="External"/><Relationship Id="rId68" Type="http://schemas.openxmlformats.org/officeDocument/2006/relationships/hyperlink" Target="https://www.dcceew.gov.au/climate-change/publications/national-greenhouse-accounts-factors-2024" TargetMode="External"/><Relationship Id="rId84" Type="http://schemas.openxmlformats.org/officeDocument/2006/relationships/hyperlink" Target="https://www.finance.gov.au/government/climate-action-government-operations/australian-government-emissions-reporting" TargetMode="External"/><Relationship Id="rId89" Type="http://schemas.openxmlformats.org/officeDocument/2006/relationships/hyperlink" Target="https://www.ipcc.ch/assessment-report/ar5/" TargetMode="Externa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hyperlink" Target="https://ghgprotocol.org/standards/scope-3-standard" TargetMode="External"/><Relationship Id="rId37" Type="http://schemas.openxmlformats.org/officeDocument/2006/relationships/image" Target="media/image3.png"/><Relationship Id="rId53" Type="http://schemas.openxmlformats.org/officeDocument/2006/relationships/hyperlink" Target="https://www.legislation.gov.au/C2004A00485/latest/text" TargetMode="External"/><Relationship Id="rId58" Type="http://schemas.openxmlformats.org/officeDocument/2006/relationships/hyperlink" Target="https://www.dcceew.gov.au/climate-change/publications/national-greenhouse-accounts-factors-2024" TargetMode="External"/><Relationship Id="rId74" Type="http://schemas.openxmlformats.org/officeDocument/2006/relationships/hyperlink" Target="https://www.dcceew.gov.au/climate-change/publications/national-greenhouse-accounts-factors-2024" TargetMode="External"/><Relationship Id="rId79" Type="http://schemas.openxmlformats.org/officeDocument/2006/relationships/hyperlink" Target="https://www.greenvehicleguide.gov.au/" TargetMode="External"/><Relationship Id="rId102" Type="http://schemas.openxmlformats.org/officeDocument/2006/relationships/footer" Target="footer5.xml"/><Relationship Id="rId5" Type="http://schemas.openxmlformats.org/officeDocument/2006/relationships/customXml" Target="../customXml/item5.xml"/><Relationship Id="rId90" Type="http://schemas.openxmlformats.org/officeDocument/2006/relationships/hyperlink" Target="https://www.ipcc.ch/site/assets/uploads/2018/02/WG1AR5_Chapter08_FINAL.pdf" TargetMode="External"/><Relationship Id="rId95" Type="http://schemas.openxmlformats.org/officeDocument/2006/relationships/header" Target="header8.xml"/><Relationship Id="rId22" Type="http://schemas.openxmlformats.org/officeDocument/2006/relationships/header" Target="header5.xml"/><Relationship Id="rId27" Type="http://schemas.openxmlformats.org/officeDocument/2006/relationships/hyperlink" Target="https://unfccc.int/documents/510662" TargetMode="External"/><Relationship Id="rId43" Type="http://schemas.openxmlformats.org/officeDocument/2006/relationships/hyperlink" Target="https://www.dcceew.gov.au/climate-change/publications/national-greenhouse-accounts-factors-2023" TargetMode="External"/><Relationship Id="rId48" Type="http://schemas.openxmlformats.org/officeDocument/2006/relationships/hyperlink" Target="https://www.finance.gov.au/government/managing-commonwealth-resources/planning-and-reporting/annual-reports-corporate-commonwealth-entities-rmg-136" TargetMode="External"/><Relationship Id="rId64" Type="http://schemas.openxmlformats.org/officeDocument/2006/relationships/hyperlink" Target="https://www.dcceew.gov.au/climate-change/publications/national-greenhouse-accounts-factors-2024" TargetMode="External"/><Relationship Id="rId69" Type="http://schemas.openxmlformats.org/officeDocument/2006/relationships/hyperlink" Target="https://www.dcceew.gov.au/climate-change/publications/national-inventory-report-2022" TargetMode="External"/><Relationship Id="rId80" Type="http://schemas.openxmlformats.org/officeDocument/2006/relationships/hyperlink" Target="https://www.dcceew.gov.au/climate-change/publications/national-greenhouse-accounts-factors-2024" TargetMode="External"/><Relationship Id="rId85" Type="http://schemas.openxmlformats.org/officeDocument/2006/relationships/hyperlink" Target="https://www.finance.gov.au/government/climate-action-government-operations/aps-net-zero-emissions-2030"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s://ghgprotocol.org/standards/scope-3-standard" TargetMode="External"/><Relationship Id="rId38" Type="http://schemas.openxmlformats.org/officeDocument/2006/relationships/image" Target="media/image4.svg"/><Relationship Id="rId59" Type="http://schemas.openxmlformats.org/officeDocument/2006/relationships/hyperlink" Target="https://www.dcceew.gov.au/climate-change/publications/national-greenhouse-accounts-factors-2024" TargetMode="External"/><Relationship Id="rId103" Type="http://schemas.openxmlformats.org/officeDocument/2006/relationships/header" Target="header12.xml"/><Relationship Id="rId20" Type="http://schemas.openxmlformats.org/officeDocument/2006/relationships/hyperlink" Target="mailto:climateaction@finance.gov.au" TargetMode="External"/><Relationship Id="rId41" Type="http://schemas.openxmlformats.org/officeDocument/2006/relationships/hyperlink" Target="https://ghgprotocol.org/standards-guidance" TargetMode="External"/><Relationship Id="rId54" Type="http://schemas.openxmlformats.org/officeDocument/2006/relationships/hyperlink" Target="https://www.finance.gov.au/government/climate-action-government-operations/commonwealth-emission-reporting/australian-public-service-net-zero-emissions-reporting-framework" TargetMode="External"/><Relationship Id="rId62" Type="http://schemas.openxmlformats.org/officeDocument/2006/relationships/hyperlink" Target="https://www.dcceew.gov.au/climate-change/publications/national-greenhouse-accounts-factors-2024" TargetMode="External"/><Relationship Id="rId70" Type="http://schemas.openxmlformats.org/officeDocument/2006/relationships/hyperlink" Target="https://www.dcceew.gov.au/climate-change/publications/national-greenhouse-accounts-factors-2024" TargetMode="External"/><Relationship Id="rId75" Type="http://schemas.openxmlformats.org/officeDocument/2006/relationships/hyperlink" Target="https://www.dcceew.gov.au/climate-change/publications/national-greenhouse-accounts-factors-2024" TargetMode="External"/><Relationship Id="rId83" Type="http://schemas.openxmlformats.org/officeDocument/2006/relationships/hyperlink" Target="https://www.dcceew.gov.au/climate-change/publications/national-greenhouse-accounts-factors-2024" TargetMode="External"/><Relationship Id="rId88" Type="http://schemas.openxmlformats.org/officeDocument/2006/relationships/hyperlink" Target="https://www.finance.gov.au/government/climate-action-government-operations/commonwealth-climate-disclosure-pilot" TargetMode="External"/><Relationship Id="rId91" Type="http://schemas.openxmlformats.org/officeDocument/2006/relationships/hyperlink" Target="https://cer.gov.au/schemes/renewable-energy-target/large-scale-renewable-energy-target/large-scale-generation-2" TargetMode="External"/><Relationship Id="rId9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s://www.ipcc-nggip.iges.or.jp/public/2006gl/" TargetMode="External"/><Relationship Id="rId36" Type="http://schemas.openxmlformats.org/officeDocument/2006/relationships/hyperlink" Target="https://www.iso.org/standard/66453.html" TargetMode="External"/><Relationship Id="rId49" Type="http://schemas.openxmlformats.org/officeDocument/2006/relationships/hyperlink" Target="https://www.finance.gov.au/government/managing-commonwealth-resources/planning-and-reporting/annual-reports-commonwealth-companies-rmg-137" TargetMode="External"/><Relationship Id="rId57" Type="http://schemas.openxmlformats.org/officeDocument/2006/relationships/hyperlink" Target="https://financegovau.sharepoint.com/sites/M365_DoF_51011911/TBF/02.%20Emissions%20Reporting/Framework%20Documents/Final%20Version%20Framework/emissionsaccounting@finance.gov.au" TargetMode="External"/><Relationship Id="rId10" Type="http://schemas.openxmlformats.org/officeDocument/2006/relationships/webSettings" Target="webSettings.xml"/><Relationship Id="rId31" Type="http://schemas.openxmlformats.org/officeDocument/2006/relationships/hyperlink" Target="https://ghgprotocol.org/corporate-standard" TargetMode="External"/><Relationship Id="rId44" Type="http://schemas.openxmlformats.org/officeDocument/2006/relationships/hyperlink" Target="https://www.finance.gov.au/government/climate-action-government-operations/commonwealth-emission-reporting/australian-public-service-net-zero-emissions-reporting-framework" TargetMode="External"/><Relationship Id="rId52" Type="http://schemas.openxmlformats.org/officeDocument/2006/relationships/hyperlink" Target="https://www.finance.gov.au/government/climate-action-government-operations/aps-net-zero-emissions-2030" TargetMode="External"/><Relationship Id="rId60" Type="http://schemas.openxmlformats.org/officeDocument/2006/relationships/hyperlink" Target="https://cer.gov.au/schemes/renewable-energy-target/renewable-energy-target-liability-and-exemptions/renewable-power-percentage" TargetMode="External"/><Relationship Id="rId65" Type="http://schemas.openxmlformats.org/officeDocument/2006/relationships/hyperlink" Target="https://www.dcceew.gov.au/climate-change/publications/national-greenhouse-accounts-factors-2024" TargetMode="External"/><Relationship Id="rId73" Type="http://schemas.openxmlformats.org/officeDocument/2006/relationships/hyperlink" Target="https://www.dcceew.gov.au/climate-change/publications/national-greenhouse-accounts-factors-2024" TargetMode="External"/><Relationship Id="rId78" Type="http://schemas.openxmlformats.org/officeDocument/2006/relationships/hyperlink" Target="https://www.greenvehicleguide.gov.au/" TargetMode="External"/><Relationship Id="rId81" Type="http://schemas.openxmlformats.org/officeDocument/2006/relationships/hyperlink" Target="https://www.dcceew.gov.au/climate-change/publications/national-greenhouse-accounts-factors-2024" TargetMode="External"/><Relationship Id="rId86" Type="http://schemas.openxmlformats.org/officeDocument/2006/relationships/hyperlink" Target="https://standards.aasb.gov.au/aasb-s1-sep-2024" TargetMode="External"/><Relationship Id="rId94" Type="http://schemas.openxmlformats.org/officeDocument/2006/relationships/header" Target="header7.xml"/><Relationship Id="rId99" Type="http://schemas.openxmlformats.org/officeDocument/2006/relationships/hyperlink" Target="https://www.finance.gov.au/government/climate-action-government-operations" TargetMode="External"/><Relationship Id="rId10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eader" Target="header3.xml"/><Relationship Id="rId39" Type="http://schemas.openxmlformats.org/officeDocument/2006/relationships/hyperlink" Target="https://www.finance.gov.au/government/climate-action-government-operations/aps-net-zero-emissions-2030" TargetMode="External"/><Relationship Id="rId34" Type="http://schemas.openxmlformats.org/officeDocument/2006/relationships/hyperlink" Target="https://ghgprotocol.org/corporate-value-chain-scope-3-standard" TargetMode="External"/><Relationship Id="rId50" Type="http://schemas.openxmlformats.org/officeDocument/2006/relationships/hyperlink" Target="https://www.finance.gov.au/government/climate-action-government-operations/application-guidance" TargetMode="External"/><Relationship Id="rId55" Type="http://schemas.openxmlformats.org/officeDocument/2006/relationships/hyperlink" Target="https://www.finance.gov.au/government/climate-action-government-operations/commonwealth-climate-disclosure-requirements" TargetMode="External"/><Relationship Id="rId76" Type="http://schemas.openxmlformats.org/officeDocument/2006/relationships/hyperlink" Target="https://www.gov.uk/government/publications/greenhouse-gas-reporting-conversion-factors-2024" TargetMode="External"/><Relationship Id="rId97" Type="http://schemas.openxmlformats.org/officeDocument/2006/relationships/image" Target="media/image5.jpg"/><Relationship Id="rId10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www.dcceew.gov.au/climate-change/publications/national-greenhouse-accounts-factors-2024" TargetMode="External"/><Relationship Id="rId92" Type="http://schemas.openxmlformats.org/officeDocument/2006/relationships/hyperlink" Target="https://www.finance.gov.au/government/climate-action-government-operations/aps-net-zero-emissions-2030" TargetMode="External"/><Relationship Id="rId2" Type="http://schemas.openxmlformats.org/officeDocument/2006/relationships/customXml" Target="../customXml/item2.xml"/><Relationship Id="rId29" Type="http://schemas.openxmlformats.org/officeDocument/2006/relationships/hyperlink" Target="https://www.finance.gov.au/government/climate-action-government-operations/australian-government-emissions-reporting" TargetMode="External"/><Relationship Id="rId24" Type="http://schemas.openxmlformats.org/officeDocument/2006/relationships/header" Target="header6.xml"/><Relationship Id="rId40" Type="http://schemas.openxmlformats.org/officeDocument/2006/relationships/hyperlink" Target="https://ghgprotocol.org/standards-guidance" TargetMode="External"/><Relationship Id="rId45" Type="http://schemas.openxmlformats.org/officeDocument/2006/relationships/hyperlink" Target="https://www.finance.gov.au/government/climate-action-government-operations/aps-net-zero-emissions-2030" TargetMode="External"/><Relationship Id="rId66" Type="http://schemas.openxmlformats.org/officeDocument/2006/relationships/hyperlink" Target="https://www.legislation.gov.au/F2008L02309/latest/versions" TargetMode="External"/><Relationship Id="rId87" Type="http://schemas.openxmlformats.org/officeDocument/2006/relationships/hyperlink" Target="https://standards.aasb.gov.au/aasb-s2-sep-2024" TargetMode="External"/><Relationship Id="rId61" Type="http://schemas.openxmlformats.org/officeDocument/2006/relationships/hyperlink" Target="https://www.dcceew.gov.au/climate-change/publications/national-greenhouse-accounts-factors-2024" TargetMode="External"/><Relationship Id="rId82" Type="http://schemas.openxmlformats.org/officeDocument/2006/relationships/hyperlink" Target="https://www.dcceew.gov.au/climate-change/publications/national-greenhouse-accounts-factors-2024"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cer.gov.au/schemes/national-greenhouse-and-energy-reporting-scheme" TargetMode="External"/><Relationship Id="rId35" Type="http://schemas.openxmlformats.org/officeDocument/2006/relationships/hyperlink" Target="https://ghgprotocol.org/standards/scope-3-standard" TargetMode="External"/><Relationship Id="rId56" Type="http://schemas.openxmlformats.org/officeDocument/2006/relationships/hyperlink" Target="https://www.finance.gov.au/government/climate-action-government-operations/commonwealth-emission-reporting/australian-public-service-net-zero-emissions-reporting-framework" TargetMode="External"/><Relationship Id="rId77" Type="http://schemas.openxmlformats.org/officeDocument/2006/relationships/hyperlink" Target="https://www.greenvehicleguide.gov.au/" TargetMode="External"/><Relationship Id="rId100" Type="http://schemas.openxmlformats.org/officeDocument/2006/relationships/header" Target="header10.xml"/><Relationship Id="rId105"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finance.gov.au/government/climate-action-government-operations/commonwealth-emission-reporting/australian-public-service-net-zero-emissions-reporting-framework" TargetMode="External"/><Relationship Id="rId72" Type="http://schemas.openxmlformats.org/officeDocument/2006/relationships/hyperlink" Target="https://www.dcceew.gov.au/climate-change/publications/national-greenhouse-accounts-factors-2024" TargetMode="External"/><Relationship Id="rId93" Type="http://schemas.openxmlformats.org/officeDocument/2006/relationships/hyperlink" Target="https://www.finance.gov.au/government/managing-commonwealth-resources/structure-australian-government-public-sector/pgpa-act-flipchart-and-list" TargetMode="External"/><Relationship Id="rId98" Type="http://schemas.openxmlformats.org/officeDocument/2006/relationships/hyperlink" Target="mailto:EmissionsAccounting@finance.gov.au" TargetMode="External"/><Relationship Id="rId3" Type="http://schemas.openxmlformats.org/officeDocument/2006/relationships/customXml" Target="../customXml/item3.xml"/><Relationship Id="rId25" Type="http://schemas.openxmlformats.org/officeDocument/2006/relationships/hyperlink" Target="https://www.finance.gov.au/government/climate-action-government-operations/aps-net-zero-emissions-2030" TargetMode="External"/><Relationship Id="rId46" Type="http://schemas.openxmlformats.org/officeDocument/2006/relationships/hyperlink" Target="https://www.finance.gov.au/government/climate-action-government-operations/commonwealth-climate-disclosure-requirements" TargetMode="External"/><Relationship Id="rId67" Type="http://schemas.openxmlformats.org/officeDocument/2006/relationships/hyperlink" Target="https://www.dcceew.gov.au/climate-change/publications/national-greenhouse-accounts-factors-2024"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271FF"/>
      </a:dk2>
      <a:lt2>
        <a:srgbClr val="E7E6E6"/>
      </a:lt2>
      <a:accent1>
        <a:srgbClr val="DFB558"/>
      </a:accent1>
      <a:accent2>
        <a:srgbClr val="359D9A"/>
      </a:accent2>
      <a:accent3>
        <a:srgbClr val="00338D"/>
      </a:accent3>
      <a:accent4>
        <a:srgbClr val="00B8F5"/>
      </a:accent4>
      <a:accent5>
        <a:srgbClr val="91B8FE"/>
      </a:accent5>
      <a:accent6>
        <a:srgbClr val="85D6D4"/>
      </a:accent6>
      <a:hlink>
        <a:srgbClr val="0563C1"/>
      </a:hlink>
      <a:folHlink>
        <a:srgbClr val="00B8F5"/>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4b2c377-c74f-46b8-b62e-9cefa93d8fc8" ContentTypeId="0x010100B7B479F47583304BA8B631462CC772D7" PreviousValue="true"/>
</file>

<file path=customXml/item2.xml><?xml version="1.0" encoding="utf-8"?>
<p:properties xmlns:p="http://schemas.microsoft.com/office/2006/metadata/properties" xmlns:xsi="http://www.w3.org/2001/XMLSchema-instance" xmlns:pc="http://schemas.microsoft.com/office/infopath/2007/PartnerControls">
  <documentManagement>
    <_dlc_DocId xmlns="6a7e9632-768a-49bf-85ac-c69233ab2a52">FIN11911-160868515-40537</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_Flow_SignoffStatus xmlns="be197717-4ab4-4766-95be-e743bd2101d5" xsi:nil="true"/>
    <_ip_UnifiedCompliancePolicyUIAction xmlns="http://schemas.microsoft.com/sharepoint/v3" xsi:nil="true"/>
    <lf395e0388bc45bfb8642f07b9d090f4 xmlns="a334ba3b-e131-42d3-95f3-2728f5a41884">
      <Terms xmlns="http://schemas.microsoft.com/office/infopath/2007/PartnerControls"/>
    </lf395e0388bc45bfb8642f07b9d090f4>
    <_ip_UnifiedCompliancePolicyProperties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29</Value>
      <Value>38</Value>
      <Value>1</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https://financegovau.sharepoint.com/sites/M365_DoF_51011911/_layouts/15/DocIdRedir.aspx?ID=FIN11911-160868515-40537</Url>
      <Description>FIN11911-160868515-40537</Description>
    </_dlc_DocIdUrl>
    <Original_x0020_Date_x0020_Created xmlns="a334ba3b-e131-42d3-95f3-2728f5a418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4" ma:contentTypeDescription="Create a new document." ma:contentTypeScope="" ma:versionID="1d959bddfa9307e73d71ff1e679e617b">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1c1ab13b3c76bfb55697c7fa923afba7"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C24C9-B5E1-4490-9A38-32E072F5B070}">
  <ds:schemaRefs>
    <ds:schemaRef ds:uri="Microsoft.SharePoint.Taxonomy.ContentTypeSync"/>
  </ds:schemaRefs>
</ds:datastoreItem>
</file>

<file path=customXml/itemProps2.xml><?xml version="1.0" encoding="utf-8"?>
<ds:datastoreItem xmlns:ds="http://schemas.openxmlformats.org/officeDocument/2006/customXml" ds:itemID="{26E1A203-382C-43EC-9478-C9EA04D17A56}">
  <ds:schemaRefs>
    <ds:schemaRef ds:uri="http://schemas.microsoft.com/office/2006/metadata/properties"/>
    <ds:schemaRef ds:uri="http://schemas.microsoft.com/office/infopath/2007/PartnerControls"/>
    <ds:schemaRef ds:uri="6a7e9632-768a-49bf-85ac-c69233ab2a52"/>
    <ds:schemaRef ds:uri="a334ba3b-e131-42d3-95f3-2728f5a41884"/>
    <ds:schemaRef ds:uri="be197717-4ab4-4766-95be-e743bd2101d5"/>
    <ds:schemaRef ds:uri="http://schemas.microsoft.com/sharepoint/v3"/>
  </ds:schemaRefs>
</ds:datastoreItem>
</file>

<file path=customXml/itemProps3.xml><?xml version="1.0" encoding="utf-8"?>
<ds:datastoreItem xmlns:ds="http://schemas.openxmlformats.org/officeDocument/2006/customXml" ds:itemID="{51E807B6-45E1-4CA3-B736-0777901E4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A18BF-3E3C-42D3-8C6A-29E0BD88D410}">
  <ds:schemaRefs>
    <ds:schemaRef ds:uri="http://schemas.microsoft.com/sharepoint/events"/>
  </ds:schemaRefs>
</ds:datastoreItem>
</file>

<file path=customXml/itemProps5.xml><?xml version="1.0" encoding="utf-8"?>
<ds:datastoreItem xmlns:ds="http://schemas.openxmlformats.org/officeDocument/2006/customXml" ds:itemID="{0CB13B9E-28D5-4AF4-B72B-6A32349FF419}">
  <ds:schemaRefs>
    <ds:schemaRef ds:uri="http://schemas.microsoft.com/sharepoint/v3/contenttype/forms"/>
  </ds:schemaRefs>
</ds:datastoreItem>
</file>

<file path=customXml/itemProps6.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65</Pages>
  <Words>16764</Words>
  <Characters>97699</Characters>
  <Application>Microsoft Office Word</Application>
  <DocSecurity>0</DocSecurity>
  <Lines>3566</Lines>
  <Paragraphs>1864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Emissions Reporting Framework</dc:title>
  <dc:subject/>
  <dc:creator/>
  <cp:keywords>[SEC=OFFICIAL]</cp:keywords>
  <dc:description/>
  <cp:lastModifiedBy/>
  <cp:revision>1</cp:revision>
  <dcterms:created xsi:type="dcterms:W3CDTF">2025-06-27T04:37:00Z</dcterms:created>
  <dcterms:modified xsi:type="dcterms:W3CDTF">2025-06-30T02:29:00Z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Uuid">
    <vt:lpwstr>v=2022.2;d=gov.au;g=46DD6D7C-8107-577B-BC6E-F348953B2E44</vt:lpwstr>
  </property>
  <property fmtid="{D5CDD505-2E9C-101B-9397-08002B2CF9AE}" pid="3" name="PM_ProtectiveMarkingImage_Header">
    <vt:lpwstr>C:\Program Files\Common Files\janusNET Shared\janusSEAL\Images\DocumentSlashBlue.png</vt:lpwstr>
  </property>
  <property fmtid="{D5CDD505-2E9C-101B-9397-08002B2CF9AE}" pid="4" name="MediaServiceImageTags">
    <vt:lpwstr/>
  </property>
  <property fmtid="{D5CDD505-2E9C-101B-9397-08002B2CF9AE}" pid="5" name="MSIP_Label_87d6481e-ccdd-4ab6-8b26-05a0df5699e7_Tag">
    <vt:lpwstr>10, 0, 1, 2</vt:lpwstr>
  </property>
  <property fmtid="{D5CDD505-2E9C-101B-9397-08002B2CF9AE}" pid="6" name="About_x0020_Entity">
    <vt:lpwstr>1;#Department of Finance|fd660e8f-8f31-49bd-92a3-d31d4da31afe</vt:lpwstr>
  </property>
  <property fmtid="{D5CDD505-2E9C-101B-9397-08002B2CF9AE}" pid="7" name="ContentTypeId">
    <vt:lpwstr>0x010100B7B479F47583304BA8B631462CC772D700067E51C991F65340AC36B9604578C197</vt:lpwstr>
  </property>
  <property fmtid="{D5CDD505-2E9C-101B-9397-08002B2CF9AE}" pid="8" name="PM_Note">
    <vt:lpwstr/>
  </property>
  <property fmtid="{D5CDD505-2E9C-101B-9397-08002B2CF9AE}" pid="9" name="PM_Markers">
    <vt:lpwstr/>
  </property>
  <property fmtid="{D5CDD505-2E9C-101B-9397-08002B2CF9AE}" pid="10" name="MSIP_Label_87d6481e-ccdd-4ab6-8b26-05a0df5699e7_Method">
    <vt:lpwstr>Privileged</vt:lpwstr>
  </property>
  <property fmtid="{D5CDD505-2E9C-101B-9397-08002B2CF9AE}" pid="11" name="MSIP_Label_87d6481e-ccdd-4ab6-8b26-05a0df5699e7_SiteId">
    <vt:lpwstr>08954cee-4782-4ff6-9ad5-1997dccef4b0</vt:lpwstr>
  </property>
  <property fmtid="{D5CDD505-2E9C-101B-9397-08002B2CF9AE}" pid="12" name="PM_ProtectiveMarkingImage_Footer">
    <vt:lpwstr>C:\Program Files\Common Files\janusNET Shared\janusSEAL\Images\DocumentSlashBlue.png</vt:lpwstr>
  </property>
  <property fmtid="{D5CDD505-2E9C-101B-9397-08002B2CF9AE}" pid="13" name="PM_Qualifier_Prev">
    <vt:lpwstr/>
  </property>
  <property fmtid="{D5CDD505-2E9C-101B-9397-08002B2CF9AE}" pid="14" name="PM_Originating_FileId">
    <vt:lpwstr>A662FD50996C470CB7856A6C3F79CE40</vt:lpwstr>
  </property>
  <property fmtid="{D5CDD505-2E9C-101B-9397-08002B2CF9AE}" pid="15" name="PM_Version">
    <vt:lpwstr>2018.4</vt:lpwstr>
  </property>
  <property fmtid="{D5CDD505-2E9C-101B-9397-08002B2CF9AE}" pid="16" name="Organisation Unit">
    <vt:lpwstr>38;#APS Net Zero Unit|3a7b3834-5ac8-43b7-9496-8f951dc2a7fa</vt:lpwstr>
  </property>
  <property fmtid="{D5CDD505-2E9C-101B-9397-08002B2CF9AE}" pid="17" name="Function_x0020_and_x0020_Activity">
    <vt:lpwstr/>
  </property>
  <property fmtid="{D5CDD505-2E9C-101B-9397-08002B2CF9AE}" pid="18" name="PM_InsertionValue">
    <vt:lpwstr>OFFICIAL</vt:lpwstr>
  </property>
  <property fmtid="{D5CDD505-2E9C-101B-9397-08002B2CF9AE}" pid="19" name="MSIP_Label_87d6481e-ccdd-4ab6-8b26-05a0df5699e7_Enabled">
    <vt:lpwstr>true</vt:lpwstr>
  </property>
  <property fmtid="{D5CDD505-2E9C-101B-9397-08002B2CF9AE}" pid="20" name="PM_OriginationTimeStamp">
    <vt:lpwstr>2025-06-11T01:53:37Z</vt:lpwstr>
  </property>
  <property fmtid="{D5CDD505-2E9C-101B-9397-08002B2CF9AE}" pid="21" name="PM_SecurityClassification">
    <vt:lpwstr>OFFICIAL</vt:lpwstr>
  </property>
  <property fmtid="{D5CDD505-2E9C-101B-9397-08002B2CF9AE}" pid="22" name="PM_Caveats_Count">
    <vt:lpwstr>0</vt:lpwstr>
  </property>
  <property fmtid="{D5CDD505-2E9C-101B-9397-08002B2CF9AE}" pid="23" name="MSIP_Label_87d6481e-ccdd-4ab6-8b26-05a0df5699e7_ContentBits">
    <vt:lpwstr>0</vt:lpwstr>
  </property>
  <property fmtid="{D5CDD505-2E9C-101B-9397-08002B2CF9AE}" pid="24" name="MSIP_Label_87d6481e-ccdd-4ab6-8b26-05a0df5699e7_SetDate">
    <vt:lpwstr>2025-06-11T01:53:37Z</vt:lpwstr>
  </property>
  <property fmtid="{D5CDD505-2E9C-101B-9397-08002B2CF9AE}" pid="25" name="PM_Namespace">
    <vt:lpwstr>gov.au</vt:lpwstr>
  </property>
  <property fmtid="{D5CDD505-2E9C-101B-9397-08002B2CF9AE}" pid="26" name="MSIP_Label_87d6481e-ccdd-4ab6-8b26-05a0df5699e7_Name">
    <vt:lpwstr>OFFICIAL</vt:lpwstr>
  </property>
  <property fmtid="{D5CDD505-2E9C-101B-9397-08002B2CF9AE}" pid="27" name="PM_DisplayValueSecClassificationWithQualifier">
    <vt:lpwstr>OFFICIAL</vt:lpwstr>
  </property>
  <property fmtid="{D5CDD505-2E9C-101B-9397-08002B2CF9AE}" pid="28" name="PM_Hash_Version">
    <vt:lpwstr>2022.1</vt:lpwstr>
  </property>
  <property fmtid="{D5CDD505-2E9C-101B-9397-08002B2CF9AE}" pid="29" name="PM_ProtectiveMarkingValue_Header">
    <vt:lpwstr>OFFICIAL</vt:lpwstr>
  </property>
  <property fmtid="{D5CDD505-2E9C-101B-9397-08002B2CF9AE}" pid="30" name="_dlc_DocIdItemGuid">
    <vt:lpwstr>1c8813c3-9e30-4536-93fe-a8e28f30dd38</vt:lpwstr>
  </property>
  <property fmtid="{D5CDD505-2E9C-101B-9397-08002B2CF9AE}" pid="31" name="About Entity">
    <vt:lpwstr>1;#Department of Finance|fd660e8f-8f31-49bd-92a3-d31d4da31afe</vt:lpwstr>
  </property>
  <property fmtid="{D5CDD505-2E9C-101B-9397-08002B2CF9AE}" pid="32" name="PM_Display">
    <vt:lpwstr>OFFICIAL</vt:lpwstr>
  </property>
  <property fmtid="{D5CDD505-2E9C-101B-9397-08002B2CF9AE}" pid="33" name="Initiating Entity">
    <vt:lpwstr>1;#Department of Finance|fd660e8f-8f31-49bd-92a3-d31d4da31afe</vt:lpwstr>
  </property>
  <property fmtid="{D5CDD505-2E9C-101B-9397-08002B2CF9AE}" pid="34" name="PM_Qualifier">
    <vt:lpwstr/>
  </property>
  <property fmtid="{D5CDD505-2E9C-101B-9397-08002B2CF9AE}" pid="35" name="PM_SecurityClassification_Prev">
    <vt:lpwstr>OFFICIAL</vt:lpwstr>
  </property>
  <property fmtid="{D5CDD505-2E9C-101B-9397-08002B2CF9AE}" pid="36" name="Function and Activity">
    <vt:lpwstr/>
  </property>
  <property fmtid="{D5CDD505-2E9C-101B-9397-08002B2CF9AE}" pid="37" name="PM_ProtectiveMarkingValue_Footer">
    <vt:lpwstr>OFFICIAL</vt:lpwstr>
  </property>
  <property fmtid="{D5CDD505-2E9C-101B-9397-08002B2CF9AE}" pid="38" name="Initiating_x0020_Entity">
    <vt:lpwstr>1;#Department of Finance|fd660e8f-8f31-49bd-92a3-d31d4da31afe</vt:lpwstr>
  </property>
  <property fmtid="{D5CDD505-2E9C-101B-9397-08002B2CF9AE}" pid="39" name="PM_OriginatorDomainName_SHA256">
    <vt:lpwstr>325440F6CA31C4C3BCE4433552DC42928CAAD3E2731ABE35FDE729ECEB763AF0</vt:lpwstr>
  </property>
  <property fmtid="{D5CDD505-2E9C-101B-9397-08002B2CF9AE}" pid="40" name="Organisation_x0020_Unit">
    <vt:lpwstr>38;#APS Net Zero Unit|3a7b3834-5ac8-43b7-9496-8f951dc2a7fa</vt:lpwstr>
  </property>
  <property fmtid="{D5CDD505-2E9C-101B-9397-08002B2CF9AE}" pid="41" name="TaxKeyword">
    <vt:lpwstr>29;#[SEC=OFFICIAL]|07351cc0-de73-4913-be2f-56f124cbf8bb</vt:lpwstr>
  </property>
  <property fmtid="{D5CDD505-2E9C-101B-9397-08002B2CF9AE}" pid="42" name="PM_Originator_Hash_SHA1">
    <vt:lpwstr>C4E8576B6510B1FB5DEF9BBC04AB3A64E004CBD8</vt:lpwstr>
  </property>
  <property fmtid="{D5CDD505-2E9C-101B-9397-08002B2CF9AE}" pid="43" name="PM_OriginatorUserAccountName_SHA256">
    <vt:lpwstr>3F9C3930C95A80FE14E5E569A96906FECB80D374DD6F0E6814A1821B290CD60B</vt:lpwstr>
  </property>
  <property fmtid="{D5CDD505-2E9C-101B-9397-08002B2CF9AE}" pid="44" name="PM_Hash_Salt_Prev">
    <vt:lpwstr>20147C335E8D4946739C29C94FC88289</vt:lpwstr>
  </property>
  <property fmtid="{D5CDD505-2E9C-101B-9397-08002B2CF9AE}" pid="45" name="PM_Hash_Salt">
    <vt:lpwstr>3F8E0051EBF796253BA8959DA21F9975</vt:lpwstr>
  </property>
  <property fmtid="{D5CDD505-2E9C-101B-9397-08002B2CF9AE}" pid="46" name="PMHMAC">
    <vt:lpwstr>v=2022.1;a=SHA256;h=B07B1211534E3C92843E3DE170C1B01A7F72CDD0ADBB9D8B2206AB646FFD4C4F</vt:lpwstr>
  </property>
  <property fmtid="{D5CDD505-2E9C-101B-9397-08002B2CF9AE}" pid="47" name="MSIP_Label_87d6481e-ccdd-4ab6-8b26-05a0df5699e7_ActionId">
    <vt:lpwstr>a6b2154abbe3494085d32a136da8ce7c</vt:lpwstr>
  </property>
  <property fmtid="{D5CDD505-2E9C-101B-9397-08002B2CF9AE}" pid="48" name="PM_Hash_SHA1">
    <vt:lpwstr>DDF8E516C7A003945155C180B38A8DEDD3E39887</vt:lpwstr>
  </property>
</Properties>
</file>