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6326909" w:displacedByCustomXml="next"/>
    <w:sdt>
      <w:sdtPr>
        <w:alias w:val="Title"/>
        <w:tag w:val=""/>
        <w:id w:val="879900963"/>
        <w:placeholder>
          <w:docPart w:val="EE968720E3A243C3A531915AD4306BF8"/>
        </w:placeholder>
        <w:dataBinding w:prefixMappings="xmlns:ns0='http://purl.org/dc/elements/1.1/' xmlns:ns1='http://schemas.openxmlformats.org/package/2006/metadata/core-properties' " w:xpath="/ns1:coreProperties[1]/ns0:title[1]" w:storeItemID="{6C3C8BC8-F283-45AE-878A-BAB7291924A1}"/>
        <w:text/>
      </w:sdtPr>
      <w:sdtEndPr/>
      <w:sdtContent>
        <w:p w14:paraId="7236F7C8" w14:textId="576BB077" w:rsidR="00A62EF3" w:rsidRDefault="00E06675" w:rsidP="004D0F5A">
          <w:pPr>
            <w:pStyle w:val="Title"/>
            <w:ind w:right="2975"/>
          </w:pPr>
          <w:r>
            <w:t>Intergovernmental agreement on data sharing</w:t>
          </w:r>
          <w:r w:rsidR="00CE28F0">
            <w:t xml:space="preserve"> fact sheet</w:t>
          </w:r>
        </w:p>
      </w:sdtContent>
    </w:sdt>
    <w:p w14:paraId="41CC9630" w14:textId="06F59555" w:rsidR="00A711AA" w:rsidRDefault="00A711AA" w:rsidP="00A711AA">
      <w:pPr>
        <w:pStyle w:val="BOXHeading2"/>
      </w:pPr>
      <w:bookmarkStart w:id="1" w:name="_Toc96326932"/>
      <w:bookmarkEnd w:id="0"/>
      <w:r>
        <w:t>Fast facts</w:t>
      </w:r>
    </w:p>
    <w:p w14:paraId="60AA83E1" w14:textId="77777777" w:rsidR="00A711AA" w:rsidRPr="00837BAA" w:rsidRDefault="00A711AA" w:rsidP="00A711AA">
      <w:pPr>
        <w:pStyle w:val="BOXText"/>
      </w:pPr>
      <w:r w:rsidRPr="00837BAA">
        <w:t>The Intergovernmental Agreement on Data Sharing (IGA) sets out First Ministers commitment to more effective public sector data sharing.</w:t>
      </w:r>
    </w:p>
    <w:p w14:paraId="089243C8" w14:textId="77777777" w:rsidR="00A711AA" w:rsidRDefault="00A711AA" w:rsidP="00A711AA">
      <w:pPr>
        <w:pStyle w:val="BOXText"/>
      </w:pPr>
      <w:r w:rsidRPr="00837BAA">
        <w:t>The agreement was signed by the National Cabinet on 9 July 2021, and contains guidance and principles that governance agencies can apply to their data sharing activities.</w:t>
      </w:r>
    </w:p>
    <w:p w14:paraId="6E3EF87D" w14:textId="77777777" w:rsidR="00A711AA" w:rsidRDefault="00A711AA" w:rsidP="00A711AA">
      <w:pPr>
        <w:pStyle w:val="BOXText"/>
      </w:pPr>
      <w:r>
        <w:rPr>
          <w:noProof/>
          <w:lang w:eastAsia="en-AU"/>
        </w:rPr>
        <w:drawing>
          <wp:inline distT="0" distB="0" distL="0" distR="0" wp14:anchorId="4AB82968" wp14:editId="07C33895">
            <wp:extent cx="2781300" cy="1962150"/>
            <wp:effectExtent l="0" t="0" r="0" b="0"/>
            <wp:docPr id="8" name="Picture 8" descr="1. Intergovernmental Agreement on Data Sharing Principles-based commitment Oversight by Data and Digital Ministers; 2. National Data Sharing work Program Priority inter-jurisditcional data sharing projects; 3. Work Program project teams Commonwealth, State and Territory representatives contribute expertise to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962150"/>
                    </a:xfrm>
                    <a:prstGeom prst="rect">
                      <a:avLst/>
                    </a:prstGeom>
                    <a:noFill/>
                  </pic:spPr>
                </pic:pic>
              </a:graphicData>
            </a:graphic>
          </wp:inline>
        </w:drawing>
      </w:r>
    </w:p>
    <w:p w14:paraId="00CFD364" w14:textId="77777777" w:rsidR="00A711AA" w:rsidRDefault="00A711AA" w:rsidP="00A711AA">
      <w:pPr>
        <w:pStyle w:val="BOXText"/>
        <w:rPr>
          <w:i/>
          <w:sz w:val="18"/>
        </w:rPr>
      </w:pPr>
      <w:r w:rsidRPr="00A711AA">
        <w:rPr>
          <w:i/>
          <w:sz w:val="18"/>
        </w:rPr>
        <w:t>Figure 1 | IGA and National Data Sharing Work Program</w:t>
      </w:r>
    </w:p>
    <w:p w14:paraId="3FED6018" w14:textId="77777777" w:rsidR="00A711AA" w:rsidRPr="00A711AA" w:rsidRDefault="00A711AA" w:rsidP="007932A4">
      <w:pPr>
        <w:pStyle w:val="Heading2"/>
        <w:keepNext w:val="0"/>
      </w:pPr>
      <w:r>
        <w:t>Overview</w:t>
      </w:r>
    </w:p>
    <w:p w14:paraId="108C5E7A" w14:textId="77777777" w:rsidR="00E06675" w:rsidRPr="00ED2172" w:rsidRDefault="00E06675" w:rsidP="00ED2172">
      <w:pPr>
        <w:rPr>
          <w:b/>
        </w:rPr>
      </w:pPr>
      <w:bookmarkStart w:id="2" w:name="_Toc96326911"/>
      <w:r w:rsidRPr="00ED2172">
        <w:rPr>
          <w:b/>
        </w:rPr>
        <w:t>The IGA commits all jurisdictions to share public sector data as a default position, where it can be done securely, safely, lawfully and ethically.</w:t>
      </w:r>
    </w:p>
    <w:p w14:paraId="74112085" w14:textId="77777777" w:rsidR="00E06675" w:rsidRPr="00F45CBC" w:rsidRDefault="00E06675" w:rsidP="007932A4">
      <w:pPr>
        <w:pStyle w:val="Heading2"/>
        <w:keepNext w:val="0"/>
        <w:rPr>
          <w:rFonts w:asciiTheme="minorHAnsi" w:eastAsiaTheme="minorEastAsia" w:hAnsiTheme="minorHAnsi" w:cstheme="minorBidi"/>
          <w:color w:val="auto"/>
          <w:sz w:val="22"/>
          <w:szCs w:val="21"/>
        </w:rPr>
      </w:pPr>
      <w:r w:rsidRPr="00F45CBC">
        <w:rPr>
          <w:rFonts w:asciiTheme="minorHAnsi" w:eastAsiaTheme="minorEastAsia" w:hAnsiTheme="minorHAnsi" w:cstheme="minorBidi"/>
          <w:color w:val="auto"/>
          <w:sz w:val="22"/>
          <w:szCs w:val="21"/>
        </w:rPr>
        <w:t>The agreement recognises data as a shared national asset and aims to maximise the value of data to deliver outstanding policies and services for Australians.</w:t>
      </w:r>
    </w:p>
    <w:p w14:paraId="501982FB" w14:textId="77777777" w:rsidR="00E06675" w:rsidRPr="00F45CBC" w:rsidRDefault="00E06675" w:rsidP="007932A4">
      <w:pPr>
        <w:pStyle w:val="Heading2"/>
        <w:keepNext w:val="0"/>
        <w:rPr>
          <w:rFonts w:asciiTheme="minorHAnsi" w:eastAsiaTheme="minorEastAsia" w:hAnsiTheme="minorHAnsi" w:cstheme="minorBidi"/>
          <w:color w:val="auto"/>
          <w:sz w:val="22"/>
          <w:szCs w:val="21"/>
        </w:rPr>
      </w:pPr>
      <w:r w:rsidRPr="00F45CBC">
        <w:rPr>
          <w:rFonts w:asciiTheme="minorHAnsi" w:eastAsiaTheme="minorEastAsia" w:hAnsiTheme="minorHAnsi" w:cstheme="minorBidi"/>
          <w:color w:val="auto"/>
          <w:sz w:val="22"/>
          <w:szCs w:val="21"/>
        </w:rPr>
        <w:t xml:space="preserve">Under the IGA, there is an </w:t>
      </w:r>
      <w:proofErr w:type="gramStart"/>
      <w:r w:rsidRPr="00F45CBC">
        <w:rPr>
          <w:rFonts w:asciiTheme="minorHAnsi" w:eastAsiaTheme="minorEastAsia" w:hAnsiTheme="minorHAnsi" w:cstheme="minorBidi"/>
          <w:color w:val="auto"/>
          <w:sz w:val="22"/>
          <w:szCs w:val="21"/>
        </w:rPr>
        <w:t>expectation governments</w:t>
      </w:r>
      <w:proofErr w:type="gramEnd"/>
      <w:r w:rsidRPr="00F45CBC">
        <w:rPr>
          <w:rFonts w:asciiTheme="minorHAnsi" w:eastAsiaTheme="minorEastAsia" w:hAnsiTheme="minorHAnsi" w:cstheme="minorBidi"/>
          <w:color w:val="auto"/>
          <w:sz w:val="22"/>
          <w:szCs w:val="21"/>
        </w:rPr>
        <w:t xml:space="preserve"> will share data with each other for the design, development, and delivery of policies, programs and services, and other activities in the public interest.</w:t>
      </w:r>
    </w:p>
    <w:p w14:paraId="7DC2A9FA" w14:textId="77777777" w:rsidR="00E06675" w:rsidRDefault="00E06675" w:rsidP="007932A4">
      <w:pPr>
        <w:pStyle w:val="Heading2"/>
        <w:keepNext w:val="0"/>
        <w:rPr>
          <w:rFonts w:asciiTheme="minorHAnsi" w:eastAsiaTheme="minorEastAsia" w:hAnsiTheme="minorHAnsi" w:cstheme="minorBidi"/>
          <w:color w:val="auto"/>
          <w:sz w:val="22"/>
          <w:szCs w:val="21"/>
        </w:rPr>
      </w:pPr>
      <w:r w:rsidRPr="00F45CBC">
        <w:rPr>
          <w:rFonts w:asciiTheme="minorHAnsi" w:eastAsiaTheme="minorEastAsia" w:hAnsiTheme="minorHAnsi" w:cstheme="minorBidi"/>
          <w:color w:val="auto"/>
          <w:sz w:val="22"/>
          <w:szCs w:val="21"/>
        </w:rPr>
        <w:t xml:space="preserve">The IGA doesn't change or override any existing data sharing agreements. It commits all parties to apply their best endeavours to share data across governments, including being responsive to requests and giving clear reasons for refusals. </w:t>
      </w:r>
    </w:p>
    <w:bookmarkEnd w:id="2"/>
    <w:p w14:paraId="2FFFD102" w14:textId="77777777" w:rsidR="00E06675" w:rsidRDefault="00E06675" w:rsidP="00E06675">
      <w:pPr>
        <w:pStyle w:val="Heading2"/>
      </w:pPr>
      <w:r>
        <w:t>Applying the IGA</w:t>
      </w:r>
    </w:p>
    <w:p w14:paraId="040216DE" w14:textId="77777777" w:rsidR="00E06675" w:rsidRDefault="00E06675" w:rsidP="00E06675">
      <w:r>
        <w:t>You can apply the IGA to cross-jurisdictional data sharing work. It can be used by data practitioners to help increase the volume and value of data sharing. Some ways to apply the IGA include:</w:t>
      </w:r>
    </w:p>
    <w:p w14:paraId="5F33EDA8" w14:textId="77777777" w:rsidR="00E06675" w:rsidRDefault="00E06675" w:rsidP="00E06675">
      <w:pPr>
        <w:pStyle w:val="ListParagraph"/>
        <w:numPr>
          <w:ilvl w:val="0"/>
          <w:numId w:val="38"/>
        </w:numPr>
        <w:spacing w:after="120"/>
        <w:ind w:left="1077"/>
        <w:contextualSpacing w:val="0"/>
      </w:pPr>
      <w:r>
        <w:lastRenderedPageBreak/>
        <w:t>Use best endeavours to share data by default. Review any policies, processes and systems that could restrict this.</w:t>
      </w:r>
    </w:p>
    <w:p w14:paraId="663129E9" w14:textId="77777777" w:rsidR="00E06675" w:rsidRDefault="00E06675" w:rsidP="00E06675">
      <w:pPr>
        <w:pStyle w:val="ListParagraph"/>
        <w:numPr>
          <w:ilvl w:val="0"/>
          <w:numId w:val="38"/>
        </w:numPr>
        <w:spacing w:after="120"/>
        <w:ind w:left="1077"/>
        <w:contextualSpacing w:val="0"/>
      </w:pPr>
      <w:r>
        <w:t>Apply the guiding principles in the IGA to data sharing negotiations and incorporate relevant principles in data sharing agreements.</w:t>
      </w:r>
    </w:p>
    <w:p w14:paraId="0721AE5C" w14:textId="77777777" w:rsidR="00E06675" w:rsidRDefault="00E06675" w:rsidP="00E06675">
      <w:pPr>
        <w:pStyle w:val="ListParagraph"/>
        <w:numPr>
          <w:ilvl w:val="0"/>
          <w:numId w:val="38"/>
        </w:numPr>
        <w:spacing w:after="120"/>
        <w:ind w:left="1077"/>
        <w:contextualSpacing w:val="0"/>
      </w:pPr>
      <w:r>
        <w:t xml:space="preserve">Initiate a data </w:t>
      </w:r>
      <w:proofErr w:type="gramStart"/>
      <w:r>
        <w:t>request, and</w:t>
      </w:r>
      <w:proofErr w:type="gramEnd"/>
      <w:r>
        <w:t xml:space="preserve"> apply the schedules in the IGA which set out requirements for data requests (Schedule E) and what to consider when assessing a request (Schedule B).</w:t>
      </w:r>
    </w:p>
    <w:p w14:paraId="322AA350" w14:textId="77777777" w:rsidR="00E06675" w:rsidRDefault="00E06675" w:rsidP="00E06675">
      <w:pPr>
        <w:pStyle w:val="ListParagraph"/>
        <w:numPr>
          <w:ilvl w:val="0"/>
          <w:numId w:val="38"/>
        </w:numPr>
        <w:spacing w:after="120"/>
        <w:ind w:left="1077"/>
        <w:contextualSpacing w:val="0"/>
      </w:pPr>
      <w:r>
        <w:t>Talk to data custodians in your organisation about your data sharing policies and transfer mechanisms to ensure you are well prepared to respond to new data requests.</w:t>
      </w:r>
    </w:p>
    <w:p w14:paraId="28C80E21" w14:textId="77777777" w:rsidR="00E06675" w:rsidRDefault="00E06675" w:rsidP="00E06675">
      <w:pPr>
        <w:pStyle w:val="ListParagraph"/>
        <w:numPr>
          <w:ilvl w:val="0"/>
          <w:numId w:val="38"/>
        </w:numPr>
        <w:spacing w:after="120"/>
        <w:ind w:left="1077"/>
        <w:contextualSpacing w:val="0"/>
      </w:pPr>
      <w:r>
        <w:t>Set up a central data request point in your organisation for other government officials to access, such as a portal, web form or email address.</w:t>
      </w:r>
    </w:p>
    <w:p w14:paraId="1DD2C834" w14:textId="77777777" w:rsidR="00E06675" w:rsidRPr="00F52149" w:rsidRDefault="00E06675" w:rsidP="00E06675">
      <w:pPr>
        <w:pStyle w:val="ListParagraph"/>
        <w:numPr>
          <w:ilvl w:val="0"/>
          <w:numId w:val="38"/>
        </w:numPr>
      </w:pPr>
      <w:r>
        <w:t>Participate in projects under the National Data Sharing Work Program. Projects can be nominated through your jurisdictions’ DDMM Data and Analytics Working Group member.</w:t>
      </w:r>
    </w:p>
    <w:p w14:paraId="3A573FEB" w14:textId="77777777" w:rsidR="00E06675" w:rsidRDefault="00E06675" w:rsidP="00E06675">
      <w:pPr>
        <w:pStyle w:val="Heading2"/>
      </w:pPr>
      <w:bookmarkStart w:id="3" w:name="_Toc96091123"/>
      <w:bookmarkStart w:id="4" w:name="_Toc96094526"/>
      <w:bookmarkStart w:id="5" w:name="_Toc96094559"/>
      <w:bookmarkStart w:id="6" w:name="_Toc96326914"/>
      <w:r>
        <w:t>E</w:t>
      </w:r>
      <w:r w:rsidRPr="00F52149">
        <w:t>nsuring privacy and data security</w:t>
      </w:r>
    </w:p>
    <w:p w14:paraId="403BE9B8" w14:textId="77777777" w:rsidR="00E06675" w:rsidRPr="00F52149" w:rsidRDefault="00E06675" w:rsidP="00E06675">
      <w:pPr>
        <w:pStyle w:val="BodyText"/>
        <w:rPr>
          <w:rFonts w:asciiTheme="minorHAnsi" w:hAnsiTheme="minorHAnsi" w:cstheme="minorHAnsi"/>
          <w:sz w:val="22"/>
          <w:szCs w:val="22"/>
        </w:rPr>
      </w:pPr>
      <w:r w:rsidRPr="00F52149">
        <w:rPr>
          <w:rFonts w:asciiTheme="minorHAnsi" w:hAnsiTheme="minorHAnsi" w:cstheme="minorHAnsi"/>
          <w:sz w:val="22"/>
          <w:szCs w:val="22"/>
        </w:rPr>
        <w:t xml:space="preserve">Data shared under the IGA must be in accordance with established privacy and security standards and policies, including complaints handling processes. </w:t>
      </w:r>
    </w:p>
    <w:p w14:paraId="55821F65" w14:textId="77777777" w:rsidR="00E06675" w:rsidRPr="00F52149" w:rsidRDefault="00E06675" w:rsidP="00E06675">
      <w:pPr>
        <w:pStyle w:val="BodyText"/>
        <w:rPr>
          <w:rFonts w:asciiTheme="minorHAnsi" w:hAnsiTheme="minorHAnsi" w:cstheme="minorHAnsi"/>
          <w:sz w:val="22"/>
          <w:szCs w:val="22"/>
        </w:rPr>
      </w:pPr>
      <w:r w:rsidRPr="00F52149">
        <w:rPr>
          <w:rFonts w:asciiTheme="minorHAnsi" w:hAnsiTheme="minorHAnsi" w:cstheme="minorHAnsi"/>
          <w:sz w:val="22"/>
          <w:szCs w:val="22"/>
        </w:rPr>
        <w:t xml:space="preserve">For example, the Office of the Australian Information Commissioner (OAIC)’s </w:t>
      </w:r>
      <w:hyperlink r:id="rId14" w:history="1">
        <w:r w:rsidRPr="00F52149">
          <w:rPr>
            <w:rStyle w:val="Hyperlink"/>
            <w:rFonts w:asciiTheme="minorHAnsi" w:hAnsiTheme="minorHAnsi" w:cstheme="minorHAnsi"/>
            <w:sz w:val="22"/>
            <w:szCs w:val="22"/>
          </w:rPr>
          <w:t>Data Breach Preparation and response Guide</w:t>
        </w:r>
      </w:hyperlink>
      <w:r w:rsidRPr="00F52149">
        <w:rPr>
          <w:rFonts w:asciiTheme="minorHAnsi" w:hAnsiTheme="minorHAnsi" w:cstheme="minorHAnsi"/>
          <w:sz w:val="22"/>
          <w:szCs w:val="22"/>
        </w:rPr>
        <w:t xml:space="preserve"> outlines how you can comply with the Australian Privacy Principles and contains templates to help you prepare a data breach response plan. </w:t>
      </w:r>
    </w:p>
    <w:p w14:paraId="7BFB4093" w14:textId="77777777" w:rsidR="00E06675" w:rsidRPr="00F52149" w:rsidRDefault="00E06675" w:rsidP="00E06675">
      <w:pPr>
        <w:pStyle w:val="BodyText"/>
        <w:rPr>
          <w:rFonts w:asciiTheme="minorHAnsi" w:hAnsiTheme="minorHAnsi" w:cstheme="minorHAnsi"/>
          <w:sz w:val="22"/>
          <w:szCs w:val="22"/>
        </w:rPr>
      </w:pPr>
      <w:r w:rsidRPr="00F52149">
        <w:rPr>
          <w:rFonts w:asciiTheme="minorHAnsi" w:hAnsiTheme="minorHAnsi" w:cstheme="minorHAnsi"/>
          <w:sz w:val="22"/>
          <w:szCs w:val="22"/>
        </w:rPr>
        <w:t xml:space="preserve">Australian Government entities must also comply with the </w:t>
      </w:r>
      <w:hyperlink r:id="rId15" w:history="1">
        <w:r w:rsidRPr="00F52149">
          <w:rPr>
            <w:rStyle w:val="Hyperlink"/>
            <w:rFonts w:asciiTheme="minorHAnsi" w:hAnsiTheme="minorHAnsi" w:cstheme="minorHAnsi"/>
            <w:sz w:val="22"/>
            <w:szCs w:val="22"/>
          </w:rPr>
          <w:t>Protective Security Policy Framework</w:t>
        </w:r>
      </w:hyperlink>
      <w:r w:rsidRPr="00F52149">
        <w:rPr>
          <w:rFonts w:asciiTheme="minorHAnsi" w:hAnsiTheme="minorHAnsi" w:cstheme="minorHAnsi"/>
          <w:sz w:val="22"/>
          <w:szCs w:val="22"/>
        </w:rPr>
        <w:t xml:space="preserve">. The framework contains 16 policies that set out the core requirements for Australian Government entities to protect their people, information and assets. </w:t>
      </w:r>
    </w:p>
    <w:p w14:paraId="70E95444" w14:textId="77777777" w:rsidR="00E06675" w:rsidRDefault="00E06675" w:rsidP="00E06675">
      <w:pPr>
        <w:pStyle w:val="Heading2"/>
      </w:pPr>
      <w:r>
        <w:t>National data sharing work program under the IGA</w:t>
      </w:r>
    </w:p>
    <w:p w14:paraId="4252A120" w14:textId="77777777" w:rsidR="00E06675" w:rsidRDefault="00E06675" w:rsidP="00E06675">
      <w:r>
        <w:t>As part of embedding the IGA into data sharing practice, the National Data Sharing Work Program seeks to uplift the national data sharing system by focusing on priority policy areas to deliver collaborative, inter-jurisdictional projects and drive broader data sharing system reforms.</w:t>
      </w:r>
    </w:p>
    <w:p w14:paraId="76FC1C2B" w14:textId="77777777" w:rsidR="00E06675" w:rsidRDefault="00E06675" w:rsidP="00E06675">
      <w:r>
        <w:t xml:space="preserve">Projects seek to achieve consistent data sharing, collaborative approaches to overcome data sharing barriers, and support data reuse and interoperability. </w:t>
      </w:r>
    </w:p>
    <w:p w14:paraId="40D18BC4" w14:textId="77777777" w:rsidR="00E06675" w:rsidRDefault="00E06675" w:rsidP="00E06675">
      <w:pPr>
        <w:pStyle w:val="Heading2"/>
      </w:pPr>
      <w:r>
        <w:t xml:space="preserve">More information </w:t>
      </w:r>
    </w:p>
    <w:p w14:paraId="41EBB8A4" w14:textId="77777777" w:rsidR="00E06675" w:rsidRDefault="00E06675" w:rsidP="00E06675">
      <w:r>
        <w:t xml:space="preserve">The IGA is available online at </w:t>
      </w:r>
      <w:hyperlink r:id="rId16" w:history="1">
        <w:r w:rsidRPr="00560BE3">
          <w:rPr>
            <w:rStyle w:val="Hyperlink"/>
          </w:rPr>
          <w:t>https://federation.gov.au/about/agreements/intergovernmental-agreement-data-sharing</w:t>
        </w:r>
      </w:hyperlink>
    </w:p>
    <w:p w14:paraId="0B174EA3" w14:textId="6AD3408C" w:rsidR="00E06675" w:rsidRDefault="00E06675" w:rsidP="00E06675">
      <w:r>
        <w:t xml:space="preserve">If you have any questions about the Intergovernmental Agreement on Data Sharing, please contact the Department of </w:t>
      </w:r>
      <w:r w:rsidR="000A24FB">
        <w:t>Finance</w:t>
      </w:r>
      <w:r>
        <w:t xml:space="preserve">’s Data </w:t>
      </w:r>
      <w:r w:rsidR="000A24FB">
        <w:t xml:space="preserve">Policy </w:t>
      </w:r>
      <w:r>
        <w:t xml:space="preserve">Branch at </w:t>
      </w:r>
      <w:r>
        <w:rPr>
          <w:rStyle w:val="Hyperlink"/>
        </w:rPr>
        <w:t>ddmm@</w:t>
      </w:r>
      <w:r w:rsidR="000A24FB">
        <w:rPr>
          <w:rStyle w:val="Hyperlink"/>
        </w:rPr>
        <w:t>finance</w:t>
      </w:r>
      <w:r>
        <w:rPr>
          <w:rStyle w:val="Hyperlink"/>
        </w:rPr>
        <w:t>.gov.au</w:t>
      </w:r>
    </w:p>
    <w:bookmarkEnd w:id="1"/>
    <w:bookmarkEnd w:id="3"/>
    <w:bookmarkEnd w:id="4"/>
    <w:bookmarkEnd w:id="5"/>
    <w:bookmarkEnd w:id="6"/>
    <w:p w14:paraId="18307BA3" w14:textId="5FF1D2AE" w:rsidR="00E06675" w:rsidRDefault="007D6BCD" w:rsidP="007D6BCD">
      <w:pPr>
        <w:pStyle w:val="BulletedListlvl1"/>
        <w:numPr>
          <w:ilvl w:val="0"/>
          <w:numId w:val="0"/>
        </w:numPr>
      </w:pPr>
      <w:r w:rsidRPr="00527552">
        <w:rPr>
          <w:i/>
        </w:rPr>
        <w:t>NOTE: The information in this fact sheet is to be used as a guide only. Advice should be sought in relation to individual circumstances</w:t>
      </w:r>
      <w:r>
        <w:rPr>
          <w:i/>
        </w:rPr>
        <w:t>.</w:t>
      </w:r>
    </w:p>
    <w:sectPr w:rsidR="00E06675" w:rsidSect="00F13E17">
      <w:footerReference w:type="default" r:id="rId17"/>
      <w:headerReference w:type="first" r:id="rId18"/>
      <w:footerReference w:type="first" r:id="rId19"/>
      <w:pgSz w:w="11906" w:h="16838"/>
      <w:pgMar w:top="1701" w:right="1134" w:bottom="1418" w:left="1134" w:header="90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2CE" w14:textId="77777777" w:rsidR="00E06675" w:rsidRDefault="00E06675" w:rsidP="00F957C6">
      <w:pPr>
        <w:spacing w:after="0" w:line="240" w:lineRule="auto"/>
      </w:pPr>
      <w:r>
        <w:separator/>
      </w:r>
    </w:p>
  </w:endnote>
  <w:endnote w:type="continuationSeparator" w:id="0">
    <w:p w14:paraId="6A07C17F" w14:textId="77777777" w:rsidR="00E06675" w:rsidRDefault="00E06675"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A083" w14:textId="77777777" w:rsidR="00D10635" w:rsidRPr="00F86700" w:rsidRDefault="00D10635" w:rsidP="00F86700">
    <w:pPr>
      <w:pStyle w:val="CLASSIFICATION"/>
    </w:pPr>
  </w:p>
  <w:p w14:paraId="4D6696A2" w14:textId="5CDE7E37" w:rsidR="00037513" w:rsidRPr="00852F35" w:rsidRDefault="00BF3A6D" w:rsidP="00D10635">
    <w:pPr>
      <w:pStyle w:val="Header"/>
      <w:rPr>
        <w:rFonts w:ascii="Segoe UI" w:hAnsi="Segoe UI" w:cs="Segoe UI"/>
        <w:color w:val="6E6E6E"/>
        <w:sz w:val="18"/>
      </w:rPr>
    </w:pPr>
    <w:r>
      <w:rPr>
        <w:color w:val="6E6E6E"/>
        <w:sz w:val="18"/>
        <w:szCs w:val="18"/>
      </w:rPr>
      <w:t>Department of Finance</w:t>
    </w:r>
    <w:r w:rsidR="00037513" w:rsidRPr="00852F35">
      <w:rPr>
        <w:color w:val="6E6E6E"/>
        <w:sz w:val="18"/>
        <w:szCs w:val="18"/>
      </w:rPr>
      <w:t xml:space="preserve"> |</w:t>
    </w:r>
    <w:r w:rsidR="00376FE6" w:rsidRPr="00852F35">
      <w:rPr>
        <w:color w:val="6E6E6E"/>
        <w:sz w:val="18"/>
        <w:szCs w:val="18"/>
      </w:rPr>
      <w:t xml:space="preserve"> </w:t>
    </w:r>
    <w:sdt>
      <w:sdtPr>
        <w:rPr>
          <w:color w:val="6E6E6E"/>
          <w:sz w:val="18"/>
          <w:szCs w:val="18"/>
        </w:rPr>
        <w:alias w:val="Manager"/>
        <w:tag w:val=""/>
        <w:id w:val="-1831511031"/>
        <w:placeholder>
          <w:docPart w:val="EE968720E3A243C3A531915AD4306BF8"/>
        </w:placeholder>
        <w:dataBinding w:prefixMappings="xmlns:ns0='http://schemas.openxmlformats.org/officeDocument/2006/extended-properties' " w:xpath="/ns0:Properties[1]/ns0:Manager[1]" w:storeItemID="{6668398D-A668-4E3E-A5EB-62B293D839F1}"/>
        <w:text/>
      </w:sdtPr>
      <w:sdtEndPr/>
      <w:sdtContent>
        <w:r w:rsidR="00ED2172">
          <w:rPr>
            <w:color w:val="6E6E6E"/>
            <w:sz w:val="18"/>
            <w:szCs w:val="18"/>
          </w:rPr>
          <w:t>National Data Sharing Work Program</w:t>
        </w:r>
      </w:sdtContent>
    </w:sdt>
    <w:r w:rsidR="00376FE6" w:rsidRPr="00852F35">
      <w:rPr>
        <w:color w:val="6E6E6E"/>
        <w:sz w:val="18"/>
        <w:szCs w:val="18"/>
      </w:rPr>
      <w:t xml:space="preserve"> </w:t>
    </w:r>
    <w:r w:rsidR="00037513" w:rsidRPr="00852F35">
      <w:rPr>
        <w:color w:val="6E6E6E"/>
        <w:sz w:val="18"/>
        <w:szCs w:val="18"/>
      </w:rPr>
      <w:t xml:space="preserve">| </w:t>
    </w:r>
    <w:sdt>
      <w:sdtPr>
        <w:rPr>
          <w:color w:val="6E6E6E"/>
          <w:sz w:val="18"/>
          <w:szCs w:val="18"/>
        </w:rPr>
        <w:alias w:val="Title"/>
        <w:tag w:val=""/>
        <w:id w:val="-856421456"/>
        <w:placeholder>
          <w:docPart w:val="FC2A7A3BC59C4D24AA619B17388837E3"/>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CE28F0">
          <w:rPr>
            <w:color w:val="6E6E6E"/>
            <w:sz w:val="18"/>
            <w:szCs w:val="18"/>
          </w:rPr>
          <w:t>Intergovernmental agreement on data sharing fact sheet</w:t>
        </w:r>
      </w:sdtContent>
    </w:sdt>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6F31E8">
      <w:rPr>
        <w:rFonts w:ascii="Segoe UI" w:hAnsi="Segoe UI" w:cs="Segoe UI"/>
        <w:noProof/>
        <w:color w:val="6E6E6E"/>
        <w:sz w:val="18"/>
      </w:rPr>
      <w:t>2</w:t>
    </w:r>
    <w:r w:rsidR="00037513"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7DC1" w14:textId="77777777" w:rsidR="00464D89" w:rsidRDefault="00464D89" w:rsidP="00464D89">
    <w:pPr>
      <w:pStyle w:val="Header"/>
      <w:jc w:val="center"/>
    </w:pPr>
  </w:p>
  <w:p w14:paraId="46F851B8" w14:textId="460D9D88" w:rsidR="00464D89" w:rsidRPr="00BB1526" w:rsidRDefault="00BF3A6D" w:rsidP="00BB1526">
    <w:pPr>
      <w:pStyle w:val="Header"/>
      <w:rPr>
        <w:rFonts w:ascii="Segoe UI" w:hAnsi="Segoe UI" w:cs="Segoe UI"/>
        <w:color w:val="6E6E6E"/>
        <w:sz w:val="18"/>
      </w:rPr>
    </w:pPr>
    <w:r>
      <w:rPr>
        <w:color w:val="6E6E6E"/>
        <w:sz w:val="18"/>
        <w:szCs w:val="18"/>
      </w:rPr>
      <w:t>Department of Finance</w:t>
    </w:r>
    <w:r w:rsidR="00BB1526" w:rsidRPr="00852F35">
      <w:rPr>
        <w:color w:val="6E6E6E"/>
        <w:sz w:val="18"/>
        <w:szCs w:val="18"/>
      </w:rPr>
      <w:t xml:space="preserve"> | </w:t>
    </w:r>
    <w:sdt>
      <w:sdtPr>
        <w:rPr>
          <w:color w:val="6E6E6E"/>
          <w:sz w:val="18"/>
          <w:szCs w:val="18"/>
        </w:rPr>
        <w:alias w:val="Manager"/>
        <w:tag w:val=""/>
        <w:id w:val="-2008047635"/>
        <w:dataBinding w:prefixMappings="xmlns:ns0='http://schemas.openxmlformats.org/officeDocument/2006/extended-properties' " w:xpath="/ns0:Properties[1]/ns0:Manager[1]" w:storeItemID="{6668398D-A668-4E3E-A5EB-62B293D839F1}"/>
        <w:text/>
      </w:sdtPr>
      <w:sdtEndPr/>
      <w:sdtContent>
        <w:r w:rsidR="00ED2172">
          <w:rPr>
            <w:color w:val="6E6E6E"/>
            <w:sz w:val="18"/>
            <w:szCs w:val="18"/>
          </w:rPr>
          <w:t>National Data Sharing Work Program</w:t>
        </w:r>
      </w:sdtContent>
    </w:sdt>
    <w:r w:rsidR="00BB1526" w:rsidRPr="00852F35">
      <w:rPr>
        <w:color w:val="6E6E6E"/>
        <w:sz w:val="18"/>
        <w:szCs w:val="18"/>
      </w:rPr>
      <w:t xml:space="preserve">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CE28F0">
          <w:rPr>
            <w:color w:val="6E6E6E"/>
            <w:sz w:val="18"/>
            <w:szCs w:val="18"/>
          </w:rPr>
          <w:t>Intergovernmental agreement on data sharing fact sheet</w:t>
        </w:r>
      </w:sdtContent>
    </w:sdt>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6F31E8">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C0C4" w14:textId="77777777" w:rsidR="00E06675" w:rsidRDefault="00E06675" w:rsidP="00F957C6">
      <w:pPr>
        <w:spacing w:after="0" w:line="240" w:lineRule="auto"/>
      </w:pPr>
      <w:r>
        <w:separator/>
      </w:r>
    </w:p>
  </w:footnote>
  <w:footnote w:type="continuationSeparator" w:id="0">
    <w:p w14:paraId="1ECE184B" w14:textId="77777777" w:rsidR="00E06675" w:rsidRDefault="00E06675"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533D" w14:textId="398E118D" w:rsidR="00037513" w:rsidRPr="00A711AA" w:rsidRDefault="00F13E17" w:rsidP="00A711AA">
    <w:pPr>
      <w:pStyle w:val="Header"/>
      <w:jc w:val="center"/>
      <w:rPr>
        <w:rFonts w:ascii="Segoe UI" w:hAnsi="Segoe UI"/>
        <w:caps/>
        <w:color w:val="C00000"/>
        <w:sz w:val="18"/>
      </w:rPr>
    </w:pPr>
    <w:r w:rsidRPr="00665818">
      <w:rPr>
        <w:rFonts w:ascii="Segoe UI" w:hAnsi="Segoe UI"/>
        <w:caps/>
        <w:noProof/>
        <w:color w:val="C00000"/>
        <w:sz w:val="18"/>
        <w:lang w:eastAsia="en-AU"/>
      </w:rPr>
      <w:drawing>
        <wp:anchor distT="0" distB="0" distL="114300" distR="114300" simplePos="0" relativeHeight="251680768" behindDoc="0" locked="0" layoutInCell="1" allowOverlap="1" wp14:anchorId="177636B3" wp14:editId="39FCDDBC">
          <wp:simplePos x="0" y="0"/>
          <wp:positionH relativeFrom="margin">
            <wp:align>left</wp:align>
          </wp:positionH>
          <wp:positionV relativeFrom="paragraph">
            <wp:posOffset>-378389</wp:posOffset>
          </wp:positionV>
          <wp:extent cx="2289175" cy="634676"/>
          <wp:effectExtent l="0" t="0" r="0" b="0"/>
          <wp:wrapNone/>
          <wp:docPr id="19" name="Picture 19" descr="Short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word 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13287" r="53999" b="54989"/>
                  <a:stretch/>
                </pic:blipFill>
                <pic:spPr bwMode="auto">
                  <a:xfrm>
                    <a:off x="0" y="0"/>
                    <a:ext cx="2289175" cy="6346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5818">
      <w:rPr>
        <w:rFonts w:ascii="Segoe UI" w:hAnsi="Segoe UI"/>
        <w:caps/>
        <w:noProof/>
        <w:color w:val="C00000"/>
        <w:sz w:val="18"/>
        <w:lang w:eastAsia="en-AU"/>
      </w:rPr>
      <mc:AlternateContent>
        <mc:Choice Requires="wps">
          <w:drawing>
            <wp:anchor distT="0" distB="0" distL="114300" distR="114300" simplePos="0" relativeHeight="251679744" behindDoc="0" locked="0" layoutInCell="1" allowOverlap="1" wp14:anchorId="7DCA5213" wp14:editId="23549E81">
              <wp:simplePos x="0" y="0"/>
              <wp:positionH relativeFrom="page">
                <wp:align>left</wp:align>
              </wp:positionH>
              <wp:positionV relativeFrom="paragraph">
                <wp:posOffset>-648335</wp:posOffset>
              </wp:positionV>
              <wp:extent cx="7559675" cy="1164566"/>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1164566"/>
                      </a:xfrm>
                      <a:prstGeom prst="rect">
                        <a:avLst/>
                      </a:prstGeom>
                      <a:solidFill>
                        <a:srgbClr val="B1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B339B" id="Rectangle 1" o:spid="_x0000_s1026" style="position:absolute;margin-left:0;margin-top:-51.05pt;width:595.25pt;height:91.7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" fillcolor="#b1dde1" stroked="f" strokeweight="1pt">
              <w10:wrap anchorx="page"/>
            </v:rect>
          </w:pict>
        </mc:Fallback>
      </mc:AlternateContent>
    </w:r>
    <w:r w:rsidR="00037513">
      <w:rPr>
        <w:noProof/>
        <w:lang w:eastAsia="en-AU"/>
      </w:rPr>
      <mc:AlternateContent>
        <mc:Choice Requires="wps">
          <w:drawing>
            <wp:anchor distT="0" distB="0" distL="114300" distR="114300" simplePos="0" relativeHeight="251651072" behindDoc="1" locked="0" layoutInCell="1" allowOverlap="1" wp14:anchorId="2D53284D" wp14:editId="79E67819">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BE8DA" id="Straight Connector 10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4012283"/>
    <w:multiLevelType w:val="hybridMultilevel"/>
    <w:tmpl w:val="220EE472"/>
    <w:lvl w:ilvl="0" w:tplc="20167468">
      <w:numFmt w:val="bullet"/>
      <w:lvlText w:val="•"/>
      <w:lvlJc w:val="left"/>
      <w:pPr>
        <w:ind w:left="1080" w:hanging="72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3679986">
    <w:abstractNumId w:val="11"/>
  </w:num>
  <w:num w:numId="2" w16cid:durableId="1720470844">
    <w:abstractNumId w:val="9"/>
  </w:num>
  <w:num w:numId="3" w16cid:durableId="1000355895">
    <w:abstractNumId w:val="7"/>
  </w:num>
  <w:num w:numId="4" w16cid:durableId="256639424">
    <w:abstractNumId w:val="6"/>
  </w:num>
  <w:num w:numId="5" w16cid:durableId="1077481849">
    <w:abstractNumId w:val="5"/>
  </w:num>
  <w:num w:numId="6" w16cid:durableId="59181474">
    <w:abstractNumId w:val="4"/>
  </w:num>
  <w:num w:numId="7" w16cid:durableId="319387507">
    <w:abstractNumId w:val="8"/>
  </w:num>
  <w:num w:numId="8" w16cid:durableId="1868525460">
    <w:abstractNumId w:val="3"/>
  </w:num>
  <w:num w:numId="9" w16cid:durableId="878008725">
    <w:abstractNumId w:val="2"/>
  </w:num>
  <w:num w:numId="10" w16cid:durableId="569117912">
    <w:abstractNumId w:val="1"/>
  </w:num>
  <w:num w:numId="11" w16cid:durableId="10225912">
    <w:abstractNumId w:val="0"/>
  </w:num>
  <w:num w:numId="12" w16cid:durableId="1466122919">
    <w:abstractNumId w:val="10"/>
  </w:num>
  <w:num w:numId="13" w16cid:durableId="354619304">
    <w:abstractNumId w:val="22"/>
  </w:num>
  <w:num w:numId="14" w16cid:durableId="2022854550">
    <w:abstractNumId w:val="16"/>
  </w:num>
  <w:num w:numId="15" w16cid:durableId="475537552">
    <w:abstractNumId w:val="16"/>
    <w:lvlOverride w:ilvl="0">
      <w:startOverride w:val="1"/>
    </w:lvlOverride>
  </w:num>
  <w:num w:numId="16" w16cid:durableId="808207131">
    <w:abstractNumId w:val="16"/>
    <w:lvlOverride w:ilvl="0">
      <w:startOverride w:val="1"/>
    </w:lvlOverride>
  </w:num>
  <w:num w:numId="17" w16cid:durableId="500045825">
    <w:abstractNumId w:val="16"/>
    <w:lvlOverride w:ilvl="0">
      <w:startOverride w:val="1"/>
    </w:lvlOverride>
  </w:num>
  <w:num w:numId="18" w16cid:durableId="1488281647">
    <w:abstractNumId w:val="16"/>
    <w:lvlOverride w:ilvl="0">
      <w:startOverride w:val="1"/>
    </w:lvlOverride>
  </w:num>
  <w:num w:numId="19" w16cid:durableId="1333871951">
    <w:abstractNumId w:val="19"/>
  </w:num>
  <w:num w:numId="20" w16cid:durableId="1197741376">
    <w:abstractNumId w:val="19"/>
    <w:lvlOverride w:ilvl="0">
      <w:startOverride w:val="1"/>
    </w:lvlOverride>
  </w:num>
  <w:num w:numId="21" w16cid:durableId="1025714074">
    <w:abstractNumId w:val="23"/>
  </w:num>
  <w:num w:numId="22" w16cid:durableId="416706670">
    <w:abstractNumId w:val="21"/>
  </w:num>
  <w:num w:numId="23" w16cid:durableId="1003362161">
    <w:abstractNumId w:val="11"/>
    <w:lvlOverride w:ilvl="0">
      <w:startOverride w:val="1"/>
    </w:lvlOverride>
  </w:num>
  <w:num w:numId="24" w16cid:durableId="1991253842">
    <w:abstractNumId w:val="23"/>
    <w:lvlOverride w:ilvl="0">
      <w:startOverride w:val="1"/>
    </w:lvlOverride>
  </w:num>
  <w:num w:numId="25" w16cid:durableId="338044194">
    <w:abstractNumId w:val="21"/>
    <w:lvlOverride w:ilvl="0">
      <w:startOverride w:val="1"/>
    </w:lvlOverride>
  </w:num>
  <w:num w:numId="26" w16cid:durableId="1830249847">
    <w:abstractNumId w:val="21"/>
    <w:lvlOverride w:ilvl="0">
      <w:startOverride w:val="1"/>
    </w:lvlOverride>
  </w:num>
  <w:num w:numId="27" w16cid:durableId="493107630">
    <w:abstractNumId w:val="14"/>
  </w:num>
  <w:num w:numId="28" w16cid:durableId="258493270">
    <w:abstractNumId w:val="18"/>
  </w:num>
  <w:num w:numId="29" w16cid:durableId="793062055">
    <w:abstractNumId w:val="13"/>
  </w:num>
  <w:num w:numId="30" w16cid:durableId="99186529">
    <w:abstractNumId w:val="15"/>
  </w:num>
  <w:num w:numId="31" w16cid:durableId="1534076967">
    <w:abstractNumId w:val="12"/>
  </w:num>
  <w:num w:numId="32" w16cid:durableId="803700664">
    <w:abstractNumId w:val="23"/>
    <w:lvlOverride w:ilvl="0">
      <w:startOverride w:val="1"/>
    </w:lvlOverride>
  </w:num>
  <w:num w:numId="33" w16cid:durableId="1683584891">
    <w:abstractNumId w:val="23"/>
    <w:lvlOverride w:ilvl="0">
      <w:startOverride w:val="1"/>
    </w:lvlOverride>
  </w:num>
  <w:num w:numId="34" w16cid:durableId="1862812777">
    <w:abstractNumId w:val="23"/>
    <w:lvlOverride w:ilvl="0">
      <w:startOverride w:val="1"/>
    </w:lvlOverride>
  </w:num>
  <w:num w:numId="35" w16cid:durableId="1635792989">
    <w:abstractNumId w:val="22"/>
    <w:lvlOverride w:ilvl="0">
      <w:startOverride w:val="1"/>
    </w:lvlOverride>
  </w:num>
  <w:num w:numId="36" w16cid:durableId="1804885207">
    <w:abstractNumId w:val="22"/>
    <w:lvlOverride w:ilvl="0">
      <w:startOverride w:val="1"/>
    </w:lvlOverride>
  </w:num>
  <w:num w:numId="37" w16cid:durableId="123550140">
    <w:abstractNumId w:val="22"/>
    <w:lvlOverride w:ilvl="0">
      <w:startOverride w:val="1"/>
    </w:lvlOverride>
  </w:num>
  <w:num w:numId="38" w16cid:durableId="137966862">
    <w:abstractNumId w:val="17"/>
  </w:num>
  <w:num w:numId="39" w16cid:durableId="2018533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75"/>
    <w:rsid w:val="00027038"/>
    <w:rsid w:val="0003154E"/>
    <w:rsid w:val="00037513"/>
    <w:rsid w:val="0006627F"/>
    <w:rsid w:val="000A24FB"/>
    <w:rsid w:val="000B3417"/>
    <w:rsid w:val="000B6A28"/>
    <w:rsid w:val="000D749D"/>
    <w:rsid w:val="00115264"/>
    <w:rsid w:val="00117A77"/>
    <w:rsid w:val="001611BF"/>
    <w:rsid w:val="0017436A"/>
    <w:rsid w:val="00176AEA"/>
    <w:rsid w:val="001954B4"/>
    <w:rsid w:val="001B2D56"/>
    <w:rsid w:val="00212443"/>
    <w:rsid w:val="00220DDA"/>
    <w:rsid w:val="00227DB5"/>
    <w:rsid w:val="00266CCC"/>
    <w:rsid w:val="00274D42"/>
    <w:rsid w:val="00285CAF"/>
    <w:rsid w:val="002B661A"/>
    <w:rsid w:val="002C7A05"/>
    <w:rsid w:val="002D6B3D"/>
    <w:rsid w:val="002E5916"/>
    <w:rsid w:val="002E66EE"/>
    <w:rsid w:val="00303C55"/>
    <w:rsid w:val="00311C2D"/>
    <w:rsid w:val="00317030"/>
    <w:rsid w:val="00353E5E"/>
    <w:rsid w:val="00361020"/>
    <w:rsid w:val="00374D2A"/>
    <w:rsid w:val="00376FE6"/>
    <w:rsid w:val="00385BD5"/>
    <w:rsid w:val="003C181D"/>
    <w:rsid w:val="003D676D"/>
    <w:rsid w:val="003F23E9"/>
    <w:rsid w:val="00443F97"/>
    <w:rsid w:val="00464D89"/>
    <w:rsid w:val="00490B90"/>
    <w:rsid w:val="004B2C90"/>
    <w:rsid w:val="004C17DE"/>
    <w:rsid w:val="004D0F5A"/>
    <w:rsid w:val="004F4C4F"/>
    <w:rsid w:val="005226B9"/>
    <w:rsid w:val="00561FB9"/>
    <w:rsid w:val="00591288"/>
    <w:rsid w:val="005917FD"/>
    <w:rsid w:val="005A4AA1"/>
    <w:rsid w:val="005B3358"/>
    <w:rsid w:val="005C0F15"/>
    <w:rsid w:val="005C3C13"/>
    <w:rsid w:val="005D4706"/>
    <w:rsid w:val="006147EB"/>
    <w:rsid w:val="006200EB"/>
    <w:rsid w:val="00621EA3"/>
    <w:rsid w:val="00640234"/>
    <w:rsid w:val="0064343A"/>
    <w:rsid w:val="00665818"/>
    <w:rsid w:val="00665FB6"/>
    <w:rsid w:val="006A008F"/>
    <w:rsid w:val="006A5AA6"/>
    <w:rsid w:val="006E170D"/>
    <w:rsid w:val="006E698B"/>
    <w:rsid w:val="006F31E8"/>
    <w:rsid w:val="0071548B"/>
    <w:rsid w:val="007203E4"/>
    <w:rsid w:val="007204A9"/>
    <w:rsid w:val="00756929"/>
    <w:rsid w:val="00767DBB"/>
    <w:rsid w:val="00774646"/>
    <w:rsid w:val="00781695"/>
    <w:rsid w:val="007932A4"/>
    <w:rsid w:val="007A02A7"/>
    <w:rsid w:val="007C0935"/>
    <w:rsid w:val="007C4367"/>
    <w:rsid w:val="007D6BCD"/>
    <w:rsid w:val="007F4E93"/>
    <w:rsid w:val="008046D4"/>
    <w:rsid w:val="00833792"/>
    <w:rsid w:val="00852F35"/>
    <w:rsid w:val="00857363"/>
    <w:rsid w:val="00873244"/>
    <w:rsid w:val="00880485"/>
    <w:rsid w:val="00883248"/>
    <w:rsid w:val="008A0614"/>
    <w:rsid w:val="008B44F5"/>
    <w:rsid w:val="008C47A1"/>
    <w:rsid w:val="008C738F"/>
    <w:rsid w:val="008D6B9E"/>
    <w:rsid w:val="008E1024"/>
    <w:rsid w:val="008F6CB0"/>
    <w:rsid w:val="00913ED0"/>
    <w:rsid w:val="00927650"/>
    <w:rsid w:val="00942CB6"/>
    <w:rsid w:val="00942CE9"/>
    <w:rsid w:val="00954FF2"/>
    <w:rsid w:val="009615D2"/>
    <w:rsid w:val="00962EE8"/>
    <w:rsid w:val="00976EE9"/>
    <w:rsid w:val="00984376"/>
    <w:rsid w:val="009A6D9C"/>
    <w:rsid w:val="009C60F6"/>
    <w:rsid w:val="009F0889"/>
    <w:rsid w:val="009F6A0F"/>
    <w:rsid w:val="00A008E6"/>
    <w:rsid w:val="00A12C83"/>
    <w:rsid w:val="00A62EF3"/>
    <w:rsid w:val="00A711AA"/>
    <w:rsid w:val="00A918A7"/>
    <w:rsid w:val="00AA705F"/>
    <w:rsid w:val="00AC2CDC"/>
    <w:rsid w:val="00AC5FEE"/>
    <w:rsid w:val="00AD7805"/>
    <w:rsid w:val="00B56736"/>
    <w:rsid w:val="00B6596F"/>
    <w:rsid w:val="00BB1526"/>
    <w:rsid w:val="00BD171D"/>
    <w:rsid w:val="00BD57F5"/>
    <w:rsid w:val="00BE48A4"/>
    <w:rsid w:val="00BE56F0"/>
    <w:rsid w:val="00BF3A6D"/>
    <w:rsid w:val="00C12D35"/>
    <w:rsid w:val="00C47620"/>
    <w:rsid w:val="00C70947"/>
    <w:rsid w:val="00CC6110"/>
    <w:rsid w:val="00CE28F0"/>
    <w:rsid w:val="00D03799"/>
    <w:rsid w:val="00D04E61"/>
    <w:rsid w:val="00D10635"/>
    <w:rsid w:val="00D500C1"/>
    <w:rsid w:val="00D525B8"/>
    <w:rsid w:val="00DA18A2"/>
    <w:rsid w:val="00DF2F8D"/>
    <w:rsid w:val="00E05FA4"/>
    <w:rsid w:val="00E06675"/>
    <w:rsid w:val="00E224F4"/>
    <w:rsid w:val="00E2753F"/>
    <w:rsid w:val="00E84F06"/>
    <w:rsid w:val="00E92551"/>
    <w:rsid w:val="00ED0697"/>
    <w:rsid w:val="00ED2172"/>
    <w:rsid w:val="00F03073"/>
    <w:rsid w:val="00F13E17"/>
    <w:rsid w:val="00F66078"/>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1BE18B"/>
  <w14:discardImageEditingData/>
  <w15:chartTrackingRefBased/>
  <w15:docId w15:val="{F6A8BB2B-B3F0-4118-BAED-0C2EDD9C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qFormat/>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List Paragraph1,Recommendation"/>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customStyle="1" w:styleId="ListParagraphChar">
    <w:name w:val="List Paragraph Char"/>
    <w:aliases w:val="List Paragraph1 Char,Recommendation Char"/>
    <w:basedOn w:val="DefaultParagraphFont"/>
    <w:link w:val="ListParagraph"/>
    <w:uiPriority w:val="34"/>
    <w:locked/>
    <w:rsid w:val="00E06675"/>
    <w:rPr>
      <w:sz w:val="22"/>
    </w:rPr>
  </w:style>
  <w:style w:type="paragraph" w:styleId="BodyText">
    <w:name w:val="Body Text"/>
    <w:basedOn w:val="Normal"/>
    <w:link w:val="BodyTextChar"/>
    <w:qFormat/>
    <w:rsid w:val="00E06675"/>
    <w:pPr>
      <w:spacing w:after="120"/>
    </w:pPr>
    <w:rPr>
      <w:rFonts w:ascii="Calibri" w:eastAsiaTheme="minorHAnsi" w:hAnsi="Calibri"/>
      <w:color w:val="262626" w:themeColor="text1" w:themeTint="D9"/>
      <w:sz w:val="20"/>
      <w:szCs w:val="20"/>
    </w:rPr>
  </w:style>
  <w:style w:type="character" w:customStyle="1" w:styleId="BodyTextChar">
    <w:name w:val="Body Text Char"/>
    <w:basedOn w:val="DefaultParagraphFont"/>
    <w:link w:val="BodyText"/>
    <w:rsid w:val="00E06675"/>
    <w:rPr>
      <w:rFonts w:ascii="Calibri" w:eastAsiaTheme="minorHAnsi" w:hAnsi="Calibri"/>
      <w:color w:val="262626" w:themeColor="text1" w:themeTint="D9"/>
      <w:sz w:val="20"/>
      <w:szCs w:val="20"/>
    </w:rPr>
  </w:style>
  <w:style w:type="paragraph" w:customStyle="1" w:styleId="BulletedListlvl1">
    <w:name w:val="Bulleted List lvl1"/>
    <w:uiPriority w:val="10"/>
    <w:qFormat/>
    <w:rsid w:val="007D6BCD"/>
    <w:pPr>
      <w:numPr>
        <w:numId w:val="39"/>
      </w:numPr>
      <w:spacing w:after="0" w:line="264" w:lineRule="auto"/>
    </w:pPr>
    <w:rPr>
      <w:rFonts w:eastAsiaTheme="minorHAnsi"/>
      <w:color w:val="262626" w:themeColor="text1" w:themeTint="D9"/>
      <w:sz w:val="20"/>
      <w:szCs w:val="20"/>
    </w:rPr>
  </w:style>
  <w:style w:type="paragraph" w:customStyle="1" w:styleId="BulletedListlvl2">
    <w:name w:val="Bulleted List lvl2"/>
    <w:basedOn w:val="BulletedListlvl1"/>
    <w:uiPriority w:val="10"/>
    <w:rsid w:val="007D6BCD"/>
    <w:pPr>
      <w:numPr>
        <w:ilvl w:val="1"/>
      </w:numPr>
      <w:ind w:left="1021" w:hanging="283"/>
    </w:pPr>
  </w:style>
  <w:style w:type="paragraph" w:customStyle="1" w:styleId="BulletedListlvl3">
    <w:name w:val="Bulleted List lvl3"/>
    <w:basedOn w:val="BulletedListlvl2"/>
    <w:uiPriority w:val="10"/>
    <w:rsid w:val="007D6BCD"/>
    <w:pPr>
      <w:numPr>
        <w:ilvl w:val="2"/>
      </w:numPr>
      <w:ind w:left="141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ederation.gov.au/about/agreements/intergovernmental-agreement-data-sh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rotectivesecurity.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aic.gov.au/__data/assets/pdf_file/0017/1691/data-breach-preparation-and-respons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8720E3A243C3A531915AD4306BF8"/>
        <w:category>
          <w:name w:val="General"/>
          <w:gallery w:val="placeholder"/>
        </w:category>
        <w:types>
          <w:type w:val="bbPlcHdr"/>
        </w:types>
        <w:behaviors>
          <w:behavior w:val="content"/>
        </w:behaviors>
        <w:guid w:val="{DA2E224F-79B7-49BF-9F25-717F12589D50}"/>
      </w:docPartPr>
      <w:docPartBody>
        <w:p w:rsidR="004C1758" w:rsidRDefault="007005F5">
          <w:pPr>
            <w:pStyle w:val="EE968720E3A243C3A531915AD4306BF8"/>
          </w:pPr>
          <w:r w:rsidRPr="00F13E41">
            <w:rPr>
              <w:rStyle w:val="PlaceholderText"/>
            </w:rPr>
            <w:t>[Title]</w:t>
          </w:r>
        </w:p>
      </w:docPartBody>
    </w:docPart>
    <w:docPart>
      <w:docPartPr>
        <w:name w:val="FC2A7A3BC59C4D24AA619B17388837E3"/>
        <w:category>
          <w:name w:val="General"/>
          <w:gallery w:val="placeholder"/>
        </w:category>
        <w:types>
          <w:type w:val="bbPlcHdr"/>
        </w:types>
        <w:behaviors>
          <w:behavior w:val="content"/>
        </w:behaviors>
        <w:guid w:val="{272FED6B-CC00-4165-A3B4-7A69FC576DFB}"/>
      </w:docPartPr>
      <w:docPartBody>
        <w:p w:rsidR="004C1758" w:rsidRDefault="007005F5">
          <w:pPr>
            <w:pStyle w:val="FC2A7A3BC59C4D24AA619B17388837E3"/>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F5"/>
    <w:rsid w:val="004C1758"/>
    <w:rsid w:val="00700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5F5"/>
    <w:rPr>
      <w:color w:val="808080"/>
    </w:rPr>
  </w:style>
  <w:style w:type="paragraph" w:customStyle="1" w:styleId="EE968720E3A243C3A531915AD4306BF8">
    <w:name w:val="EE968720E3A243C3A531915AD4306BF8"/>
  </w:style>
  <w:style w:type="paragraph" w:customStyle="1" w:styleId="FC2A7A3BC59C4D24AA619B17388837E3">
    <w:name w:val="FC2A7A3BC59C4D24AA619B1738883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Data and Digital Policy</TermName>
          <TermId xmlns="http://schemas.microsoft.com/office/infopath/2007/PartnerControls">ffafd1ff-da0b-492d-a9f8-4137e81f8840</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7c8296d6-e17c-4d5d-93e6-bd5138da2c07">FIN11494-1625742785-3557</_dlc_DocId>
    <_dlc_DocIdUrl xmlns="7c8296d6-e17c-4d5d-93e6-bd5138da2c07">
      <Url>https://f1.prdmgd.finance.gov.au/sites/51011494/_layouts/15/DocIdRedir.aspx?ID=FIN11494-1625742785-3557</Url>
      <Description>FIN11494-1625742785-3557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275295ED7D98DF40B0C435C5ECE47DA8" ma:contentTypeVersion="15" ma:contentTypeDescription="" ma:contentTypeScope="" ma:versionID="503acc53e94f07cdcd966a8ad791da99">
  <xsd:schema xmlns:xsd="http://www.w3.org/2001/XMLSchema" xmlns:xs="http://www.w3.org/2001/XMLSchema" xmlns:p="http://schemas.microsoft.com/office/2006/metadata/properties" xmlns:ns1="http://schemas.microsoft.com/sharepoint/v3" xmlns:ns2="http://schemas.microsoft.com/sharepoint/v3/fields" xmlns:ns3="82ff9d9b-d3fc-4aad-bc42-9949ee83b815" xmlns:ns4="7c8296d6-e17c-4d5d-93e6-bd5138da2c07" targetNamespace="http://schemas.microsoft.com/office/2006/metadata/properties" ma:root="true" ma:fieldsID="2cee1c7e7e64070fda6f147577bee5b8" ns1:_="" ns2:_="" ns3:_="" ns4:_="">
    <xsd:import namespace="http://schemas.microsoft.com/sharepoint/v3"/>
    <xsd:import namespace="http://schemas.microsoft.com/sharepoint/v3/fields"/>
    <xsd:import namespace="82ff9d9b-d3fc-4aad-bc42-9949ee83b815"/>
    <xsd:import namespace="7c8296d6-e17c-4d5d-93e6-bd5138da2c07"/>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de90571e-c4ff-4ee2-9a47-024c8ceab421}" ma:internalName="TaxCatchAll" ma:showField="CatchAllData"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de90571e-c4ff-4ee2-9a47-024c8ceab421}" ma:internalName="TaxCatchAllLabel" ma:readOnly="true" ma:showField="CatchAllDataLabel"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8296d6-e17c-4d5d-93e6-bd5138da2c07"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5A944-BAB3-42A2-8533-4F8E16E04E86}">
  <ds:schemaRefs>
    <ds:schemaRef ds:uri="http://schemas.microsoft.com/sharepoint/v3/contenttype/forms"/>
  </ds:schemaRefs>
</ds:datastoreItem>
</file>

<file path=customXml/itemProps2.xml><?xml version="1.0" encoding="utf-8"?>
<ds:datastoreItem xmlns:ds="http://schemas.openxmlformats.org/officeDocument/2006/customXml" ds:itemID="{76C7AD44-7749-444E-B6C3-5B5A9F8DFFD5}">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microsoft.com/sharepoint/v3"/>
    <ds:schemaRef ds:uri="http://schemas.openxmlformats.org/package/2006/metadata/core-properties"/>
    <ds:schemaRef ds:uri="7c8296d6-e17c-4d5d-93e6-bd5138da2c07"/>
    <ds:schemaRef ds:uri="82ff9d9b-d3fc-4aad-bc42-9949ee83b815"/>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144B2143-63C9-4821-B634-E0592984513E}">
  <ds:schemaRefs>
    <ds:schemaRef ds:uri="http://schemas.openxmlformats.org/officeDocument/2006/bibliography"/>
  </ds:schemaRefs>
</ds:datastoreItem>
</file>

<file path=customXml/itemProps4.xml><?xml version="1.0" encoding="utf-8"?>
<ds:datastoreItem xmlns:ds="http://schemas.openxmlformats.org/officeDocument/2006/customXml" ds:itemID="{6B810AE2-A787-4256-8EF4-CB2429079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7c8296d6-e17c-4d5d-93e6-bd5138da2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6F7B5-D788-48A6-AA45-486BDB592169}">
  <ds:schemaRefs>
    <ds:schemaRef ds:uri="Microsoft.SharePoint.Taxonomy.ContentTypeSync"/>
  </ds:schemaRefs>
</ds:datastoreItem>
</file>

<file path=customXml/itemProps6.xml><?xml version="1.0" encoding="utf-8"?>
<ds:datastoreItem xmlns:ds="http://schemas.openxmlformats.org/officeDocument/2006/customXml" ds:itemID="{F2012F8E-C713-4D37-B035-F6C8443CF7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Intergovernmental agreement on data sharing fact sheet</vt:lpstr>
    </vt:vector>
  </TitlesOfParts>
  <Manager>National Data Sharing Work Program</Manager>
  <Company>Department of the Prime Minister and Cabinet</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 on data sharing fact sheet</dc:title>
  <dc:subject/>
  <dc:creator>Department of Finance</dc:creator>
  <cp:keywords/>
  <dc:description/>
  <cp:lastModifiedBy>WDAGUtilityAccount</cp:lastModifiedBy>
  <cp:revision>3</cp:revision>
  <dcterms:created xsi:type="dcterms:W3CDTF">2022-10-10T04:06:00Z</dcterms:created>
  <dcterms:modified xsi:type="dcterms:W3CDTF">2023-06-08T00:47:00Z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0x0101002EFF4F6709F446E5AD064DC20BBE6855008F70CE3E60DE154B8B99D468DE12E03200275295ED7D98DF40B0C435C5ECE47DA8</vt:lpwstr>
  </property>
  <property fmtid="{D5CDD505-2E9C-101B-9397-08002B2CF9AE}" pid="4" name="TaxKeyword">
    <vt:lpwstr/>
  </property>
  <property fmtid="{D5CDD505-2E9C-101B-9397-08002B2CF9AE}" pid="5" name="ESearchTags">
    <vt:lpwstr>81;#National Cabinet|991895fa-80c6-46c0-9d54-97c9b975186a;#18;#Cabinet|84cba657-17c1-4642-9e59-a0df180c2be5</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PMC.ESearch.TagGeneratedTime">
    <vt:lpwstr>2022-07-04T15:13:34</vt:lpwstr>
  </property>
  <property fmtid="{D5CDD505-2E9C-101B-9397-08002B2CF9AE}" pid="10" name="OrgUnit">
    <vt:lpwstr>2;#Data and Digital Policy|ffafd1ff-da0b-492d-a9f8-4137e81f8840</vt:lpwstr>
  </property>
  <property fmtid="{D5CDD505-2E9C-101B-9397-08002B2CF9AE}" pid="11" name="InitiatingEntity">
    <vt:lpwstr>1;#Department of Finance|fd660e8f-8f31-49bd-92a3-d31d4da31afe</vt:lpwstr>
  </property>
  <property fmtid="{D5CDD505-2E9C-101B-9397-08002B2CF9AE}" pid="12" name="Function and Activity">
    <vt:lpwstr/>
  </property>
  <property fmtid="{D5CDD505-2E9C-101B-9397-08002B2CF9AE}" pid="13" name="AbtEntity">
    <vt:lpwstr>1;#Department of Finance|fd660e8f-8f31-49bd-92a3-d31d4da31afe</vt:lpwstr>
  </property>
  <property fmtid="{D5CDD505-2E9C-101B-9397-08002B2CF9AE}" pid="14" name="_dlc_DocIdItemGuid">
    <vt:lpwstr>b845e94e-2a2d-4b30-8949-8d5511b73ff8</vt:lpwstr>
  </property>
</Properties>
</file>