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17FE" w14:textId="4EB9C66E" w:rsidR="00B770C4" w:rsidRDefault="00202AA0" w:rsidP="00645300">
      <w:pPr>
        <w:pStyle w:val="Title"/>
      </w:pPr>
      <w:bookmarkStart w:id="0" w:name="_Toc138142641"/>
      <w:bookmarkStart w:id="1" w:name="_Toc53573191"/>
      <w:bookmarkStart w:id="2" w:name="_Toc53573619"/>
      <w:r>
        <w:rPr>
          <w:noProof/>
        </w:rPr>
        <w:pict w14:anchorId="23997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0.9pt;margin-top:-70.85pt;width:594.55pt;height:184.4pt;z-index:-251658240">
            <v:imagedata r:id="rId13" o:title="Short word banner"/>
          </v:shape>
        </w:pict>
      </w:r>
      <w:r w:rsidR="00452D4B">
        <w:rPr>
          <w:noProof/>
        </w:rPr>
        <w:t>202</w:t>
      </w:r>
      <w:r w:rsidR="00302451">
        <w:rPr>
          <w:noProof/>
        </w:rPr>
        <w:t>3</w:t>
      </w:r>
      <w:r w:rsidR="00452D4B">
        <w:rPr>
          <w:noProof/>
        </w:rPr>
        <w:t xml:space="preserve"> Office Data Collection Manual</w:t>
      </w:r>
      <w:bookmarkEnd w:id="0"/>
      <w:r w:rsidR="00452D4B">
        <w:rPr>
          <w:noProof/>
        </w:rPr>
        <w:t xml:space="preserve"> </w:t>
      </w:r>
    </w:p>
    <w:p w14:paraId="3E9312D6" w14:textId="2095BAF6" w:rsidR="00645300" w:rsidRPr="00645300" w:rsidRDefault="00F63AA1" w:rsidP="00645300">
      <w:pPr>
        <w:pStyle w:val="Title"/>
      </w:pPr>
      <w:bookmarkStart w:id="3" w:name="_Toc138142642"/>
      <w:r>
        <w:t xml:space="preserve">Reporting </w:t>
      </w:r>
      <w:r w:rsidR="00452D4B">
        <w:t>Scenarios</w:t>
      </w:r>
      <w:bookmarkEnd w:id="3"/>
    </w:p>
    <w:p w14:paraId="2B4671FC" w14:textId="074246A2" w:rsidR="00B770C4" w:rsidRPr="00B770C4" w:rsidRDefault="00387F34" w:rsidP="00645300">
      <w:pPr>
        <w:pStyle w:val="Subtitle"/>
      </w:pPr>
      <w:bookmarkStart w:id="4" w:name="_Toc138142643"/>
      <w:r>
        <w:t>June</w:t>
      </w:r>
      <w:r w:rsidR="00452D4B">
        <w:t xml:space="preserve"> 202</w:t>
      </w:r>
      <w:r w:rsidR="00302451">
        <w:t>3</w:t>
      </w:r>
      <w:bookmarkEnd w:id="4"/>
    </w:p>
    <w:p w14:paraId="488FAD02" w14:textId="1F3FDAA8" w:rsidR="004E058F" w:rsidRDefault="00F63AA1" w:rsidP="004E058F">
      <w:pPr>
        <w:pStyle w:val="Heading1Numbered"/>
      </w:pPr>
      <w:bookmarkStart w:id="5" w:name="_Toc138142644"/>
      <w:bookmarkEnd w:id="1"/>
      <w:bookmarkEnd w:id="2"/>
      <w:r>
        <w:t>Purpose</w:t>
      </w:r>
      <w:bookmarkEnd w:id="5"/>
    </w:p>
    <w:p w14:paraId="6FEE3F65" w14:textId="76726FC6" w:rsidR="00DE1AD1" w:rsidRDefault="00D11A53" w:rsidP="0082589D">
      <w:r>
        <w:t>T</w:t>
      </w:r>
      <w:r w:rsidR="00FE0045">
        <w:t xml:space="preserve">his document </w:t>
      </w:r>
      <w:r>
        <w:t xml:space="preserve">has been designed to support the Australian Government Property Register (AGPR) Office Data Collection Manual, by providing additional details on how to correctly record </w:t>
      </w:r>
      <w:r w:rsidR="00B246BC">
        <w:t>details of tenancies (including sub-leases/MOUs) in the AGPR for</w:t>
      </w:r>
      <w:r>
        <w:t xml:space="preserve"> </w:t>
      </w:r>
      <w:bookmarkStart w:id="6" w:name="_Int_0wNWNdW4"/>
      <w:proofErr w:type="gramStart"/>
      <w:r>
        <w:t>a number of</w:t>
      </w:r>
      <w:bookmarkEnd w:id="6"/>
      <w:proofErr w:type="gramEnd"/>
      <w:r>
        <w:t xml:space="preserve"> </w:t>
      </w:r>
      <w:r w:rsidR="00B246BC">
        <w:t xml:space="preserve">common and not-so common </w:t>
      </w:r>
      <w:r>
        <w:t>scenarios</w:t>
      </w:r>
      <w:r w:rsidR="00FE0045">
        <w:t>.</w:t>
      </w:r>
      <w:r w:rsidR="00D0348F">
        <w:t xml:space="preserve"> </w:t>
      </w:r>
    </w:p>
    <w:p w14:paraId="0EAA0894" w14:textId="77D66FFE" w:rsidR="00F63AA1" w:rsidRDefault="00DE1AD1" w:rsidP="00F63AA1">
      <w:pPr>
        <w:pStyle w:val="Heading1Numbered"/>
      </w:pPr>
      <w:bookmarkStart w:id="7" w:name="_Toc138142645"/>
      <w:r>
        <w:t>Reporting s</w:t>
      </w:r>
      <w:r w:rsidR="00F63AA1">
        <w:t>cenarios</w:t>
      </w:r>
      <w:bookmarkEnd w:id="7"/>
    </w:p>
    <w:sdt>
      <w:sdtPr>
        <w:rPr>
          <w:rFonts w:asciiTheme="minorHAnsi" w:eastAsiaTheme="minorHAnsi" w:hAnsiTheme="minorHAnsi" w:cstheme="minorBidi"/>
          <w:color w:val="auto"/>
          <w:sz w:val="22"/>
          <w:szCs w:val="22"/>
          <w:lang w:val="en-AU"/>
        </w:rPr>
        <w:id w:val="1397784056"/>
        <w:docPartObj>
          <w:docPartGallery w:val="Table of Contents"/>
          <w:docPartUnique/>
        </w:docPartObj>
      </w:sdtPr>
      <w:sdtEndPr>
        <w:rPr>
          <w:b/>
          <w:bCs/>
          <w:noProof/>
        </w:rPr>
      </w:sdtEndPr>
      <w:sdtContent>
        <w:p w14:paraId="47E4CD1A" w14:textId="48A42461" w:rsidR="00387F34" w:rsidRDefault="00387F34">
          <w:pPr>
            <w:pStyle w:val="TOCHeading"/>
          </w:pPr>
        </w:p>
        <w:p w14:paraId="4CB46A20" w14:textId="5EE5563B" w:rsidR="00387F34" w:rsidRPr="00387F34" w:rsidRDefault="00387F34" w:rsidP="00387F34">
          <w:pPr>
            <w:pStyle w:val="TOC1"/>
            <w:rPr>
              <w:rFonts w:eastAsiaTheme="minorEastAsia"/>
              <w:kern w:val="2"/>
              <w:lang w:eastAsia="en-AU"/>
              <w14:ligatures w14:val="standardContextual"/>
            </w:rPr>
          </w:pPr>
          <w:r>
            <w:fldChar w:fldCharType="begin"/>
          </w:r>
          <w:r>
            <w:instrText xml:space="preserve"> TOC \o "1-3" \h \z \u </w:instrText>
          </w:r>
          <w:r>
            <w:fldChar w:fldCharType="separate"/>
          </w:r>
          <w:hyperlink w:anchor="_Toc138142646" w:history="1">
            <w:r w:rsidRPr="00387F34">
              <w:rPr>
                <w:rStyle w:val="Hyperlink"/>
              </w:rPr>
              <w:t>Commonwealth MOUs/subleasing arrangements</w:t>
            </w:r>
            <w:r w:rsidRPr="00387F34">
              <w:rPr>
                <w:webHidden/>
              </w:rPr>
              <w:tab/>
            </w:r>
            <w:r w:rsidRPr="00387F34">
              <w:rPr>
                <w:webHidden/>
              </w:rPr>
              <w:fldChar w:fldCharType="begin"/>
            </w:r>
            <w:r w:rsidRPr="00387F34">
              <w:rPr>
                <w:webHidden/>
              </w:rPr>
              <w:instrText xml:space="preserve"> PAGEREF _Toc138142646 \h </w:instrText>
            </w:r>
            <w:r w:rsidRPr="00387F34">
              <w:rPr>
                <w:webHidden/>
              </w:rPr>
            </w:r>
            <w:r w:rsidRPr="00387F34">
              <w:rPr>
                <w:webHidden/>
              </w:rPr>
              <w:fldChar w:fldCharType="separate"/>
            </w:r>
            <w:r w:rsidR="00AC0D3E">
              <w:rPr>
                <w:webHidden/>
              </w:rPr>
              <w:t>2</w:t>
            </w:r>
            <w:r w:rsidRPr="00387F34">
              <w:rPr>
                <w:webHidden/>
              </w:rPr>
              <w:fldChar w:fldCharType="end"/>
            </w:r>
          </w:hyperlink>
        </w:p>
        <w:p w14:paraId="405839AD" w14:textId="28C70B58" w:rsidR="00387F34" w:rsidRDefault="00202AA0">
          <w:pPr>
            <w:pStyle w:val="TOC3"/>
            <w:rPr>
              <w:rFonts w:eastAsiaTheme="minorEastAsia"/>
              <w:noProof/>
              <w:kern w:val="2"/>
              <w:lang w:eastAsia="en-AU"/>
              <w14:ligatures w14:val="standardContextual"/>
            </w:rPr>
          </w:pPr>
          <w:hyperlink w:anchor="_Toc138142647" w:history="1">
            <w:r w:rsidR="00387F34" w:rsidRPr="0057243A">
              <w:rPr>
                <w:rStyle w:val="Hyperlink"/>
                <w:noProof/>
              </w:rPr>
              <w:t>Collection Scope</w:t>
            </w:r>
            <w:r w:rsidR="00387F34">
              <w:rPr>
                <w:noProof/>
                <w:webHidden/>
              </w:rPr>
              <w:tab/>
            </w:r>
            <w:r w:rsidR="00387F34">
              <w:rPr>
                <w:noProof/>
                <w:webHidden/>
              </w:rPr>
              <w:fldChar w:fldCharType="begin"/>
            </w:r>
            <w:r w:rsidR="00387F34">
              <w:rPr>
                <w:noProof/>
                <w:webHidden/>
              </w:rPr>
              <w:instrText xml:space="preserve"> PAGEREF _Toc138142647 \h </w:instrText>
            </w:r>
            <w:r w:rsidR="00387F34">
              <w:rPr>
                <w:noProof/>
                <w:webHidden/>
              </w:rPr>
            </w:r>
            <w:r w:rsidR="00387F34">
              <w:rPr>
                <w:noProof/>
                <w:webHidden/>
              </w:rPr>
              <w:fldChar w:fldCharType="separate"/>
            </w:r>
            <w:r w:rsidR="00AC0D3E">
              <w:rPr>
                <w:noProof/>
                <w:webHidden/>
              </w:rPr>
              <w:t>2</w:t>
            </w:r>
            <w:r w:rsidR="00387F34">
              <w:rPr>
                <w:noProof/>
                <w:webHidden/>
              </w:rPr>
              <w:fldChar w:fldCharType="end"/>
            </w:r>
          </w:hyperlink>
        </w:p>
        <w:p w14:paraId="13A9697B" w14:textId="7816BBA7" w:rsidR="00387F34" w:rsidRDefault="00202AA0">
          <w:pPr>
            <w:pStyle w:val="TOC3"/>
            <w:rPr>
              <w:rFonts w:eastAsiaTheme="minorEastAsia"/>
              <w:noProof/>
              <w:kern w:val="2"/>
              <w:lang w:eastAsia="en-AU"/>
              <w14:ligatures w14:val="standardContextual"/>
            </w:rPr>
          </w:pPr>
          <w:hyperlink w:anchor="_Toc138142648" w:history="1">
            <w:r w:rsidR="00387F34" w:rsidRPr="0057243A">
              <w:rPr>
                <w:rStyle w:val="Hyperlink"/>
                <w:noProof/>
              </w:rPr>
              <w:t>Reconciling sublease revenue, rent and lessors outgoings</w:t>
            </w:r>
            <w:r w:rsidR="00387F34">
              <w:rPr>
                <w:noProof/>
                <w:webHidden/>
              </w:rPr>
              <w:tab/>
            </w:r>
            <w:r w:rsidR="00387F34">
              <w:rPr>
                <w:noProof/>
                <w:webHidden/>
              </w:rPr>
              <w:fldChar w:fldCharType="begin"/>
            </w:r>
            <w:r w:rsidR="00387F34">
              <w:rPr>
                <w:noProof/>
                <w:webHidden/>
              </w:rPr>
              <w:instrText xml:space="preserve"> PAGEREF _Toc138142648 \h </w:instrText>
            </w:r>
            <w:r w:rsidR="00387F34">
              <w:rPr>
                <w:noProof/>
                <w:webHidden/>
              </w:rPr>
            </w:r>
            <w:r w:rsidR="00387F34">
              <w:rPr>
                <w:noProof/>
                <w:webHidden/>
              </w:rPr>
              <w:fldChar w:fldCharType="separate"/>
            </w:r>
            <w:r w:rsidR="00AC0D3E">
              <w:rPr>
                <w:noProof/>
                <w:webHidden/>
              </w:rPr>
              <w:t>2</w:t>
            </w:r>
            <w:r w:rsidR="00387F34">
              <w:rPr>
                <w:noProof/>
                <w:webHidden/>
              </w:rPr>
              <w:fldChar w:fldCharType="end"/>
            </w:r>
          </w:hyperlink>
        </w:p>
        <w:p w14:paraId="65406009" w14:textId="30C7E06B" w:rsidR="00387F34" w:rsidRDefault="00202AA0">
          <w:pPr>
            <w:pStyle w:val="TOC3"/>
            <w:rPr>
              <w:rFonts w:eastAsiaTheme="minorEastAsia"/>
              <w:noProof/>
              <w:kern w:val="2"/>
              <w:lang w:eastAsia="en-AU"/>
              <w14:ligatures w14:val="standardContextual"/>
            </w:rPr>
          </w:pPr>
          <w:hyperlink w:anchor="_Toc138142649" w:history="1">
            <w:r w:rsidR="00387F34" w:rsidRPr="0057243A">
              <w:rPr>
                <w:rStyle w:val="Hyperlink"/>
                <w:noProof/>
              </w:rPr>
              <w:t>Non-office areas in sublease or MOU arrangement</w:t>
            </w:r>
            <w:r w:rsidR="00387F34">
              <w:rPr>
                <w:noProof/>
                <w:webHidden/>
              </w:rPr>
              <w:tab/>
            </w:r>
            <w:r w:rsidR="00387F34">
              <w:rPr>
                <w:noProof/>
                <w:webHidden/>
              </w:rPr>
              <w:fldChar w:fldCharType="begin"/>
            </w:r>
            <w:r w:rsidR="00387F34">
              <w:rPr>
                <w:noProof/>
                <w:webHidden/>
              </w:rPr>
              <w:instrText xml:space="preserve"> PAGEREF _Toc138142649 \h </w:instrText>
            </w:r>
            <w:r w:rsidR="00387F34">
              <w:rPr>
                <w:noProof/>
                <w:webHidden/>
              </w:rPr>
            </w:r>
            <w:r w:rsidR="00387F34">
              <w:rPr>
                <w:noProof/>
                <w:webHidden/>
              </w:rPr>
              <w:fldChar w:fldCharType="separate"/>
            </w:r>
            <w:r w:rsidR="00AC0D3E">
              <w:rPr>
                <w:noProof/>
                <w:webHidden/>
              </w:rPr>
              <w:t>3</w:t>
            </w:r>
            <w:r w:rsidR="00387F34">
              <w:rPr>
                <w:noProof/>
                <w:webHidden/>
              </w:rPr>
              <w:fldChar w:fldCharType="end"/>
            </w:r>
          </w:hyperlink>
        </w:p>
        <w:p w14:paraId="71B116A1" w14:textId="3B44B481" w:rsidR="00387F34" w:rsidRDefault="00202AA0">
          <w:pPr>
            <w:pStyle w:val="TOC3"/>
            <w:rPr>
              <w:rFonts w:eastAsiaTheme="minorEastAsia"/>
              <w:noProof/>
              <w:kern w:val="2"/>
              <w:lang w:eastAsia="en-AU"/>
              <w14:ligatures w14:val="standardContextual"/>
            </w:rPr>
          </w:pPr>
          <w:hyperlink w:anchor="_Toc138142650" w:history="1">
            <w:r w:rsidR="00387F34" w:rsidRPr="0057243A">
              <w:rPr>
                <w:rStyle w:val="Hyperlink"/>
                <w:noProof/>
              </w:rPr>
              <w:t>Reporting work-points when subleasing or hosting</w:t>
            </w:r>
            <w:r w:rsidR="00387F34">
              <w:rPr>
                <w:noProof/>
                <w:webHidden/>
              </w:rPr>
              <w:tab/>
            </w:r>
            <w:r w:rsidR="00387F34">
              <w:rPr>
                <w:noProof/>
                <w:webHidden/>
              </w:rPr>
              <w:fldChar w:fldCharType="begin"/>
            </w:r>
            <w:r w:rsidR="00387F34">
              <w:rPr>
                <w:noProof/>
                <w:webHidden/>
              </w:rPr>
              <w:instrText xml:space="preserve"> PAGEREF _Toc138142650 \h </w:instrText>
            </w:r>
            <w:r w:rsidR="00387F34">
              <w:rPr>
                <w:noProof/>
                <w:webHidden/>
              </w:rPr>
            </w:r>
            <w:r w:rsidR="00387F34">
              <w:rPr>
                <w:noProof/>
                <w:webHidden/>
              </w:rPr>
              <w:fldChar w:fldCharType="separate"/>
            </w:r>
            <w:r w:rsidR="00AC0D3E">
              <w:rPr>
                <w:noProof/>
                <w:webHidden/>
              </w:rPr>
              <w:t>3</w:t>
            </w:r>
            <w:r w:rsidR="00387F34">
              <w:rPr>
                <w:noProof/>
                <w:webHidden/>
              </w:rPr>
              <w:fldChar w:fldCharType="end"/>
            </w:r>
          </w:hyperlink>
        </w:p>
        <w:p w14:paraId="31BE04C4" w14:textId="4BEC04C4" w:rsidR="00387F34" w:rsidRDefault="00202AA0">
          <w:pPr>
            <w:pStyle w:val="TOC3"/>
            <w:rPr>
              <w:rFonts w:eastAsiaTheme="minorEastAsia"/>
              <w:noProof/>
              <w:kern w:val="2"/>
              <w:lang w:eastAsia="en-AU"/>
              <w14:ligatures w14:val="standardContextual"/>
            </w:rPr>
          </w:pPr>
          <w:hyperlink w:anchor="_Toc138142651" w:history="1">
            <w:r w:rsidR="00387F34" w:rsidRPr="0057243A">
              <w:rPr>
                <w:rStyle w:val="Hyperlink"/>
                <w:noProof/>
              </w:rPr>
              <w:t>Head lease actual rent and sublease revenue</w:t>
            </w:r>
            <w:r w:rsidR="00387F34">
              <w:rPr>
                <w:noProof/>
                <w:webHidden/>
              </w:rPr>
              <w:tab/>
            </w:r>
            <w:r w:rsidR="00387F34">
              <w:rPr>
                <w:noProof/>
                <w:webHidden/>
              </w:rPr>
              <w:fldChar w:fldCharType="begin"/>
            </w:r>
            <w:r w:rsidR="00387F34">
              <w:rPr>
                <w:noProof/>
                <w:webHidden/>
              </w:rPr>
              <w:instrText xml:space="preserve"> PAGEREF _Toc138142651 \h </w:instrText>
            </w:r>
            <w:r w:rsidR="00387F34">
              <w:rPr>
                <w:noProof/>
                <w:webHidden/>
              </w:rPr>
            </w:r>
            <w:r w:rsidR="00387F34">
              <w:rPr>
                <w:noProof/>
                <w:webHidden/>
              </w:rPr>
              <w:fldChar w:fldCharType="separate"/>
            </w:r>
            <w:r w:rsidR="00AC0D3E">
              <w:rPr>
                <w:noProof/>
                <w:webHidden/>
              </w:rPr>
              <w:t>5</w:t>
            </w:r>
            <w:r w:rsidR="00387F34">
              <w:rPr>
                <w:noProof/>
                <w:webHidden/>
              </w:rPr>
              <w:fldChar w:fldCharType="end"/>
            </w:r>
          </w:hyperlink>
        </w:p>
        <w:p w14:paraId="61C9AACB" w14:textId="17B932AB" w:rsidR="00387F34" w:rsidRDefault="00202AA0">
          <w:pPr>
            <w:pStyle w:val="TOC2"/>
            <w:rPr>
              <w:rFonts w:eastAsiaTheme="minorEastAsia"/>
              <w:noProof/>
              <w:kern w:val="2"/>
              <w:lang w:eastAsia="en-AU"/>
              <w14:ligatures w14:val="standardContextual"/>
            </w:rPr>
          </w:pPr>
          <w:hyperlink w:anchor="_Toc138142652" w:history="1">
            <w:r w:rsidR="00387F34" w:rsidRPr="0057243A">
              <w:rPr>
                <w:rStyle w:val="Hyperlink"/>
                <w:noProof/>
              </w:rPr>
              <w:t>Last Major Fit-out</w:t>
            </w:r>
            <w:r w:rsidR="00387F34">
              <w:rPr>
                <w:noProof/>
                <w:webHidden/>
              </w:rPr>
              <w:tab/>
            </w:r>
            <w:r w:rsidR="00387F34">
              <w:rPr>
                <w:noProof/>
                <w:webHidden/>
              </w:rPr>
              <w:fldChar w:fldCharType="begin"/>
            </w:r>
            <w:r w:rsidR="00387F34">
              <w:rPr>
                <w:noProof/>
                <w:webHidden/>
              </w:rPr>
              <w:instrText xml:space="preserve"> PAGEREF _Toc138142652 \h </w:instrText>
            </w:r>
            <w:r w:rsidR="00387F34">
              <w:rPr>
                <w:noProof/>
                <w:webHidden/>
              </w:rPr>
            </w:r>
            <w:r w:rsidR="00387F34">
              <w:rPr>
                <w:noProof/>
                <w:webHidden/>
              </w:rPr>
              <w:fldChar w:fldCharType="separate"/>
            </w:r>
            <w:r w:rsidR="00AC0D3E">
              <w:rPr>
                <w:noProof/>
                <w:webHidden/>
              </w:rPr>
              <w:t>6</w:t>
            </w:r>
            <w:r w:rsidR="00387F34">
              <w:rPr>
                <w:noProof/>
                <w:webHidden/>
              </w:rPr>
              <w:fldChar w:fldCharType="end"/>
            </w:r>
          </w:hyperlink>
        </w:p>
        <w:p w14:paraId="10AA148D" w14:textId="5115E3DB" w:rsidR="00387F34" w:rsidRDefault="00202AA0">
          <w:pPr>
            <w:pStyle w:val="TOC3"/>
            <w:rPr>
              <w:rFonts w:eastAsiaTheme="minorEastAsia"/>
              <w:noProof/>
              <w:kern w:val="2"/>
              <w:lang w:eastAsia="en-AU"/>
              <w14:ligatures w14:val="standardContextual"/>
            </w:rPr>
          </w:pPr>
          <w:hyperlink w:anchor="_Toc138142653" w:history="1">
            <w:r w:rsidR="00387F34" w:rsidRPr="0057243A">
              <w:rPr>
                <w:rStyle w:val="Hyperlink"/>
                <w:noProof/>
              </w:rPr>
              <w:t>What fit-outs must be included?</w:t>
            </w:r>
            <w:r w:rsidR="00387F34">
              <w:rPr>
                <w:noProof/>
                <w:webHidden/>
              </w:rPr>
              <w:tab/>
            </w:r>
            <w:r w:rsidR="00387F34">
              <w:rPr>
                <w:noProof/>
                <w:webHidden/>
              </w:rPr>
              <w:fldChar w:fldCharType="begin"/>
            </w:r>
            <w:r w:rsidR="00387F34">
              <w:rPr>
                <w:noProof/>
                <w:webHidden/>
              </w:rPr>
              <w:instrText xml:space="preserve"> PAGEREF _Toc138142653 \h </w:instrText>
            </w:r>
            <w:r w:rsidR="00387F34">
              <w:rPr>
                <w:noProof/>
                <w:webHidden/>
              </w:rPr>
            </w:r>
            <w:r w:rsidR="00387F34">
              <w:rPr>
                <w:noProof/>
                <w:webHidden/>
              </w:rPr>
              <w:fldChar w:fldCharType="separate"/>
            </w:r>
            <w:r w:rsidR="00AC0D3E">
              <w:rPr>
                <w:noProof/>
                <w:webHidden/>
              </w:rPr>
              <w:t>6</w:t>
            </w:r>
            <w:r w:rsidR="00387F34">
              <w:rPr>
                <w:noProof/>
                <w:webHidden/>
              </w:rPr>
              <w:fldChar w:fldCharType="end"/>
            </w:r>
          </w:hyperlink>
        </w:p>
        <w:p w14:paraId="67E320CA" w14:textId="73C9DE7B" w:rsidR="00387F34" w:rsidRDefault="00202AA0">
          <w:pPr>
            <w:pStyle w:val="TOC3"/>
            <w:rPr>
              <w:rFonts w:eastAsiaTheme="minorEastAsia"/>
              <w:noProof/>
              <w:kern w:val="2"/>
              <w:lang w:eastAsia="en-AU"/>
              <w14:ligatures w14:val="standardContextual"/>
            </w:rPr>
          </w:pPr>
          <w:hyperlink w:anchor="_Toc138142654" w:history="1">
            <w:r w:rsidR="00387F34" w:rsidRPr="0057243A">
              <w:rPr>
                <w:rStyle w:val="Hyperlink"/>
                <w:noProof/>
              </w:rPr>
              <w:t>What must be recorded?</w:t>
            </w:r>
            <w:r w:rsidR="00387F34">
              <w:rPr>
                <w:noProof/>
                <w:webHidden/>
              </w:rPr>
              <w:tab/>
            </w:r>
            <w:r w:rsidR="00387F34">
              <w:rPr>
                <w:noProof/>
                <w:webHidden/>
              </w:rPr>
              <w:fldChar w:fldCharType="begin"/>
            </w:r>
            <w:r w:rsidR="00387F34">
              <w:rPr>
                <w:noProof/>
                <w:webHidden/>
              </w:rPr>
              <w:instrText xml:space="preserve"> PAGEREF _Toc138142654 \h </w:instrText>
            </w:r>
            <w:r w:rsidR="00387F34">
              <w:rPr>
                <w:noProof/>
                <w:webHidden/>
              </w:rPr>
            </w:r>
            <w:r w:rsidR="00387F34">
              <w:rPr>
                <w:noProof/>
                <w:webHidden/>
              </w:rPr>
              <w:fldChar w:fldCharType="separate"/>
            </w:r>
            <w:r w:rsidR="00AC0D3E">
              <w:rPr>
                <w:noProof/>
                <w:webHidden/>
              </w:rPr>
              <w:t>6</w:t>
            </w:r>
            <w:r w:rsidR="00387F34">
              <w:rPr>
                <w:noProof/>
                <w:webHidden/>
              </w:rPr>
              <w:fldChar w:fldCharType="end"/>
            </w:r>
          </w:hyperlink>
        </w:p>
        <w:p w14:paraId="0F6DCEBC" w14:textId="31847A8B" w:rsidR="00387F34" w:rsidRDefault="00202AA0">
          <w:pPr>
            <w:pStyle w:val="TOC3"/>
            <w:rPr>
              <w:rFonts w:eastAsiaTheme="minorEastAsia"/>
              <w:noProof/>
              <w:kern w:val="2"/>
              <w:lang w:eastAsia="en-AU"/>
              <w14:ligatures w14:val="standardContextual"/>
            </w:rPr>
          </w:pPr>
          <w:hyperlink w:anchor="_Toc138142655" w:history="1">
            <w:r w:rsidR="00387F34" w:rsidRPr="0057243A">
              <w:rPr>
                <w:rStyle w:val="Hyperlink"/>
                <w:noProof/>
              </w:rPr>
              <w:t>Legacy fit-outs</w:t>
            </w:r>
            <w:r w:rsidR="00387F34">
              <w:rPr>
                <w:noProof/>
                <w:webHidden/>
              </w:rPr>
              <w:tab/>
            </w:r>
            <w:r w:rsidR="00387F34">
              <w:rPr>
                <w:noProof/>
                <w:webHidden/>
              </w:rPr>
              <w:fldChar w:fldCharType="begin"/>
            </w:r>
            <w:r w:rsidR="00387F34">
              <w:rPr>
                <w:noProof/>
                <w:webHidden/>
              </w:rPr>
              <w:instrText xml:space="preserve"> PAGEREF _Toc138142655 \h </w:instrText>
            </w:r>
            <w:r w:rsidR="00387F34">
              <w:rPr>
                <w:noProof/>
                <w:webHidden/>
              </w:rPr>
            </w:r>
            <w:r w:rsidR="00387F34">
              <w:rPr>
                <w:noProof/>
                <w:webHidden/>
              </w:rPr>
              <w:fldChar w:fldCharType="separate"/>
            </w:r>
            <w:r w:rsidR="00AC0D3E">
              <w:rPr>
                <w:noProof/>
                <w:webHidden/>
              </w:rPr>
              <w:t>6</w:t>
            </w:r>
            <w:r w:rsidR="00387F34">
              <w:rPr>
                <w:noProof/>
                <w:webHidden/>
              </w:rPr>
              <w:fldChar w:fldCharType="end"/>
            </w:r>
          </w:hyperlink>
        </w:p>
        <w:p w14:paraId="02A0C49D" w14:textId="2B65133C" w:rsidR="00387F34" w:rsidRDefault="00202AA0">
          <w:pPr>
            <w:pStyle w:val="TOC2"/>
            <w:rPr>
              <w:rFonts w:eastAsiaTheme="minorEastAsia"/>
              <w:noProof/>
              <w:kern w:val="2"/>
              <w:lang w:eastAsia="en-AU"/>
              <w14:ligatures w14:val="standardContextual"/>
            </w:rPr>
          </w:pPr>
          <w:hyperlink w:anchor="_Toc138142656" w:history="1">
            <w:r w:rsidR="00387F34" w:rsidRPr="0057243A">
              <w:rPr>
                <w:rStyle w:val="Hyperlink"/>
                <w:noProof/>
              </w:rPr>
              <w:t>Non office areas (including non-office area L, Shopfronts): reporting work-points and staff</w:t>
            </w:r>
            <w:r w:rsidR="00387F34">
              <w:rPr>
                <w:noProof/>
                <w:webHidden/>
              </w:rPr>
              <w:tab/>
            </w:r>
            <w:r w:rsidR="00387F34">
              <w:rPr>
                <w:noProof/>
                <w:webHidden/>
              </w:rPr>
              <w:fldChar w:fldCharType="begin"/>
            </w:r>
            <w:r w:rsidR="00387F34">
              <w:rPr>
                <w:noProof/>
                <w:webHidden/>
              </w:rPr>
              <w:instrText xml:space="preserve"> PAGEREF _Toc138142656 \h </w:instrText>
            </w:r>
            <w:r w:rsidR="00387F34">
              <w:rPr>
                <w:noProof/>
                <w:webHidden/>
              </w:rPr>
            </w:r>
            <w:r w:rsidR="00387F34">
              <w:rPr>
                <w:noProof/>
                <w:webHidden/>
              </w:rPr>
              <w:fldChar w:fldCharType="separate"/>
            </w:r>
            <w:r w:rsidR="00AC0D3E">
              <w:rPr>
                <w:noProof/>
                <w:webHidden/>
              </w:rPr>
              <w:t>7</w:t>
            </w:r>
            <w:r w:rsidR="00387F34">
              <w:rPr>
                <w:noProof/>
                <w:webHidden/>
              </w:rPr>
              <w:fldChar w:fldCharType="end"/>
            </w:r>
          </w:hyperlink>
        </w:p>
        <w:p w14:paraId="6CA364FE" w14:textId="0C087FEB" w:rsidR="00387F34" w:rsidRDefault="00202AA0">
          <w:pPr>
            <w:pStyle w:val="TOC2"/>
            <w:rPr>
              <w:rFonts w:eastAsiaTheme="minorEastAsia"/>
              <w:noProof/>
              <w:kern w:val="2"/>
              <w:lang w:eastAsia="en-AU"/>
              <w14:ligatures w14:val="standardContextual"/>
            </w:rPr>
          </w:pPr>
          <w:hyperlink w:anchor="_Toc138142657" w:history="1">
            <w:r w:rsidR="00387F34" w:rsidRPr="0057243A">
              <w:rPr>
                <w:rStyle w:val="Hyperlink"/>
                <w:noProof/>
              </w:rPr>
              <w:t>Reporting Net Lettable Area (NLA) for tenancies with a land component</w:t>
            </w:r>
            <w:r w:rsidR="00387F34">
              <w:rPr>
                <w:noProof/>
                <w:webHidden/>
              </w:rPr>
              <w:tab/>
            </w:r>
            <w:r w:rsidR="00387F34">
              <w:rPr>
                <w:noProof/>
                <w:webHidden/>
              </w:rPr>
              <w:fldChar w:fldCharType="begin"/>
            </w:r>
            <w:r w:rsidR="00387F34">
              <w:rPr>
                <w:noProof/>
                <w:webHidden/>
              </w:rPr>
              <w:instrText xml:space="preserve"> PAGEREF _Toc138142657 \h </w:instrText>
            </w:r>
            <w:r w:rsidR="00387F34">
              <w:rPr>
                <w:noProof/>
                <w:webHidden/>
              </w:rPr>
            </w:r>
            <w:r w:rsidR="00387F34">
              <w:rPr>
                <w:noProof/>
                <w:webHidden/>
              </w:rPr>
              <w:fldChar w:fldCharType="separate"/>
            </w:r>
            <w:r w:rsidR="00AC0D3E">
              <w:rPr>
                <w:noProof/>
                <w:webHidden/>
              </w:rPr>
              <w:t>7</w:t>
            </w:r>
            <w:r w:rsidR="00387F34">
              <w:rPr>
                <w:noProof/>
                <w:webHidden/>
              </w:rPr>
              <w:fldChar w:fldCharType="end"/>
            </w:r>
          </w:hyperlink>
        </w:p>
        <w:p w14:paraId="536659B0" w14:textId="1446D269" w:rsidR="00387F34" w:rsidRDefault="00202AA0">
          <w:pPr>
            <w:pStyle w:val="TOC3"/>
            <w:rPr>
              <w:rFonts w:eastAsiaTheme="minorEastAsia"/>
              <w:noProof/>
              <w:kern w:val="2"/>
              <w:lang w:eastAsia="en-AU"/>
              <w14:ligatures w14:val="standardContextual"/>
            </w:rPr>
          </w:pPr>
          <w:hyperlink w:anchor="_Toc138142658" w:history="1">
            <w:r w:rsidR="00387F34" w:rsidRPr="0057243A">
              <w:rPr>
                <w:rStyle w:val="Hyperlink"/>
                <w:noProof/>
              </w:rPr>
              <w:t>Car parking</w:t>
            </w:r>
            <w:r w:rsidR="00387F34">
              <w:rPr>
                <w:noProof/>
                <w:webHidden/>
              </w:rPr>
              <w:tab/>
            </w:r>
            <w:r w:rsidR="00387F34">
              <w:rPr>
                <w:noProof/>
                <w:webHidden/>
              </w:rPr>
              <w:fldChar w:fldCharType="begin"/>
            </w:r>
            <w:r w:rsidR="00387F34">
              <w:rPr>
                <w:noProof/>
                <w:webHidden/>
              </w:rPr>
              <w:instrText xml:space="preserve"> PAGEREF _Toc138142658 \h </w:instrText>
            </w:r>
            <w:r w:rsidR="00387F34">
              <w:rPr>
                <w:noProof/>
                <w:webHidden/>
              </w:rPr>
            </w:r>
            <w:r w:rsidR="00387F34">
              <w:rPr>
                <w:noProof/>
                <w:webHidden/>
              </w:rPr>
              <w:fldChar w:fldCharType="separate"/>
            </w:r>
            <w:r w:rsidR="00AC0D3E">
              <w:rPr>
                <w:noProof/>
                <w:webHidden/>
              </w:rPr>
              <w:t>7</w:t>
            </w:r>
            <w:r w:rsidR="00387F34">
              <w:rPr>
                <w:noProof/>
                <w:webHidden/>
              </w:rPr>
              <w:fldChar w:fldCharType="end"/>
            </w:r>
          </w:hyperlink>
        </w:p>
        <w:p w14:paraId="188B979F" w14:textId="0E8C8677" w:rsidR="00387F34" w:rsidRDefault="00202AA0">
          <w:pPr>
            <w:pStyle w:val="TOC2"/>
            <w:rPr>
              <w:rFonts w:eastAsiaTheme="minorEastAsia"/>
              <w:noProof/>
              <w:kern w:val="2"/>
              <w:lang w:eastAsia="en-AU"/>
              <w14:ligatures w14:val="standardContextual"/>
            </w:rPr>
          </w:pPr>
          <w:hyperlink w:anchor="_Toc138142659" w:history="1">
            <w:r w:rsidR="00387F34" w:rsidRPr="0057243A">
              <w:rPr>
                <w:rStyle w:val="Hyperlink"/>
                <w:noProof/>
              </w:rPr>
              <w:t>Holdover leases</w:t>
            </w:r>
            <w:r w:rsidR="00387F34">
              <w:rPr>
                <w:noProof/>
                <w:webHidden/>
              </w:rPr>
              <w:tab/>
            </w:r>
            <w:r w:rsidR="00387F34">
              <w:rPr>
                <w:noProof/>
                <w:webHidden/>
              </w:rPr>
              <w:fldChar w:fldCharType="begin"/>
            </w:r>
            <w:r w:rsidR="00387F34">
              <w:rPr>
                <w:noProof/>
                <w:webHidden/>
              </w:rPr>
              <w:instrText xml:space="preserve"> PAGEREF _Toc138142659 \h </w:instrText>
            </w:r>
            <w:r w:rsidR="00387F34">
              <w:rPr>
                <w:noProof/>
                <w:webHidden/>
              </w:rPr>
            </w:r>
            <w:r w:rsidR="00387F34">
              <w:rPr>
                <w:noProof/>
                <w:webHidden/>
              </w:rPr>
              <w:fldChar w:fldCharType="separate"/>
            </w:r>
            <w:r w:rsidR="00AC0D3E">
              <w:rPr>
                <w:noProof/>
                <w:webHidden/>
              </w:rPr>
              <w:t>8</w:t>
            </w:r>
            <w:r w:rsidR="00387F34">
              <w:rPr>
                <w:noProof/>
                <w:webHidden/>
              </w:rPr>
              <w:fldChar w:fldCharType="end"/>
            </w:r>
          </w:hyperlink>
        </w:p>
        <w:p w14:paraId="3E446AB4" w14:textId="2295D0B9" w:rsidR="00387F34" w:rsidRDefault="00202AA0">
          <w:pPr>
            <w:pStyle w:val="TOC2"/>
            <w:rPr>
              <w:rFonts w:eastAsiaTheme="minorEastAsia"/>
              <w:noProof/>
              <w:kern w:val="2"/>
              <w:lang w:eastAsia="en-AU"/>
              <w14:ligatures w14:val="standardContextual"/>
            </w:rPr>
          </w:pPr>
          <w:hyperlink w:anchor="_Toc138142660" w:history="1">
            <w:r w:rsidR="00387F34" w:rsidRPr="0057243A">
              <w:rPr>
                <w:rStyle w:val="Hyperlink"/>
                <w:noProof/>
              </w:rPr>
              <w:t>Multiple leases in same building</w:t>
            </w:r>
            <w:r w:rsidR="00387F34">
              <w:rPr>
                <w:noProof/>
                <w:webHidden/>
              </w:rPr>
              <w:tab/>
            </w:r>
            <w:r w:rsidR="00387F34">
              <w:rPr>
                <w:noProof/>
                <w:webHidden/>
              </w:rPr>
              <w:fldChar w:fldCharType="begin"/>
            </w:r>
            <w:r w:rsidR="00387F34">
              <w:rPr>
                <w:noProof/>
                <w:webHidden/>
              </w:rPr>
              <w:instrText xml:space="preserve"> PAGEREF _Toc138142660 \h </w:instrText>
            </w:r>
            <w:r w:rsidR="00387F34">
              <w:rPr>
                <w:noProof/>
                <w:webHidden/>
              </w:rPr>
            </w:r>
            <w:r w:rsidR="00387F34">
              <w:rPr>
                <w:noProof/>
                <w:webHidden/>
              </w:rPr>
              <w:fldChar w:fldCharType="separate"/>
            </w:r>
            <w:r w:rsidR="00AC0D3E">
              <w:rPr>
                <w:noProof/>
                <w:webHidden/>
              </w:rPr>
              <w:t>8</w:t>
            </w:r>
            <w:r w:rsidR="00387F34">
              <w:rPr>
                <w:noProof/>
                <w:webHidden/>
              </w:rPr>
              <w:fldChar w:fldCharType="end"/>
            </w:r>
          </w:hyperlink>
        </w:p>
        <w:p w14:paraId="61BE6137" w14:textId="6B6A931B" w:rsidR="00387F34" w:rsidRDefault="00202AA0">
          <w:pPr>
            <w:pStyle w:val="TOC3"/>
            <w:rPr>
              <w:rFonts w:eastAsiaTheme="minorEastAsia"/>
              <w:noProof/>
              <w:kern w:val="2"/>
              <w:lang w:eastAsia="en-AU"/>
              <w14:ligatures w14:val="standardContextual"/>
            </w:rPr>
          </w:pPr>
          <w:hyperlink w:anchor="_Toc138142661" w:history="1">
            <w:r w:rsidR="00387F34" w:rsidRPr="0057243A">
              <w:rPr>
                <w:rStyle w:val="Hyperlink"/>
                <w:noProof/>
              </w:rPr>
              <w:t>Work-points</w:t>
            </w:r>
            <w:r w:rsidR="00387F34">
              <w:rPr>
                <w:noProof/>
                <w:webHidden/>
              </w:rPr>
              <w:tab/>
            </w:r>
            <w:r w:rsidR="00387F34">
              <w:rPr>
                <w:noProof/>
                <w:webHidden/>
              </w:rPr>
              <w:fldChar w:fldCharType="begin"/>
            </w:r>
            <w:r w:rsidR="00387F34">
              <w:rPr>
                <w:noProof/>
                <w:webHidden/>
              </w:rPr>
              <w:instrText xml:space="preserve"> PAGEREF _Toc138142661 \h </w:instrText>
            </w:r>
            <w:r w:rsidR="00387F34">
              <w:rPr>
                <w:noProof/>
                <w:webHidden/>
              </w:rPr>
            </w:r>
            <w:r w:rsidR="00387F34">
              <w:rPr>
                <w:noProof/>
                <w:webHidden/>
              </w:rPr>
              <w:fldChar w:fldCharType="separate"/>
            </w:r>
            <w:r w:rsidR="00AC0D3E">
              <w:rPr>
                <w:noProof/>
                <w:webHidden/>
              </w:rPr>
              <w:t>8</w:t>
            </w:r>
            <w:r w:rsidR="00387F34">
              <w:rPr>
                <w:noProof/>
                <w:webHidden/>
              </w:rPr>
              <w:fldChar w:fldCharType="end"/>
            </w:r>
          </w:hyperlink>
        </w:p>
        <w:p w14:paraId="5FA47569" w14:textId="27A5E995" w:rsidR="00387F34" w:rsidRDefault="00202AA0">
          <w:pPr>
            <w:pStyle w:val="TOC3"/>
            <w:rPr>
              <w:rFonts w:eastAsiaTheme="minorEastAsia"/>
              <w:noProof/>
              <w:kern w:val="2"/>
              <w:lang w:eastAsia="en-AU"/>
              <w14:ligatures w14:val="standardContextual"/>
            </w:rPr>
          </w:pPr>
          <w:hyperlink w:anchor="_Toc138142662" w:history="1">
            <w:r w:rsidR="00387F34" w:rsidRPr="0057243A">
              <w:rPr>
                <w:rStyle w:val="Hyperlink"/>
                <w:noProof/>
              </w:rPr>
              <w:t>Staff Allocated to Lease</w:t>
            </w:r>
            <w:r w:rsidR="00387F34">
              <w:rPr>
                <w:noProof/>
                <w:webHidden/>
              </w:rPr>
              <w:tab/>
            </w:r>
            <w:r w:rsidR="00387F34">
              <w:rPr>
                <w:noProof/>
                <w:webHidden/>
              </w:rPr>
              <w:fldChar w:fldCharType="begin"/>
            </w:r>
            <w:r w:rsidR="00387F34">
              <w:rPr>
                <w:noProof/>
                <w:webHidden/>
              </w:rPr>
              <w:instrText xml:space="preserve"> PAGEREF _Toc138142662 \h </w:instrText>
            </w:r>
            <w:r w:rsidR="00387F34">
              <w:rPr>
                <w:noProof/>
                <w:webHidden/>
              </w:rPr>
            </w:r>
            <w:r w:rsidR="00387F34">
              <w:rPr>
                <w:noProof/>
                <w:webHidden/>
              </w:rPr>
              <w:fldChar w:fldCharType="separate"/>
            </w:r>
            <w:r w:rsidR="00AC0D3E">
              <w:rPr>
                <w:noProof/>
                <w:webHidden/>
              </w:rPr>
              <w:t>9</w:t>
            </w:r>
            <w:r w:rsidR="00387F34">
              <w:rPr>
                <w:noProof/>
                <w:webHidden/>
              </w:rPr>
              <w:fldChar w:fldCharType="end"/>
            </w:r>
          </w:hyperlink>
        </w:p>
        <w:p w14:paraId="433935B4" w14:textId="243E0DC9" w:rsidR="00387F34" w:rsidRDefault="00202AA0">
          <w:pPr>
            <w:pStyle w:val="TOC3"/>
            <w:rPr>
              <w:rFonts w:eastAsiaTheme="minorEastAsia"/>
              <w:noProof/>
              <w:kern w:val="2"/>
              <w:lang w:eastAsia="en-AU"/>
              <w14:ligatures w14:val="standardContextual"/>
            </w:rPr>
          </w:pPr>
          <w:hyperlink w:anchor="_Toc138142663" w:history="1">
            <w:r w:rsidR="00387F34" w:rsidRPr="0057243A">
              <w:rPr>
                <w:rStyle w:val="Hyperlink"/>
                <w:noProof/>
              </w:rPr>
              <w:t>Rent, outgoings and fit-out costs</w:t>
            </w:r>
            <w:r w:rsidR="00387F34">
              <w:rPr>
                <w:noProof/>
                <w:webHidden/>
              </w:rPr>
              <w:tab/>
            </w:r>
            <w:r w:rsidR="00387F34">
              <w:rPr>
                <w:noProof/>
                <w:webHidden/>
              </w:rPr>
              <w:fldChar w:fldCharType="begin"/>
            </w:r>
            <w:r w:rsidR="00387F34">
              <w:rPr>
                <w:noProof/>
                <w:webHidden/>
              </w:rPr>
              <w:instrText xml:space="preserve"> PAGEREF _Toc138142663 \h </w:instrText>
            </w:r>
            <w:r w:rsidR="00387F34">
              <w:rPr>
                <w:noProof/>
                <w:webHidden/>
              </w:rPr>
            </w:r>
            <w:r w:rsidR="00387F34">
              <w:rPr>
                <w:noProof/>
                <w:webHidden/>
              </w:rPr>
              <w:fldChar w:fldCharType="separate"/>
            </w:r>
            <w:r w:rsidR="00AC0D3E">
              <w:rPr>
                <w:noProof/>
                <w:webHidden/>
              </w:rPr>
              <w:t>9</w:t>
            </w:r>
            <w:r w:rsidR="00387F34">
              <w:rPr>
                <w:noProof/>
                <w:webHidden/>
              </w:rPr>
              <w:fldChar w:fldCharType="end"/>
            </w:r>
          </w:hyperlink>
        </w:p>
        <w:p w14:paraId="04CE1E33" w14:textId="4FE5ADDF" w:rsidR="00387F34" w:rsidRDefault="00202AA0">
          <w:pPr>
            <w:pStyle w:val="TOC2"/>
            <w:rPr>
              <w:rFonts w:eastAsiaTheme="minorEastAsia"/>
              <w:noProof/>
              <w:kern w:val="2"/>
              <w:lang w:eastAsia="en-AU"/>
              <w14:ligatures w14:val="standardContextual"/>
            </w:rPr>
          </w:pPr>
          <w:hyperlink w:anchor="_Toc138142664" w:history="1">
            <w:r w:rsidR="00387F34" w:rsidRPr="0057243A">
              <w:rPr>
                <w:rStyle w:val="Hyperlink"/>
                <w:noProof/>
              </w:rPr>
              <w:t>Payments made after reporting date</w:t>
            </w:r>
            <w:r w:rsidR="00387F34">
              <w:rPr>
                <w:noProof/>
                <w:webHidden/>
              </w:rPr>
              <w:tab/>
            </w:r>
            <w:r w:rsidR="00387F34">
              <w:rPr>
                <w:noProof/>
                <w:webHidden/>
              </w:rPr>
              <w:fldChar w:fldCharType="begin"/>
            </w:r>
            <w:r w:rsidR="00387F34">
              <w:rPr>
                <w:noProof/>
                <w:webHidden/>
              </w:rPr>
              <w:instrText xml:space="preserve"> PAGEREF _Toc138142664 \h </w:instrText>
            </w:r>
            <w:r w:rsidR="00387F34">
              <w:rPr>
                <w:noProof/>
                <w:webHidden/>
              </w:rPr>
            </w:r>
            <w:r w:rsidR="00387F34">
              <w:rPr>
                <w:noProof/>
                <w:webHidden/>
              </w:rPr>
              <w:fldChar w:fldCharType="separate"/>
            </w:r>
            <w:r w:rsidR="00AC0D3E">
              <w:rPr>
                <w:noProof/>
                <w:webHidden/>
              </w:rPr>
              <w:t>10</w:t>
            </w:r>
            <w:r w:rsidR="00387F34">
              <w:rPr>
                <w:noProof/>
                <w:webHidden/>
              </w:rPr>
              <w:fldChar w:fldCharType="end"/>
            </w:r>
          </w:hyperlink>
        </w:p>
        <w:p w14:paraId="0781CF63" w14:textId="77777777" w:rsidR="00387F34" w:rsidRDefault="00387F34" w:rsidP="00387F34">
          <w:pPr>
            <w:rPr>
              <w:b/>
              <w:bCs/>
              <w:noProof/>
            </w:rPr>
          </w:pPr>
          <w:r>
            <w:rPr>
              <w:b/>
              <w:bCs/>
              <w:noProof/>
            </w:rPr>
            <w:fldChar w:fldCharType="end"/>
          </w:r>
        </w:p>
      </w:sdtContent>
    </w:sdt>
    <w:p w14:paraId="62E06213" w14:textId="564D2EAD" w:rsidR="00257A9C" w:rsidRDefault="00660196" w:rsidP="00660196">
      <w:pPr>
        <w:pStyle w:val="Heading2"/>
      </w:pPr>
      <w:bookmarkStart w:id="8" w:name="_Toc103678376"/>
      <w:bookmarkStart w:id="9" w:name="_Toc138142646"/>
      <w:r w:rsidRPr="00660196">
        <w:lastRenderedPageBreak/>
        <w:t>Commonwealth MOUs/subleasing arrangements</w:t>
      </w:r>
      <w:bookmarkEnd w:id="8"/>
      <w:bookmarkEnd w:id="9"/>
    </w:p>
    <w:p w14:paraId="717FD90C" w14:textId="2F60B20A" w:rsidR="001A71B3" w:rsidRDefault="00BC2087" w:rsidP="001A71B3">
      <w:r>
        <w:t xml:space="preserve">A sublease is where </w:t>
      </w:r>
      <w:r w:rsidR="00272033">
        <w:t>the</w:t>
      </w:r>
      <w:r>
        <w:t xml:space="preserve"> whole or part of a lease</w:t>
      </w:r>
      <w:r w:rsidR="00302451">
        <w:t>’</w:t>
      </w:r>
      <w:r w:rsidR="00272033">
        <w:t>s floorplate</w:t>
      </w:r>
      <w:r>
        <w:t xml:space="preserve"> is rented to another entity for a period. </w:t>
      </w:r>
      <w:r w:rsidR="00CF375D">
        <w:t xml:space="preserve">There are </w:t>
      </w:r>
      <w:bookmarkStart w:id="10" w:name="_Int_9LOPMZ1Q"/>
      <w:proofErr w:type="gramStart"/>
      <w:r w:rsidR="00CF375D">
        <w:t>a number of</w:t>
      </w:r>
      <w:bookmarkEnd w:id="10"/>
      <w:proofErr w:type="gramEnd"/>
      <w:r w:rsidR="00CF375D">
        <w:t xml:space="preserve"> scenarios within these arrangements that require special attention when reporting within the AGPR.</w:t>
      </w:r>
    </w:p>
    <w:p w14:paraId="6AE89CBC" w14:textId="0A78DEAC" w:rsidR="00156F0D" w:rsidRDefault="00156F0D" w:rsidP="00156F0D">
      <w:pPr>
        <w:pStyle w:val="Heading3"/>
      </w:pPr>
      <w:bookmarkStart w:id="11" w:name="_Toc138142647"/>
      <w:r>
        <w:t>Collection Scope</w:t>
      </w:r>
      <w:bookmarkEnd w:id="11"/>
    </w:p>
    <w:p w14:paraId="53A934F8" w14:textId="164AA8E5" w:rsidR="007D22F6" w:rsidRPr="00834703" w:rsidRDefault="00724F49" w:rsidP="007D22F6">
      <w:r w:rsidRPr="00272033">
        <w:t>All subleases which involve a</w:t>
      </w:r>
      <w:r>
        <w:t>n exchange of</w:t>
      </w:r>
      <w:r w:rsidRPr="00272033">
        <w:t xml:space="preserve"> payment to the head lease</w:t>
      </w:r>
      <w:r w:rsidR="00232CA6">
        <w:t xml:space="preserve"> (or payment direct to landlord)</w:t>
      </w:r>
      <w:r w:rsidRPr="00272033">
        <w:t xml:space="preserve"> are required to be reported in the AGPR</w:t>
      </w:r>
      <w:r w:rsidR="00811A50">
        <w:t>. This includes</w:t>
      </w:r>
      <w:r w:rsidR="0078481D">
        <w:t xml:space="preserve"> </w:t>
      </w:r>
      <w:r w:rsidRPr="00272033">
        <w:t xml:space="preserve">those that do not have a formal lease agreement, and those which are agreed through a Memorandum of Understanding (MOU). </w:t>
      </w:r>
      <w:r w:rsidR="007D22F6">
        <w:t>Subleases containing only non</w:t>
      </w:r>
      <w:r w:rsidR="009674A6">
        <w:t xml:space="preserve">-office area may </w:t>
      </w:r>
      <w:r w:rsidR="0078481D">
        <w:t xml:space="preserve">be required to be reported – see </w:t>
      </w:r>
      <w:hyperlink w:anchor="_Requirement_to_report" w:history="1">
        <w:r w:rsidR="00EC69E5" w:rsidRPr="00EC69E5">
          <w:rPr>
            <w:rStyle w:val="Hyperlink"/>
            <w:rFonts w:cstheme="minorBidi"/>
          </w:rPr>
          <w:t>Requirement to report sublet non-office areas.</w:t>
        </w:r>
      </w:hyperlink>
    </w:p>
    <w:p w14:paraId="10C6A26E" w14:textId="15107DA8" w:rsidR="00660196" w:rsidRDefault="00660196" w:rsidP="00660196">
      <w:pPr>
        <w:pStyle w:val="Heading3"/>
      </w:pPr>
      <w:bookmarkStart w:id="12" w:name="_Toc103678377"/>
      <w:bookmarkStart w:id="13" w:name="_Toc138142648"/>
      <w:r>
        <w:t xml:space="preserve">Reconciling sublease revenue, rent and lessors </w:t>
      </w:r>
      <w:proofErr w:type="gramStart"/>
      <w:r>
        <w:t>outgoings</w:t>
      </w:r>
      <w:bookmarkEnd w:id="12"/>
      <w:bookmarkEnd w:id="13"/>
      <w:proofErr w:type="gramEnd"/>
    </w:p>
    <w:p w14:paraId="6CBE3CB8" w14:textId="37166F48" w:rsidR="00F022C5" w:rsidRDefault="00F022C5" w:rsidP="00272033">
      <w:r>
        <w:t>To ensure that sublease revenue, rent and lessor’s outgoings all reconcile correctly</w:t>
      </w:r>
      <w:r w:rsidR="00BC2087">
        <w:t>,</w:t>
      </w:r>
      <w:r>
        <w:t xml:space="preserve"> the values </w:t>
      </w:r>
      <w:bookmarkStart w:id="14" w:name="_Int_aOPiyJbi"/>
      <w:proofErr w:type="gramStart"/>
      <w:r>
        <w:t>entered into</w:t>
      </w:r>
      <w:bookmarkEnd w:id="14"/>
      <w:proofErr w:type="gramEnd"/>
      <w:r>
        <w:t xml:space="preserve"> each field must be correct.</w:t>
      </w:r>
    </w:p>
    <w:p w14:paraId="72B7E589" w14:textId="30359070" w:rsidR="00A117C3" w:rsidRPr="00BC2087" w:rsidRDefault="00A117C3" w:rsidP="00272033">
      <w:r>
        <w:t xml:space="preserve">All costs reported in the AGPR are reported </w:t>
      </w:r>
      <w:r>
        <w:rPr>
          <w:b/>
        </w:rPr>
        <w:t>GST inclusive.</w:t>
      </w:r>
    </w:p>
    <w:p w14:paraId="45B5D70D" w14:textId="31A77092" w:rsidR="00F022C5" w:rsidRDefault="00F022C5" w:rsidP="00F022C5">
      <w:r w:rsidRPr="00F022C5">
        <w:rPr>
          <w:b/>
        </w:rPr>
        <w:t>Sublease Revenue</w:t>
      </w:r>
      <w:r>
        <w:t xml:space="preserve"> (recorded by the head lessor) is the total amount of rent paid by the sub-lessor, </w:t>
      </w:r>
      <w:r w:rsidR="00272033">
        <w:t xml:space="preserve">plus </w:t>
      </w:r>
      <w:r>
        <w:t xml:space="preserve">any additional expenses (lessor’s outgoings) for services provided within the lease, for example </w:t>
      </w:r>
      <w:r w:rsidRPr="00F022C5">
        <w:t>landscaping, cleaning, maintenance, after-hours air conditioning</w:t>
      </w:r>
      <w:r>
        <w:t>, etc.</w:t>
      </w:r>
      <w:r w:rsidR="00E911F1">
        <w:br/>
        <w:t>Credit notes are to be included in total amount of rent paid by the sub-lessor.</w:t>
      </w:r>
    </w:p>
    <w:p w14:paraId="6D2C7277" w14:textId="22BED0F5" w:rsidR="00F022C5" w:rsidRDefault="00764505" w:rsidP="00F022C5">
      <w:r w:rsidRPr="01584286">
        <w:rPr>
          <w:b/>
          <w:bCs/>
        </w:rPr>
        <w:t xml:space="preserve">Sublease </w:t>
      </w:r>
      <w:r w:rsidRPr="01584286">
        <w:rPr>
          <w:b/>
          <w:bCs/>
          <w:i/>
          <w:iCs/>
        </w:rPr>
        <w:t>Current Year Actual Rent</w:t>
      </w:r>
      <w:r>
        <w:t xml:space="preserve"> </w:t>
      </w:r>
      <w:r w:rsidR="43DE1979">
        <w:t xml:space="preserve">(in the sublease record) is </w:t>
      </w:r>
      <w:r>
        <w:t>therefore</w:t>
      </w:r>
      <w:r w:rsidR="533AACBC">
        <w:t xml:space="preserve"> to</w:t>
      </w:r>
      <w:r>
        <w:t xml:space="preserve"> be reported in line with a Fully Gross or Gross lease, which means that it include</w:t>
      </w:r>
      <w:r w:rsidR="43DE1979">
        <w:t>s</w:t>
      </w:r>
      <w:r>
        <w:t xml:space="preserve"> </w:t>
      </w:r>
      <w:r w:rsidRPr="01584286">
        <w:rPr>
          <w:u w:val="single"/>
        </w:rPr>
        <w:t>both</w:t>
      </w:r>
      <w:r>
        <w:t xml:space="preserve"> rent </w:t>
      </w:r>
      <w:r w:rsidRPr="01584286">
        <w:rPr>
          <w:u w:val="single"/>
        </w:rPr>
        <w:t>and</w:t>
      </w:r>
      <w:r>
        <w:t xml:space="preserve"> all additional expenses paid to the head lessor. These additional expenses will be the </w:t>
      </w:r>
      <w:r w:rsidRPr="01584286">
        <w:rPr>
          <w:i/>
          <w:iCs/>
        </w:rPr>
        <w:t>Lessor’s Outgoing Expenses</w:t>
      </w:r>
      <w:r>
        <w:t xml:space="preserve"> and the value of these must be record</w:t>
      </w:r>
      <w:r w:rsidR="6C04383C">
        <w:t>ed</w:t>
      </w:r>
      <w:r>
        <w:t xml:space="preserve"> in the </w:t>
      </w:r>
      <w:r w:rsidRPr="01584286">
        <w:rPr>
          <w:b/>
          <w:bCs/>
        </w:rPr>
        <w:t>Lessor’s Outgoing Expenses</w:t>
      </w:r>
      <w:r>
        <w:t xml:space="preserve"> field within the sublet tenant record</w:t>
      </w:r>
      <w:r w:rsidR="0221D776">
        <w:t xml:space="preserve">. </w:t>
      </w:r>
    </w:p>
    <w:p w14:paraId="6367AB5F" w14:textId="6BC5E686" w:rsidR="00F022C5" w:rsidRDefault="00F022C5" w:rsidP="00F022C5">
      <w:r>
        <w:t>When reconciling values between the head lessors and sub</w:t>
      </w:r>
      <w:r w:rsidR="00CF375D">
        <w:t>-</w:t>
      </w:r>
      <w:r>
        <w:t>lessors it then becomes necessary to do so as follows:</w:t>
      </w:r>
    </w:p>
    <w:p w14:paraId="78B18FFB" w14:textId="33DBFC36" w:rsidR="00F022C5" w:rsidRDefault="00F022C5" w:rsidP="00F022C5">
      <w:r>
        <w:t xml:space="preserve">Head Lessor Sublease Revenue = </w:t>
      </w:r>
      <w:r w:rsidRPr="00F022C5">
        <w:t xml:space="preserve">Sublease </w:t>
      </w:r>
      <w:r w:rsidRPr="00F022C5">
        <w:rPr>
          <w:i/>
        </w:rPr>
        <w:t>Current Year Actual Rent</w:t>
      </w:r>
    </w:p>
    <w:p w14:paraId="4235F85A" w14:textId="63AF2D09" w:rsidR="00F022C5" w:rsidRPr="00F022C5" w:rsidRDefault="00F022C5" w:rsidP="00F022C5">
      <w:r>
        <w:t xml:space="preserve">Sublease Rent = </w:t>
      </w:r>
      <w:r w:rsidRPr="00F022C5">
        <w:t xml:space="preserve">Sublease </w:t>
      </w:r>
      <w:r w:rsidRPr="00F022C5">
        <w:rPr>
          <w:i/>
        </w:rPr>
        <w:t>Current Year Actual Rent</w:t>
      </w:r>
      <w:r>
        <w:rPr>
          <w:i/>
        </w:rPr>
        <w:t xml:space="preserve"> – Lessor’s Outgoing Expenses</w:t>
      </w:r>
    </w:p>
    <w:p w14:paraId="01653F8D" w14:textId="2DE3364D" w:rsidR="00CF375D" w:rsidRDefault="00CF375D" w:rsidP="00CF375D">
      <w:r>
        <w:t>Where the negotiated sub-lease rent is a fixed amount (</w:t>
      </w:r>
      <w:r w:rsidR="300DCF40">
        <w:t>i.e.,</w:t>
      </w:r>
      <w:r>
        <w:t xml:space="preserve"> all additional services are inclusive in the rent rate) then Sublease Rent = Sublease </w:t>
      </w:r>
      <w:r w:rsidRPr="01584286">
        <w:rPr>
          <w:i/>
          <w:iCs/>
        </w:rPr>
        <w:t xml:space="preserve">Current Year Actual Rent, with Lessor’s Outgoing Expenses </w:t>
      </w:r>
      <w:r>
        <w:t>being recorded as zero.</w:t>
      </w:r>
    </w:p>
    <w:p w14:paraId="1D64100D" w14:textId="77777777" w:rsidR="00A117C3" w:rsidRDefault="00A117C3" w:rsidP="00CF375D"/>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88"/>
        <w:gridCol w:w="8072"/>
      </w:tblGrid>
      <w:tr w:rsidR="00A117C3" w14:paraId="5D21E22A" w14:textId="77777777" w:rsidTr="00632899">
        <w:trPr>
          <w:trHeight w:val="664"/>
        </w:trPr>
        <w:tc>
          <w:tcPr>
            <w:tcW w:w="988" w:type="dxa"/>
            <w:vAlign w:val="center"/>
          </w:tcPr>
          <w:p w14:paraId="27DAF593" w14:textId="77777777" w:rsidR="00A117C3" w:rsidRDefault="00A117C3" w:rsidP="00632899">
            <w:r w:rsidRPr="00F91C28">
              <w:rPr>
                <w:rFonts w:ascii="Times New Roman" w:hAnsi="Times New Roman" w:cs="Times New Roman"/>
                <w:noProof/>
                <w:sz w:val="24"/>
                <w:szCs w:val="24"/>
                <w:lang w:eastAsia="en-AU"/>
              </w:rPr>
              <w:drawing>
                <wp:anchor distT="0" distB="0" distL="114300" distR="114300" simplePos="0" relativeHeight="251657216" behindDoc="0" locked="0" layoutInCell="1" allowOverlap="1" wp14:anchorId="77EE52BA" wp14:editId="0CE891E0">
                  <wp:simplePos x="0" y="0"/>
                  <wp:positionH relativeFrom="margin">
                    <wp:posOffset>-24130</wp:posOffset>
                  </wp:positionH>
                  <wp:positionV relativeFrom="paragraph">
                    <wp:posOffset>-40640</wp:posOffset>
                  </wp:positionV>
                  <wp:extent cx="497205" cy="509905"/>
                  <wp:effectExtent l="0" t="0" r="0" b="4445"/>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6"/>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97205" cy="509905"/>
                          </a:xfrm>
                          <a:prstGeom prst="rect">
                            <a:avLst/>
                          </a:prstGeom>
                          <a:noFill/>
                        </pic:spPr>
                      </pic:pic>
                    </a:graphicData>
                  </a:graphic>
                  <wp14:sizeRelH relativeFrom="page">
                    <wp14:pctWidth>0</wp14:pctWidth>
                  </wp14:sizeRelH>
                  <wp14:sizeRelV relativeFrom="page">
                    <wp14:pctHeight>0</wp14:pctHeight>
                  </wp14:sizeRelV>
                </wp:anchor>
              </w:drawing>
            </w:r>
          </w:p>
        </w:tc>
        <w:tc>
          <w:tcPr>
            <w:tcW w:w="8072" w:type="dxa"/>
            <w:shd w:val="clear" w:color="auto" w:fill="F2F2F2" w:themeFill="background1" w:themeFillShade="F2"/>
          </w:tcPr>
          <w:p w14:paraId="160BC8C5" w14:textId="43ED215E" w:rsidR="00A117C3" w:rsidRDefault="00A117C3">
            <w:r>
              <w:t xml:space="preserve">Where there are discrepancies in the reported rent between the </w:t>
            </w:r>
            <w:r w:rsidR="00467CAA">
              <w:t>head-lessor</w:t>
            </w:r>
            <w:r>
              <w:t xml:space="preserve"> and the sub-</w:t>
            </w:r>
            <w:r w:rsidR="005B3319">
              <w:t>lessor</w:t>
            </w:r>
            <w:r>
              <w:t xml:space="preserve">, the data supplier </w:t>
            </w:r>
            <w:r w:rsidR="005B3319">
              <w:t xml:space="preserve">for the sub-lease </w:t>
            </w:r>
            <w:r>
              <w:t>should contact the head-lessor to confirm information in the first instance.</w:t>
            </w:r>
          </w:p>
        </w:tc>
      </w:tr>
    </w:tbl>
    <w:p w14:paraId="5E55583C" w14:textId="77777777" w:rsidR="00A117C3" w:rsidRPr="00CF375D" w:rsidRDefault="00A117C3" w:rsidP="00CF375D"/>
    <w:p w14:paraId="1782DC2B" w14:textId="0CA13460" w:rsidR="00DE1AD1" w:rsidRDefault="00DA48FF" w:rsidP="00DE1AD1">
      <w:pPr>
        <w:pStyle w:val="Heading3"/>
      </w:pPr>
      <w:bookmarkStart w:id="15" w:name="_Requirement_to_report"/>
      <w:bookmarkStart w:id="16" w:name="_Toc138142649"/>
      <w:bookmarkEnd w:id="15"/>
      <w:r>
        <w:lastRenderedPageBreak/>
        <w:t>Non-office areas in sublease or MOU arrangement</w:t>
      </w:r>
      <w:bookmarkEnd w:id="16"/>
    </w:p>
    <w:p w14:paraId="5DB14398" w14:textId="652016E6" w:rsidR="00DE1AD1" w:rsidRDefault="00DE1AD1" w:rsidP="00660196">
      <w:r>
        <w:t>In general, operational tenancies are out of scope for reporting in the Office Data Collection</w:t>
      </w:r>
      <w:r w:rsidR="00A117C3">
        <w:t>. H</w:t>
      </w:r>
      <w:r>
        <w:t>owever</w:t>
      </w:r>
      <w:r w:rsidR="004C58B5">
        <w:t>,</w:t>
      </w:r>
      <w:r>
        <w:t xml:space="preserve"> there are two scenarios where reporting</w:t>
      </w:r>
      <w:r w:rsidR="00272033">
        <w:t xml:space="preserve"> of these tenancies </w:t>
      </w:r>
      <w:r>
        <w:t xml:space="preserve">is required: </w:t>
      </w:r>
    </w:p>
    <w:p w14:paraId="69C3664F" w14:textId="45C4640D" w:rsidR="00DE1AD1" w:rsidRDefault="00DE1AD1" w:rsidP="00DE1AD1">
      <w:pPr>
        <w:pStyle w:val="ListParagraph"/>
        <w:numPr>
          <w:ilvl w:val="0"/>
          <w:numId w:val="27"/>
        </w:numPr>
      </w:pPr>
      <w:r>
        <w:t>Operational sublease</w:t>
      </w:r>
      <w:r w:rsidR="00EB6EEC">
        <w:t xml:space="preserve"> or MOU</w:t>
      </w:r>
      <w:r>
        <w:t xml:space="preserve"> within an office head-lease.</w:t>
      </w:r>
    </w:p>
    <w:p w14:paraId="5049B370" w14:textId="6F5DAAC0" w:rsidR="00DE1AD1" w:rsidRDefault="00DE1AD1" w:rsidP="00DE1AD1">
      <w:pPr>
        <w:pStyle w:val="ListParagraph"/>
      </w:pPr>
    </w:p>
    <w:p w14:paraId="6D8D17B3" w14:textId="77777777" w:rsidR="00A117C3" w:rsidRDefault="00DE1AD1" w:rsidP="00DE1AD1">
      <w:pPr>
        <w:pStyle w:val="ListParagraph"/>
      </w:pPr>
      <w:r>
        <w:t xml:space="preserve">The head-lessor will need to record details of the Commonwealth MOU/sublease within their tenancy record </w:t>
      </w:r>
      <w:bookmarkStart w:id="17" w:name="_Int_JZYJenGB"/>
      <w:r>
        <w:t>in order to</w:t>
      </w:r>
      <w:bookmarkEnd w:id="17"/>
      <w:r>
        <w:t xml:space="preserve"> accurately record the area within their tenancy and the sublease revenue attached to the sublease. </w:t>
      </w:r>
    </w:p>
    <w:p w14:paraId="5AEBC649" w14:textId="77777777" w:rsidR="00A117C3" w:rsidRDefault="00A117C3" w:rsidP="00DE1AD1">
      <w:pPr>
        <w:pStyle w:val="ListParagraph"/>
      </w:pPr>
    </w:p>
    <w:p w14:paraId="776C6CE6" w14:textId="731DCA8A" w:rsidR="00DE1AD1" w:rsidRDefault="00DE1AD1" w:rsidP="00DE1AD1">
      <w:pPr>
        <w:pStyle w:val="ListParagraph"/>
      </w:pPr>
      <w:r>
        <w:t>This will automatically generate a sublet tenant record on the sub-lessor</w:t>
      </w:r>
      <w:r w:rsidR="00EB6EEC">
        <w:t>’</w:t>
      </w:r>
      <w:r>
        <w:t>s records within the AGPR</w:t>
      </w:r>
      <w:r w:rsidR="59BB23DF">
        <w:t xml:space="preserve">. </w:t>
      </w:r>
      <w:r>
        <w:t xml:space="preserve">Where this sublease is used solely for operational purposes, </w:t>
      </w:r>
      <w:r w:rsidR="7CB337E9">
        <w:t>i.e.,</w:t>
      </w:r>
      <w:r>
        <w:t xml:space="preserve"> has no usable office area, then the appropriate non-office area values should be entered into the sublet tenant record to show the entire net lettable area (NLA) is non-office area</w:t>
      </w:r>
      <w:r w:rsidR="2B046ABA">
        <w:t xml:space="preserve">. </w:t>
      </w:r>
      <w:r>
        <w:t>This will result in the AGPR calculating the usable office area as zero, which will then exempt the tenancy from any further reporting requirements</w:t>
      </w:r>
      <w:r w:rsidR="00F90971">
        <w:t>.</w:t>
      </w:r>
    </w:p>
    <w:p w14:paraId="524CEE84" w14:textId="03AA3BBB" w:rsidR="00E1758E" w:rsidRDefault="00E1758E" w:rsidP="00DE1AD1">
      <w:pPr>
        <w:pStyle w:val="ListParagraph"/>
      </w:pPr>
    </w:p>
    <w:p w14:paraId="34C23320" w14:textId="4B6DF2AA" w:rsidR="00E1758E" w:rsidRDefault="5720ACF4" w:rsidP="00DE1AD1">
      <w:pPr>
        <w:pStyle w:val="ListParagraph"/>
      </w:pPr>
      <w:r>
        <w:t xml:space="preserve">The sublet tenant record </w:t>
      </w:r>
      <w:r w:rsidR="00272033">
        <w:t xml:space="preserve">must </w:t>
      </w:r>
      <w:r w:rsidRPr="00387F34">
        <w:rPr>
          <w:b/>
          <w:bCs/>
          <w:u w:val="single"/>
        </w:rPr>
        <w:t>not</w:t>
      </w:r>
      <w:r>
        <w:t xml:space="preserve"> be deleted from the AGPR.</w:t>
      </w:r>
    </w:p>
    <w:p w14:paraId="04930539" w14:textId="2967CF75" w:rsidR="006F45B9" w:rsidRDefault="006F45B9" w:rsidP="00DE1AD1">
      <w:pPr>
        <w:pStyle w:val="ListParagraph"/>
      </w:pPr>
    </w:p>
    <w:p w14:paraId="66C88459" w14:textId="4BC06169" w:rsidR="00660196" w:rsidRPr="00272033" w:rsidRDefault="00272033" w:rsidP="00DE1AD1">
      <w:pPr>
        <w:pStyle w:val="ListParagraph"/>
        <w:numPr>
          <w:ilvl w:val="0"/>
          <w:numId w:val="27"/>
        </w:numPr>
      </w:pPr>
      <w:r w:rsidRPr="00272033">
        <w:t>H</w:t>
      </w:r>
      <w:r w:rsidR="00DE1AD1" w:rsidRPr="00272033">
        <w:t>ead-lease that supports a Commonwealth MOU/sublease with usable office area.</w:t>
      </w:r>
    </w:p>
    <w:p w14:paraId="0FA1BBAE" w14:textId="77777777" w:rsidR="006F45B9" w:rsidRPr="00272033" w:rsidRDefault="006F45B9" w:rsidP="006F45B9">
      <w:pPr>
        <w:pStyle w:val="ListParagraph"/>
      </w:pPr>
    </w:p>
    <w:p w14:paraId="7EEF0DD8" w14:textId="304D82F7" w:rsidR="00272033" w:rsidRDefault="00272033" w:rsidP="006F45B9">
      <w:pPr>
        <w:pStyle w:val="ListParagraph"/>
      </w:pPr>
      <w:r>
        <w:t>Where a sublease has usable office area the head lease must be reported in the AGPR, regardless of whether the entire NLA is subleased of only part of it</w:t>
      </w:r>
      <w:r w:rsidR="1C3E04D7">
        <w:t xml:space="preserve">. </w:t>
      </w:r>
    </w:p>
    <w:p w14:paraId="04BBD07B" w14:textId="40F2F7B4" w:rsidR="00272033" w:rsidRDefault="00272033" w:rsidP="006F45B9">
      <w:pPr>
        <w:pStyle w:val="ListParagraph"/>
      </w:pPr>
    </w:p>
    <w:p w14:paraId="22120828" w14:textId="13F61662" w:rsidR="006F45B9" w:rsidRPr="00272033" w:rsidRDefault="00272033" w:rsidP="00272033">
      <w:pPr>
        <w:pStyle w:val="ListParagraph"/>
        <w:rPr>
          <w:highlight w:val="magenta"/>
        </w:rPr>
      </w:pPr>
      <w:r>
        <w:t xml:space="preserve">Tenancies </w:t>
      </w:r>
      <w:r w:rsidR="00B97E88">
        <w:t>o</w:t>
      </w:r>
      <w:r>
        <w:t>f this nature are deemed to have Usable Office Area as the sub-lease (with Usable Office Area) exists within the NLA of the head lease.</w:t>
      </w:r>
    </w:p>
    <w:p w14:paraId="2F521281" w14:textId="2168E57B" w:rsidR="00660196" w:rsidRDefault="00660196" w:rsidP="00660196">
      <w:pPr>
        <w:pStyle w:val="Heading3"/>
      </w:pPr>
      <w:bookmarkStart w:id="18" w:name="_Toc103678379"/>
      <w:bookmarkStart w:id="19" w:name="_Toc138142650"/>
      <w:r>
        <w:t>Reporting work</w:t>
      </w:r>
      <w:r w:rsidR="008A5319">
        <w:t>-</w:t>
      </w:r>
      <w:r>
        <w:t>points when subleasing</w:t>
      </w:r>
      <w:r w:rsidR="008F78AB">
        <w:t xml:space="preserve"> or </w:t>
      </w:r>
      <w:proofErr w:type="gramStart"/>
      <w:r w:rsidR="008F78AB">
        <w:t>hosting</w:t>
      </w:r>
      <w:bookmarkEnd w:id="18"/>
      <w:bookmarkEnd w:id="19"/>
      <w:proofErr w:type="gramEnd"/>
    </w:p>
    <w:p w14:paraId="06021E84" w14:textId="50227474" w:rsidR="00E67EFE" w:rsidRDefault="00CF0253" w:rsidP="009960F9">
      <w:r>
        <w:t>Where a tenancy has a sublease</w:t>
      </w:r>
      <w:r w:rsidR="009960F9">
        <w:t xml:space="preserve">, </w:t>
      </w:r>
      <w:r>
        <w:t xml:space="preserve">Commonwealth MOU </w:t>
      </w:r>
      <w:r w:rsidR="009960F9">
        <w:t xml:space="preserve">or hosting </w:t>
      </w:r>
      <w:r>
        <w:t xml:space="preserve">arrangement, the </w:t>
      </w:r>
      <w:r w:rsidR="009960F9">
        <w:t xml:space="preserve">treatment of </w:t>
      </w:r>
      <w:r>
        <w:t>work</w:t>
      </w:r>
      <w:r w:rsidR="386777C1">
        <w:t>-</w:t>
      </w:r>
      <w:r>
        <w:t xml:space="preserve">points contained within the subleased area </w:t>
      </w:r>
      <w:r w:rsidR="009960F9">
        <w:t>may vary</w:t>
      </w:r>
      <w:r w:rsidR="06D264D4">
        <w:t xml:space="preserve">. </w:t>
      </w:r>
      <w:r>
        <w:t>Th</w:t>
      </w:r>
      <w:r w:rsidR="009960F9">
        <w:t xml:space="preserve">ere are three common scenarios, which are </w:t>
      </w:r>
      <w:r>
        <w:t>listed below</w:t>
      </w:r>
      <w:r w:rsidR="009960F9">
        <w:t xml:space="preserve"> with the correct treatment for the work</w:t>
      </w:r>
      <w:r w:rsidR="2E12ABCD">
        <w:t>-</w:t>
      </w:r>
      <w:r w:rsidR="009960F9">
        <w:t>points</w:t>
      </w:r>
      <w:r>
        <w:t>.</w:t>
      </w:r>
    </w:p>
    <w:p w14:paraId="54DA5B68" w14:textId="77777777" w:rsidR="00E67EFE" w:rsidRDefault="00E67EFE">
      <w:pPr>
        <w:suppressAutoHyphens w:val="0"/>
        <w:spacing w:before="0" w:after="120" w:line="440" w:lineRule="atLeast"/>
      </w:pPr>
      <w:r>
        <w:br w:type="page"/>
      </w:r>
    </w:p>
    <w:p w14:paraId="5700AE10" w14:textId="77777777" w:rsidR="00CF0253" w:rsidRDefault="00CF0253" w:rsidP="009960F9"/>
    <w:p w14:paraId="5CA52F9A" w14:textId="77777777" w:rsidR="009960F9" w:rsidRDefault="009960F9" w:rsidP="009960F9"/>
    <w:tbl>
      <w:tblPr>
        <w:tblStyle w:val="TableGrid"/>
        <w:tblW w:w="0" w:type="auto"/>
        <w:tblInd w:w="720" w:type="dxa"/>
        <w:tblLook w:val="04A0" w:firstRow="1" w:lastRow="0" w:firstColumn="1" w:lastColumn="0" w:noHBand="0" w:noVBand="1"/>
      </w:tblPr>
      <w:tblGrid>
        <w:gridCol w:w="2780"/>
        <w:gridCol w:w="2780"/>
        <w:gridCol w:w="2780"/>
      </w:tblGrid>
      <w:tr w:rsidR="009960F9" w14:paraId="2497E221" w14:textId="77777777" w:rsidTr="01584286">
        <w:tc>
          <w:tcPr>
            <w:tcW w:w="2780" w:type="dxa"/>
            <w:shd w:val="clear" w:color="auto" w:fill="000000" w:themeFill="text1"/>
          </w:tcPr>
          <w:p w14:paraId="394C21ED" w14:textId="081C0CF4" w:rsidR="009960F9" w:rsidRPr="009960F9" w:rsidRDefault="009960F9" w:rsidP="009960F9">
            <w:pPr>
              <w:pStyle w:val="TableText"/>
              <w:rPr>
                <w:b/>
                <w:color w:val="FFFFFF" w:themeColor="background1"/>
              </w:rPr>
            </w:pPr>
            <w:r w:rsidRPr="009960F9">
              <w:rPr>
                <w:b/>
                <w:color w:val="FFFFFF" w:themeColor="background1"/>
              </w:rPr>
              <w:t>Scenario</w:t>
            </w:r>
          </w:p>
        </w:tc>
        <w:tc>
          <w:tcPr>
            <w:tcW w:w="2780" w:type="dxa"/>
            <w:shd w:val="clear" w:color="auto" w:fill="000000" w:themeFill="text1"/>
          </w:tcPr>
          <w:p w14:paraId="38BE613B" w14:textId="49C298EA" w:rsidR="009960F9" w:rsidRPr="009960F9" w:rsidRDefault="009960F9" w:rsidP="009960F9">
            <w:pPr>
              <w:pStyle w:val="TableText"/>
              <w:rPr>
                <w:b/>
                <w:color w:val="FFFFFF" w:themeColor="background1"/>
              </w:rPr>
            </w:pPr>
            <w:r w:rsidRPr="009960F9">
              <w:rPr>
                <w:b/>
                <w:color w:val="FFFFFF" w:themeColor="background1"/>
              </w:rPr>
              <w:t>Description</w:t>
            </w:r>
          </w:p>
        </w:tc>
        <w:tc>
          <w:tcPr>
            <w:tcW w:w="2780" w:type="dxa"/>
            <w:shd w:val="clear" w:color="auto" w:fill="000000" w:themeFill="text1"/>
          </w:tcPr>
          <w:p w14:paraId="7AA4EFFE" w14:textId="29A21165" w:rsidR="009960F9" w:rsidRPr="009960F9" w:rsidRDefault="009960F9" w:rsidP="01584286">
            <w:pPr>
              <w:pStyle w:val="TableText"/>
              <w:rPr>
                <w:b/>
                <w:bCs/>
                <w:color w:val="FFFFFF" w:themeColor="background1"/>
              </w:rPr>
            </w:pPr>
            <w:r w:rsidRPr="01584286">
              <w:rPr>
                <w:b/>
                <w:bCs/>
                <w:color w:val="FFFFFF" w:themeColor="background1"/>
              </w:rPr>
              <w:t>Work</w:t>
            </w:r>
            <w:r w:rsidR="500E3D34" w:rsidRPr="01584286">
              <w:rPr>
                <w:b/>
                <w:bCs/>
                <w:color w:val="FFFFFF" w:themeColor="background1"/>
              </w:rPr>
              <w:t>-</w:t>
            </w:r>
            <w:r w:rsidRPr="01584286">
              <w:rPr>
                <w:b/>
                <w:bCs/>
                <w:color w:val="FFFFFF" w:themeColor="background1"/>
              </w:rPr>
              <w:t>point Treatment</w:t>
            </w:r>
          </w:p>
        </w:tc>
      </w:tr>
      <w:tr w:rsidR="009960F9" w14:paraId="451846DC" w14:textId="77777777" w:rsidTr="01584286">
        <w:tc>
          <w:tcPr>
            <w:tcW w:w="2780" w:type="dxa"/>
          </w:tcPr>
          <w:p w14:paraId="71CAD364" w14:textId="4B8A2634" w:rsidR="009960F9" w:rsidRDefault="009960F9" w:rsidP="009960F9">
            <w:pPr>
              <w:pStyle w:val="TableText"/>
            </w:pPr>
            <w:r w:rsidRPr="00CF0253">
              <w:rPr>
                <w:b/>
              </w:rPr>
              <w:t>Discreet sub-lease</w:t>
            </w:r>
          </w:p>
        </w:tc>
        <w:tc>
          <w:tcPr>
            <w:tcW w:w="2780" w:type="dxa"/>
          </w:tcPr>
          <w:p w14:paraId="0D1CA781" w14:textId="0DE87B0D" w:rsidR="009960F9" w:rsidRDefault="009960F9" w:rsidP="009960F9">
            <w:pPr>
              <w:pStyle w:val="TableText"/>
            </w:pPr>
            <w:r>
              <w:t>The sub-leased area is separated from the head lease by physical barriers, such as internal walls, partitions, etc. with staff unable to move between these areas</w:t>
            </w:r>
          </w:p>
        </w:tc>
        <w:tc>
          <w:tcPr>
            <w:tcW w:w="2780" w:type="dxa"/>
          </w:tcPr>
          <w:p w14:paraId="2AC55340" w14:textId="0424B9F9" w:rsidR="009960F9" w:rsidRDefault="009960F9" w:rsidP="009960F9">
            <w:pPr>
              <w:pStyle w:val="TableText"/>
            </w:pPr>
            <w:r>
              <w:t>Each tenancy must only report the work</w:t>
            </w:r>
            <w:r w:rsidR="4274188B">
              <w:t>-</w:t>
            </w:r>
            <w:r>
              <w:t>points within their physical space.</w:t>
            </w:r>
          </w:p>
          <w:p w14:paraId="1F52C33A" w14:textId="77777777" w:rsidR="009960F9" w:rsidRDefault="009960F9" w:rsidP="009960F9">
            <w:pPr>
              <w:pStyle w:val="TableText"/>
            </w:pPr>
          </w:p>
        </w:tc>
      </w:tr>
      <w:tr w:rsidR="009960F9" w14:paraId="097148B7" w14:textId="77777777" w:rsidTr="01584286">
        <w:tc>
          <w:tcPr>
            <w:tcW w:w="2780" w:type="dxa"/>
          </w:tcPr>
          <w:p w14:paraId="4F634801" w14:textId="71FF34BD" w:rsidR="009960F9" w:rsidRPr="009960F9" w:rsidRDefault="009960F9" w:rsidP="009960F9">
            <w:pPr>
              <w:pStyle w:val="TableText"/>
              <w:rPr>
                <w:b/>
              </w:rPr>
            </w:pPr>
            <w:r w:rsidRPr="009960F9">
              <w:rPr>
                <w:b/>
              </w:rPr>
              <w:t>Shared accommodation</w:t>
            </w:r>
          </w:p>
        </w:tc>
        <w:tc>
          <w:tcPr>
            <w:tcW w:w="2780" w:type="dxa"/>
          </w:tcPr>
          <w:p w14:paraId="2ECE1F4A" w14:textId="76B75ADA" w:rsidR="009960F9" w:rsidRDefault="009960F9" w:rsidP="009960F9">
            <w:pPr>
              <w:pStyle w:val="TableText"/>
            </w:pPr>
            <w:r>
              <w:t>Two or more entities share the same workspace (on an ongoing basis under an MOU) with no physical barriers between areas accessible by staff, however each entity has specific work</w:t>
            </w:r>
            <w:r w:rsidR="23BF1417">
              <w:t>-</w:t>
            </w:r>
            <w:r>
              <w:t>points assigned for their use</w:t>
            </w:r>
            <w:r w:rsidR="71491A98">
              <w:t xml:space="preserve">. </w:t>
            </w:r>
          </w:p>
        </w:tc>
        <w:tc>
          <w:tcPr>
            <w:tcW w:w="2780" w:type="dxa"/>
          </w:tcPr>
          <w:p w14:paraId="349313F4" w14:textId="2D7F9097" w:rsidR="009960F9" w:rsidRDefault="009960F9" w:rsidP="00283554">
            <w:pPr>
              <w:pStyle w:val="TableText"/>
            </w:pPr>
            <w:r>
              <w:t>Each entity must only report the work</w:t>
            </w:r>
            <w:r w:rsidR="06DAFF85">
              <w:t>-</w:t>
            </w:r>
            <w:r>
              <w:t xml:space="preserve">points </w:t>
            </w:r>
            <w:r w:rsidR="302157F5">
              <w:t xml:space="preserve">assigned to their agency </w:t>
            </w:r>
            <w:r w:rsidR="00272033">
              <w:t>through their MOU/</w:t>
            </w:r>
            <w:r w:rsidR="302157F5">
              <w:t xml:space="preserve"> agreement</w:t>
            </w:r>
            <w:r>
              <w:t>.</w:t>
            </w:r>
          </w:p>
        </w:tc>
      </w:tr>
      <w:tr w:rsidR="009960F9" w14:paraId="5AFDE2F1" w14:textId="77777777" w:rsidTr="01584286">
        <w:tc>
          <w:tcPr>
            <w:tcW w:w="2780" w:type="dxa"/>
          </w:tcPr>
          <w:p w14:paraId="59FF5C7C" w14:textId="21992848" w:rsidR="009960F9" w:rsidRPr="009960F9" w:rsidRDefault="009960F9" w:rsidP="009960F9">
            <w:pPr>
              <w:pStyle w:val="TableText"/>
              <w:rPr>
                <w:b/>
              </w:rPr>
            </w:pPr>
            <w:r w:rsidRPr="009960F9">
              <w:rPr>
                <w:b/>
              </w:rPr>
              <w:t>Hosting Arrangement</w:t>
            </w:r>
          </w:p>
        </w:tc>
        <w:tc>
          <w:tcPr>
            <w:tcW w:w="2780" w:type="dxa"/>
          </w:tcPr>
          <w:p w14:paraId="348BF03E" w14:textId="2623E96C" w:rsidR="009960F9" w:rsidRDefault="00100C43" w:rsidP="00666C10">
            <w:pPr>
              <w:pStyle w:val="TableText"/>
            </w:pPr>
            <w:r>
              <w:t xml:space="preserve">Where an entity hosts </w:t>
            </w:r>
            <w:r w:rsidR="00272033">
              <w:t xml:space="preserve">staff from </w:t>
            </w:r>
            <w:r>
              <w:t>other entity/</w:t>
            </w:r>
            <w:proofErr w:type="spellStart"/>
            <w:r>
              <w:t>ies</w:t>
            </w:r>
            <w:proofErr w:type="spellEnd"/>
            <w:r>
              <w:t xml:space="preserve"> for short periods of time with no exchange of rent</w:t>
            </w:r>
            <w:r w:rsidR="00DD7E62">
              <w:t>.</w:t>
            </w:r>
          </w:p>
        </w:tc>
        <w:tc>
          <w:tcPr>
            <w:tcW w:w="2780" w:type="dxa"/>
          </w:tcPr>
          <w:p w14:paraId="00904F27" w14:textId="54863629" w:rsidR="00666C10" w:rsidRDefault="00666C10" w:rsidP="009960F9">
            <w:pPr>
              <w:pStyle w:val="TableText"/>
            </w:pPr>
            <w:r>
              <w:t>Only the hosting entit</w:t>
            </w:r>
            <w:r w:rsidR="29A738DC">
              <w:t>y’</w:t>
            </w:r>
            <w:r>
              <w:t>s tenancy is to be reported (</w:t>
            </w:r>
            <w:r w:rsidR="51B75AF3">
              <w:t>i.e.,</w:t>
            </w:r>
            <w:r>
              <w:t xml:space="preserve"> do not report these arrangements as separate tenancies).</w:t>
            </w:r>
          </w:p>
          <w:p w14:paraId="0156ABB2" w14:textId="65B7D303" w:rsidR="00100C43" w:rsidRPr="00547337" w:rsidRDefault="009960F9" w:rsidP="009960F9">
            <w:pPr>
              <w:pStyle w:val="TableText"/>
            </w:pPr>
            <w:r w:rsidRPr="00547337">
              <w:t>The entity holding the head lease should report all work-points within their tenancy</w:t>
            </w:r>
            <w:r w:rsidR="00100C43" w:rsidRPr="00547337">
              <w:t>.</w:t>
            </w:r>
          </w:p>
          <w:p w14:paraId="09F699E5" w14:textId="580FD5D0" w:rsidR="00666C10" w:rsidRDefault="00666C10">
            <w:pPr>
              <w:pStyle w:val="TableText"/>
            </w:pPr>
            <w:r>
              <w:t>Please note, these arrangement</w:t>
            </w:r>
            <w:r w:rsidR="00E911F1">
              <w:t>s</w:t>
            </w:r>
            <w:r>
              <w:t xml:space="preserve"> may also have an </w:t>
            </w:r>
            <w:r w:rsidR="00E911F1">
              <w:t xml:space="preserve">impact </w:t>
            </w:r>
            <w:r>
              <w:t>on the number of staff reported under the head lease.</w:t>
            </w:r>
          </w:p>
          <w:p w14:paraId="778C4347" w14:textId="41828B18" w:rsidR="009960F9" w:rsidRDefault="00100C43" w:rsidP="00666C10">
            <w:pPr>
              <w:pStyle w:val="TableText"/>
            </w:pPr>
            <w:r w:rsidRPr="00547337">
              <w:t>Where these work</w:t>
            </w:r>
            <w:r w:rsidR="00666C10">
              <w:t>-</w:t>
            </w:r>
            <w:r w:rsidRPr="00547337">
              <w:t>points are occupied by another entity consistently</w:t>
            </w:r>
            <w:r w:rsidR="005B3319">
              <w:t xml:space="preserve"> (</w:t>
            </w:r>
            <w:r w:rsidRPr="00547337">
              <w:t xml:space="preserve">more than </w:t>
            </w:r>
            <w:r w:rsidR="00666C10">
              <w:t xml:space="preserve">three </w:t>
            </w:r>
            <w:r w:rsidRPr="00547337">
              <w:t xml:space="preserve">days </w:t>
            </w:r>
            <w:r w:rsidR="00666C10">
              <w:t>i</w:t>
            </w:r>
            <w:r w:rsidRPr="00547337">
              <w:t>n any week</w:t>
            </w:r>
            <w:r w:rsidR="005B3319">
              <w:t>),</w:t>
            </w:r>
            <w:r w:rsidRPr="00547337">
              <w:t xml:space="preserve"> report their occupation by increasing the number of staff allocated to lease. </w:t>
            </w:r>
            <w:r w:rsidR="00666C10">
              <w:t>However, i</w:t>
            </w:r>
            <w:r w:rsidRPr="00547337">
              <w:t>f these work points are available for other entities to use</w:t>
            </w:r>
            <w:r w:rsidR="00666C10">
              <w:t xml:space="preserve"> </w:t>
            </w:r>
            <w:r w:rsidRPr="00547337">
              <w:t>do no</w:t>
            </w:r>
            <w:r w:rsidR="005B3319">
              <w:t>t</w:t>
            </w:r>
            <w:r w:rsidRPr="00547337">
              <w:t xml:space="preserve"> report </w:t>
            </w:r>
            <w:r w:rsidR="005B3319">
              <w:t>staff as occupying these work points.</w:t>
            </w:r>
            <w:r w:rsidRPr="00666C10" w:rsidDel="00100C43">
              <w:t xml:space="preserve"> </w:t>
            </w:r>
          </w:p>
        </w:tc>
      </w:tr>
    </w:tbl>
    <w:p w14:paraId="6AA3FC9E" w14:textId="77777777" w:rsidR="00E67EFE" w:rsidRDefault="00E67EFE" w:rsidP="00660196">
      <w:pPr>
        <w:pStyle w:val="Heading3"/>
      </w:pPr>
      <w:bookmarkStart w:id="20" w:name="_Toc103678380"/>
      <w:bookmarkStart w:id="21" w:name="_Toc138142651"/>
    </w:p>
    <w:p w14:paraId="33C7561C" w14:textId="77777777" w:rsidR="00E67EFE" w:rsidRDefault="00E67EFE">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7A9CAFB5" w14:textId="301F1723" w:rsidR="00660196" w:rsidRDefault="00894FDD" w:rsidP="00660196">
      <w:pPr>
        <w:pStyle w:val="Heading3"/>
      </w:pPr>
      <w:r>
        <w:lastRenderedPageBreak/>
        <w:t>Head lease</w:t>
      </w:r>
      <w:r w:rsidR="00CF375D">
        <w:t xml:space="preserve"> </w:t>
      </w:r>
      <w:r w:rsidR="00B83586">
        <w:t>a</w:t>
      </w:r>
      <w:r w:rsidR="00CF375D">
        <w:t xml:space="preserve">ctual </w:t>
      </w:r>
      <w:r w:rsidR="00660196">
        <w:t>rent and sublease revenue</w:t>
      </w:r>
      <w:bookmarkEnd w:id="20"/>
      <w:bookmarkEnd w:id="21"/>
    </w:p>
    <w:p w14:paraId="5B8BB785" w14:textId="260DDFBA" w:rsidR="006214CE" w:rsidRDefault="5720ACF4" w:rsidP="00660196">
      <w:r>
        <w:t>The AGPR has two separate fields for recording the rent and sublease revenue applicable for a tenancy</w:t>
      </w:r>
      <w:r w:rsidR="224C8F93">
        <w:t xml:space="preserve">. </w:t>
      </w:r>
      <w:r>
        <w:t xml:space="preserve"> </w:t>
      </w:r>
    </w:p>
    <w:p w14:paraId="1344892A" w14:textId="0049C037" w:rsidR="00660196" w:rsidRDefault="006214CE" w:rsidP="00660196">
      <w:r>
        <w:t>W</w:t>
      </w:r>
      <w:r w:rsidR="5720ACF4">
        <w:t>here one or more subleases exist</w:t>
      </w:r>
      <w:r>
        <w:t>,</w:t>
      </w:r>
      <w:r w:rsidR="5720ACF4">
        <w:t xml:space="preserve"> the </w:t>
      </w:r>
      <w:r w:rsidR="5720ACF4" w:rsidRPr="5720ACF4">
        <w:rPr>
          <w:i/>
          <w:iCs/>
        </w:rPr>
        <w:t>Current Year Actual Rent</w:t>
      </w:r>
      <w:r w:rsidR="5720ACF4">
        <w:t xml:space="preserve"> </w:t>
      </w:r>
      <w:r>
        <w:t xml:space="preserve">must include the full amount </w:t>
      </w:r>
      <w:r w:rsidR="5720ACF4">
        <w:t>paid to the landlord, regardless of whether the sub-lessor pays their rent directly to the entity or the landlord.</w:t>
      </w:r>
    </w:p>
    <w:p w14:paraId="12D80545" w14:textId="6329CB3D" w:rsidR="00E62635" w:rsidRDefault="00E62635" w:rsidP="00E62635">
      <w:r>
        <w:t xml:space="preserve">In the past some entities have reported </w:t>
      </w:r>
      <w:r w:rsidRPr="01584286">
        <w:rPr>
          <w:i/>
          <w:iCs/>
        </w:rPr>
        <w:t>Current Year Actual Rent</w:t>
      </w:r>
      <w:r>
        <w:t xml:space="preserve"> as the net value (</w:t>
      </w:r>
      <w:r w:rsidRPr="01584286">
        <w:rPr>
          <w:i/>
          <w:iCs/>
        </w:rPr>
        <w:t>Current Year Actual Rent – Sublease Revenue)</w:t>
      </w:r>
      <w:r>
        <w:t xml:space="preserve">, however the AGPR calculates Net Tenancy Costs as </w:t>
      </w:r>
      <w:r w:rsidRPr="01584286">
        <w:rPr>
          <w:i/>
          <w:iCs/>
        </w:rPr>
        <w:t>Current Year Actual Rent – Sublease Revenue</w:t>
      </w:r>
      <w:r>
        <w:t xml:space="preserve"> so reporting rent in this way results in double counting </w:t>
      </w:r>
      <w:r w:rsidR="00666C10">
        <w:t xml:space="preserve">of </w:t>
      </w:r>
      <w:r>
        <w:t>the sub-lease revenue, which in turn reduces the net tenancy cost reported for both the entity and Commonwealth as a whole.</w:t>
      </w:r>
    </w:p>
    <w:p w14:paraId="6AD8AB24" w14:textId="0D7C2062" w:rsidR="00E62635" w:rsidRDefault="00E62635" w:rsidP="00B246BC">
      <w:r>
        <w:t xml:space="preserve">The following two scenarios show the correct reporting of </w:t>
      </w:r>
      <w:r w:rsidRPr="00E62635">
        <w:rPr>
          <w:i/>
        </w:rPr>
        <w:t>Current Year Actual Rent</w:t>
      </w:r>
      <w:r>
        <w:rPr>
          <w:i/>
        </w:rPr>
        <w:t xml:space="preserve"> </w:t>
      </w:r>
      <w:r w:rsidRPr="00E62635">
        <w:t>where there are one or more subleases.</w:t>
      </w:r>
    </w:p>
    <w:p w14:paraId="1798A12D" w14:textId="2C8BAF5E" w:rsidR="00B246BC" w:rsidRPr="009C637B" w:rsidRDefault="00B246BC" w:rsidP="00B246BC">
      <w:pPr>
        <w:rPr>
          <w:b/>
        </w:rPr>
      </w:pPr>
      <w:r>
        <w:rPr>
          <w:b/>
        </w:rPr>
        <w:t>Scenario 1</w:t>
      </w:r>
    </w:p>
    <w:p w14:paraId="0FF1392E" w14:textId="4EF4FAF9" w:rsidR="00E62635" w:rsidRPr="009C637B" w:rsidRDefault="00E62635" w:rsidP="009C637B">
      <w:r w:rsidRPr="009C637B">
        <w:t>Head Lease:  $600/m</w:t>
      </w:r>
      <w:r w:rsidRPr="009C637B">
        <w:rPr>
          <w:vertAlign w:val="superscript"/>
        </w:rPr>
        <w:t>2</w:t>
      </w:r>
      <w:r w:rsidRPr="009C637B">
        <w:t xml:space="preserve"> for 1000m</w:t>
      </w:r>
      <w:r w:rsidRPr="009C637B">
        <w:rPr>
          <w:vertAlign w:val="superscript"/>
        </w:rPr>
        <w:t>2</w:t>
      </w:r>
      <w:r w:rsidRPr="009C637B">
        <w:t xml:space="preserve"> (NLA) for the year</w:t>
      </w:r>
    </w:p>
    <w:p w14:paraId="2DF98AA7" w14:textId="796434CC" w:rsidR="00E62635" w:rsidRPr="009C637B" w:rsidRDefault="00E62635" w:rsidP="00E62635">
      <w:r w:rsidRPr="009C637B">
        <w:t>Sub-lease: $600/m</w:t>
      </w:r>
      <w:r w:rsidRPr="009C637B">
        <w:rPr>
          <w:vertAlign w:val="superscript"/>
        </w:rPr>
        <w:t>2</w:t>
      </w:r>
      <w:r w:rsidRPr="009C637B">
        <w:t xml:space="preserve"> for 300m</w:t>
      </w:r>
      <w:r w:rsidRPr="009C637B">
        <w:rPr>
          <w:vertAlign w:val="superscript"/>
        </w:rPr>
        <w:t>2</w:t>
      </w:r>
      <w:r w:rsidRPr="009C637B">
        <w:t xml:space="preserve"> for the year</w:t>
      </w:r>
    </w:p>
    <w:p w14:paraId="4E0FA024" w14:textId="50700658" w:rsidR="00E62635" w:rsidRPr="009C637B" w:rsidRDefault="00E62635" w:rsidP="00E62635">
      <w:r w:rsidRPr="009C637B">
        <w:t>This equates to:</w:t>
      </w:r>
    </w:p>
    <w:p w14:paraId="74B0497D" w14:textId="785420A1" w:rsidR="00E62635" w:rsidRPr="009C637B" w:rsidRDefault="00E62635" w:rsidP="00E62635">
      <w:pPr>
        <w:pStyle w:val="ListParagraph"/>
        <w:numPr>
          <w:ilvl w:val="0"/>
          <w:numId w:val="33"/>
        </w:numPr>
      </w:pPr>
      <w:r w:rsidRPr="01584286">
        <w:rPr>
          <w:i/>
          <w:iCs/>
        </w:rPr>
        <w:t xml:space="preserve">Current Year Actual </w:t>
      </w:r>
      <w:r w:rsidR="6395930B" w:rsidRPr="01584286">
        <w:rPr>
          <w:i/>
          <w:iCs/>
        </w:rPr>
        <w:t>Rent =</w:t>
      </w:r>
      <w:r>
        <w:t xml:space="preserve"> $600,000 </w:t>
      </w:r>
    </w:p>
    <w:p w14:paraId="09AC4A87" w14:textId="37793DCE" w:rsidR="00E62635" w:rsidRPr="009C637B" w:rsidRDefault="00E62635" w:rsidP="00E62635">
      <w:pPr>
        <w:pStyle w:val="ListParagraph"/>
        <w:numPr>
          <w:ilvl w:val="0"/>
          <w:numId w:val="33"/>
        </w:numPr>
      </w:pPr>
      <w:r w:rsidRPr="009C637B">
        <w:rPr>
          <w:i/>
        </w:rPr>
        <w:t xml:space="preserve">Sublease Revenue = </w:t>
      </w:r>
      <w:r w:rsidRPr="009C637B">
        <w:t>$180,000</w:t>
      </w:r>
    </w:p>
    <w:p w14:paraId="010BD07D" w14:textId="7FBA7816" w:rsidR="00257A9C" w:rsidRDefault="00E62635" w:rsidP="00660196">
      <w:r w:rsidRPr="009C637B">
        <w:t>The AGPR will then calculate Net Tenancy Cost for the tenancy as $600,000 - $180,000 = $420,000</w:t>
      </w:r>
    </w:p>
    <w:p w14:paraId="2F9DF2E2" w14:textId="77777777" w:rsidR="00666C10" w:rsidRPr="009C637B" w:rsidRDefault="00666C10" w:rsidP="00660196"/>
    <w:p w14:paraId="102ABAEA" w14:textId="63EEEBCF" w:rsidR="00E62635" w:rsidRPr="009C637B" w:rsidRDefault="00E62635" w:rsidP="009C637B">
      <w:pPr>
        <w:rPr>
          <w:b/>
        </w:rPr>
      </w:pPr>
      <w:r w:rsidRPr="009C637B">
        <w:rPr>
          <w:b/>
        </w:rPr>
        <w:t>Scenario 2</w:t>
      </w:r>
    </w:p>
    <w:p w14:paraId="525166F8" w14:textId="4650299B" w:rsidR="00E62635" w:rsidRDefault="00E62635" w:rsidP="00E62635">
      <w:r>
        <w:t>Head Lease:  $450/m</w:t>
      </w:r>
      <w:r w:rsidRPr="00E62635">
        <w:rPr>
          <w:vertAlign w:val="superscript"/>
        </w:rPr>
        <w:t>2</w:t>
      </w:r>
      <w:r>
        <w:t xml:space="preserve"> for 5000m</w:t>
      </w:r>
      <w:r w:rsidRPr="00E62635">
        <w:rPr>
          <w:vertAlign w:val="superscript"/>
        </w:rPr>
        <w:t>2</w:t>
      </w:r>
      <w:r>
        <w:t xml:space="preserve"> (NLA) for the year</w:t>
      </w:r>
    </w:p>
    <w:p w14:paraId="17E80845" w14:textId="56429DB5" w:rsidR="00E62635" w:rsidRDefault="00E62635" w:rsidP="00E62635">
      <w:r>
        <w:t>Sub-lease 1: $475/m</w:t>
      </w:r>
      <w:r w:rsidRPr="00E62635">
        <w:rPr>
          <w:vertAlign w:val="superscript"/>
        </w:rPr>
        <w:t>2</w:t>
      </w:r>
      <w:r>
        <w:t xml:space="preserve"> for 650m</w:t>
      </w:r>
      <w:r w:rsidRPr="00E62635">
        <w:rPr>
          <w:vertAlign w:val="superscript"/>
        </w:rPr>
        <w:t>2</w:t>
      </w:r>
      <w:r>
        <w:t xml:space="preserve"> for the year</w:t>
      </w:r>
    </w:p>
    <w:p w14:paraId="77C03842" w14:textId="62B6E619" w:rsidR="00E62635" w:rsidRDefault="00E62635" w:rsidP="00E62635">
      <w:r>
        <w:t>Sub-lease 2: $</w:t>
      </w:r>
      <w:r w:rsidR="00D77480">
        <w:t>4</w:t>
      </w:r>
      <w:r>
        <w:t>00/m</w:t>
      </w:r>
      <w:r w:rsidRPr="00E62635">
        <w:rPr>
          <w:vertAlign w:val="superscript"/>
        </w:rPr>
        <w:t>2</w:t>
      </w:r>
      <w:r>
        <w:t xml:space="preserve"> for </w:t>
      </w:r>
      <w:r w:rsidR="00D77480">
        <w:t>9</w:t>
      </w:r>
      <w:r>
        <w:t>00m</w:t>
      </w:r>
      <w:r w:rsidRPr="00E62635">
        <w:rPr>
          <w:vertAlign w:val="superscript"/>
        </w:rPr>
        <w:t>2</w:t>
      </w:r>
      <w:r>
        <w:t xml:space="preserve"> for the year</w:t>
      </w:r>
    </w:p>
    <w:p w14:paraId="3B92002E" w14:textId="77777777" w:rsidR="00E62635" w:rsidRDefault="00E62635" w:rsidP="00E62635">
      <w:r>
        <w:t>This equates to:</w:t>
      </w:r>
    </w:p>
    <w:p w14:paraId="6B1DB8A1" w14:textId="2228CDD3" w:rsidR="00E62635" w:rsidRDefault="00E62635" w:rsidP="00E62635">
      <w:pPr>
        <w:pStyle w:val="ListParagraph"/>
        <w:numPr>
          <w:ilvl w:val="0"/>
          <w:numId w:val="33"/>
        </w:numPr>
      </w:pPr>
      <w:r w:rsidRPr="01584286">
        <w:rPr>
          <w:i/>
          <w:iCs/>
        </w:rPr>
        <w:t xml:space="preserve">Current Year Actual </w:t>
      </w:r>
      <w:r w:rsidR="03317FAD" w:rsidRPr="01584286">
        <w:rPr>
          <w:i/>
          <w:iCs/>
        </w:rPr>
        <w:t>Rent =</w:t>
      </w:r>
      <w:r>
        <w:t xml:space="preserve"> $</w:t>
      </w:r>
      <w:r w:rsidR="00D77480">
        <w:t>2,250</w:t>
      </w:r>
      <w:r>
        <w:t xml:space="preserve">,000 </w:t>
      </w:r>
    </w:p>
    <w:p w14:paraId="6E40E31C" w14:textId="75727EBE" w:rsidR="00E62635" w:rsidRPr="00E62635" w:rsidRDefault="00E62635" w:rsidP="00E62635">
      <w:pPr>
        <w:pStyle w:val="ListParagraph"/>
        <w:numPr>
          <w:ilvl w:val="0"/>
          <w:numId w:val="33"/>
        </w:numPr>
      </w:pPr>
      <w:r>
        <w:rPr>
          <w:i/>
        </w:rPr>
        <w:t xml:space="preserve">Sublease Revenue = </w:t>
      </w:r>
      <w:r>
        <w:t>$</w:t>
      </w:r>
      <w:r w:rsidR="00D77480">
        <w:t>308,750 + $360,000 = $668,750</w:t>
      </w:r>
    </w:p>
    <w:p w14:paraId="6AAB62A7" w14:textId="77777777" w:rsidR="006214CE" w:rsidRDefault="00E62635" w:rsidP="00E62635">
      <w:r>
        <w:t>The AGPR will then calculate Net Tenancy Cost for the tenancy as</w:t>
      </w:r>
      <w:r w:rsidR="006214CE">
        <w:t>:</w:t>
      </w:r>
    </w:p>
    <w:p w14:paraId="4A55954B" w14:textId="455C97EF" w:rsidR="00E62635" w:rsidRDefault="00E62635" w:rsidP="00E62635">
      <w:r>
        <w:t>$</w:t>
      </w:r>
      <w:r w:rsidR="00D77480">
        <w:t>2,250</w:t>
      </w:r>
      <w:r>
        <w:t>,000 - $</w:t>
      </w:r>
      <w:r w:rsidR="00D77480">
        <w:t>668</w:t>
      </w:r>
      <w:r>
        <w:t>,</w:t>
      </w:r>
      <w:r w:rsidR="00D77480">
        <w:t>75</w:t>
      </w:r>
      <w:r>
        <w:t>0 = $</w:t>
      </w:r>
      <w:r w:rsidR="00D77480">
        <w:t>1,581,250</w:t>
      </w:r>
    </w:p>
    <w:p w14:paraId="2A60E2D5" w14:textId="77777777" w:rsidR="00E62635" w:rsidRPr="0066652A" w:rsidRDefault="00E62635" w:rsidP="00660196"/>
    <w:p w14:paraId="5909B070" w14:textId="60537002" w:rsidR="00486804" w:rsidRDefault="00660196" w:rsidP="00660196">
      <w:pPr>
        <w:pStyle w:val="Heading2"/>
      </w:pPr>
      <w:bookmarkStart w:id="22" w:name="_Toc103678381"/>
      <w:bookmarkStart w:id="23" w:name="_Toc138142652"/>
      <w:r w:rsidRPr="00660196">
        <w:lastRenderedPageBreak/>
        <w:t>Last Major Fit-out</w:t>
      </w:r>
      <w:bookmarkEnd w:id="22"/>
      <w:bookmarkEnd w:id="23"/>
    </w:p>
    <w:p w14:paraId="0A8A67F2" w14:textId="6DBB8379" w:rsidR="00660196" w:rsidRDefault="00660196" w:rsidP="00660196">
      <w:pPr>
        <w:pStyle w:val="Heading3"/>
      </w:pPr>
      <w:bookmarkStart w:id="24" w:name="_Toc103678382"/>
      <w:bookmarkStart w:id="25" w:name="_Toc138142653"/>
      <w:r>
        <w:t xml:space="preserve">What </w:t>
      </w:r>
      <w:bookmarkStart w:id="26" w:name="_Int_4QxjTyyq"/>
      <w:proofErr w:type="gramStart"/>
      <w:r>
        <w:t>fit-outs</w:t>
      </w:r>
      <w:bookmarkEnd w:id="26"/>
      <w:proofErr w:type="gramEnd"/>
      <w:r>
        <w:t xml:space="preserve"> must be included?</w:t>
      </w:r>
      <w:bookmarkEnd w:id="24"/>
      <w:bookmarkEnd w:id="25"/>
    </w:p>
    <w:p w14:paraId="6FACE6FC" w14:textId="4B7769D3" w:rsidR="00660196" w:rsidRDefault="001C16D5" w:rsidP="00C07DEB">
      <w:r>
        <w:t xml:space="preserve">All </w:t>
      </w:r>
      <w:bookmarkStart w:id="27" w:name="_Int_lGPCTSUq"/>
      <w:proofErr w:type="gramStart"/>
      <w:r>
        <w:t>fit-outs</w:t>
      </w:r>
      <w:bookmarkEnd w:id="27"/>
      <w:proofErr w:type="gramEnd"/>
      <w:r>
        <w:t xml:space="preserve"> conducted must be considered for inclusion in this field, </w:t>
      </w:r>
      <w:r w:rsidR="006214CE">
        <w:t>regardless of how they are delivered. These include fit outs</w:t>
      </w:r>
      <w:r w:rsidR="00C07DEB">
        <w:t xml:space="preserve"> </w:t>
      </w:r>
      <w:r>
        <w:t>conducted by the entity or the landlord before or after the commencement of the original lease for the site.</w:t>
      </w:r>
    </w:p>
    <w:p w14:paraId="2B4912BE" w14:textId="50B6305B" w:rsidR="001C16D5" w:rsidRDefault="001C16D5" w:rsidP="00660196">
      <w:bookmarkStart w:id="28" w:name="_Int_gclnE9Tp"/>
      <w:proofErr w:type="gramStart"/>
      <w:r>
        <w:t>All of</w:t>
      </w:r>
      <w:bookmarkEnd w:id="28"/>
      <w:proofErr w:type="gramEnd"/>
      <w:r>
        <w:t xml:space="preserve"> the following are considered a major fit-out</w:t>
      </w:r>
      <w:r w:rsidR="006214CE">
        <w:t>:</w:t>
      </w:r>
    </w:p>
    <w:p w14:paraId="4672F2AE" w14:textId="286DE658" w:rsidR="001C16D5" w:rsidRDefault="00E911F1" w:rsidP="001C16D5">
      <w:pPr>
        <w:pStyle w:val="ListParagraph"/>
        <w:numPr>
          <w:ilvl w:val="0"/>
          <w:numId w:val="32"/>
        </w:numPr>
      </w:pPr>
      <w:r>
        <w:t>t</w:t>
      </w:r>
      <w:r w:rsidR="001C16D5">
        <w:t xml:space="preserve">he initial fit-out completed by the entity or landlord to support occupancy within the site </w:t>
      </w:r>
      <w:r w:rsidR="00C07DEB">
        <w:t xml:space="preserve">by the entity </w:t>
      </w:r>
      <w:r w:rsidR="001C16D5">
        <w:t xml:space="preserve">– regardless of whether it was for a previous (concurrent) lease or the current </w:t>
      </w:r>
      <w:proofErr w:type="gramStart"/>
      <w:r w:rsidR="001C16D5">
        <w:t>lease</w:t>
      </w:r>
      <w:proofErr w:type="gramEnd"/>
    </w:p>
    <w:p w14:paraId="42D4D3AE" w14:textId="4959F10A" w:rsidR="001C16D5" w:rsidRDefault="001C16D5" w:rsidP="001C16D5">
      <w:pPr>
        <w:pStyle w:val="ListParagraph"/>
        <w:numPr>
          <w:ilvl w:val="0"/>
          <w:numId w:val="32"/>
        </w:numPr>
      </w:pPr>
      <w:r>
        <w:t xml:space="preserve">more than 20 per cent of the tenancy’s existing fit-out was refreshed or </w:t>
      </w:r>
      <w:proofErr w:type="gramStart"/>
      <w:r>
        <w:t>replaced</w:t>
      </w:r>
      <w:proofErr w:type="gramEnd"/>
      <w:r>
        <w:t xml:space="preserve"> </w:t>
      </w:r>
    </w:p>
    <w:p w14:paraId="00E35DEB" w14:textId="2536BCB5" w:rsidR="001C16D5" w:rsidRDefault="001C16D5" w:rsidP="001C16D5">
      <w:pPr>
        <w:pStyle w:val="ListParagraph"/>
        <w:numPr>
          <w:ilvl w:val="0"/>
          <w:numId w:val="32"/>
        </w:numPr>
      </w:pPr>
      <w:r>
        <w:t>the project was of a sufficient value to require notifying or referring to the Public Works Committee (PWC).</w:t>
      </w:r>
    </w:p>
    <w:p w14:paraId="7AC26FB9" w14:textId="3D2BFF85" w:rsidR="00660196" w:rsidRDefault="00660196" w:rsidP="00660196">
      <w:pPr>
        <w:pStyle w:val="Heading3"/>
      </w:pPr>
      <w:bookmarkStart w:id="29" w:name="_Toc103678383"/>
      <w:bookmarkStart w:id="30" w:name="_Toc138142654"/>
      <w:r>
        <w:t>What must be recorded?</w:t>
      </w:r>
      <w:bookmarkEnd w:id="29"/>
      <w:bookmarkEnd w:id="30"/>
    </w:p>
    <w:p w14:paraId="02E5CEDF" w14:textId="75AAA2D1" w:rsidR="00D07D18" w:rsidRDefault="00D07D18" w:rsidP="00660196">
      <w:r>
        <w:t xml:space="preserve">Fit-out is the design and delivery of the interior partitioning, floor, ceiling, mechanical, </w:t>
      </w:r>
      <w:r w:rsidR="45248B9A">
        <w:t>electrical,</w:t>
      </w:r>
      <w:r>
        <w:t xml:space="preserve"> and environmental components to meet the requirements of the building’s occupants. </w:t>
      </w:r>
    </w:p>
    <w:p w14:paraId="311F4893" w14:textId="2E6785CD" w:rsidR="00D07D18" w:rsidRDefault="00D07D18" w:rsidP="00660196">
      <w:r w:rsidRPr="00D07D18">
        <w:t xml:space="preserve">This includes the customising and finishing of the base building (where base building is the raw floor space bounded by walls but not specifically adapted to the requirements of its occupants). This should be recorded at the </w:t>
      </w:r>
      <w:r w:rsidR="00C07DEB">
        <w:t xml:space="preserve">date the </w:t>
      </w:r>
      <w:r w:rsidRPr="00D07D18">
        <w:t>last major fit-out was completed – even where it was prior to the current lease start date.</w:t>
      </w:r>
      <w:r w:rsidRPr="00D07D18" w:rsidDel="00D07D18">
        <w:t xml:space="preserve"> </w:t>
      </w:r>
      <w:r w:rsidR="00C07DEB">
        <w:t xml:space="preserve">All costs for this fit-out must also be reported in the </w:t>
      </w:r>
      <w:r w:rsidR="00C07DEB" w:rsidRPr="00C07DEB">
        <w:rPr>
          <w:i/>
        </w:rPr>
        <w:t>Last Major Fit-out</w:t>
      </w:r>
      <w:r w:rsidR="00C07DEB">
        <w:t xml:space="preserve"> Cost field.</w:t>
      </w:r>
    </w:p>
    <w:p w14:paraId="109E3FB2" w14:textId="7B72A753" w:rsidR="00F63AA1" w:rsidRDefault="00D07D18" w:rsidP="00660196">
      <w:r>
        <w:t xml:space="preserve">Where the fit out was completed in full by a previous tenant, or by the landlord prior to advertising the lease, then no </w:t>
      </w:r>
      <w:r w:rsidR="00C07DEB">
        <w:t xml:space="preserve">date or </w:t>
      </w:r>
      <w:r>
        <w:t>costs should be recorded.</w:t>
      </w:r>
    </w:p>
    <w:p w14:paraId="788A137C" w14:textId="7A7E74C3" w:rsidR="00802756" w:rsidRDefault="00802756" w:rsidP="00802756">
      <w:pPr>
        <w:pStyle w:val="Heading3"/>
      </w:pPr>
      <w:bookmarkStart w:id="31" w:name="_Toc138142655"/>
      <w:r>
        <w:t xml:space="preserve">Legacy </w:t>
      </w:r>
      <w:bookmarkStart w:id="32" w:name="_Int_yHKuVd4P"/>
      <w:proofErr w:type="gramStart"/>
      <w:r>
        <w:t>fit-outs</w:t>
      </w:r>
      <w:bookmarkEnd w:id="32"/>
      <w:bookmarkEnd w:id="31"/>
      <w:proofErr w:type="gramEnd"/>
    </w:p>
    <w:p w14:paraId="60526954" w14:textId="45407D92" w:rsidR="00802756" w:rsidRDefault="001744A9" w:rsidP="00802756">
      <w:r>
        <w:t>Fit-outs must only be recorded as ‘Legacy fit-out’ when</w:t>
      </w:r>
      <w:r w:rsidR="003B78D5">
        <w:t>:</w:t>
      </w:r>
    </w:p>
    <w:p w14:paraId="561E27EC" w14:textId="6477C3C1" w:rsidR="003B78D5" w:rsidRDefault="003B78D5" w:rsidP="003B78D5">
      <w:pPr>
        <w:pStyle w:val="ListParagraph"/>
        <w:numPr>
          <w:ilvl w:val="0"/>
          <w:numId w:val="38"/>
        </w:numPr>
      </w:pPr>
      <w:r>
        <w:t xml:space="preserve">the lease is more than 10 years old </w:t>
      </w:r>
      <w:r w:rsidR="005066C6">
        <w:t xml:space="preserve">as </w:t>
      </w:r>
      <w:bookmarkStart w:id="33" w:name="_Int_TuDrYy6R"/>
      <w:proofErr w:type="gramStart"/>
      <w:r w:rsidR="005066C6">
        <w:t>at</w:t>
      </w:r>
      <w:bookmarkEnd w:id="33"/>
      <w:proofErr w:type="gramEnd"/>
      <w:r w:rsidR="005066C6">
        <w:t xml:space="preserve"> 30 June</w:t>
      </w:r>
      <w:r>
        <w:t>; and</w:t>
      </w:r>
    </w:p>
    <w:p w14:paraId="37C5A8E6" w14:textId="2D40B258" w:rsidR="003B78D5" w:rsidRDefault="00F4313A" w:rsidP="003B78D5">
      <w:pPr>
        <w:pStyle w:val="ListParagraph"/>
        <w:numPr>
          <w:ilvl w:val="0"/>
          <w:numId w:val="38"/>
        </w:numPr>
      </w:pPr>
      <w:r>
        <w:t xml:space="preserve">all or some </w:t>
      </w:r>
      <w:r w:rsidR="005066C6">
        <w:t xml:space="preserve">details of the last major fit-out cannot be </w:t>
      </w:r>
      <w:proofErr w:type="gramStart"/>
      <w:r w:rsidR="005066C6">
        <w:t>located</w:t>
      </w:r>
      <w:proofErr w:type="gramEnd"/>
    </w:p>
    <w:p w14:paraId="2606AB91" w14:textId="195439E1" w:rsidR="00F4313A" w:rsidRDefault="00F4313A" w:rsidP="00F4313A">
      <w:r>
        <w:t xml:space="preserve">If partial details can be located for the fit-out, </w:t>
      </w:r>
      <w:r w:rsidR="0044379B">
        <w:t>for example date but not cost, the available information must be entered into the AGPR.</w:t>
      </w:r>
    </w:p>
    <w:p w14:paraId="4F3D2708" w14:textId="5172AFAF" w:rsidR="007E43E3" w:rsidRPr="007E43E3" w:rsidRDefault="007E43E3" w:rsidP="00F4313A">
      <w:r>
        <w:t xml:space="preserve">‘Legacy fit-out’ must </w:t>
      </w:r>
      <w:r w:rsidRPr="005A2AB2">
        <w:rPr>
          <w:u w:val="single"/>
        </w:rPr>
        <w:t>never</w:t>
      </w:r>
      <w:r>
        <w:t xml:space="preserve"> be used as a placeholder</w:t>
      </w:r>
      <w:r w:rsidR="005A2AB2">
        <w:t xml:space="preserve"> value.</w:t>
      </w:r>
    </w:p>
    <w:p w14:paraId="70978E55" w14:textId="77777777" w:rsidR="00E67EFE" w:rsidRDefault="00E67EFE">
      <w:pPr>
        <w:suppressAutoHyphens w:val="0"/>
        <w:spacing w:before="0" w:after="120" w:line="440" w:lineRule="atLeast"/>
        <w:rPr>
          <w:rFonts w:asciiTheme="majorHAnsi" w:eastAsiaTheme="majorEastAsia" w:hAnsiTheme="majorHAnsi" w:cstheme="majorBidi"/>
          <w:color w:val="1C1C1C" w:themeColor="text2"/>
          <w:sz w:val="34"/>
          <w:szCs w:val="26"/>
        </w:rPr>
      </w:pPr>
      <w:bookmarkStart w:id="34" w:name="_Toc103678384"/>
      <w:bookmarkStart w:id="35" w:name="_Toc138142656"/>
      <w:r>
        <w:br w:type="page"/>
      </w:r>
    </w:p>
    <w:p w14:paraId="7152B7C0" w14:textId="013F3316" w:rsidR="00D80D31" w:rsidRDefault="00D07D18" w:rsidP="00660196">
      <w:pPr>
        <w:pStyle w:val="Heading2"/>
      </w:pPr>
      <w:r>
        <w:lastRenderedPageBreak/>
        <w:t>Non office areas (including non-office area L, Shopfronts)</w:t>
      </w:r>
      <w:r w:rsidR="00660196">
        <w:t>: reporting work</w:t>
      </w:r>
      <w:r w:rsidR="3F1F90CB">
        <w:t>-</w:t>
      </w:r>
      <w:r w:rsidR="00660196">
        <w:t xml:space="preserve">points and </w:t>
      </w:r>
      <w:proofErr w:type="gramStart"/>
      <w:r w:rsidR="00660196">
        <w:t>staff</w:t>
      </w:r>
      <w:bookmarkEnd w:id="34"/>
      <w:bookmarkEnd w:id="35"/>
      <w:proofErr w:type="gramEnd"/>
    </w:p>
    <w:p w14:paraId="432CF999" w14:textId="43BD3061" w:rsidR="002F1D32" w:rsidRDefault="002F1D32" w:rsidP="00C07DEB">
      <w:r>
        <w:t>Work</w:t>
      </w:r>
      <w:r w:rsidR="37F86A3C">
        <w:t>-</w:t>
      </w:r>
      <w:r>
        <w:t>points within non-office areas must not be counted or reported as work</w:t>
      </w:r>
      <w:r w:rsidR="48689239">
        <w:t>-</w:t>
      </w:r>
      <w:r>
        <w:t>points for the tenancy.</w:t>
      </w:r>
      <w:r w:rsidR="00986E87">
        <w:t xml:space="preserve"> This means any desk within the </w:t>
      </w:r>
      <w:r w:rsidR="00D07D18">
        <w:t>space marked as a non</w:t>
      </w:r>
      <w:r w:rsidR="005B3319">
        <w:t>-</w:t>
      </w:r>
      <w:r w:rsidR="00D07D18">
        <w:t xml:space="preserve">office area </w:t>
      </w:r>
      <w:r w:rsidR="00986E87">
        <w:t xml:space="preserve">must be </w:t>
      </w:r>
      <w:r w:rsidR="00986E87" w:rsidRPr="01584286">
        <w:rPr>
          <w:u w:val="single"/>
        </w:rPr>
        <w:t>excluded</w:t>
      </w:r>
      <w:r w:rsidR="00986E87">
        <w:t xml:space="preserve"> from the count of work-points for the tenancy.</w:t>
      </w:r>
    </w:p>
    <w:p w14:paraId="7666B0DD" w14:textId="42912F3F" w:rsidR="00D07D18" w:rsidRDefault="002F1D32" w:rsidP="00C07DEB">
      <w:r>
        <w:t xml:space="preserve">All staff assigned to work </w:t>
      </w:r>
      <w:r w:rsidR="00986E87">
        <w:t>at</w:t>
      </w:r>
      <w:r>
        <w:t xml:space="preserve"> the tenancy</w:t>
      </w:r>
      <w:r w:rsidR="005B3319">
        <w:t xml:space="preserve"> (employed or contracted by the entity)</w:t>
      </w:r>
      <w:r>
        <w:t xml:space="preserve"> must be reported </w:t>
      </w:r>
      <w:r w:rsidR="00986E87">
        <w:t xml:space="preserve">for the tenancy, including those </w:t>
      </w:r>
      <w:bookmarkStart w:id="36" w:name="_Int_uV1V7JPR"/>
      <w:r w:rsidR="00986E87">
        <w:t>that predominantly</w:t>
      </w:r>
      <w:bookmarkEnd w:id="36"/>
      <w:r w:rsidR="00986E87">
        <w:t xml:space="preserve"> (or solely) work in the </w:t>
      </w:r>
      <w:r w:rsidR="00D07D18">
        <w:t>non</w:t>
      </w:r>
      <w:r w:rsidR="005B3319">
        <w:t>-</w:t>
      </w:r>
      <w:r w:rsidR="00D07D18">
        <w:t>office area</w:t>
      </w:r>
      <w:r w:rsidR="2FC628A1">
        <w:t xml:space="preserve">. </w:t>
      </w:r>
    </w:p>
    <w:p w14:paraId="4FCD1144" w14:textId="5BA0FB16" w:rsidR="002C2444" w:rsidRDefault="00660196" w:rsidP="00660196">
      <w:pPr>
        <w:pStyle w:val="Heading2"/>
      </w:pPr>
      <w:bookmarkStart w:id="37" w:name="_Toc103678385"/>
      <w:bookmarkStart w:id="38" w:name="_Toc138142657"/>
      <w:r w:rsidRPr="00660196">
        <w:t>Reporting Net Lettable Area (NLA) for tenancies with a land component</w:t>
      </w:r>
      <w:bookmarkEnd w:id="37"/>
      <w:bookmarkEnd w:id="38"/>
    </w:p>
    <w:p w14:paraId="176C2E8C" w14:textId="6701FB8C" w:rsidR="00C72414" w:rsidRDefault="00D07D18" w:rsidP="00986E87">
      <w:r>
        <w:t>R</w:t>
      </w:r>
      <w:r w:rsidR="00986E87">
        <w:t>eporting in the Office Data Collection should focus on building NLA</w:t>
      </w:r>
      <w:r>
        <w:t xml:space="preserve">. </w:t>
      </w:r>
    </w:p>
    <w:p w14:paraId="5CC1321F" w14:textId="1A6FFD0D" w:rsidR="00C72414" w:rsidRDefault="00C72414" w:rsidP="00C72414">
      <w:r>
        <w:t xml:space="preserve">The NLA of a building is the sum of its whole floor lettable areas. The whole floor net lettable area is calculated by taking measurements from the internal finished surfaces of permanent internal walls and the internal finished surfaces of dominant portions of the permanent outer </w:t>
      </w:r>
      <w:bookmarkStart w:id="39" w:name="_Int_X5uhvOgX"/>
      <w:proofErr w:type="gramStart"/>
      <w:r>
        <w:t>buildings</w:t>
      </w:r>
      <w:bookmarkEnd w:id="39"/>
      <w:proofErr w:type="gramEnd"/>
      <w:r>
        <w:t xml:space="preserve"> walls. </w:t>
      </w:r>
    </w:p>
    <w:p w14:paraId="5093C8BA" w14:textId="2F566A42" w:rsidR="00C72414" w:rsidRDefault="00C72414">
      <w:r>
        <w:t xml:space="preserve">Balconies, terraces, planter boxes, </w:t>
      </w:r>
      <w:bookmarkStart w:id="40" w:name="_Int_dvVUmqmN"/>
      <w:proofErr w:type="spellStart"/>
      <w:r>
        <w:t>verandahs</w:t>
      </w:r>
      <w:bookmarkEnd w:id="40"/>
      <w:proofErr w:type="spellEnd"/>
      <w:r>
        <w:t xml:space="preserve">, awnings and covered areas and grounds surrounding a </w:t>
      </w:r>
      <w:r w:rsidR="24D899C8">
        <w:t>building</w:t>
      </w:r>
      <w:r>
        <w:t xml:space="preserve"> should be excluded from tenancy area calculations but may be separately identified for negotiating rentals. </w:t>
      </w:r>
    </w:p>
    <w:p w14:paraId="5F41FBF8" w14:textId="3FE318AB" w:rsidR="005B3319" w:rsidRDefault="005B3319">
      <w:r>
        <w:t xml:space="preserve">Where assessing adjustments to NLA for the above, consideration also needs to be given to </w:t>
      </w:r>
      <w:r w:rsidR="00C07DEB">
        <w:t xml:space="preserve">rent adjustments </w:t>
      </w:r>
      <w:r>
        <w:t>as only rent for reportable NLA should be recorded in the AGPR.</w:t>
      </w:r>
    </w:p>
    <w:p w14:paraId="21714FD6" w14:textId="253FE357" w:rsidR="00660196" w:rsidRDefault="00660196" w:rsidP="00660196">
      <w:pPr>
        <w:pStyle w:val="Heading3"/>
      </w:pPr>
      <w:bookmarkStart w:id="41" w:name="_Toc103678386"/>
      <w:bookmarkStart w:id="42" w:name="_Toc138142658"/>
      <w:r>
        <w:t>Car parking</w:t>
      </w:r>
      <w:bookmarkEnd w:id="41"/>
      <w:bookmarkEnd w:id="42"/>
    </w:p>
    <w:p w14:paraId="50BEA997" w14:textId="1A80E1C1" w:rsidR="00660196" w:rsidRDefault="00986E87" w:rsidP="00660196">
      <w:r>
        <w:t xml:space="preserve">Leased areas used for car-parking, whether </w:t>
      </w:r>
      <w:r w:rsidR="00100702">
        <w:t xml:space="preserve">they </w:t>
      </w:r>
      <w:r>
        <w:t xml:space="preserve">be within the building structure or outside, must </w:t>
      </w:r>
      <w:r w:rsidR="005B3319" w:rsidRPr="00387F34">
        <w:rPr>
          <w:b/>
          <w:bCs/>
          <w:u w:val="single"/>
        </w:rPr>
        <w:t>not</w:t>
      </w:r>
      <w:r w:rsidR="005B3319">
        <w:t xml:space="preserve"> </w:t>
      </w:r>
      <w:r>
        <w:t>be recorded in</w:t>
      </w:r>
      <w:r w:rsidR="00E911F1">
        <w:t xml:space="preserve"> either</w:t>
      </w:r>
      <w:r>
        <w:t xml:space="preserve"> the NLA </w:t>
      </w:r>
      <w:r w:rsidR="005B3319">
        <w:t>or</w:t>
      </w:r>
      <w:r>
        <w:t xml:space="preserve"> within the </w:t>
      </w:r>
      <w:r w:rsidRPr="01584286">
        <w:rPr>
          <w:i/>
          <w:iCs/>
        </w:rPr>
        <w:t>Non-Office Area C – Basement or Inadequate Amenity</w:t>
      </w:r>
      <w:r>
        <w:t xml:space="preserve"> field.</w:t>
      </w:r>
    </w:p>
    <w:p w14:paraId="017D333B" w14:textId="77777777" w:rsidR="00E67EFE" w:rsidRDefault="00E67EFE">
      <w:pPr>
        <w:suppressAutoHyphens w:val="0"/>
        <w:spacing w:before="0" w:after="120" w:line="440" w:lineRule="atLeast"/>
        <w:rPr>
          <w:rFonts w:asciiTheme="majorHAnsi" w:eastAsiaTheme="majorEastAsia" w:hAnsiTheme="majorHAnsi" w:cstheme="majorBidi"/>
          <w:color w:val="1C1C1C" w:themeColor="text2"/>
          <w:sz w:val="34"/>
          <w:szCs w:val="26"/>
        </w:rPr>
      </w:pPr>
      <w:bookmarkStart w:id="43" w:name="_Toc103678387"/>
      <w:bookmarkStart w:id="44" w:name="_Toc138142659"/>
      <w:r>
        <w:br w:type="page"/>
      </w:r>
    </w:p>
    <w:p w14:paraId="10A44FE1" w14:textId="013C4DB1" w:rsidR="002C2444" w:rsidRDefault="00660196" w:rsidP="00660196">
      <w:pPr>
        <w:pStyle w:val="Heading2"/>
      </w:pPr>
      <w:r w:rsidRPr="00660196">
        <w:lastRenderedPageBreak/>
        <w:t>Holdover leases</w:t>
      </w:r>
      <w:bookmarkEnd w:id="43"/>
      <w:bookmarkEnd w:id="44"/>
    </w:p>
    <w:p w14:paraId="0B1D1463" w14:textId="5B6327C2" w:rsidR="002C2444" w:rsidRDefault="005258E3" w:rsidP="00660196">
      <w:r>
        <w:t>Leases that have passed their end date but not been divested or vacated on the reporting date still need to be reported in the AGPR.</w:t>
      </w:r>
    </w:p>
    <w:p w14:paraId="05F91BE4" w14:textId="55322966" w:rsidR="005258E3" w:rsidRPr="00283554" w:rsidRDefault="005258E3" w:rsidP="00660196">
      <w:r>
        <w:t xml:space="preserve">Where negotiations are </w:t>
      </w:r>
      <w:r w:rsidR="005C2442">
        <w:t xml:space="preserve">planned or </w:t>
      </w:r>
      <w:r>
        <w:t xml:space="preserve">underway for an extension (option) for the lease then the </w:t>
      </w:r>
      <w:r w:rsidR="00580F58" w:rsidRPr="01584286">
        <w:rPr>
          <w:i/>
          <w:iCs/>
        </w:rPr>
        <w:t xml:space="preserve">lease </w:t>
      </w:r>
      <w:r w:rsidRPr="01584286">
        <w:rPr>
          <w:i/>
          <w:iCs/>
        </w:rPr>
        <w:t>status</w:t>
      </w:r>
      <w:r>
        <w:t xml:space="preserve"> in the AGPR should be recorded as ‘</w:t>
      </w:r>
      <w:r w:rsidR="00580F58">
        <w:t>H</w:t>
      </w:r>
      <w:r>
        <w:t>oldover’ with an end date no later than one month beyond the collection date (</w:t>
      </w:r>
      <w:r w:rsidR="0A41FBF2">
        <w:t>e.g.,</w:t>
      </w:r>
      <w:r>
        <w:t xml:space="preserve"> 31 July).</w:t>
      </w:r>
    </w:p>
    <w:p w14:paraId="3B9475B6" w14:textId="5A1C750E" w:rsidR="00100702" w:rsidRDefault="005258E3" w:rsidP="00660196">
      <w:r>
        <w:t>Similarly, if a lease has</w:t>
      </w:r>
      <w:r w:rsidR="00467CAA">
        <w:t xml:space="preserve"> expired but is </w:t>
      </w:r>
      <w:bookmarkStart w:id="45" w:name="_Int_Ao1W68wQ"/>
      <w:proofErr w:type="gramStart"/>
      <w:r w:rsidR="00467CAA">
        <w:t>continuing on</w:t>
      </w:r>
      <w:bookmarkEnd w:id="45"/>
      <w:proofErr w:type="gramEnd"/>
      <w:r w:rsidR="00467CAA">
        <w:t xml:space="preserve"> a </w:t>
      </w:r>
      <w:r w:rsidR="00100702">
        <w:t>rolling</w:t>
      </w:r>
      <w:r w:rsidR="00467CAA">
        <w:t xml:space="preserve"> basis without </w:t>
      </w:r>
      <w:bookmarkStart w:id="46" w:name="_Int_SvgVimGz"/>
      <w:r w:rsidR="00467CAA">
        <w:t>new terms</w:t>
      </w:r>
      <w:bookmarkEnd w:id="46"/>
      <w:r w:rsidR="00467CAA">
        <w:t xml:space="preserve"> being agreed,</w:t>
      </w:r>
      <w:r>
        <w:t xml:space="preserve"> then </w:t>
      </w:r>
      <w:r w:rsidR="00580F58">
        <w:t xml:space="preserve">it must also be recorded with a </w:t>
      </w:r>
      <w:r w:rsidR="00580F58" w:rsidRPr="01584286">
        <w:rPr>
          <w:i/>
          <w:iCs/>
        </w:rPr>
        <w:t>lease status</w:t>
      </w:r>
      <w:r w:rsidR="00580F58">
        <w:t xml:space="preserve"> of ‘Holdover</w:t>
      </w:r>
      <w:r w:rsidR="25AD72F9">
        <w:t>,’</w:t>
      </w:r>
      <w:r w:rsidR="00E911F1">
        <w:t xml:space="preserve"> with an end date </w:t>
      </w:r>
      <w:r w:rsidR="007D4E29">
        <w:t xml:space="preserve">reflecting the terms of the holdover clauses in the lease. </w:t>
      </w:r>
      <w:r w:rsidR="00100702">
        <w:t>This is likely to be a monthly period, as recommended in the Commonwealth National Lease</w:t>
      </w:r>
      <w:r w:rsidR="00580F58">
        <w:t>.</w:t>
      </w:r>
      <w:r w:rsidR="00283554">
        <w:t xml:space="preserve"> </w:t>
      </w:r>
      <w:r w:rsidR="007D4E29">
        <w:t xml:space="preserve">For more information on this, see </w:t>
      </w:r>
      <w:hyperlink r:id="rId15">
        <w:r w:rsidR="007D4E29" w:rsidRPr="01584286">
          <w:rPr>
            <w:rStyle w:val="Hyperlink"/>
            <w:rFonts w:cstheme="minorBidi"/>
          </w:rPr>
          <w:t>https://www.finance.gov.au/sites/default/files/2021-08/cnl-user-guide.pdf</w:t>
        </w:r>
      </w:hyperlink>
      <w:r w:rsidR="007D4E29">
        <w:t>, p.</w:t>
      </w:r>
      <w:proofErr w:type="gramStart"/>
      <w:r w:rsidR="007D4E29">
        <w:t>15</w:t>
      </w:r>
      <w:proofErr w:type="gramEnd"/>
    </w:p>
    <w:p w14:paraId="48E56FD7" w14:textId="160062A1" w:rsidR="00CC3BEC" w:rsidRDefault="00100702" w:rsidP="00660196">
      <w:r>
        <w:t>Where a lease has entered a holdover period,</w:t>
      </w:r>
      <w:r w:rsidR="00283554">
        <w:t xml:space="preserve"> consideration should be given to the ongoing ‘holdover’ rental rates for the tenancy with respect to current market conditions to determine whether this arrangement provides </w:t>
      </w:r>
      <w:bookmarkStart w:id="47" w:name="_Int_5tf41cs4"/>
      <w:r w:rsidR="00283554">
        <w:t>good value</w:t>
      </w:r>
      <w:bookmarkEnd w:id="47"/>
      <w:r w:rsidR="00283554">
        <w:t xml:space="preserve"> for money for the entity and the Commonwealth.</w:t>
      </w:r>
    </w:p>
    <w:p w14:paraId="27D47D7A" w14:textId="67450139" w:rsidR="000A3395" w:rsidRDefault="00944970" w:rsidP="000A3395">
      <w:pPr>
        <w:pStyle w:val="Heading2"/>
      </w:pPr>
      <w:bookmarkStart w:id="48" w:name="_Toc138142660"/>
      <w:r>
        <w:t>Multiple leases in same building</w:t>
      </w:r>
      <w:bookmarkEnd w:id="48"/>
    </w:p>
    <w:p w14:paraId="5D4CCA3C" w14:textId="0FD7409D" w:rsidR="00944970" w:rsidRDefault="00944970" w:rsidP="00944970">
      <w:r>
        <w:t xml:space="preserve">Where there are multiple leases within a single building for the same entity, </w:t>
      </w:r>
      <w:r w:rsidR="00CE4A4A">
        <w:t xml:space="preserve">there may be some </w:t>
      </w:r>
      <w:r w:rsidR="00064924">
        <w:t>modifications</w:t>
      </w:r>
      <w:r w:rsidR="00CE4A4A">
        <w:t xml:space="preserve"> to reporting rules.</w:t>
      </w:r>
    </w:p>
    <w:p w14:paraId="28FE1E7E" w14:textId="1CBD86F5" w:rsidR="008E6D0C" w:rsidRDefault="00CB19A8" w:rsidP="00944970">
      <w:r>
        <w:t>The</w:t>
      </w:r>
      <w:r w:rsidR="007105C1">
        <w:t xml:space="preserve"> AGPR must reflect </w:t>
      </w:r>
      <w:r w:rsidR="002617EB">
        <w:t>a separate record for each lease agreement (including subleases and MOUs)</w:t>
      </w:r>
      <w:r w:rsidR="00E22DAE">
        <w:t>, regardless of payment or staffing arrangements.</w:t>
      </w:r>
    </w:p>
    <w:p w14:paraId="70A11298" w14:textId="35BEAD63" w:rsidR="00CE4A4A" w:rsidRDefault="00CE4A4A" w:rsidP="00CE4A4A">
      <w:pPr>
        <w:pStyle w:val="Heading3"/>
      </w:pPr>
      <w:bookmarkStart w:id="49" w:name="_Toc138142661"/>
      <w:r>
        <w:t>Work</w:t>
      </w:r>
      <w:r w:rsidR="4A54C643">
        <w:t>-</w:t>
      </w:r>
      <w:r>
        <w:t>points</w:t>
      </w:r>
      <w:bookmarkEnd w:id="49"/>
    </w:p>
    <w:p w14:paraId="0AEB1F66" w14:textId="1E5785EE" w:rsidR="00CE4A4A" w:rsidRDefault="00737A7B" w:rsidP="00CE4A4A">
      <w:r>
        <w:t>Work</w:t>
      </w:r>
      <w:r w:rsidR="0F3479FC">
        <w:t>-</w:t>
      </w:r>
      <w:r>
        <w:t>points must be assigned to the record where they are physically located.</w:t>
      </w:r>
      <w:r w:rsidR="00F325B0">
        <w:t xml:space="preserve"> </w:t>
      </w:r>
      <w:r w:rsidR="007012E3">
        <w:t>See the above sections for guidance on work</w:t>
      </w:r>
      <w:r w:rsidR="07C798F2">
        <w:t>-</w:t>
      </w:r>
      <w:r w:rsidR="007012E3">
        <w:t>points in subleased and non-office areas.</w:t>
      </w:r>
    </w:p>
    <w:p w14:paraId="4ABDDCF6" w14:textId="77777777" w:rsidR="00E67EFE" w:rsidRDefault="00E67EFE">
      <w:pPr>
        <w:suppressAutoHyphens w:val="0"/>
        <w:spacing w:before="0" w:after="120" w:line="440" w:lineRule="atLeast"/>
        <w:rPr>
          <w:rFonts w:asciiTheme="majorHAnsi" w:eastAsiaTheme="majorEastAsia" w:hAnsiTheme="majorHAnsi" w:cstheme="majorBidi"/>
          <w:bCs/>
          <w:color w:val="1C1C1C" w:themeColor="text2"/>
          <w:sz w:val="30"/>
          <w:szCs w:val="26"/>
        </w:rPr>
      </w:pPr>
      <w:bookmarkStart w:id="50" w:name="_Toc138142662"/>
      <w:r>
        <w:br w:type="page"/>
      </w:r>
    </w:p>
    <w:p w14:paraId="50864966" w14:textId="3B230D31" w:rsidR="007012E3" w:rsidRDefault="00272573" w:rsidP="00272573">
      <w:pPr>
        <w:pStyle w:val="Heading3"/>
      </w:pPr>
      <w:r>
        <w:lastRenderedPageBreak/>
        <w:t>Staff</w:t>
      </w:r>
      <w:r w:rsidR="001E5983">
        <w:t xml:space="preserve"> Allocated to Lease</w:t>
      </w:r>
      <w:bookmarkEnd w:id="50"/>
    </w:p>
    <w:p w14:paraId="63B2A30F" w14:textId="5981E2A0" w:rsidR="00CC0427" w:rsidRPr="00CC0427" w:rsidRDefault="00526CEF" w:rsidP="00CC0427">
      <w:r>
        <w:t xml:space="preserve">Each individual staff member must only be reported against one lease. The following table shows </w:t>
      </w:r>
      <w:r w:rsidR="00AE54CE">
        <w:t xml:space="preserve">how to report staff where multiple leases </w:t>
      </w:r>
      <w:r w:rsidR="00C62536">
        <w:t>are held by the same entity in one building.</w:t>
      </w:r>
    </w:p>
    <w:tbl>
      <w:tblPr>
        <w:tblStyle w:val="TableGrid"/>
        <w:tblW w:w="0" w:type="auto"/>
        <w:tblInd w:w="720" w:type="dxa"/>
        <w:tblLook w:val="04A0" w:firstRow="1" w:lastRow="0" w:firstColumn="1" w:lastColumn="0" w:noHBand="0" w:noVBand="1"/>
      </w:tblPr>
      <w:tblGrid>
        <w:gridCol w:w="2780"/>
        <w:gridCol w:w="2780"/>
        <w:gridCol w:w="2780"/>
      </w:tblGrid>
      <w:tr w:rsidR="00272573" w14:paraId="22C4BA86" w14:textId="77777777" w:rsidTr="01584286">
        <w:tc>
          <w:tcPr>
            <w:tcW w:w="2780" w:type="dxa"/>
            <w:shd w:val="clear" w:color="auto" w:fill="000000" w:themeFill="text1"/>
          </w:tcPr>
          <w:p w14:paraId="0676D3A3" w14:textId="77777777" w:rsidR="00272573" w:rsidRPr="009960F9" w:rsidRDefault="00272573" w:rsidP="00632899">
            <w:pPr>
              <w:pStyle w:val="TableText"/>
              <w:rPr>
                <w:b/>
                <w:color w:val="FFFFFF" w:themeColor="background1"/>
              </w:rPr>
            </w:pPr>
            <w:r w:rsidRPr="009960F9">
              <w:rPr>
                <w:b/>
                <w:color w:val="FFFFFF" w:themeColor="background1"/>
              </w:rPr>
              <w:t>Scenario</w:t>
            </w:r>
          </w:p>
        </w:tc>
        <w:tc>
          <w:tcPr>
            <w:tcW w:w="2780" w:type="dxa"/>
            <w:shd w:val="clear" w:color="auto" w:fill="000000" w:themeFill="text1"/>
          </w:tcPr>
          <w:p w14:paraId="17A1CCB7" w14:textId="77777777" w:rsidR="00272573" w:rsidRPr="009960F9" w:rsidRDefault="00272573" w:rsidP="00632899">
            <w:pPr>
              <w:pStyle w:val="TableText"/>
              <w:rPr>
                <w:b/>
                <w:color w:val="FFFFFF" w:themeColor="background1"/>
              </w:rPr>
            </w:pPr>
            <w:r w:rsidRPr="009960F9">
              <w:rPr>
                <w:b/>
                <w:color w:val="FFFFFF" w:themeColor="background1"/>
              </w:rPr>
              <w:t>Description</w:t>
            </w:r>
          </w:p>
        </w:tc>
        <w:tc>
          <w:tcPr>
            <w:tcW w:w="2780" w:type="dxa"/>
            <w:shd w:val="clear" w:color="auto" w:fill="000000" w:themeFill="text1"/>
          </w:tcPr>
          <w:p w14:paraId="35373A4F" w14:textId="038568EB" w:rsidR="00272573" w:rsidRPr="009960F9" w:rsidRDefault="00272573" w:rsidP="01584286">
            <w:pPr>
              <w:pStyle w:val="TableText"/>
              <w:rPr>
                <w:b/>
                <w:bCs/>
                <w:color w:val="FFFFFF" w:themeColor="background1"/>
              </w:rPr>
            </w:pPr>
            <w:r w:rsidRPr="01584286">
              <w:rPr>
                <w:b/>
                <w:bCs/>
                <w:color w:val="FFFFFF" w:themeColor="background1"/>
              </w:rPr>
              <w:t>Work</w:t>
            </w:r>
            <w:r w:rsidR="4C34AC61" w:rsidRPr="01584286">
              <w:rPr>
                <w:b/>
                <w:bCs/>
                <w:color w:val="FFFFFF" w:themeColor="background1"/>
              </w:rPr>
              <w:t>-</w:t>
            </w:r>
            <w:r w:rsidRPr="01584286">
              <w:rPr>
                <w:b/>
                <w:bCs/>
                <w:color w:val="FFFFFF" w:themeColor="background1"/>
              </w:rPr>
              <w:t>point Treatment</w:t>
            </w:r>
          </w:p>
        </w:tc>
      </w:tr>
      <w:tr w:rsidR="00272573" w14:paraId="69FC438D" w14:textId="77777777" w:rsidTr="01584286">
        <w:tc>
          <w:tcPr>
            <w:tcW w:w="2780" w:type="dxa"/>
          </w:tcPr>
          <w:p w14:paraId="703467A4" w14:textId="7205ADCD" w:rsidR="00272573" w:rsidRDefault="004417EF" w:rsidP="00632899">
            <w:pPr>
              <w:pStyle w:val="TableText"/>
            </w:pPr>
            <w:r>
              <w:rPr>
                <w:b/>
              </w:rPr>
              <w:t>Distinct staff allocation</w:t>
            </w:r>
          </w:p>
        </w:tc>
        <w:tc>
          <w:tcPr>
            <w:tcW w:w="2780" w:type="dxa"/>
          </w:tcPr>
          <w:p w14:paraId="2578EAED" w14:textId="21EFA3D0" w:rsidR="00272573" w:rsidRDefault="003907BC" w:rsidP="00632899">
            <w:pPr>
              <w:pStyle w:val="TableText"/>
            </w:pPr>
            <w:r>
              <w:t>Staff are assigned to a particular work area</w:t>
            </w:r>
            <w:r w:rsidR="00453FA2">
              <w:t xml:space="preserve"> within the building</w:t>
            </w:r>
          </w:p>
        </w:tc>
        <w:tc>
          <w:tcPr>
            <w:tcW w:w="2780" w:type="dxa"/>
          </w:tcPr>
          <w:p w14:paraId="2AD952C0" w14:textId="2D5976D4" w:rsidR="00272573" w:rsidRDefault="00453FA2" w:rsidP="00632899">
            <w:pPr>
              <w:pStyle w:val="TableText"/>
            </w:pPr>
            <w:r>
              <w:t xml:space="preserve">Staff are </w:t>
            </w:r>
            <w:r w:rsidR="007D6C80">
              <w:t>reported in</w:t>
            </w:r>
            <w:r>
              <w:t xml:space="preserve"> the lease where they are assigned</w:t>
            </w:r>
            <w:r w:rsidR="000719AE">
              <w:t xml:space="preserve"> to </w:t>
            </w:r>
            <w:proofErr w:type="gramStart"/>
            <w:r w:rsidR="000719AE">
              <w:t>work</w:t>
            </w:r>
            <w:proofErr w:type="gramEnd"/>
          </w:p>
          <w:p w14:paraId="6E48629E" w14:textId="77777777" w:rsidR="00272573" w:rsidRDefault="00272573" w:rsidP="00632899">
            <w:pPr>
              <w:pStyle w:val="TableText"/>
            </w:pPr>
          </w:p>
        </w:tc>
      </w:tr>
      <w:tr w:rsidR="00272573" w14:paraId="75B89BC6" w14:textId="77777777" w:rsidTr="01584286">
        <w:tc>
          <w:tcPr>
            <w:tcW w:w="2780" w:type="dxa"/>
          </w:tcPr>
          <w:p w14:paraId="0DB877AE" w14:textId="5E2372C5" w:rsidR="00272573" w:rsidRPr="009960F9" w:rsidRDefault="00E94B55" w:rsidP="00632899">
            <w:pPr>
              <w:pStyle w:val="TableText"/>
              <w:rPr>
                <w:b/>
              </w:rPr>
            </w:pPr>
            <w:r>
              <w:rPr>
                <w:b/>
              </w:rPr>
              <w:t>Shared staff allocation</w:t>
            </w:r>
          </w:p>
        </w:tc>
        <w:tc>
          <w:tcPr>
            <w:tcW w:w="2780" w:type="dxa"/>
          </w:tcPr>
          <w:p w14:paraId="78D4008F" w14:textId="30F19EE8" w:rsidR="00272573" w:rsidRDefault="00450B20" w:rsidP="00632899">
            <w:pPr>
              <w:pStyle w:val="TableText"/>
            </w:pPr>
            <w:r>
              <w:t xml:space="preserve">Staff </w:t>
            </w:r>
            <w:r w:rsidR="00B84D37">
              <w:t xml:space="preserve">move between leased areas </w:t>
            </w:r>
            <w:r w:rsidR="0084477C">
              <w:t>in</w:t>
            </w:r>
            <w:r w:rsidR="00B84D37">
              <w:t xml:space="preserve"> the building </w:t>
            </w:r>
            <w:r w:rsidR="00A76F2F">
              <w:t>interchangeably for work purposes</w:t>
            </w:r>
            <w:r w:rsidR="00272573" w:rsidRPr="009960F9">
              <w:t xml:space="preserve">  </w:t>
            </w:r>
          </w:p>
        </w:tc>
        <w:tc>
          <w:tcPr>
            <w:tcW w:w="2780" w:type="dxa"/>
          </w:tcPr>
          <w:p w14:paraId="6044CFBF" w14:textId="414D8E54" w:rsidR="00C23394" w:rsidRDefault="00C23394" w:rsidP="00C23394">
            <w:pPr>
              <w:pStyle w:val="TableText"/>
            </w:pPr>
            <w:r>
              <w:t xml:space="preserve">Split the </w:t>
            </w:r>
            <w:r w:rsidR="005E0FDA">
              <w:t xml:space="preserve">count of total individual </w:t>
            </w:r>
            <w:r>
              <w:t>staff between leases based on net lettable area.</w:t>
            </w:r>
            <w:r w:rsidR="005C0074">
              <w:t xml:space="preserve"> Round to the nearest whole number.</w:t>
            </w:r>
          </w:p>
          <w:p w14:paraId="7826708C" w14:textId="20B65ECD" w:rsidR="002A5CCA" w:rsidRPr="002C77E2" w:rsidRDefault="00C23394" w:rsidP="00C23394">
            <w:pPr>
              <w:pStyle w:val="TableText"/>
            </w:pPr>
            <w:r>
              <w:t>(If Lease 1 = 40% of total NLA for the building, report 40% of staff against this lease.)</w:t>
            </w:r>
          </w:p>
        </w:tc>
      </w:tr>
    </w:tbl>
    <w:p w14:paraId="696D99EE" w14:textId="7FBB6F36" w:rsidR="00272573" w:rsidRDefault="00040017" w:rsidP="00C62536">
      <w:pPr>
        <w:pStyle w:val="Heading3"/>
      </w:pPr>
      <w:bookmarkStart w:id="51" w:name="_Toc138142663"/>
      <w:r>
        <w:t>Rent</w:t>
      </w:r>
      <w:r w:rsidR="00645DCF">
        <w:t xml:space="preserve">, </w:t>
      </w:r>
      <w:r>
        <w:t>outgoings</w:t>
      </w:r>
      <w:r w:rsidR="00645DCF">
        <w:t xml:space="preserve"> and fit-out costs</w:t>
      </w:r>
      <w:bookmarkEnd w:id="51"/>
    </w:p>
    <w:p w14:paraId="2568E7F3" w14:textId="2841B2D2" w:rsidR="00947AA3" w:rsidRDefault="00947AA3" w:rsidP="00A70490">
      <w:r>
        <w:t xml:space="preserve">Rent, outgoings and fit-out costs </w:t>
      </w:r>
      <w:r w:rsidR="008D0C64">
        <w:t xml:space="preserve">may at times be combined for multiple leases within a single building. See the below table for guidance on how to report </w:t>
      </w:r>
      <w:r w:rsidR="00645DCF">
        <w:t>these expenses.</w:t>
      </w:r>
    </w:p>
    <w:p w14:paraId="7CC437CD" w14:textId="38713E7F" w:rsidR="00947AA3" w:rsidRPr="00A70490" w:rsidRDefault="00947AA3" w:rsidP="00A70490"/>
    <w:tbl>
      <w:tblPr>
        <w:tblStyle w:val="TableGrid"/>
        <w:tblW w:w="0" w:type="auto"/>
        <w:tblInd w:w="720" w:type="dxa"/>
        <w:tblLook w:val="04A0" w:firstRow="1" w:lastRow="0" w:firstColumn="1" w:lastColumn="0" w:noHBand="0" w:noVBand="1"/>
      </w:tblPr>
      <w:tblGrid>
        <w:gridCol w:w="2780"/>
        <w:gridCol w:w="2780"/>
        <w:gridCol w:w="2780"/>
      </w:tblGrid>
      <w:tr w:rsidR="00BE2305" w14:paraId="22A6131B" w14:textId="77777777" w:rsidTr="01584286">
        <w:tc>
          <w:tcPr>
            <w:tcW w:w="2780" w:type="dxa"/>
            <w:shd w:val="clear" w:color="auto" w:fill="000000" w:themeFill="text1"/>
          </w:tcPr>
          <w:p w14:paraId="73EE36BA" w14:textId="77777777" w:rsidR="00BE2305" w:rsidRPr="009960F9" w:rsidRDefault="00BE2305" w:rsidP="00632899">
            <w:pPr>
              <w:pStyle w:val="TableText"/>
              <w:rPr>
                <w:b/>
                <w:color w:val="FFFFFF" w:themeColor="background1"/>
              </w:rPr>
            </w:pPr>
            <w:r w:rsidRPr="009960F9">
              <w:rPr>
                <w:b/>
                <w:color w:val="FFFFFF" w:themeColor="background1"/>
              </w:rPr>
              <w:t>Scenario</w:t>
            </w:r>
          </w:p>
        </w:tc>
        <w:tc>
          <w:tcPr>
            <w:tcW w:w="2780" w:type="dxa"/>
            <w:shd w:val="clear" w:color="auto" w:fill="000000" w:themeFill="text1"/>
          </w:tcPr>
          <w:p w14:paraId="14B67023" w14:textId="77777777" w:rsidR="00BE2305" w:rsidRPr="009960F9" w:rsidRDefault="00BE2305" w:rsidP="00632899">
            <w:pPr>
              <w:pStyle w:val="TableText"/>
              <w:rPr>
                <w:b/>
                <w:color w:val="FFFFFF" w:themeColor="background1"/>
              </w:rPr>
            </w:pPr>
            <w:r w:rsidRPr="009960F9">
              <w:rPr>
                <w:b/>
                <w:color w:val="FFFFFF" w:themeColor="background1"/>
              </w:rPr>
              <w:t>Description</w:t>
            </w:r>
          </w:p>
        </w:tc>
        <w:tc>
          <w:tcPr>
            <w:tcW w:w="2780" w:type="dxa"/>
            <w:shd w:val="clear" w:color="auto" w:fill="000000" w:themeFill="text1"/>
          </w:tcPr>
          <w:p w14:paraId="35F8BE37" w14:textId="6183AB84" w:rsidR="00BE2305" w:rsidRPr="009960F9" w:rsidRDefault="24B528EA" w:rsidP="01584286">
            <w:pPr>
              <w:pStyle w:val="TableText"/>
              <w:rPr>
                <w:b/>
                <w:bCs/>
                <w:color w:val="FFFFFF" w:themeColor="background1"/>
              </w:rPr>
            </w:pPr>
            <w:r w:rsidRPr="01584286">
              <w:rPr>
                <w:b/>
                <w:bCs/>
                <w:color w:val="FFFFFF" w:themeColor="background1"/>
              </w:rPr>
              <w:t>Work</w:t>
            </w:r>
            <w:r w:rsidR="0B022311" w:rsidRPr="01584286">
              <w:rPr>
                <w:b/>
                <w:bCs/>
                <w:color w:val="FFFFFF" w:themeColor="background1"/>
              </w:rPr>
              <w:t>-</w:t>
            </w:r>
            <w:r w:rsidRPr="01584286">
              <w:rPr>
                <w:b/>
                <w:bCs/>
                <w:color w:val="FFFFFF" w:themeColor="background1"/>
              </w:rPr>
              <w:t>point Treatment</w:t>
            </w:r>
          </w:p>
        </w:tc>
      </w:tr>
      <w:tr w:rsidR="00BE2305" w14:paraId="14AB48AC" w14:textId="77777777" w:rsidTr="01584286">
        <w:tc>
          <w:tcPr>
            <w:tcW w:w="2780" w:type="dxa"/>
          </w:tcPr>
          <w:p w14:paraId="5837C574" w14:textId="3BBDDA11" w:rsidR="00BE2305" w:rsidRDefault="00BE2305" w:rsidP="00632899">
            <w:pPr>
              <w:pStyle w:val="TableText"/>
            </w:pPr>
            <w:r>
              <w:rPr>
                <w:b/>
              </w:rPr>
              <w:t>Distinct expenses</w:t>
            </w:r>
          </w:p>
        </w:tc>
        <w:tc>
          <w:tcPr>
            <w:tcW w:w="2780" w:type="dxa"/>
          </w:tcPr>
          <w:p w14:paraId="6E9EDA64" w14:textId="08D01862" w:rsidR="00BE2305" w:rsidRDefault="00645DCF" w:rsidP="00632899">
            <w:pPr>
              <w:pStyle w:val="TableText"/>
            </w:pPr>
            <w:r>
              <w:t>Expenses</w:t>
            </w:r>
            <w:r w:rsidR="00A70490">
              <w:t xml:space="preserve"> are invoiced and paid separately for each lease in the building</w:t>
            </w:r>
          </w:p>
        </w:tc>
        <w:tc>
          <w:tcPr>
            <w:tcW w:w="2780" w:type="dxa"/>
          </w:tcPr>
          <w:p w14:paraId="5F2D13B4" w14:textId="3A855973" w:rsidR="00BE2305" w:rsidRDefault="00A70490" w:rsidP="00632899">
            <w:pPr>
              <w:pStyle w:val="TableText"/>
            </w:pPr>
            <w:r>
              <w:t xml:space="preserve">Report the </w:t>
            </w:r>
            <w:r w:rsidR="00645DCF">
              <w:t>expenses</w:t>
            </w:r>
            <w:r>
              <w:t xml:space="preserve"> </w:t>
            </w:r>
            <w:r w:rsidR="00F465E1">
              <w:t xml:space="preserve">against each individual lease </w:t>
            </w:r>
            <w:r>
              <w:t>as outlined in the Collection Manual.</w:t>
            </w:r>
          </w:p>
          <w:p w14:paraId="5F59D773" w14:textId="77777777" w:rsidR="00BE2305" w:rsidRDefault="00BE2305" w:rsidP="00632899">
            <w:pPr>
              <w:pStyle w:val="TableText"/>
            </w:pPr>
          </w:p>
        </w:tc>
      </w:tr>
      <w:tr w:rsidR="00BE2305" w14:paraId="2929E43F" w14:textId="77777777" w:rsidTr="01584286">
        <w:tc>
          <w:tcPr>
            <w:tcW w:w="2780" w:type="dxa"/>
          </w:tcPr>
          <w:p w14:paraId="0A0FA58F" w14:textId="16B53E55" w:rsidR="00BE2305" w:rsidRPr="009960F9" w:rsidRDefault="00F50200" w:rsidP="08380689">
            <w:pPr>
              <w:pStyle w:val="TableText"/>
              <w:rPr>
                <w:b/>
                <w:bCs/>
              </w:rPr>
            </w:pPr>
            <w:r w:rsidRPr="08380689">
              <w:rPr>
                <w:b/>
                <w:bCs/>
              </w:rPr>
              <w:t>Combined</w:t>
            </w:r>
            <w:r w:rsidR="00505000" w:rsidRPr="08380689">
              <w:rPr>
                <w:b/>
                <w:bCs/>
              </w:rPr>
              <w:t xml:space="preserve"> payments, separate invoices</w:t>
            </w:r>
          </w:p>
        </w:tc>
        <w:tc>
          <w:tcPr>
            <w:tcW w:w="2780" w:type="dxa"/>
          </w:tcPr>
          <w:p w14:paraId="154F25D6" w14:textId="172F5A43" w:rsidR="00BE2305" w:rsidRDefault="00645DCF" w:rsidP="00632899">
            <w:pPr>
              <w:pStyle w:val="TableText"/>
            </w:pPr>
            <w:r>
              <w:t>Expenses</w:t>
            </w:r>
            <w:r w:rsidR="3FB41009">
              <w:t xml:space="preserve"> are </w:t>
            </w:r>
            <w:r w:rsidR="67B3C6A6">
              <w:t>combined for multiple leases in the building</w:t>
            </w:r>
            <w:r w:rsidR="6D04B231">
              <w:t xml:space="preserve">, but with separate invoices or </w:t>
            </w:r>
            <w:r w:rsidR="02153A24">
              <w:t xml:space="preserve">distinct references </w:t>
            </w:r>
            <w:r w:rsidR="04D2E719">
              <w:t>to each lease within the invoice</w:t>
            </w:r>
            <w:r w:rsidR="55226CA7">
              <w:t xml:space="preserve">. </w:t>
            </w:r>
          </w:p>
        </w:tc>
        <w:tc>
          <w:tcPr>
            <w:tcW w:w="2780" w:type="dxa"/>
          </w:tcPr>
          <w:p w14:paraId="72BB1E18" w14:textId="48AF7D13" w:rsidR="00F465E1" w:rsidRDefault="00F465E1" w:rsidP="00F465E1">
            <w:pPr>
              <w:pStyle w:val="TableText"/>
            </w:pPr>
            <w:r>
              <w:t xml:space="preserve">Report the </w:t>
            </w:r>
            <w:r w:rsidR="00F50200">
              <w:t>expenses</w:t>
            </w:r>
            <w:r>
              <w:t xml:space="preserve"> against each individual lease as outlined in the Collection Manual.</w:t>
            </w:r>
          </w:p>
          <w:p w14:paraId="63149F23" w14:textId="6C4E508A" w:rsidR="00BE2305" w:rsidRPr="002C77E2" w:rsidRDefault="00BE2305" w:rsidP="00632899">
            <w:pPr>
              <w:pStyle w:val="TableText"/>
            </w:pPr>
          </w:p>
        </w:tc>
      </w:tr>
      <w:tr w:rsidR="00F465E1" w14:paraId="1388FCFB" w14:textId="77777777" w:rsidTr="01584286">
        <w:tc>
          <w:tcPr>
            <w:tcW w:w="2780" w:type="dxa"/>
          </w:tcPr>
          <w:p w14:paraId="0352084A" w14:textId="3D1A493C" w:rsidR="00F465E1" w:rsidRDefault="00F50200" w:rsidP="00632899">
            <w:pPr>
              <w:pStyle w:val="TableText"/>
              <w:rPr>
                <w:b/>
              </w:rPr>
            </w:pPr>
            <w:r>
              <w:rPr>
                <w:b/>
              </w:rPr>
              <w:t>Combined</w:t>
            </w:r>
            <w:r w:rsidR="00F465E1">
              <w:rPr>
                <w:b/>
              </w:rPr>
              <w:t xml:space="preserve"> payments</w:t>
            </w:r>
            <w:r>
              <w:rPr>
                <w:b/>
              </w:rPr>
              <w:t xml:space="preserve"> and</w:t>
            </w:r>
            <w:r w:rsidR="00F465E1">
              <w:rPr>
                <w:b/>
              </w:rPr>
              <w:t xml:space="preserve"> invoice</w:t>
            </w:r>
          </w:p>
        </w:tc>
        <w:tc>
          <w:tcPr>
            <w:tcW w:w="2780" w:type="dxa"/>
          </w:tcPr>
          <w:p w14:paraId="7D14BF78" w14:textId="67DB4A60" w:rsidR="00F465E1" w:rsidRDefault="00F50200" w:rsidP="00632899">
            <w:pPr>
              <w:pStyle w:val="TableText"/>
            </w:pPr>
            <w:r>
              <w:t>Expenses</w:t>
            </w:r>
            <w:r w:rsidR="00F465E1">
              <w:t xml:space="preserve"> are paid </w:t>
            </w:r>
            <w:r>
              <w:t>combined for multiple leases in the building</w:t>
            </w:r>
            <w:r w:rsidR="00290421">
              <w:t>, with no distinction of individual leases within invoicing</w:t>
            </w:r>
          </w:p>
        </w:tc>
        <w:tc>
          <w:tcPr>
            <w:tcW w:w="2780" w:type="dxa"/>
          </w:tcPr>
          <w:p w14:paraId="20A17DC4" w14:textId="77777777" w:rsidR="00F465E1" w:rsidRDefault="00787F00" w:rsidP="00F465E1">
            <w:pPr>
              <w:pStyle w:val="TableText"/>
            </w:pPr>
            <w:r>
              <w:t xml:space="preserve">Split the expense </w:t>
            </w:r>
            <w:r w:rsidR="004D4AA2">
              <w:t>between leases based on net lettable area</w:t>
            </w:r>
            <w:r w:rsidR="00F86292">
              <w:t>.</w:t>
            </w:r>
          </w:p>
          <w:p w14:paraId="20024E77" w14:textId="1FCD88F7" w:rsidR="00F86292" w:rsidRDefault="00F86292" w:rsidP="00F465E1">
            <w:pPr>
              <w:pStyle w:val="TableText"/>
            </w:pPr>
            <w:r>
              <w:t>(If Lease 1 = 40% of total NLA for the building, report 40% of expenses against this lease.)</w:t>
            </w:r>
          </w:p>
        </w:tc>
      </w:tr>
    </w:tbl>
    <w:p w14:paraId="264D060F" w14:textId="6B1E4BA5" w:rsidR="00BE2305" w:rsidRDefault="00BE2305" w:rsidP="00764239"/>
    <w:p w14:paraId="0448E2AB" w14:textId="0DB18C66" w:rsidR="0084746B" w:rsidRDefault="0084746B" w:rsidP="0084746B">
      <w:pPr>
        <w:pStyle w:val="Heading2"/>
      </w:pPr>
      <w:bookmarkStart w:id="52" w:name="_Toc138142664"/>
      <w:r>
        <w:lastRenderedPageBreak/>
        <w:t xml:space="preserve">Payments made after reporting </w:t>
      </w:r>
      <w:proofErr w:type="gramStart"/>
      <w:r>
        <w:t>da</w:t>
      </w:r>
      <w:r w:rsidR="00B42B35">
        <w:t>te</w:t>
      </w:r>
      <w:bookmarkEnd w:id="52"/>
      <w:proofErr w:type="gramEnd"/>
    </w:p>
    <w:p w14:paraId="6F63D442" w14:textId="2E3EC785" w:rsidR="00B42B35" w:rsidRPr="00B42B35" w:rsidRDefault="00AE1FB5" w:rsidP="00B42B35">
      <w:r>
        <w:t xml:space="preserve">By incurring costs, entities are entering into an agreement to provide payment for goods and services. </w:t>
      </w:r>
      <w:r w:rsidR="197A55B6">
        <w:t>Therefore,</w:t>
      </w:r>
      <w:r w:rsidR="00F545B0">
        <w:t xml:space="preserve"> a</w:t>
      </w:r>
      <w:r w:rsidR="00B42B35">
        <w:t xml:space="preserve">ny expenses incurred as </w:t>
      </w:r>
      <w:bookmarkStart w:id="53" w:name="_Int_EeIBXmIA"/>
      <w:proofErr w:type="gramStart"/>
      <w:r w:rsidR="00B42B35">
        <w:t>at</w:t>
      </w:r>
      <w:bookmarkEnd w:id="53"/>
      <w:proofErr w:type="gramEnd"/>
      <w:r w:rsidR="00B42B35">
        <w:t xml:space="preserve"> 30 June must be </w:t>
      </w:r>
      <w:r w:rsidR="2D4CCCD3">
        <w:t>reported</w:t>
      </w:r>
      <w:r w:rsidR="00B42B35">
        <w:t xml:space="preserve"> </w:t>
      </w:r>
      <w:bookmarkStart w:id="54" w:name="_Int_v2ZJPIqJ"/>
      <w:r w:rsidR="00B42B35">
        <w:t>whether or not</w:t>
      </w:r>
      <w:bookmarkEnd w:id="54"/>
      <w:r w:rsidR="00B42B35">
        <w:t xml:space="preserve"> they hav</w:t>
      </w:r>
      <w:r w:rsidR="006A49A7">
        <w:t>e yet been paid.</w:t>
      </w:r>
    </w:p>
    <w:sectPr w:rsidR="00B42B35" w:rsidRPr="00B42B35" w:rsidSect="00660196">
      <w:headerReference w:type="default" r:id="rId16"/>
      <w:footerReference w:type="default" r:id="rId17"/>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D87A" w14:textId="77777777" w:rsidR="00A6399E" w:rsidRDefault="00A6399E" w:rsidP="00EF4574">
      <w:pPr>
        <w:spacing w:before="0" w:after="0" w:line="240" w:lineRule="auto"/>
      </w:pPr>
      <w:r>
        <w:separator/>
      </w:r>
    </w:p>
    <w:p w14:paraId="361B972A" w14:textId="77777777" w:rsidR="00A6399E" w:rsidRDefault="00A6399E"/>
  </w:endnote>
  <w:endnote w:type="continuationSeparator" w:id="0">
    <w:p w14:paraId="48E75070" w14:textId="77777777" w:rsidR="00A6399E" w:rsidRDefault="00A6399E" w:rsidP="00EF4574">
      <w:pPr>
        <w:spacing w:before="0" w:after="0" w:line="240" w:lineRule="auto"/>
      </w:pPr>
      <w:r>
        <w:continuationSeparator/>
      </w:r>
    </w:p>
    <w:p w14:paraId="6D05BE4A" w14:textId="77777777" w:rsidR="00A6399E" w:rsidRDefault="00A6399E"/>
  </w:endnote>
  <w:endnote w:type="continuationNotice" w:id="1">
    <w:p w14:paraId="1B0354C8" w14:textId="77777777" w:rsidR="00A6399E" w:rsidRDefault="00A639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E891" w14:textId="0FC02496"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B6229D">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3D0C" w14:textId="77777777" w:rsidR="00A6399E" w:rsidRDefault="00A6399E" w:rsidP="0020122A">
      <w:pPr>
        <w:pStyle w:val="FootnoteSeparator"/>
      </w:pPr>
    </w:p>
  </w:footnote>
  <w:footnote w:type="continuationSeparator" w:id="0">
    <w:p w14:paraId="2DBA1B1F" w14:textId="77777777" w:rsidR="00A6399E" w:rsidRDefault="00A6399E" w:rsidP="00EF4574">
      <w:pPr>
        <w:spacing w:before="0" w:after="0" w:line="240" w:lineRule="auto"/>
      </w:pPr>
      <w:r>
        <w:continuationSeparator/>
      </w:r>
    </w:p>
    <w:p w14:paraId="57AF391F" w14:textId="77777777" w:rsidR="00A6399E" w:rsidRDefault="00A6399E"/>
  </w:footnote>
  <w:footnote w:type="continuationNotice" w:id="1">
    <w:p w14:paraId="45843FE7" w14:textId="77777777" w:rsidR="00A6399E" w:rsidRDefault="00A639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5ABA" w14:textId="77777777" w:rsidR="005D3E0C" w:rsidRDefault="005D3E0C">
    <w:pPr>
      <w:pStyle w:val="Header"/>
      <w:rPr>
        <w:b/>
      </w:rPr>
    </w:pPr>
    <w:r w:rsidRPr="00DB6D69">
      <w:rPr>
        <w:b/>
      </w:rPr>
      <w:t>Department of Finance</w:t>
    </w:r>
  </w:p>
  <w:p w14:paraId="29B65083" w14:textId="18CB7FF5" w:rsidR="0082589D" w:rsidRPr="00DB6D69" w:rsidRDefault="00B246BC" w:rsidP="00B246BC">
    <w:pPr>
      <w:pStyle w:val="Header"/>
      <w:rPr>
        <w:b/>
      </w:rPr>
    </w:pPr>
    <w:r w:rsidRPr="00B246BC">
      <w:rPr>
        <w:b/>
      </w:rPr>
      <w:t>2022 Office Data Collection Manual</w:t>
    </w:r>
    <w:r>
      <w:rPr>
        <w:b/>
      </w:rPr>
      <w:t xml:space="preserve"> – </w:t>
    </w:r>
    <w:r w:rsidRPr="00B246BC">
      <w:rPr>
        <w:b/>
      </w:rPr>
      <w:t>Reporting Scenarios</w:t>
    </w:r>
  </w:p>
</w:hdr>
</file>

<file path=word/intelligence2.xml><?xml version="1.0" encoding="utf-8"?>
<int2:intelligence xmlns:int2="http://schemas.microsoft.com/office/intelligence/2020/intelligence" xmlns:oel="http://schemas.microsoft.com/office/2019/extlst">
  <int2:observations>
    <int2:textHash int2:hashCode="usVE9Gcmgd8PB8" int2:id="WPo9eqVn">
      <int2:state int2:value="Rejected" int2:type="AugLoop_Text_Critique"/>
    </int2:textHash>
    <int2:bookmark int2:bookmarkName="_Int_Ao1W68wQ" int2:invalidationBookmarkName="" int2:hashCode="ynxKQJV+HGXhPa" int2:id="6ACDkNjj">
      <int2:state int2:value="Rejected" int2:type="AugLoop_Text_Critique"/>
    </int2:bookmark>
    <int2:bookmark int2:bookmarkName="_Int_aOPiyJbi" int2:invalidationBookmarkName="" int2:hashCode="S6Kd9KxpxsGJVC" int2:id="73T8EoJu">
      <int2:state int2:value="Rejected" int2:type="AugLoop_Text_Critique"/>
    </int2:bookmark>
    <int2:bookmark int2:bookmarkName="_Int_SvgVimGz" int2:invalidationBookmarkName="" int2:hashCode="irUq8GBhqwJdF3" int2:id="8o5mO3fo">
      <int2:state int2:value="Rejected" int2:type="AugLoop_Text_Critique"/>
    </int2:bookmark>
    <int2:bookmark int2:bookmarkName="_Int_lGPCTSUq" int2:invalidationBookmarkName="" int2:hashCode="4RcSgZ69RNLJ3Y" int2:id="8v7yBeMD">
      <int2:state int2:value="Rejected" int2:type="AugLoop_Text_Critique"/>
    </int2:bookmark>
    <int2:bookmark int2:bookmarkName="_Int_JZYJenGB" int2:invalidationBookmarkName="" int2:hashCode="e0dMsLOcF3PXGS" int2:id="AkZFJ1Du">
      <int2:state int2:value="Rejected" int2:type="AugLoop_Text_Critique"/>
    </int2:bookmark>
    <int2:bookmark int2:bookmarkName="_Int_gclnE9Tp" int2:invalidationBookmarkName="" int2:hashCode="cXipBTUY/xxeQB" int2:id="DfRB00Ro">
      <int2:state int2:value="Rejected" int2:type="AugLoop_Text_Critique"/>
    </int2:bookmark>
    <int2:bookmark int2:bookmarkName="_Int_TuDrYy6R" int2:invalidationBookmarkName="" int2:hashCode="J+kN+lfDWKz69H" int2:id="RWgD8n3H">
      <int2:state int2:value="Rejected" int2:type="AugLoop_Text_Critique"/>
    </int2:bookmark>
    <int2:bookmark int2:bookmarkName="_Int_X5uhvOgX" int2:invalidationBookmarkName="" int2:hashCode="J+5eTbHFN0Wr/Q" int2:id="TRxBnbEF">
      <int2:state int2:value="Rejected" int2:type="AugLoop_Text_Critique"/>
    </int2:bookmark>
    <int2:bookmark int2:bookmarkName="_Int_dvVUmqmN" int2:invalidationBookmarkName="" int2:hashCode="UyqKIfni6j9rRj" int2:id="Yaf9Yc7P">
      <int2:state int2:value="Rejected" int2:type="AugLoop_Text_Critique"/>
    </int2:bookmark>
    <int2:bookmark int2:bookmarkName="_Int_9LOPMZ1Q" int2:invalidationBookmarkName="" int2:hashCode="0lXQ0GySJQ8tJA" int2:id="ZM5tVEXY">
      <int2:state int2:value="Rejected" int2:type="AugLoop_Text_Critique"/>
    </int2:bookmark>
    <int2:bookmark int2:bookmarkName="_Int_v2ZJPIqJ" int2:invalidationBookmarkName="" int2:hashCode="0GYf/LRGEYcRtn" int2:id="ZQEX7NM6">
      <int2:state int2:value="Rejected" int2:type="AugLoop_Text_Critique"/>
    </int2:bookmark>
    <int2:bookmark int2:bookmarkName="_Int_4QxjTyyq" int2:invalidationBookmarkName="" int2:hashCode="4RcSgZ69RNLJ3Y" int2:id="ZTIOOnfS">
      <int2:state int2:value="Rejected" int2:type="AugLoop_Text_Critique"/>
    </int2:bookmark>
    <int2:bookmark int2:bookmarkName="_Int_EeIBXmIA" int2:invalidationBookmarkName="" int2:hashCode="J+kN+lfDWKz69H" int2:id="brqkMsmS">
      <int2:state int2:value="Rejected" int2:type="AugLoop_Text_Critique"/>
    </int2:bookmark>
    <int2:bookmark int2:bookmarkName="_Int_uV1V7JPR" int2:invalidationBookmarkName="" int2:hashCode="5sTEtuS+dg1v+r" int2:id="gXl5N6a3">
      <int2:state int2:value="Rejected" int2:type="AugLoop_Text_Critique"/>
    </int2:bookmark>
    <int2:bookmark int2:bookmarkName="_Int_yHKuVd4P" int2:invalidationBookmarkName="" int2:hashCode="4RcSgZ69RNLJ3Y" int2:id="m8gSk8yv">
      <int2:state int2:value="Rejected" int2:type="AugLoop_Text_Critique"/>
    </int2:bookmark>
    <int2:bookmark int2:bookmarkName="_Int_5tf41cs4" int2:invalidationBookmarkName="" int2:hashCode="SZ7XbMGkX522l9" int2:id="tlTAb7At">
      <int2:state int2:value="Rejected" int2:type="AugLoop_Text_Critique"/>
    </int2:bookmark>
    <int2:bookmark int2:bookmarkName="_Int_0wNWNdW4" int2:invalidationBookmarkName="" int2:hashCode="0lXQ0GySJQ8tJA" int2:id="ujN52T0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EA0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C4B62"/>
    <w:multiLevelType w:val="hybridMultilevel"/>
    <w:tmpl w:val="4D12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2A2012"/>
    <w:multiLevelType w:val="hybridMultilevel"/>
    <w:tmpl w:val="F9388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D2506DB"/>
    <w:multiLevelType w:val="hybridMultilevel"/>
    <w:tmpl w:val="5A9A4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795BE9"/>
    <w:multiLevelType w:val="hybridMultilevel"/>
    <w:tmpl w:val="EB2A70D4"/>
    <w:lvl w:ilvl="0" w:tplc="925AE92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6B0F65"/>
    <w:multiLevelType w:val="hybridMultilevel"/>
    <w:tmpl w:val="A7B0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064672"/>
    <w:multiLevelType w:val="hybridMultilevel"/>
    <w:tmpl w:val="9466A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9226BD"/>
    <w:multiLevelType w:val="hybridMultilevel"/>
    <w:tmpl w:val="B1B2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F55D3E"/>
    <w:multiLevelType w:val="hybridMultilevel"/>
    <w:tmpl w:val="AAB0B2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297A5B"/>
    <w:multiLevelType w:val="hybridMultilevel"/>
    <w:tmpl w:val="6F94D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33306F04"/>
    <w:multiLevelType w:val="hybridMultilevel"/>
    <w:tmpl w:val="73ECA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ED1292"/>
    <w:multiLevelType w:val="hybridMultilevel"/>
    <w:tmpl w:val="1D580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D6F13"/>
    <w:multiLevelType w:val="hybridMultilevel"/>
    <w:tmpl w:val="F796F9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401D7"/>
    <w:multiLevelType w:val="hybridMultilevel"/>
    <w:tmpl w:val="969A3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46B18FF"/>
    <w:multiLevelType w:val="hybridMultilevel"/>
    <w:tmpl w:val="2DBA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764791"/>
    <w:multiLevelType w:val="hybridMultilevel"/>
    <w:tmpl w:val="7B4A4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371F8F"/>
    <w:multiLevelType w:val="hybridMultilevel"/>
    <w:tmpl w:val="DE48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9C12B93"/>
    <w:multiLevelType w:val="hybridMultilevel"/>
    <w:tmpl w:val="D946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826060">
    <w:abstractNumId w:val="32"/>
  </w:num>
  <w:num w:numId="2" w16cid:durableId="13621224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4167">
    <w:abstractNumId w:val="12"/>
  </w:num>
  <w:num w:numId="4" w16cid:durableId="34237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962287">
    <w:abstractNumId w:val="21"/>
  </w:num>
  <w:num w:numId="6" w16cid:durableId="13118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2477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413205">
    <w:abstractNumId w:val="14"/>
  </w:num>
  <w:num w:numId="9" w16cid:durableId="314146360">
    <w:abstractNumId w:val="27"/>
  </w:num>
  <w:num w:numId="10" w16cid:durableId="1879010146">
    <w:abstractNumId w:val="28"/>
  </w:num>
  <w:num w:numId="11" w16cid:durableId="749816005">
    <w:abstractNumId w:val="9"/>
  </w:num>
  <w:num w:numId="12" w16cid:durableId="2127651691">
    <w:abstractNumId w:val="7"/>
  </w:num>
  <w:num w:numId="13" w16cid:durableId="1069377008">
    <w:abstractNumId w:val="6"/>
  </w:num>
  <w:num w:numId="14" w16cid:durableId="703363612">
    <w:abstractNumId w:val="5"/>
  </w:num>
  <w:num w:numId="15" w16cid:durableId="1910383952">
    <w:abstractNumId w:val="4"/>
  </w:num>
  <w:num w:numId="16" w16cid:durableId="1494418410">
    <w:abstractNumId w:val="8"/>
  </w:num>
  <w:num w:numId="17" w16cid:durableId="3093578">
    <w:abstractNumId w:val="3"/>
  </w:num>
  <w:num w:numId="18" w16cid:durableId="1761759124">
    <w:abstractNumId w:val="2"/>
  </w:num>
  <w:num w:numId="19" w16cid:durableId="1039160796">
    <w:abstractNumId w:val="1"/>
  </w:num>
  <w:num w:numId="20" w16cid:durableId="216820499">
    <w:abstractNumId w:val="0"/>
  </w:num>
  <w:num w:numId="21" w16cid:durableId="1392117457">
    <w:abstractNumId w:val="25"/>
  </w:num>
  <w:num w:numId="22" w16cid:durableId="3824802">
    <w:abstractNumId w:val="15"/>
  </w:num>
  <w:num w:numId="23" w16cid:durableId="1664046902">
    <w:abstractNumId w:val="17"/>
  </w:num>
  <w:num w:numId="24" w16cid:durableId="538905302">
    <w:abstractNumId w:val="10"/>
  </w:num>
  <w:num w:numId="25" w16cid:durableId="1214730909">
    <w:abstractNumId w:val="26"/>
  </w:num>
  <w:num w:numId="26" w16cid:durableId="1357998772">
    <w:abstractNumId w:val="11"/>
  </w:num>
  <w:num w:numId="27" w16cid:durableId="1029259995">
    <w:abstractNumId w:val="19"/>
  </w:num>
  <w:num w:numId="28" w16cid:durableId="2092115648">
    <w:abstractNumId w:val="24"/>
  </w:num>
  <w:num w:numId="29" w16cid:durableId="1644770563">
    <w:abstractNumId w:val="31"/>
  </w:num>
  <w:num w:numId="30" w16cid:durableId="474373557">
    <w:abstractNumId w:val="22"/>
  </w:num>
  <w:num w:numId="31" w16cid:durableId="499858203">
    <w:abstractNumId w:val="33"/>
  </w:num>
  <w:num w:numId="32" w16cid:durableId="548498804">
    <w:abstractNumId w:val="16"/>
  </w:num>
  <w:num w:numId="33" w16cid:durableId="378168185">
    <w:abstractNumId w:val="18"/>
  </w:num>
  <w:num w:numId="34" w16cid:durableId="1427458752">
    <w:abstractNumId w:val="23"/>
  </w:num>
  <w:num w:numId="35" w16cid:durableId="74598893">
    <w:abstractNumId w:val="29"/>
  </w:num>
  <w:num w:numId="36" w16cid:durableId="45446902">
    <w:abstractNumId w:val="13"/>
  </w:num>
  <w:num w:numId="37" w16cid:durableId="4867482">
    <w:abstractNumId w:val="30"/>
  </w:num>
  <w:num w:numId="38" w16cid:durableId="3977046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7E8E"/>
    <w:rsid w:val="0002782F"/>
    <w:rsid w:val="00031963"/>
    <w:rsid w:val="00040017"/>
    <w:rsid w:val="00054E4D"/>
    <w:rsid w:val="00060073"/>
    <w:rsid w:val="000603C7"/>
    <w:rsid w:val="00064924"/>
    <w:rsid w:val="0006546F"/>
    <w:rsid w:val="00066FAB"/>
    <w:rsid w:val="000719AE"/>
    <w:rsid w:val="000829F4"/>
    <w:rsid w:val="000842FC"/>
    <w:rsid w:val="000948B5"/>
    <w:rsid w:val="000A3395"/>
    <w:rsid w:val="000A4B30"/>
    <w:rsid w:val="000A6A8B"/>
    <w:rsid w:val="000C2A48"/>
    <w:rsid w:val="000C5F75"/>
    <w:rsid w:val="000D60B1"/>
    <w:rsid w:val="000F323B"/>
    <w:rsid w:val="000F460A"/>
    <w:rsid w:val="00100702"/>
    <w:rsid w:val="00100C43"/>
    <w:rsid w:val="00111B70"/>
    <w:rsid w:val="00136530"/>
    <w:rsid w:val="001407FD"/>
    <w:rsid w:val="00150FF9"/>
    <w:rsid w:val="001541EA"/>
    <w:rsid w:val="00156F0D"/>
    <w:rsid w:val="001612A4"/>
    <w:rsid w:val="001744A9"/>
    <w:rsid w:val="001A71B3"/>
    <w:rsid w:val="001C1370"/>
    <w:rsid w:val="001C16D5"/>
    <w:rsid w:val="001C315D"/>
    <w:rsid w:val="001D0691"/>
    <w:rsid w:val="001D7EB4"/>
    <w:rsid w:val="001E1DC0"/>
    <w:rsid w:val="001E5983"/>
    <w:rsid w:val="0020122A"/>
    <w:rsid w:val="00202AA0"/>
    <w:rsid w:val="00227532"/>
    <w:rsid w:val="00232CA6"/>
    <w:rsid w:val="0024459D"/>
    <w:rsid w:val="002446AC"/>
    <w:rsid w:val="002450BB"/>
    <w:rsid w:val="00257A9C"/>
    <w:rsid w:val="002617EB"/>
    <w:rsid w:val="00272033"/>
    <w:rsid w:val="00272573"/>
    <w:rsid w:val="00283554"/>
    <w:rsid w:val="0028602A"/>
    <w:rsid w:val="00290421"/>
    <w:rsid w:val="002A47D0"/>
    <w:rsid w:val="002A5CCA"/>
    <w:rsid w:val="002B7879"/>
    <w:rsid w:val="002C2444"/>
    <w:rsid w:val="002C2CC0"/>
    <w:rsid w:val="002C77E2"/>
    <w:rsid w:val="002F1D32"/>
    <w:rsid w:val="002F5017"/>
    <w:rsid w:val="00301144"/>
    <w:rsid w:val="00302451"/>
    <w:rsid w:val="003148B7"/>
    <w:rsid w:val="003158C3"/>
    <w:rsid w:val="003274CD"/>
    <w:rsid w:val="0035119D"/>
    <w:rsid w:val="00355A4B"/>
    <w:rsid w:val="003626F7"/>
    <w:rsid w:val="00375FB2"/>
    <w:rsid w:val="00387F34"/>
    <w:rsid w:val="003907BC"/>
    <w:rsid w:val="00393D6F"/>
    <w:rsid w:val="003A71C5"/>
    <w:rsid w:val="003B4F12"/>
    <w:rsid w:val="003B78D5"/>
    <w:rsid w:val="003C0E5E"/>
    <w:rsid w:val="003E179D"/>
    <w:rsid w:val="003F7C30"/>
    <w:rsid w:val="00423F31"/>
    <w:rsid w:val="00431899"/>
    <w:rsid w:val="00437E87"/>
    <w:rsid w:val="004417EF"/>
    <w:rsid w:val="0044379B"/>
    <w:rsid w:val="00450B20"/>
    <w:rsid w:val="00452D4B"/>
    <w:rsid w:val="00453FA2"/>
    <w:rsid w:val="00467CAA"/>
    <w:rsid w:val="00475FAF"/>
    <w:rsid w:val="00483A23"/>
    <w:rsid w:val="00486804"/>
    <w:rsid w:val="0049766B"/>
    <w:rsid w:val="004B3775"/>
    <w:rsid w:val="004B5066"/>
    <w:rsid w:val="004C2A06"/>
    <w:rsid w:val="004C58B5"/>
    <w:rsid w:val="004D4AA2"/>
    <w:rsid w:val="004E058F"/>
    <w:rsid w:val="004E132A"/>
    <w:rsid w:val="004E3B87"/>
    <w:rsid w:val="004F408E"/>
    <w:rsid w:val="00505000"/>
    <w:rsid w:val="005066C6"/>
    <w:rsid w:val="00510921"/>
    <w:rsid w:val="00510AD3"/>
    <w:rsid w:val="00513348"/>
    <w:rsid w:val="005171F6"/>
    <w:rsid w:val="005258E3"/>
    <w:rsid w:val="00526CEF"/>
    <w:rsid w:val="00533B5D"/>
    <w:rsid w:val="00547337"/>
    <w:rsid w:val="0055432C"/>
    <w:rsid w:val="005570E8"/>
    <w:rsid w:val="00564EE7"/>
    <w:rsid w:val="00573B9B"/>
    <w:rsid w:val="00576566"/>
    <w:rsid w:val="00580F58"/>
    <w:rsid w:val="0058150A"/>
    <w:rsid w:val="005970EA"/>
    <w:rsid w:val="005A07FB"/>
    <w:rsid w:val="005A1EB9"/>
    <w:rsid w:val="005A2AB2"/>
    <w:rsid w:val="005B3319"/>
    <w:rsid w:val="005C0074"/>
    <w:rsid w:val="005C2442"/>
    <w:rsid w:val="005C37F0"/>
    <w:rsid w:val="005C4F34"/>
    <w:rsid w:val="005D2D36"/>
    <w:rsid w:val="005D3E0C"/>
    <w:rsid w:val="005D4D35"/>
    <w:rsid w:val="005E0FDA"/>
    <w:rsid w:val="005E3CFF"/>
    <w:rsid w:val="00612C66"/>
    <w:rsid w:val="006214CE"/>
    <w:rsid w:val="00623BA1"/>
    <w:rsid w:val="00632899"/>
    <w:rsid w:val="006346BC"/>
    <w:rsid w:val="00645300"/>
    <w:rsid w:val="00645DCF"/>
    <w:rsid w:val="0065205A"/>
    <w:rsid w:val="00660196"/>
    <w:rsid w:val="00666291"/>
    <w:rsid w:val="0066652A"/>
    <w:rsid w:val="00666C10"/>
    <w:rsid w:val="006720A5"/>
    <w:rsid w:val="00682167"/>
    <w:rsid w:val="00683493"/>
    <w:rsid w:val="006A49A7"/>
    <w:rsid w:val="006A4F0A"/>
    <w:rsid w:val="006C42AF"/>
    <w:rsid w:val="006C4398"/>
    <w:rsid w:val="006C4DD1"/>
    <w:rsid w:val="006D75AB"/>
    <w:rsid w:val="006E1353"/>
    <w:rsid w:val="006E3474"/>
    <w:rsid w:val="006F05A7"/>
    <w:rsid w:val="006F45B9"/>
    <w:rsid w:val="007012E3"/>
    <w:rsid w:val="00702FFE"/>
    <w:rsid w:val="007105C1"/>
    <w:rsid w:val="00711D8E"/>
    <w:rsid w:val="00712672"/>
    <w:rsid w:val="00724F49"/>
    <w:rsid w:val="00725E8C"/>
    <w:rsid w:val="00734E3F"/>
    <w:rsid w:val="00736985"/>
    <w:rsid w:val="00737A13"/>
    <w:rsid w:val="00737A7B"/>
    <w:rsid w:val="00746EA5"/>
    <w:rsid w:val="00747AD5"/>
    <w:rsid w:val="00755521"/>
    <w:rsid w:val="00764239"/>
    <w:rsid w:val="00764505"/>
    <w:rsid w:val="0078481D"/>
    <w:rsid w:val="00787F00"/>
    <w:rsid w:val="007B4ABB"/>
    <w:rsid w:val="007B5168"/>
    <w:rsid w:val="007B6200"/>
    <w:rsid w:val="007C7DA4"/>
    <w:rsid w:val="007D22F6"/>
    <w:rsid w:val="007D29D9"/>
    <w:rsid w:val="007D4BDD"/>
    <w:rsid w:val="007D4E29"/>
    <w:rsid w:val="007D6C80"/>
    <w:rsid w:val="007E0FCB"/>
    <w:rsid w:val="007E43E3"/>
    <w:rsid w:val="00801B9F"/>
    <w:rsid w:val="00802756"/>
    <w:rsid w:val="00811A50"/>
    <w:rsid w:val="0081415B"/>
    <w:rsid w:val="008169C7"/>
    <w:rsid w:val="0082589D"/>
    <w:rsid w:val="00834703"/>
    <w:rsid w:val="0084477C"/>
    <w:rsid w:val="0084746B"/>
    <w:rsid w:val="0085460B"/>
    <w:rsid w:val="00856991"/>
    <w:rsid w:val="00880B3F"/>
    <w:rsid w:val="00894FDD"/>
    <w:rsid w:val="008A2C24"/>
    <w:rsid w:val="008A5319"/>
    <w:rsid w:val="008B62C7"/>
    <w:rsid w:val="008D0C64"/>
    <w:rsid w:val="008D4A99"/>
    <w:rsid w:val="008E6D0C"/>
    <w:rsid w:val="008F78AB"/>
    <w:rsid w:val="0090309A"/>
    <w:rsid w:val="0090743E"/>
    <w:rsid w:val="00910823"/>
    <w:rsid w:val="00913FD4"/>
    <w:rsid w:val="00930C3D"/>
    <w:rsid w:val="009412D6"/>
    <w:rsid w:val="00944970"/>
    <w:rsid w:val="00947AA3"/>
    <w:rsid w:val="00956F74"/>
    <w:rsid w:val="009674A6"/>
    <w:rsid w:val="0098137F"/>
    <w:rsid w:val="00986E87"/>
    <w:rsid w:val="009960F9"/>
    <w:rsid w:val="009A2DA7"/>
    <w:rsid w:val="009B4D3B"/>
    <w:rsid w:val="009C637B"/>
    <w:rsid w:val="009D7407"/>
    <w:rsid w:val="009E0866"/>
    <w:rsid w:val="009F3EE8"/>
    <w:rsid w:val="00A117C3"/>
    <w:rsid w:val="00A20E8E"/>
    <w:rsid w:val="00A20F03"/>
    <w:rsid w:val="00A24A62"/>
    <w:rsid w:val="00A31C9F"/>
    <w:rsid w:val="00A40F7C"/>
    <w:rsid w:val="00A50B6D"/>
    <w:rsid w:val="00A57A97"/>
    <w:rsid w:val="00A60DD6"/>
    <w:rsid w:val="00A62054"/>
    <w:rsid w:val="00A6399E"/>
    <w:rsid w:val="00A70490"/>
    <w:rsid w:val="00A76F2F"/>
    <w:rsid w:val="00AB19CF"/>
    <w:rsid w:val="00AB5850"/>
    <w:rsid w:val="00AC0D3E"/>
    <w:rsid w:val="00AC164A"/>
    <w:rsid w:val="00AD6365"/>
    <w:rsid w:val="00AE1FB5"/>
    <w:rsid w:val="00AE54CE"/>
    <w:rsid w:val="00AF2050"/>
    <w:rsid w:val="00B06400"/>
    <w:rsid w:val="00B246BC"/>
    <w:rsid w:val="00B25F24"/>
    <w:rsid w:val="00B42B35"/>
    <w:rsid w:val="00B437BE"/>
    <w:rsid w:val="00B46F97"/>
    <w:rsid w:val="00B5491F"/>
    <w:rsid w:val="00B60352"/>
    <w:rsid w:val="00B6229D"/>
    <w:rsid w:val="00B65D4E"/>
    <w:rsid w:val="00B770C4"/>
    <w:rsid w:val="00B829F4"/>
    <w:rsid w:val="00B83586"/>
    <w:rsid w:val="00B84D37"/>
    <w:rsid w:val="00B97E88"/>
    <w:rsid w:val="00BA18A9"/>
    <w:rsid w:val="00BB26C5"/>
    <w:rsid w:val="00BC2087"/>
    <w:rsid w:val="00BD4221"/>
    <w:rsid w:val="00BE2305"/>
    <w:rsid w:val="00BF07CA"/>
    <w:rsid w:val="00BF4DE6"/>
    <w:rsid w:val="00C07DEB"/>
    <w:rsid w:val="00C23394"/>
    <w:rsid w:val="00C27965"/>
    <w:rsid w:val="00C42CDE"/>
    <w:rsid w:val="00C53578"/>
    <w:rsid w:val="00C62536"/>
    <w:rsid w:val="00C64D36"/>
    <w:rsid w:val="00C72414"/>
    <w:rsid w:val="00C7494D"/>
    <w:rsid w:val="00C85651"/>
    <w:rsid w:val="00CA37B1"/>
    <w:rsid w:val="00CB1959"/>
    <w:rsid w:val="00CB19A8"/>
    <w:rsid w:val="00CC0427"/>
    <w:rsid w:val="00CC2C23"/>
    <w:rsid w:val="00CC3BEC"/>
    <w:rsid w:val="00CD4916"/>
    <w:rsid w:val="00CE10C5"/>
    <w:rsid w:val="00CE4A4A"/>
    <w:rsid w:val="00CF0253"/>
    <w:rsid w:val="00CF375D"/>
    <w:rsid w:val="00D0296C"/>
    <w:rsid w:val="00D0348F"/>
    <w:rsid w:val="00D03D4A"/>
    <w:rsid w:val="00D07D18"/>
    <w:rsid w:val="00D11A53"/>
    <w:rsid w:val="00D2253C"/>
    <w:rsid w:val="00D22869"/>
    <w:rsid w:val="00D22925"/>
    <w:rsid w:val="00D32D2C"/>
    <w:rsid w:val="00D4262B"/>
    <w:rsid w:val="00D45245"/>
    <w:rsid w:val="00D46D82"/>
    <w:rsid w:val="00D77480"/>
    <w:rsid w:val="00D80D31"/>
    <w:rsid w:val="00D839B0"/>
    <w:rsid w:val="00D92CD6"/>
    <w:rsid w:val="00DA17E2"/>
    <w:rsid w:val="00DA48FF"/>
    <w:rsid w:val="00DA6681"/>
    <w:rsid w:val="00DB6D69"/>
    <w:rsid w:val="00DC430B"/>
    <w:rsid w:val="00DD4C60"/>
    <w:rsid w:val="00DD7E62"/>
    <w:rsid w:val="00DE1AD1"/>
    <w:rsid w:val="00DF25F7"/>
    <w:rsid w:val="00E14979"/>
    <w:rsid w:val="00E1758E"/>
    <w:rsid w:val="00E22DAE"/>
    <w:rsid w:val="00E357B7"/>
    <w:rsid w:val="00E44D53"/>
    <w:rsid w:val="00E53800"/>
    <w:rsid w:val="00E6081F"/>
    <w:rsid w:val="00E62635"/>
    <w:rsid w:val="00E67EFE"/>
    <w:rsid w:val="00E911F1"/>
    <w:rsid w:val="00E94B55"/>
    <w:rsid w:val="00EA04B2"/>
    <w:rsid w:val="00EA20F3"/>
    <w:rsid w:val="00EB6EEC"/>
    <w:rsid w:val="00EC69E5"/>
    <w:rsid w:val="00ED43D1"/>
    <w:rsid w:val="00ED4AC7"/>
    <w:rsid w:val="00EE4EE1"/>
    <w:rsid w:val="00EF4574"/>
    <w:rsid w:val="00F022C5"/>
    <w:rsid w:val="00F14280"/>
    <w:rsid w:val="00F2043D"/>
    <w:rsid w:val="00F2684E"/>
    <w:rsid w:val="00F325B0"/>
    <w:rsid w:val="00F33ECB"/>
    <w:rsid w:val="00F4313A"/>
    <w:rsid w:val="00F465E1"/>
    <w:rsid w:val="00F50200"/>
    <w:rsid w:val="00F545B0"/>
    <w:rsid w:val="00F57EE5"/>
    <w:rsid w:val="00F63AA1"/>
    <w:rsid w:val="00F729EF"/>
    <w:rsid w:val="00F77CAE"/>
    <w:rsid w:val="00F86292"/>
    <w:rsid w:val="00F90971"/>
    <w:rsid w:val="00F92E25"/>
    <w:rsid w:val="00F96BB9"/>
    <w:rsid w:val="00FB44AA"/>
    <w:rsid w:val="00FC7D55"/>
    <w:rsid w:val="00FE0045"/>
    <w:rsid w:val="00FE6D51"/>
    <w:rsid w:val="00FF10F7"/>
    <w:rsid w:val="00FF1AB2"/>
    <w:rsid w:val="00FF1B1D"/>
    <w:rsid w:val="01584286"/>
    <w:rsid w:val="02153A24"/>
    <w:rsid w:val="0221D776"/>
    <w:rsid w:val="03317FAD"/>
    <w:rsid w:val="04D2E719"/>
    <w:rsid w:val="05111A52"/>
    <w:rsid w:val="06D264D4"/>
    <w:rsid w:val="06DAFF85"/>
    <w:rsid w:val="07C798F2"/>
    <w:rsid w:val="08380689"/>
    <w:rsid w:val="0A41FBF2"/>
    <w:rsid w:val="0B022311"/>
    <w:rsid w:val="0F3479FC"/>
    <w:rsid w:val="13122437"/>
    <w:rsid w:val="14ADF498"/>
    <w:rsid w:val="197A55B6"/>
    <w:rsid w:val="1B983F54"/>
    <w:rsid w:val="1C3E04D7"/>
    <w:rsid w:val="224C8F93"/>
    <w:rsid w:val="22CF64DD"/>
    <w:rsid w:val="23BF1417"/>
    <w:rsid w:val="24B528EA"/>
    <w:rsid w:val="24D899C8"/>
    <w:rsid w:val="25AD72F9"/>
    <w:rsid w:val="29A738DC"/>
    <w:rsid w:val="29ECFB9A"/>
    <w:rsid w:val="2B046ABA"/>
    <w:rsid w:val="2D4CCCD3"/>
    <w:rsid w:val="2D6EC1FA"/>
    <w:rsid w:val="2E12ABCD"/>
    <w:rsid w:val="2EC19BAD"/>
    <w:rsid w:val="2FC628A1"/>
    <w:rsid w:val="2FC6CC48"/>
    <w:rsid w:val="300DCF40"/>
    <w:rsid w:val="302157F5"/>
    <w:rsid w:val="30F51FCC"/>
    <w:rsid w:val="31629CA9"/>
    <w:rsid w:val="325CB890"/>
    <w:rsid w:val="37F86A3C"/>
    <w:rsid w:val="386777C1"/>
    <w:rsid w:val="3F1F90CB"/>
    <w:rsid w:val="3FB41009"/>
    <w:rsid w:val="40633628"/>
    <w:rsid w:val="4274188B"/>
    <w:rsid w:val="43DE1979"/>
    <w:rsid w:val="45248B9A"/>
    <w:rsid w:val="45461324"/>
    <w:rsid w:val="45980229"/>
    <w:rsid w:val="48689239"/>
    <w:rsid w:val="4A54C643"/>
    <w:rsid w:val="4C34AC61"/>
    <w:rsid w:val="500E3D34"/>
    <w:rsid w:val="51B75AF3"/>
    <w:rsid w:val="524AA342"/>
    <w:rsid w:val="533AACBC"/>
    <w:rsid w:val="55226CA7"/>
    <w:rsid w:val="5720ACF4"/>
    <w:rsid w:val="59774DA3"/>
    <w:rsid w:val="59BB23DF"/>
    <w:rsid w:val="5B131E04"/>
    <w:rsid w:val="6395930B"/>
    <w:rsid w:val="64173E85"/>
    <w:rsid w:val="67B3C6A6"/>
    <w:rsid w:val="6C04383C"/>
    <w:rsid w:val="6D04B231"/>
    <w:rsid w:val="71491A98"/>
    <w:rsid w:val="75212542"/>
    <w:rsid w:val="77468F0B"/>
    <w:rsid w:val="7CB337E9"/>
    <w:rsid w:val="7D78C7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238911E"/>
  <w15:docId w15:val="{DEB67509-567B-4BD2-89D3-F6DB7F11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14"/>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E62635"/>
    <w:pPr>
      <w:pBdr>
        <w:top w:val="single" w:sz="4" w:space="1" w:color="808080" w:themeColor="background1" w:themeShade="80"/>
      </w:pBd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E62635"/>
    <w:pPr>
      <w:pBdr>
        <w:top w:val="none" w:sz="0" w:space="0" w:color="auto"/>
      </w:pBd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E6263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E6263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645300"/>
    <w:pPr>
      <w:spacing w:before="720"/>
    </w:pPr>
  </w:style>
  <w:style w:type="character" w:customStyle="1" w:styleId="TitleChar">
    <w:name w:val="Title Char"/>
    <w:basedOn w:val="DefaultParagraphFont"/>
    <w:link w:val="Title"/>
    <w:uiPriority w:val="10"/>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387F34"/>
    <w:pPr>
      <w:tabs>
        <w:tab w:val="left" w:pos="454"/>
        <w:tab w:val="right" w:pos="9072"/>
      </w:tabs>
      <w:spacing w:after="180" w:line="230" w:lineRule="atLeast"/>
    </w:pPr>
    <w:rPr>
      <w:bCs/>
      <w:noProof/>
      <w:sz w:val="23"/>
    </w:rPr>
  </w:style>
  <w:style w:type="paragraph" w:styleId="TOC2">
    <w:name w:val="toc 2"/>
    <w:basedOn w:val="Normal"/>
    <w:next w:val="Normal"/>
    <w:autoRedefine/>
    <w:uiPriority w:val="39"/>
    <w:unhideWhenUsed/>
    <w:rsid w:val="009C637B"/>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character" w:styleId="CommentReference">
    <w:name w:val="annotation reference"/>
    <w:basedOn w:val="DefaultParagraphFont"/>
    <w:uiPriority w:val="99"/>
    <w:semiHidden/>
    <w:unhideWhenUsed/>
    <w:rsid w:val="00CC2C23"/>
    <w:rPr>
      <w:sz w:val="16"/>
      <w:szCs w:val="16"/>
    </w:rPr>
  </w:style>
  <w:style w:type="paragraph" w:styleId="CommentText">
    <w:name w:val="annotation text"/>
    <w:basedOn w:val="Normal"/>
    <w:link w:val="CommentTextChar"/>
    <w:uiPriority w:val="99"/>
    <w:semiHidden/>
    <w:unhideWhenUsed/>
    <w:rsid w:val="00CC2C23"/>
    <w:pPr>
      <w:spacing w:line="240" w:lineRule="auto"/>
    </w:pPr>
    <w:rPr>
      <w:sz w:val="20"/>
      <w:szCs w:val="20"/>
    </w:rPr>
  </w:style>
  <w:style w:type="character" w:customStyle="1" w:styleId="CommentTextChar">
    <w:name w:val="Comment Text Char"/>
    <w:basedOn w:val="DefaultParagraphFont"/>
    <w:link w:val="CommentText"/>
    <w:uiPriority w:val="99"/>
    <w:semiHidden/>
    <w:rsid w:val="00CC2C23"/>
    <w:rPr>
      <w:sz w:val="20"/>
      <w:szCs w:val="20"/>
    </w:rPr>
  </w:style>
  <w:style w:type="paragraph" w:styleId="CommentSubject">
    <w:name w:val="annotation subject"/>
    <w:basedOn w:val="CommentText"/>
    <w:next w:val="CommentText"/>
    <w:link w:val="CommentSubjectChar"/>
    <w:uiPriority w:val="99"/>
    <w:semiHidden/>
    <w:unhideWhenUsed/>
    <w:rsid w:val="00CC2C23"/>
    <w:rPr>
      <w:b/>
      <w:bCs/>
    </w:rPr>
  </w:style>
  <w:style w:type="character" w:customStyle="1" w:styleId="CommentSubjectChar">
    <w:name w:val="Comment Subject Char"/>
    <w:basedOn w:val="CommentTextChar"/>
    <w:link w:val="CommentSubject"/>
    <w:uiPriority w:val="99"/>
    <w:semiHidden/>
    <w:rsid w:val="00CC2C23"/>
    <w:rPr>
      <w:b/>
      <w:bCs/>
      <w:sz w:val="20"/>
      <w:szCs w:val="20"/>
    </w:rPr>
  </w:style>
  <w:style w:type="paragraph" w:styleId="BalloonText">
    <w:name w:val="Balloon Text"/>
    <w:basedOn w:val="Normal"/>
    <w:link w:val="BalloonTextChar"/>
    <w:uiPriority w:val="99"/>
    <w:semiHidden/>
    <w:unhideWhenUsed/>
    <w:rsid w:val="00CC2C2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C23"/>
    <w:rPr>
      <w:rFonts w:ascii="Segoe UI" w:hAnsi="Segoe UI" w:cs="Segoe UI"/>
      <w:sz w:val="18"/>
      <w:szCs w:val="18"/>
    </w:rPr>
  </w:style>
  <w:style w:type="character" w:styleId="UnresolvedMention">
    <w:name w:val="Unresolved Mention"/>
    <w:basedOn w:val="DefaultParagraphFont"/>
    <w:uiPriority w:val="99"/>
    <w:semiHidden/>
    <w:unhideWhenUsed/>
    <w:rsid w:val="00EC69E5"/>
    <w:rPr>
      <w:color w:val="605E5C"/>
      <w:shd w:val="clear" w:color="auto" w:fill="E1DFDD"/>
    </w:rPr>
  </w:style>
  <w:style w:type="paragraph" w:styleId="Revision">
    <w:name w:val="Revision"/>
    <w:hidden/>
    <w:uiPriority w:val="99"/>
    <w:semiHidden/>
    <w:rsid w:val="00B46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finance.gov.au/sites/default/files/2021-08/cnl-user-guide.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FIN33964-1997526845-9679</_dlc_DocId>
    <_dlc_DocIdUrl xmlns="6a7e9632-768a-49bf-85ac-c69233ab2a52">
      <Url>https://financegovau.sharepoint.com/sites/M365_DoF_50033964/_layouts/15/DocIdRedir.aspx?ID=FIN33964-1997526845-9679</Url>
      <Description>FIN33964-1997526845-9679</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Whole of Government Leasing</TermName>
          <TermId xmlns="http://schemas.microsoft.com/office/infopath/2007/PartnerControls">bc4910a9-0ed1-4a20-8e44-1389719200b0</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17</Value>
      <Value>3</Value>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_ip_UnifiedCompliancePolicyProperties xmlns="http://schemas.microsoft.com/sharepoint/v3" xsi:nil="true"/>
    <lcf76f155ced4ddcb4097134ff3c332f xmlns="65041ab2-ab3f-489d-bf4e-3a667e9aa525">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9333630C9E5144DBF117863F6230C98" ma:contentTypeVersion="38" ma:contentTypeDescription="Create a new document." ma:contentTypeScope="" ma:versionID="aa4f1ce80479d22e5f31b9f0a2b4595c">
  <xsd:schema xmlns:xsd="http://www.w3.org/2001/XMLSchema" xmlns:xs="http://www.w3.org/2001/XMLSchema" xmlns:p="http://schemas.microsoft.com/office/2006/metadata/properties" xmlns:ns1="http://schemas.microsoft.com/sharepoint/v3" xmlns:ns2="a334ba3b-e131-42d3-95f3-2728f5a41884" xmlns:ns3="65041ab2-ab3f-489d-bf4e-3a667e9aa525" xmlns:ns4="6a7e9632-768a-49bf-85ac-c69233ab2a52" targetNamespace="http://schemas.microsoft.com/office/2006/metadata/properties" ma:root="true" ma:fieldsID="bfa117d03ff594d5f9fdf49ea673d747" ns1:_="" ns2:_="" ns3:_="" ns4:_="">
    <xsd:import namespace="http://schemas.microsoft.com/sharepoint/v3"/>
    <xsd:import namespace="a334ba3b-e131-42d3-95f3-2728f5a41884"/>
    <xsd:import namespace="65041ab2-ab3f-489d-bf4e-3a667e9aa525"/>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lcf76f155ced4ddcb4097134ff3c332f"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e0ea9a3-025d-43eb-aff7-725c34334a1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5;#Property Data|bc4c4511-c862-4872-b093-c0c57df42481"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e0ea9a3-025d-43eb-aff7-725c34334a1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41ab2-ab3f-489d-bf4e-3a667e9aa525"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4AE61-BFC6-4968-B0A2-AB24B5C6C7A9}">
  <ds:schemaRefs>
    <ds:schemaRef ds:uri="65041ab2-ab3f-489d-bf4e-3a667e9aa525"/>
    <ds:schemaRef ds:uri="http://purl.org/dc/elements/1.1/"/>
    <ds:schemaRef ds:uri="http://schemas.microsoft.com/office/2006/documentManagement/types"/>
    <ds:schemaRef ds:uri="a334ba3b-e131-42d3-95f3-2728f5a41884"/>
    <ds:schemaRef ds:uri="http://purl.org/dc/dcmitype/"/>
    <ds:schemaRef ds:uri="http://purl.org/dc/terms/"/>
    <ds:schemaRef ds:uri="http://schemas.microsoft.com/office/infopath/2007/PartnerControls"/>
    <ds:schemaRef ds:uri="http://schemas.openxmlformats.org/package/2006/metadata/core-properties"/>
    <ds:schemaRef ds:uri="6a7e9632-768a-49bf-85ac-c69233ab2a52"/>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5105A5-6EC1-4DE6-8C41-F267D57FA644}">
  <ds:schemaRefs>
    <ds:schemaRef ds:uri="http://schemas.microsoft.com/sharepoint/events"/>
  </ds:schemaRefs>
</ds:datastoreItem>
</file>

<file path=customXml/itemProps3.xml><?xml version="1.0" encoding="utf-8"?>
<ds:datastoreItem xmlns:ds="http://schemas.openxmlformats.org/officeDocument/2006/customXml" ds:itemID="{0C0323F3-8D78-4896-BC5B-90729EE36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5041ab2-ab3f-489d-bf4e-3a667e9aa525"/>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FA56D-24CF-43DC-BEE5-7C45D1656015}">
  <ds:schemaRefs>
    <ds:schemaRef ds:uri="http://schemas.openxmlformats.org/officeDocument/2006/bibliography"/>
  </ds:schemaRefs>
</ds:datastoreItem>
</file>

<file path=customXml/itemProps5.xml><?xml version="1.0" encoding="utf-8"?>
<ds:datastoreItem xmlns:ds="http://schemas.openxmlformats.org/officeDocument/2006/customXml" ds:itemID="{5C3E0576-361F-4669-AF27-0FDB6DBA2EFE}">
  <ds:schemaRefs>
    <ds:schemaRef ds:uri="Microsoft.SharePoint.Taxonomy.ContentTypeSync"/>
  </ds:schemaRefs>
</ds:datastoreItem>
</file>

<file path=customXml/itemProps6.xml><?xml version="1.0" encoding="utf-8"?>
<ds:datastoreItem xmlns:ds="http://schemas.openxmlformats.org/officeDocument/2006/customXml" ds:itemID="{9E78882E-D299-469E-8FAA-8AEBA897C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2636</Words>
  <Characters>13897</Characters>
  <Application>Microsoft Office Word</Application>
  <DocSecurity>0</DocSecurity>
  <Lines>375</Lines>
  <Paragraphs>196</Paragraphs>
  <ScaleCrop>false</ScaleCrop>
  <HeadingPairs>
    <vt:vector size="2" baseType="variant">
      <vt:variant>
        <vt:lpstr>Title</vt:lpstr>
      </vt:variant>
      <vt:variant>
        <vt:i4>1</vt:i4>
      </vt:variant>
    </vt:vector>
  </HeadingPairs>
  <TitlesOfParts>
    <vt:vector size="1" baseType="lpstr">
      <vt:lpstr>Supplementary Guide - AGPR Reporting Scenarios</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Guide - AGPR Reporting Scenarios</dc:title>
  <dc:subject/>
  <dc:creator>Ben</dc:creator>
  <cp:keywords>[SEC=OFFICIAL]</cp:keywords>
  <dc:description/>
  <cp:lastModifiedBy>Jay, Alina</cp:lastModifiedBy>
  <cp:revision>2</cp:revision>
  <cp:lastPrinted>2023-06-19T22:41:00Z</cp:lastPrinted>
  <dcterms:created xsi:type="dcterms:W3CDTF">2023-06-23T02:09:00Z</dcterms:created>
  <dcterms:modified xsi:type="dcterms:W3CDTF">2023-06-23T02:09:00Z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0x010100B7B479F47583304BA8B631462CC772D70029333630C9E5144DBF117863F6230C98</vt:lpwstr>
  </property>
  <property fmtid="{D5CDD505-2E9C-101B-9397-08002B2CF9AE}" pid="3" name="TaxKeyword">
    <vt:lpwstr>17;#[SEC=OFFICIAL]|07351cc0-de73-4913-be2f-56f124cbf8bb</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10;#WoG Leasing|bc4910a9-0ed1-4a20-8e44-1389719200b0</vt:lpwstr>
  </property>
  <property fmtid="{D5CDD505-2E9C-101B-9397-08002B2CF9AE}" pid="8" name="_dlc_DocIdItemGuid">
    <vt:lpwstr>288bddc9-511f-4b83-8bdb-e91e6aef52f5</vt:lpwstr>
  </property>
  <property fmtid="{D5CDD505-2E9C-101B-9397-08002B2CF9AE}" pid="9" name="EmReceivedByName">
    <vt:lpwstr/>
  </property>
  <property fmtid="{D5CDD505-2E9C-101B-9397-08002B2CF9AE}" pid="10" name="EmSubject">
    <vt:lpwstr/>
  </property>
  <property fmtid="{D5CDD505-2E9C-101B-9397-08002B2CF9AE}" pid="11" name="EmToAddress">
    <vt:lpwstr/>
  </property>
  <property fmtid="{D5CDD505-2E9C-101B-9397-08002B2CF9AE}" pid="12" name="EmCategory">
    <vt:lpwstr/>
  </property>
  <property fmtid="{D5CDD505-2E9C-101B-9397-08002B2CF9AE}" pid="13" name="EmConversationIndex">
    <vt:lpwstr/>
  </property>
  <property fmtid="{D5CDD505-2E9C-101B-9397-08002B2CF9AE}" pid="14" name="EmReplyRecipients">
    <vt:lpwstr/>
  </property>
  <property fmtid="{D5CDD505-2E9C-101B-9397-08002B2CF9AE}" pid="15" name="EmBody">
    <vt:lpwstr/>
  </property>
  <property fmtid="{D5CDD505-2E9C-101B-9397-08002B2CF9AE}" pid="16" name="EmHasAttachments">
    <vt:bool>false</vt:bool>
  </property>
  <property fmtid="{D5CDD505-2E9C-101B-9397-08002B2CF9AE}" pid="17" name="EmRetentionPolicyName">
    <vt:lpwstr/>
  </property>
  <property fmtid="{D5CDD505-2E9C-101B-9397-08002B2CF9AE}" pid="18" name="EmReplyRecipientNames">
    <vt:lpwstr/>
  </property>
  <property fmtid="{D5CDD505-2E9C-101B-9397-08002B2CF9AE}" pid="19" name="EmCC">
    <vt:lpwstr/>
  </property>
  <property fmtid="{D5CDD505-2E9C-101B-9397-08002B2CF9AE}" pid="20" name="EmBCCSMTPAddress">
    <vt:lpwstr/>
  </property>
  <property fmtid="{D5CDD505-2E9C-101B-9397-08002B2CF9AE}" pid="21" name="EmFromName">
    <vt:lpwstr/>
  </property>
  <property fmtid="{D5CDD505-2E9C-101B-9397-08002B2CF9AE}" pid="22" name="About Entity">
    <vt:lpwstr>2;#Department of Finance|fd660e8f-8f31-49bd-92a3-d31d4da31afe</vt:lpwstr>
  </property>
  <property fmtid="{D5CDD505-2E9C-101B-9397-08002B2CF9AE}" pid="23" name="EmFrom">
    <vt:lpwstr/>
  </property>
  <property fmtid="{D5CDD505-2E9C-101B-9397-08002B2CF9AE}" pid="24" name="EmAttachmentNames">
    <vt:lpwstr/>
  </property>
  <property fmtid="{D5CDD505-2E9C-101B-9397-08002B2CF9AE}" pid="25" name="EmSentOnBehalfOfName">
    <vt:lpwstr/>
  </property>
  <property fmtid="{D5CDD505-2E9C-101B-9397-08002B2CF9AE}" pid="26" name="EmTo">
    <vt:lpwstr/>
  </property>
  <property fmtid="{D5CDD505-2E9C-101B-9397-08002B2CF9AE}" pid="27" name="EmToSMTPAddress">
    <vt:lpwstr/>
  </property>
  <property fmtid="{D5CDD505-2E9C-101B-9397-08002B2CF9AE}" pid="28" name="Initiating Entity">
    <vt:lpwstr>2;#Department of Finance|fd660e8f-8f31-49bd-92a3-d31d4da31afe</vt:lpwstr>
  </property>
  <property fmtid="{D5CDD505-2E9C-101B-9397-08002B2CF9AE}" pid="29" name="Organisation Unit">
    <vt:lpwstr>3;#Whole of Government Leasing|bc4910a9-0ed1-4a20-8e44-1389719200b0</vt:lpwstr>
  </property>
  <property fmtid="{D5CDD505-2E9C-101B-9397-08002B2CF9AE}" pid="30" name="EmCCSMTPAddress">
    <vt:lpwstr/>
  </property>
  <property fmtid="{D5CDD505-2E9C-101B-9397-08002B2CF9AE}" pid="31" name="EmConversationID">
    <vt:lpwstr/>
  </property>
  <property fmtid="{D5CDD505-2E9C-101B-9397-08002B2CF9AE}" pid="32" name="EmBCC">
    <vt:lpwstr/>
  </property>
  <property fmtid="{D5CDD505-2E9C-101B-9397-08002B2CF9AE}" pid="33" name="EmID">
    <vt:lpwstr/>
  </property>
  <property fmtid="{D5CDD505-2E9C-101B-9397-08002B2CF9AE}" pid="34" name="EmCon">
    <vt:lpwstr/>
  </property>
  <property fmtid="{D5CDD505-2E9C-101B-9397-08002B2CF9AE}" pid="35" name="EmCompanies">
    <vt:lpwstr/>
  </property>
  <property fmtid="{D5CDD505-2E9C-101B-9397-08002B2CF9AE}" pid="36" name="EmFromSMTPAddress">
    <vt:lpwstr/>
  </property>
  <property fmtid="{D5CDD505-2E9C-101B-9397-08002B2CF9AE}" pid="37" name="EmAttachCount">
    <vt:lpwstr/>
  </property>
  <property fmtid="{D5CDD505-2E9C-101B-9397-08002B2CF9AE}" pid="38" name="EmReceivedOnBehalfOfName">
    <vt:lpwstr/>
  </property>
  <property fmtid="{D5CDD505-2E9C-101B-9397-08002B2CF9AE}" pid="39" name="MediaServiceImageTags">
    <vt:lpwstr/>
  </property>
  <property fmtid="{D5CDD505-2E9C-101B-9397-08002B2CF9AE}" pid="40" name="PM_Namespace">
    <vt:lpwstr>gov.au</vt:lpwstr>
  </property>
  <property fmtid="{D5CDD505-2E9C-101B-9397-08002B2CF9AE}" pid="41" name="PM_Caveats_Count">
    <vt:lpwstr>0</vt:lpwstr>
  </property>
  <property fmtid="{D5CDD505-2E9C-101B-9397-08002B2CF9AE}" pid="42" name="PM_Version">
    <vt:lpwstr>2018.4</vt:lpwstr>
  </property>
  <property fmtid="{D5CDD505-2E9C-101B-9397-08002B2CF9AE}" pid="43" name="PM_Note">
    <vt:lpwstr/>
  </property>
  <property fmtid="{D5CDD505-2E9C-101B-9397-08002B2CF9AE}" pid="44" name="PMHMAC">
    <vt:lpwstr>v=2022.1;a=SHA256;h=E001331D419B40B69257ABFB927C2A3F81A245C11A245BC4DE90CDF08DBCBF00</vt:lpwstr>
  </property>
  <property fmtid="{D5CDD505-2E9C-101B-9397-08002B2CF9AE}" pid="45" name="PM_Qualifier">
    <vt:lpwstr/>
  </property>
  <property fmtid="{D5CDD505-2E9C-101B-9397-08002B2CF9AE}" pid="46" name="PM_SecurityClassification">
    <vt:lpwstr>OFFICIAL</vt:lpwstr>
  </property>
  <property fmtid="{D5CDD505-2E9C-101B-9397-08002B2CF9AE}" pid="47" name="PM_ProtectiveMarkingValue_Header">
    <vt:lpwstr>OFFICIAL</vt:lpwstr>
  </property>
  <property fmtid="{D5CDD505-2E9C-101B-9397-08002B2CF9AE}" pid="48" name="PM_OriginationTimeStamp">
    <vt:lpwstr>2023-04-23T22:11:18Z</vt:lpwstr>
  </property>
  <property fmtid="{D5CDD505-2E9C-101B-9397-08002B2CF9AE}" pid="49" name="PM_Markers">
    <vt:lpwstr/>
  </property>
  <property fmtid="{D5CDD505-2E9C-101B-9397-08002B2CF9AE}" pid="50" name="MSIP_Label_87d6481e-ccdd-4ab6-8b26-05a0df5699e7_Name">
    <vt:lpwstr>OFFICIAL</vt:lpwstr>
  </property>
  <property fmtid="{D5CDD505-2E9C-101B-9397-08002B2CF9AE}" pid="51" name="MSIP_Label_87d6481e-ccdd-4ab6-8b26-05a0df5699e7_SiteId">
    <vt:lpwstr>08954cee-4782-4ff6-9ad5-1997dccef4b0</vt:lpwstr>
  </property>
  <property fmtid="{D5CDD505-2E9C-101B-9397-08002B2CF9AE}" pid="52" name="MSIP_Label_87d6481e-ccdd-4ab6-8b26-05a0df5699e7_Enabled">
    <vt:lpwstr>true</vt:lpwstr>
  </property>
  <property fmtid="{D5CDD505-2E9C-101B-9397-08002B2CF9AE}" pid="53" name="PM_OriginatorUserAccountName_SHA256">
    <vt:lpwstr>55FFC435A47FB890B86D11016B199A57799CF680BDCBFCAAB2E7DA4032899E6D</vt:lpwstr>
  </property>
  <property fmtid="{D5CDD505-2E9C-101B-9397-08002B2CF9AE}" pid="54" name="MSIP_Label_87d6481e-ccdd-4ab6-8b26-05a0df5699e7_SetDate">
    <vt:lpwstr>2023-04-23T22:11:18Z</vt:lpwstr>
  </property>
  <property fmtid="{D5CDD505-2E9C-101B-9397-08002B2CF9AE}" pid="55" name="MSIP_Label_87d6481e-ccdd-4ab6-8b26-05a0df5699e7_Method">
    <vt:lpwstr>Privileged</vt:lpwstr>
  </property>
  <property fmtid="{D5CDD505-2E9C-101B-9397-08002B2CF9AE}" pid="56" name="MSIP_Label_87d6481e-ccdd-4ab6-8b26-05a0df5699e7_ContentBits">
    <vt:lpwstr>0</vt:lpwstr>
  </property>
  <property fmtid="{D5CDD505-2E9C-101B-9397-08002B2CF9AE}" pid="57" name="MSIP_Label_87d6481e-ccdd-4ab6-8b26-05a0df5699e7_ActionId">
    <vt:lpwstr>12f7567ba5cb48659390f07d6c282cea</vt:lpwstr>
  </property>
  <property fmtid="{D5CDD505-2E9C-101B-9397-08002B2CF9AE}" pid="58" name="PM_InsertionValue">
    <vt:lpwstr>OFFICIAL</vt:lpwstr>
  </property>
  <property fmtid="{D5CDD505-2E9C-101B-9397-08002B2CF9AE}" pid="59" name="PM_Originator_Hash_SHA1">
    <vt:lpwstr>1CAA736BDB15EE95BB932A0FF78C13D156340536</vt:lpwstr>
  </property>
  <property fmtid="{D5CDD505-2E9C-101B-9397-08002B2CF9AE}" pid="60" name="PM_DisplayValueSecClassificationWithQualifier">
    <vt:lpwstr>OFFICIAL</vt:lpwstr>
  </property>
  <property fmtid="{D5CDD505-2E9C-101B-9397-08002B2CF9AE}" pid="61" name="PM_Originating_FileId">
    <vt:lpwstr>230A03FB4F5D448585FB5A97F723F4F2</vt:lpwstr>
  </property>
  <property fmtid="{D5CDD505-2E9C-101B-9397-08002B2CF9AE}" pid="62" name="PM_ProtectiveMarkingValue_Footer">
    <vt:lpwstr>OFFICIAL</vt:lpwstr>
  </property>
  <property fmtid="{D5CDD505-2E9C-101B-9397-08002B2CF9AE}" pid="63" name="PM_ProtectiveMarkingImage_Header">
    <vt:lpwstr>C:\Program Files\Common Files\janusNET Shared\janusSEAL\Images\DocumentSlashBlue.png</vt:lpwstr>
  </property>
  <property fmtid="{D5CDD505-2E9C-101B-9397-08002B2CF9AE}" pid="64" name="PM_ProtectiveMarkingImage_Footer">
    <vt:lpwstr>C:\Program Files\Common Files\janusNET Shared\janusSEAL\Images\DocumentSlashBlue.png</vt:lpwstr>
  </property>
  <property fmtid="{D5CDD505-2E9C-101B-9397-08002B2CF9AE}" pid="65" name="PM_Display">
    <vt:lpwstr>OFFICIAL</vt:lpwstr>
  </property>
  <property fmtid="{D5CDD505-2E9C-101B-9397-08002B2CF9AE}" pid="66" name="PM_OriginatorDomainName_SHA256">
    <vt:lpwstr>325440F6CA31C4C3BCE4433552DC42928CAAD3E2731ABE35FDE729ECEB763AF0</vt:lpwstr>
  </property>
  <property fmtid="{D5CDD505-2E9C-101B-9397-08002B2CF9AE}" pid="67" name="PMUuid">
    <vt:lpwstr>v=2022.2;d=gov.au;g=46DD6D7C-8107-577B-BC6E-F348953B2E44</vt:lpwstr>
  </property>
  <property fmtid="{D5CDD505-2E9C-101B-9397-08002B2CF9AE}" pid="68" name="PM_Hash_Version">
    <vt:lpwstr>2022.1</vt:lpwstr>
  </property>
  <property fmtid="{D5CDD505-2E9C-101B-9397-08002B2CF9AE}" pid="69" name="PM_Hash_Salt_Prev">
    <vt:lpwstr>2BCDB9C509C2B5F9180681B8B33429F4</vt:lpwstr>
  </property>
  <property fmtid="{D5CDD505-2E9C-101B-9397-08002B2CF9AE}" pid="70" name="PM_Hash_Salt">
    <vt:lpwstr>A6DABC77B09C3CBB01CB378FE68F5879</vt:lpwstr>
  </property>
  <property fmtid="{D5CDD505-2E9C-101B-9397-08002B2CF9AE}" pid="71" name="PM_Hash_SHA1">
    <vt:lpwstr>A99DA1CBB32A1AA9B3C3F9AAEAACB39A65A09F41</vt:lpwstr>
  </property>
  <property fmtid="{D5CDD505-2E9C-101B-9397-08002B2CF9AE}" pid="72" name="PM_SecurityClassification_Prev">
    <vt:lpwstr>OFFICIAL</vt:lpwstr>
  </property>
  <property fmtid="{D5CDD505-2E9C-101B-9397-08002B2CF9AE}" pid="73" name="PM_Qualifier_Prev">
    <vt:lpwstr/>
  </property>
</Properties>
</file>