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B25B" w14:textId="4E111262" w:rsidR="00D73985" w:rsidRPr="00016BDE" w:rsidRDefault="004A4080" w:rsidP="00A32841">
      <w:pPr>
        <w:pStyle w:val="Heading1"/>
        <w:rPr>
          <w:sz w:val="18"/>
        </w:rPr>
      </w:pPr>
      <w:r w:rsidRPr="004B4730">
        <w:rPr>
          <w:bCs w:val="0"/>
          <w:noProof/>
          <w:lang w:eastAsia="en-AU"/>
        </w:rPr>
        <mc:AlternateContent>
          <mc:Choice Requires="wps">
            <w:drawing>
              <wp:anchor distT="45720" distB="45720" distL="114300" distR="114300" simplePos="0" relativeHeight="251658241" behindDoc="0" locked="0" layoutInCell="1" allowOverlap="1" wp14:anchorId="0746F821" wp14:editId="0F9C6A1E">
                <wp:simplePos x="0" y="0"/>
                <wp:positionH relativeFrom="margin">
                  <wp:align>right</wp:align>
                </wp:positionH>
                <wp:positionV relativeFrom="paragraph">
                  <wp:posOffset>-3078</wp:posOffset>
                </wp:positionV>
                <wp:extent cx="1360968" cy="283833"/>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8" cy="283833"/>
                        </a:xfrm>
                        <a:prstGeom prst="rect">
                          <a:avLst/>
                        </a:prstGeom>
                        <a:noFill/>
                        <a:ln w="9525">
                          <a:noFill/>
                          <a:miter lim="800000"/>
                          <a:headEnd/>
                          <a:tailEnd/>
                        </a:ln>
                      </wps:spPr>
                      <wps:txbx>
                        <w:txbxContent>
                          <w:p w14:paraId="3948C30F" w14:textId="151BCB47" w:rsidR="00CD6258" w:rsidRPr="00A01D07" w:rsidRDefault="00CD6258" w:rsidP="00CD6258">
                            <w:pPr>
                              <w:spacing w:before="0" w:after="0" w:line="240" w:lineRule="auto"/>
                              <w:jc w:val="right"/>
                              <w:rPr>
                                <w:b/>
                                <w:szCs w:val="24"/>
                              </w:rPr>
                            </w:pPr>
                            <w:r w:rsidRPr="00A01D07">
                              <w:rPr>
                                <w:b/>
                                <w:szCs w:val="24"/>
                              </w:rPr>
                              <w:t xml:space="preserve">Attachment </w:t>
                            </w:r>
                            <w:r>
                              <w:rPr>
                                <w:b/>
                                <w:szCs w:val="24"/>
                              </w:rPr>
                              <w:t>A</w:t>
                            </w:r>
                          </w:p>
                          <w:p w14:paraId="376FDCBC" w14:textId="77777777" w:rsidR="00CD6258" w:rsidRPr="00C868C4" w:rsidRDefault="00CD6258" w:rsidP="00CD6258">
                            <w:pPr>
                              <w:rPr>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5AA767D2">
              <v:shapetype id="_x0000_t202" coordsize="21600,21600" o:spt="202" path="m,l,21600r21600,l21600,xe" w14:anchorId="0746F821">
                <v:stroke joinstyle="miter"/>
                <v:path gradientshapeok="t" o:connecttype="rect"/>
              </v:shapetype>
              <v:shape id="Text Box 5" style="position:absolute;margin-left:55.95pt;margin-top:-.25pt;width:107.15pt;height:22.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">
                <v:textbox>
                  <w:txbxContent>
                    <w:p w:rsidRPr="00A01D07" w:rsidR="00CD6258" w:rsidP="00CD6258" w:rsidRDefault="00CD6258" w14:paraId="507F29BF" w14:textId="151BCB47">
                      <w:pPr>
                        <w:spacing w:before="0" w:after="0" w:line="240" w:lineRule="auto"/>
                        <w:jc w:val="right"/>
                        <w:rPr>
                          <w:b/>
                          <w:szCs w:val="24"/>
                        </w:rPr>
                      </w:pPr>
                      <w:r w:rsidRPr="00A01D07">
                        <w:rPr>
                          <w:b/>
                          <w:szCs w:val="24"/>
                        </w:rPr>
                        <w:t xml:space="preserve">Attachment </w:t>
                      </w:r>
                      <w:r>
                        <w:rPr>
                          <w:b/>
                          <w:szCs w:val="24"/>
                        </w:rPr>
                        <w:t>A</w:t>
                      </w:r>
                    </w:p>
                    <w:p w:rsidRPr="00C868C4" w:rsidR="00CD6258" w:rsidP="00CD6258" w:rsidRDefault="00CD6258" w14:paraId="672A6659" w14:textId="77777777">
                      <w:pPr>
                        <w:rPr>
                          <w:i/>
                          <w:sz w:val="24"/>
                          <w:szCs w:val="24"/>
                        </w:rPr>
                      </w:pPr>
                    </w:p>
                  </w:txbxContent>
                </v:textbox>
                <w10:wrap anchorx="margin"/>
              </v:shape>
            </w:pict>
          </mc:Fallback>
        </mc:AlternateContent>
      </w:r>
      <w:r w:rsidR="00284287" w:rsidRPr="00016BDE">
        <w:rPr>
          <w:noProof/>
          <w:lang w:eastAsia="en-AU"/>
        </w:rPr>
        <mc:AlternateContent>
          <mc:Choice Requires="wps">
            <w:drawing>
              <wp:anchor distT="0" distB="0" distL="114300" distR="114300" simplePos="0" relativeHeight="251658240" behindDoc="0" locked="0" layoutInCell="1" allowOverlap="1" wp14:anchorId="0F762EBE" wp14:editId="43EBEA71">
                <wp:simplePos x="0" y="0"/>
                <wp:positionH relativeFrom="page">
                  <wp:posOffset>8626</wp:posOffset>
                </wp:positionH>
                <wp:positionV relativeFrom="page">
                  <wp:posOffset>879893</wp:posOffset>
                </wp:positionV>
                <wp:extent cx="7552055" cy="286325"/>
                <wp:effectExtent l="0" t="0" r="0" b="0"/>
                <wp:wrapNone/>
                <wp:docPr id="1" name="Rectangle 1"/>
                <wp:cNvGraphicFramePr/>
                <a:graphic xmlns:a="http://schemas.openxmlformats.org/drawingml/2006/main">
                  <a:graphicData uri="http://schemas.microsoft.com/office/word/2010/wordprocessingShape">
                    <wps:wsp>
                      <wps:cNvSpPr/>
                      <wps:spPr>
                        <a:xfrm>
                          <a:off x="0" y="0"/>
                          <a:ext cx="7552055" cy="2863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52B6806">
              <v:rect id="Rectangle 1" style="position:absolute;margin-left:.7pt;margin-top:69.3pt;width:594.65pt;height:2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bfbfe4 [1941]" stroked="f" strokeweight="1pt" w14:anchorId="5EFE5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">
                <w10:wrap anchorx="page" anchory="page"/>
              </v:rect>
            </w:pict>
          </mc:Fallback>
        </mc:AlternateContent>
      </w:r>
      <w:r w:rsidR="003D3503">
        <w:t xml:space="preserve"> </w:t>
      </w:r>
      <w:r w:rsidR="00D73985" w:rsidRPr="00016BDE">
        <w:br/>
        <w:t>AGENCY GUIDANCE</w:t>
      </w:r>
    </w:p>
    <w:p w14:paraId="282E30A4" w14:textId="60FFC6DF" w:rsidR="007E5DD6" w:rsidRPr="00016BDE" w:rsidRDefault="51483D97" w:rsidP="00CB6E45">
      <w:r w:rsidRPr="00016BDE">
        <w:t xml:space="preserve">Key information, changes and deadlines for the </w:t>
      </w:r>
      <w:r w:rsidRPr="00A32841">
        <w:t>202</w:t>
      </w:r>
      <w:r w:rsidR="1C06C1B4" w:rsidRPr="00A32841">
        <w:t>2</w:t>
      </w:r>
      <w:r w:rsidRPr="00A32841">
        <w:t>-2</w:t>
      </w:r>
      <w:r w:rsidR="1C06C1B4" w:rsidRPr="00A32841">
        <w:t>3</w:t>
      </w:r>
      <w:r w:rsidRPr="00016BDE">
        <w:t xml:space="preserve"> </w:t>
      </w:r>
      <w:r w:rsidR="6AA00CF8" w:rsidRPr="00C81846">
        <w:t xml:space="preserve">Additional Estimates </w:t>
      </w:r>
      <w:r w:rsidR="00AA2B5E">
        <w:t xml:space="preserve">(AE) </w:t>
      </w:r>
      <w:r w:rsidR="6AA00CF8" w:rsidRPr="00C81846">
        <w:t xml:space="preserve">Appropriation Bills and </w:t>
      </w:r>
      <w:bookmarkStart w:id="0" w:name="_Hlk129337013"/>
      <w:r w:rsidRPr="00016BDE">
        <w:t>Portfolio Additional Estimates Statements</w:t>
      </w:r>
      <w:r w:rsidR="00E83AD1" w:rsidRPr="00016BDE">
        <w:t xml:space="preserve"> (PAES)</w:t>
      </w:r>
      <w:bookmarkEnd w:id="0"/>
      <w:r w:rsidR="4B692CBA" w:rsidRPr="00016BDE">
        <w:t xml:space="preserve"> that will be tabled in Parliament on Budget night (Tuesday, 9 May 2023).</w:t>
      </w:r>
      <w:r w:rsidR="7D6856DE" w:rsidRPr="00016BDE">
        <w:t xml:space="preserve"> </w:t>
      </w:r>
      <w:r w:rsidR="00234A1E" w:rsidRPr="00016BDE">
        <w:br/>
      </w:r>
    </w:p>
    <w:p w14:paraId="0F0CC66B" w14:textId="4F7D4DD3" w:rsidR="00B50ADD" w:rsidRPr="00016BDE" w:rsidRDefault="00234A1E" w:rsidP="00A32841">
      <w:pPr>
        <w:pStyle w:val="Heading1Numbered"/>
      </w:pPr>
      <w:r w:rsidRPr="00016BDE">
        <w:t>Appropriation Bills</w:t>
      </w:r>
      <w:r w:rsidR="00C40DAD" w:rsidRPr="00016BDE">
        <w:t xml:space="preserve"> CFO Sign-Offs</w:t>
      </w:r>
    </w:p>
    <w:p w14:paraId="59270E89" w14:textId="26B73A26" w:rsidR="00FC7059" w:rsidRPr="00D50513" w:rsidRDefault="00FC7059" w:rsidP="00E54E8E">
      <w:pPr>
        <w:pStyle w:val="NumberedList1"/>
      </w:pPr>
      <w:r w:rsidRPr="00E54E8E">
        <w:t xml:space="preserve">Entities are required to update their appropriation estimates in CBMS for </w:t>
      </w:r>
      <w:r w:rsidR="00DF5E66" w:rsidRPr="00E54E8E">
        <w:t xml:space="preserve">Appropriation Bills </w:t>
      </w:r>
      <w:r w:rsidR="007A7ECD" w:rsidRPr="00E54E8E">
        <w:t>(</w:t>
      </w:r>
      <w:r w:rsidR="00DF5E66" w:rsidRPr="00E54E8E">
        <w:t>No. 3 and No. 4</w:t>
      </w:r>
      <w:r w:rsidR="007A7ECD" w:rsidRPr="00E54E8E">
        <w:t>)</w:t>
      </w:r>
      <w:r w:rsidRPr="00E54E8E">
        <w:t xml:space="preserve"> by </w:t>
      </w:r>
      <w:r w:rsidR="004A320C" w:rsidRPr="000917BA">
        <w:t>Monday</w:t>
      </w:r>
      <w:r w:rsidR="007A7ECD" w:rsidRPr="000917BA">
        <w:t xml:space="preserve">, </w:t>
      </w:r>
      <w:r w:rsidR="004A320C" w:rsidRPr="000917BA">
        <w:t>27</w:t>
      </w:r>
      <w:r w:rsidR="007A7ECD" w:rsidRPr="000917BA">
        <w:t xml:space="preserve"> </w:t>
      </w:r>
      <w:r w:rsidR="004A320C" w:rsidRPr="000917BA">
        <w:t>March</w:t>
      </w:r>
      <w:r w:rsidR="007A7ECD" w:rsidRPr="000917BA">
        <w:t xml:space="preserve"> 2023</w:t>
      </w:r>
      <w:r w:rsidRPr="00D50513">
        <w:t xml:space="preserve">. </w:t>
      </w:r>
    </w:p>
    <w:p w14:paraId="26236ED3" w14:textId="0D392E2A" w:rsidR="00751256" w:rsidRPr="00D50513" w:rsidRDefault="0083472D" w:rsidP="00E54E8E">
      <w:pPr>
        <w:pStyle w:val="NumberedList1"/>
      </w:pPr>
      <w:r w:rsidRPr="00D50513">
        <w:t xml:space="preserve">Estimate </w:t>
      </w:r>
      <w:r w:rsidR="001B7156" w:rsidRPr="00327CB9">
        <w:t>entrie</w:t>
      </w:r>
      <w:r w:rsidRPr="00327CB9">
        <w:t xml:space="preserve">s </w:t>
      </w:r>
      <w:r w:rsidR="001B7156" w:rsidRPr="00327CB9">
        <w:t>seeking to provide appropriations in 2022-23 should</w:t>
      </w:r>
      <w:r w:rsidRPr="003D7C30">
        <w:t xml:space="preserve"> be entered against </w:t>
      </w:r>
      <w:r w:rsidRPr="000917BA">
        <w:t xml:space="preserve">Appropriation Bills (No. 3 and No. 4) </w:t>
      </w:r>
      <w:r w:rsidR="00E96E78" w:rsidRPr="000917BA">
        <w:t>for</w:t>
      </w:r>
      <w:r w:rsidRPr="000917BA">
        <w:t xml:space="preserve"> entities to receive their funding in the 2022-23</w:t>
      </w:r>
      <w:r w:rsidRPr="00D50513">
        <w:t xml:space="preserve"> (current) year. Where entities are seeking funding for 2023-24 </w:t>
      </w:r>
      <w:r w:rsidR="001B7156" w:rsidRPr="00D50513">
        <w:t>and beyond</w:t>
      </w:r>
      <w:r w:rsidRPr="00D50513">
        <w:t xml:space="preserve">, </w:t>
      </w:r>
      <w:r w:rsidR="001B7156" w:rsidRPr="00327CB9">
        <w:t xml:space="preserve">estimate entries should be entered </w:t>
      </w:r>
      <w:r w:rsidRPr="00327CB9">
        <w:t xml:space="preserve">against </w:t>
      </w:r>
      <w:r w:rsidRPr="000917BA">
        <w:t>Appropriation Bills (No. 1 and No. 2) in CBMS</w:t>
      </w:r>
      <w:r w:rsidRPr="00D50513">
        <w:t>.</w:t>
      </w:r>
      <w:r w:rsidR="00751256" w:rsidRPr="00D50513">
        <w:t xml:space="preserve"> </w:t>
      </w:r>
    </w:p>
    <w:p w14:paraId="012EB593" w14:textId="730486A9" w:rsidR="0083472D" w:rsidRPr="00E54E8E" w:rsidRDefault="0083472D" w:rsidP="00E54E8E">
      <w:pPr>
        <w:pStyle w:val="NumberedList1"/>
        <w:rPr>
          <w:rStyle w:val="normaltextrun"/>
          <w:color w:val="auto"/>
        </w:rPr>
      </w:pPr>
      <w:r w:rsidRPr="00327CB9">
        <w:t xml:space="preserve">The Appropriation Bills Matrix specifies the </w:t>
      </w:r>
      <w:r w:rsidR="007A7ECD" w:rsidRPr="00327CB9">
        <w:t xml:space="preserve">required </w:t>
      </w:r>
      <w:r w:rsidRPr="00327CB9">
        <w:t xml:space="preserve">parameters </w:t>
      </w:r>
      <w:r w:rsidR="003537D5" w:rsidRPr="003D7C30">
        <w:t>for</w:t>
      </w:r>
      <w:r w:rsidRPr="00E54E8E">
        <w:t xml:space="preserve"> an estimate adjustment to flow to the Appropriation Bills </w:t>
      </w:r>
      <w:r w:rsidRPr="00E54E8E">
        <w:rPr>
          <w:szCs w:val="20"/>
        </w:rPr>
        <w:t>and this can be located in the CBMS Portal via</w:t>
      </w:r>
      <w:r w:rsidRPr="00E54E8E">
        <w:rPr>
          <w:rStyle w:val="normaltextrun"/>
          <w:color w:val="auto"/>
          <w:szCs w:val="20"/>
          <w:shd w:val="clear" w:color="auto" w:fill="FFFFFF"/>
        </w:rPr>
        <w:t>:</w:t>
      </w:r>
    </w:p>
    <w:p w14:paraId="0C9EC51D" w14:textId="77F86BB1" w:rsidR="0083472D" w:rsidRPr="00E54E8E" w:rsidRDefault="0083472D" w:rsidP="00E54E8E">
      <w:pPr>
        <w:pStyle w:val="CBMSReport"/>
      </w:pPr>
      <w:r w:rsidRPr="00E54E8E">
        <w:t xml:space="preserve">Assistance for CBMS feed tile </w:t>
      </w:r>
      <w:r w:rsidRPr="00E54E8E">
        <w:rPr>
          <w:rFonts w:ascii="Wingdings" w:eastAsia="Wingdings" w:hAnsi="Wingdings" w:cs="Wingdings"/>
        </w:rPr>
        <w:t>à</w:t>
      </w:r>
      <w:r w:rsidRPr="00E54E8E">
        <w:t xml:space="preserve"> User Support </w:t>
      </w:r>
      <w:r w:rsidRPr="00E54E8E">
        <w:rPr>
          <w:rFonts w:ascii="Wingdings" w:eastAsia="Wingdings" w:hAnsi="Wingdings" w:cs="Wingdings"/>
        </w:rPr>
        <w:t>à</w:t>
      </w:r>
      <w:r w:rsidRPr="00E54E8E">
        <w:t xml:space="preserve"> CBMS User Reference Material </w:t>
      </w:r>
      <w:r w:rsidRPr="00E54E8E">
        <w:rPr>
          <w:rFonts w:ascii="Wingdings" w:eastAsia="Wingdings" w:hAnsi="Wingdings" w:cs="Wingdings"/>
        </w:rPr>
        <w:t>à</w:t>
      </w:r>
      <w:r w:rsidRPr="00E54E8E">
        <w:t xml:space="preserve"> Reference Material </w:t>
      </w:r>
      <w:r w:rsidRPr="00E54E8E">
        <w:rPr>
          <w:rFonts w:ascii="Wingdings" w:eastAsia="Wingdings" w:hAnsi="Wingdings" w:cs="Wingdings"/>
        </w:rPr>
        <w:t>à</w:t>
      </w:r>
      <w:r w:rsidRPr="00E54E8E">
        <w:t xml:space="preserve"> Annual Estimates </w:t>
      </w:r>
      <w:r w:rsidRPr="00E54E8E">
        <w:rPr>
          <w:rFonts w:ascii="Wingdings" w:eastAsia="Wingdings" w:hAnsi="Wingdings" w:cs="Wingdings"/>
        </w:rPr>
        <w:t>à</w:t>
      </w:r>
      <w:r w:rsidRPr="00E54E8E">
        <w:t xml:space="preserve"> Appropriation Bills Matrix</w:t>
      </w:r>
    </w:p>
    <w:p w14:paraId="31CA6874" w14:textId="7063543F" w:rsidR="00234A1E" w:rsidRPr="00E54E8E" w:rsidRDefault="51483D97" w:rsidP="00E54E8E">
      <w:pPr>
        <w:pStyle w:val="NumberedList1"/>
      </w:pPr>
      <w:r w:rsidRPr="00E54E8E">
        <w:t xml:space="preserve">The </w:t>
      </w:r>
      <w:r w:rsidR="0006634D" w:rsidRPr="00E54E8E">
        <w:t>AE</w:t>
      </w:r>
      <w:r w:rsidR="007A7ECD" w:rsidRPr="00E54E8E">
        <w:t>s</w:t>
      </w:r>
      <w:r w:rsidRPr="00E54E8E">
        <w:t xml:space="preserve"> </w:t>
      </w:r>
      <w:r w:rsidR="754913DC" w:rsidRPr="00E54E8E">
        <w:t xml:space="preserve">Appropriation </w:t>
      </w:r>
      <w:r w:rsidRPr="00E54E8E">
        <w:t xml:space="preserve">Bills </w:t>
      </w:r>
      <w:r w:rsidR="0006634D" w:rsidRPr="00E54E8E">
        <w:t>(No.</w:t>
      </w:r>
      <w:r w:rsidR="007A7ECD" w:rsidRPr="00E54E8E">
        <w:t xml:space="preserve"> </w:t>
      </w:r>
      <w:r w:rsidR="0006634D" w:rsidRPr="00E54E8E">
        <w:t>3 and No.</w:t>
      </w:r>
      <w:r w:rsidR="007A7ECD" w:rsidRPr="00E54E8E">
        <w:t xml:space="preserve"> </w:t>
      </w:r>
      <w:r w:rsidR="0006634D" w:rsidRPr="00E54E8E">
        <w:t xml:space="preserve">4) </w:t>
      </w:r>
      <w:r w:rsidRPr="00E54E8E">
        <w:t xml:space="preserve">reports are available </w:t>
      </w:r>
      <w:r w:rsidR="00B1529E" w:rsidRPr="00E54E8E">
        <w:t xml:space="preserve">in CBMS </w:t>
      </w:r>
      <w:r w:rsidR="0046470E" w:rsidRPr="00E54E8E">
        <w:t>from</w:t>
      </w:r>
      <w:r w:rsidRPr="00E54E8E">
        <w:t>:</w:t>
      </w:r>
    </w:p>
    <w:p w14:paraId="3D15F897" w14:textId="251C4351" w:rsidR="00234A1E" w:rsidRPr="00E54E8E" w:rsidRDefault="00775C21" w:rsidP="00E54E8E">
      <w:pPr>
        <w:pStyle w:val="CBMSReport"/>
      </w:pPr>
      <w:r w:rsidRPr="00E54E8E">
        <w:t xml:space="preserve">All </w:t>
      </w:r>
      <w:r w:rsidR="00234A1E" w:rsidRPr="00E54E8E">
        <w:t>Reports</w:t>
      </w:r>
      <w:r w:rsidR="000421A8" w:rsidRPr="00E54E8E">
        <w:t xml:space="preserve"> </w:t>
      </w:r>
      <w:r w:rsidR="0081276B" w:rsidRPr="00E54E8E">
        <w:t>tile</w:t>
      </w:r>
      <w:r w:rsidR="00502B0E" w:rsidRPr="00E54E8E">
        <w:t xml:space="preserve"> </w:t>
      </w:r>
      <w:r w:rsidR="00502B0E" w:rsidRPr="00D50513">
        <w:rPr>
          <w:rFonts w:ascii="Wingdings" w:eastAsia="Wingdings" w:hAnsi="Wingdings" w:cs="Wingdings"/>
        </w:rPr>
        <w:t>à</w:t>
      </w:r>
      <w:r w:rsidR="000421A8" w:rsidRPr="00D50513">
        <w:t xml:space="preserve"> </w:t>
      </w:r>
      <w:r w:rsidR="00234A1E" w:rsidRPr="00D50513">
        <w:t xml:space="preserve">Statutory Reports </w:t>
      </w:r>
      <w:r w:rsidR="00502B0E" w:rsidRPr="00D50513">
        <w:rPr>
          <w:rFonts w:ascii="Wingdings" w:eastAsia="Wingdings" w:hAnsi="Wingdings" w:cs="Wingdings"/>
        </w:rPr>
        <w:t>à</w:t>
      </w:r>
      <w:r w:rsidR="00132310" w:rsidRPr="00D50513">
        <w:t xml:space="preserve"> </w:t>
      </w:r>
      <w:r w:rsidR="00234A1E" w:rsidRPr="00D50513">
        <w:t xml:space="preserve">Appropriation Bills </w:t>
      </w:r>
      <w:r w:rsidR="00502B0E" w:rsidRPr="00D50513">
        <w:rPr>
          <w:rFonts w:ascii="Wingdings" w:eastAsia="Wingdings" w:hAnsi="Wingdings" w:cs="Wingdings"/>
        </w:rPr>
        <w:t>à</w:t>
      </w:r>
      <w:r w:rsidR="00132310" w:rsidRPr="00D50513">
        <w:t xml:space="preserve"> </w:t>
      </w:r>
      <w:r w:rsidR="00295CC6" w:rsidRPr="00D50513">
        <w:t xml:space="preserve">Additional Estimates </w:t>
      </w:r>
      <w:r w:rsidR="00234A1E" w:rsidRPr="00D50513">
        <w:t xml:space="preserve">Bills </w:t>
      </w:r>
      <w:r w:rsidR="00502B0E" w:rsidRPr="00D50513">
        <w:rPr>
          <w:rFonts w:ascii="Wingdings" w:eastAsia="Wingdings" w:hAnsi="Wingdings" w:cs="Wingdings"/>
        </w:rPr>
        <w:t>à</w:t>
      </w:r>
      <w:r w:rsidR="004A320C" w:rsidRPr="00D50513">
        <w:t xml:space="preserve"> </w:t>
      </w:r>
      <w:r w:rsidR="006B34E2" w:rsidRPr="00D50513">
        <w:t xml:space="preserve"> A</w:t>
      </w:r>
      <w:r w:rsidR="00234A1E" w:rsidRPr="00327CB9">
        <w:t>ppropriation</w:t>
      </w:r>
      <w:r w:rsidR="002D3B44" w:rsidRPr="00327CB9">
        <w:t> </w:t>
      </w:r>
      <w:r w:rsidR="00234A1E" w:rsidRPr="00E54E8E">
        <w:t>Bill</w:t>
      </w:r>
      <w:r w:rsidR="00763E60" w:rsidRPr="00E54E8E">
        <w:t> </w:t>
      </w:r>
      <w:r w:rsidR="00295CC6" w:rsidRPr="00E54E8E">
        <w:t>3</w:t>
      </w:r>
      <w:r w:rsidR="000A5F6F" w:rsidRPr="00E54E8E">
        <w:t> </w:t>
      </w:r>
      <w:r w:rsidR="00234A1E" w:rsidRPr="00E54E8E">
        <w:t xml:space="preserve"> – Portfolio Summary and Detail</w:t>
      </w:r>
    </w:p>
    <w:p w14:paraId="7782A368" w14:textId="484F44D4" w:rsidR="00E011B1" w:rsidRPr="00E54E8E" w:rsidRDefault="00E011B1" w:rsidP="00D50513">
      <w:pPr>
        <w:pStyle w:val="CBMSReport"/>
      </w:pPr>
      <w:r w:rsidRPr="00E54E8E">
        <w:t xml:space="preserve">All Reports tile </w:t>
      </w:r>
      <w:r w:rsidRPr="00D50513">
        <w:rPr>
          <w:rFonts w:ascii="Wingdings" w:eastAsia="Wingdings" w:hAnsi="Wingdings" w:cs="Wingdings"/>
        </w:rPr>
        <w:t>à</w:t>
      </w:r>
      <w:r w:rsidRPr="00D50513">
        <w:t xml:space="preserve"> Statutory Reports </w:t>
      </w:r>
      <w:r w:rsidRPr="00D50513">
        <w:rPr>
          <w:rFonts w:ascii="Wingdings" w:eastAsia="Wingdings" w:hAnsi="Wingdings" w:cs="Wingdings"/>
        </w:rPr>
        <w:t>à</w:t>
      </w:r>
      <w:r w:rsidRPr="00D50513">
        <w:t xml:space="preserve"> Appropriation Bills </w:t>
      </w:r>
      <w:r w:rsidRPr="00D50513">
        <w:rPr>
          <w:rFonts w:ascii="Wingdings" w:eastAsia="Wingdings" w:hAnsi="Wingdings" w:cs="Wingdings"/>
        </w:rPr>
        <w:t>à</w:t>
      </w:r>
      <w:r w:rsidRPr="00D50513">
        <w:t xml:space="preserve"> Additional Estimates Bills </w:t>
      </w:r>
      <w:r w:rsidRPr="00D50513">
        <w:rPr>
          <w:rFonts w:ascii="Wingdings" w:eastAsia="Wingdings" w:hAnsi="Wingdings" w:cs="Wingdings"/>
        </w:rPr>
        <w:t>à</w:t>
      </w:r>
      <w:r w:rsidR="006B34E2" w:rsidRPr="00D50513">
        <w:t xml:space="preserve"> </w:t>
      </w:r>
      <w:r w:rsidRPr="00327CB9">
        <w:t>Appropriation</w:t>
      </w:r>
      <w:r w:rsidR="002D3B44" w:rsidRPr="00327CB9">
        <w:t> </w:t>
      </w:r>
      <w:r w:rsidRPr="00E54E8E">
        <w:t>Bill 3</w:t>
      </w:r>
      <w:r w:rsidR="006B34E2" w:rsidRPr="00E54E8E">
        <w:t> </w:t>
      </w:r>
      <w:r w:rsidRPr="00E54E8E">
        <w:t>– Summary</w:t>
      </w:r>
    </w:p>
    <w:p w14:paraId="7C40029C" w14:textId="5B1D8AC4" w:rsidR="00505CE6" w:rsidRPr="00E54E8E" w:rsidRDefault="00775C21" w:rsidP="00D50513">
      <w:pPr>
        <w:pStyle w:val="CBMSReport"/>
      </w:pPr>
      <w:r w:rsidRPr="00E54E8E">
        <w:t xml:space="preserve">All </w:t>
      </w:r>
      <w:r w:rsidR="00234A1E" w:rsidRPr="00E54E8E">
        <w:t xml:space="preserve">Reports </w:t>
      </w:r>
      <w:r w:rsidR="0081276B" w:rsidRPr="00E54E8E">
        <w:t>tile</w:t>
      </w:r>
      <w:r w:rsidR="006B34E2" w:rsidRPr="00E54E8E">
        <w:t xml:space="preserve"> </w:t>
      </w:r>
      <w:r w:rsidR="006B34E2" w:rsidRPr="00D50513">
        <w:rPr>
          <w:rFonts w:ascii="Wingdings" w:eastAsia="Wingdings" w:hAnsi="Wingdings" w:cs="Wingdings"/>
        </w:rPr>
        <w:t>à</w:t>
      </w:r>
      <w:r w:rsidR="00234A1E" w:rsidRPr="00D50513">
        <w:t xml:space="preserve"> Statutory Reports </w:t>
      </w:r>
      <w:r w:rsidR="004A320C" w:rsidRPr="00D50513">
        <w:rPr>
          <w:rFonts w:ascii="Wingdings" w:eastAsia="Wingdings" w:hAnsi="Wingdings" w:cs="Wingdings"/>
        </w:rPr>
        <w:t>à</w:t>
      </w:r>
      <w:r w:rsidR="00132310" w:rsidRPr="00D50513">
        <w:t xml:space="preserve"> </w:t>
      </w:r>
      <w:r w:rsidR="00234A1E" w:rsidRPr="00D50513">
        <w:t xml:space="preserve">Appropriation Bills </w:t>
      </w:r>
      <w:r w:rsidR="004A320C" w:rsidRPr="00D50513">
        <w:rPr>
          <w:rFonts w:ascii="Wingdings" w:eastAsia="Wingdings" w:hAnsi="Wingdings" w:cs="Wingdings"/>
        </w:rPr>
        <w:t>à</w:t>
      </w:r>
      <w:r w:rsidR="00132310" w:rsidRPr="00D50513">
        <w:t xml:space="preserve"> </w:t>
      </w:r>
      <w:r w:rsidR="00295CC6" w:rsidRPr="00D50513">
        <w:t xml:space="preserve">Additional Estimates </w:t>
      </w:r>
      <w:r w:rsidR="00234A1E" w:rsidRPr="00327CB9">
        <w:t xml:space="preserve">Bills </w:t>
      </w:r>
      <w:r w:rsidR="004A320C" w:rsidRPr="00D50513">
        <w:rPr>
          <w:rFonts w:ascii="Wingdings" w:eastAsia="Wingdings" w:hAnsi="Wingdings" w:cs="Wingdings"/>
        </w:rPr>
        <w:t>à</w:t>
      </w:r>
      <w:r w:rsidR="00132310" w:rsidRPr="00D50513">
        <w:t xml:space="preserve"> </w:t>
      </w:r>
      <w:r w:rsidR="00234A1E" w:rsidRPr="00327CB9">
        <w:t>Appropriation</w:t>
      </w:r>
      <w:r w:rsidR="006B34E2" w:rsidRPr="00327CB9">
        <w:t> </w:t>
      </w:r>
      <w:r w:rsidR="00234A1E" w:rsidRPr="00327CB9">
        <w:t>Bill</w:t>
      </w:r>
      <w:r w:rsidR="006B34E2" w:rsidRPr="003D7C30">
        <w:t> </w:t>
      </w:r>
      <w:r w:rsidR="00295CC6" w:rsidRPr="00E54E8E">
        <w:t>4</w:t>
      </w:r>
      <w:r w:rsidR="006B34E2" w:rsidRPr="00E54E8E">
        <w:t> </w:t>
      </w:r>
      <w:r w:rsidR="00234A1E" w:rsidRPr="00E54E8E">
        <w:t>– Portfolio Summary and Detail</w:t>
      </w:r>
    </w:p>
    <w:p w14:paraId="63E9851A" w14:textId="24106105" w:rsidR="0023315A" w:rsidRPr="00E54E8E" w:rsidRDefault="0023315A" w:rsidP="00D50513">
      <w:pPr>
        <w:pStyle w:val="CBMSReport"/>
      </w:pPr>
      <w:r w:rsidRPr="00E54E8E">
        <w:t xml:space="preserve">All Reports tile </w:t>
      </w:r>
      <w:r w:rsidRPr="00D50513">
        <w:rPr>
          <w:rFonts w:ascii="Wingdings" w:eastAsia="Wingdings" w:hAnsi="Wingdings" w:cs="Wingdings"/>
        </w:rPr>
        <w:t>à</w:t>
      </w:r>
      <w:r w:rsidRPr="00D50513">
        <w:t xml:space="preserve"> Statutory Reports </w:t>
      </w:r>
      <w:r w:rsidRPr="00D50513">
        <w:rPr>
          <w:rFonts w:ascii="Wingdings" w:eastAsia="Wingdings" w:hAnsi="Wingdings" w:cs="Wingdings"/>
        </w:rPr>
        <w:t>à</w:t>
      </w:r>
      <w:r w:rsidRPr="00D50513">
        <w:t xml:space="preserve"> Appropriation Bills </w:t>
      </w:r>
      <w:r w:rsidRPr="00D50513">
        <w:rPr>
          <w:rFonts w:ascii="Wingdings" w:eastAsia="Wingdings" w:hAnsi="Wingdings" w:cs="Wingdings"/>
        </w:rPr>
        <w:t>à</w:t>
      </w:r>
      <w:r w:rsidRPr="00D50513">
        <w:t xml:space="preserve"> Additional Estimates Bills </w:t>
      </w:r>
      <w:r w:rsidRPr="00D50513">
        <w:rPr>
          <w:rFonts w:ascii="Wingdings" w:eastAsia="Wingdings" w:hAnsi="Wingdings" w:cs="Wingdings"/>
        </w:rPr>
        <w:t>à</w:t>
      </w:r>
      <w:r w:rsidRPr="00D50513">
        <w:t xml:space="preserve"> Appropriation</w:t>
      </w:r>
      <w:r w:rsidR="002D3B44" w:rsidRPr="00327CB9">
        <w:t> </w:t>
      </w:r>
      <w:r w:rsidRPr="00E54E8E">
        <w:t>Bill</w:t>
      </w:r>
      <w:r w:rsidR="006B34E2" w:rsidRPr="00E54E8E">
        <w:t> </w:t>
      </w:r>
      <w:r w:rsidRPr="00E54E8E">
        <w:t>4</w:t>
      </w:r>
      <w:r w:rsidR="006B34E2" w:rsidRPr="00E54E8E">
        <w:t> </w:t>
      </w:r>
      <w:r w:rsidRPr="00E54E8E">
        <w:t>– Summary</w:t>
      </w:r>
    </w:p>
    <w:p w14:paraId="278EF30E" w14:textId="3F45F471" w:rsidR="00505CE6" w:rsidRPr="00E54E8E" w:rsidRDefault="00686BFA" w:rsidP="00327CB9">
      <w:pPr>
        <w:pStyle w:val="Indent1"/>
        <w:tabs>
          <w:tab w:val="left" w:pos="567"/>
        </w:tabs>
        <w:ind w:left="567"/>
      </w:pPr>
      <w:r w:rsidRPr="00E54E8E">
        <w:t xml:space="preserve">When </w:t>
      </w:r>
      <w:r w:rsidR="00AB5E89" w:rsidRPr="00E54E8E">
        <w:t xml:space="preserve">running </w:t>
      </w:r>
      <w:r w:rsidRPr="00E54E8E">
        <w:t xml:space="preserve">the </w:t>
      </w:r>
      <w:r w:rsidR="00AB5E89" w:rsidRPr="00E54E8E">
        <w:t>reports</w:t>
      </w:r>
      <w:r w:rsidR="00190386" w:rsidRPr="00E54E8E">
        <w:t xml:space="preserve"> entities </w:t>
      </w:r>
      <w:r w:rsidR="000B23BA" w:rsidRPr="00E54E8E">
        <w:t>must</w:t>
      </w:r>
      <w:r w:rsidR="00190386" w:rsidRPr="00E54E8E">
        <w:t xml:space="preserve"> select the following parameters</w:t>
      </w:r>
      <w:r w:rsidR="00FB4D70" w:rsidRPr="00E54E8E">
        <w:t>:</w:t>
      </w:r>
    </w:p>
    <w:tbl>
      <w:tblPr>
        <w:tblStyle w:val="TableGrid"/>
        <w:tblW w:w="0" w:type="auto"/>
        <w:tblInd w:w="846" w:type="dxa"/>
        <w:tblLook w:val="04A0" w:firstRow="1" w:lastRow="0" w:firstColumn="1" w:lastColumn="0" w:noHBand="0" w:noVBand="1"/>
      </w:tblPr>
      <w:tblGrid>
        <w:gridCol w:w="1842"/>
        <w:gridCol w:w="430"/>
        <w:gridCol w:w="4679"/>
      </w:tblGrid>
      <w:tr w:rsidR="00123C7B" w:rsidRPr="00E54E8E" w14:paraId="13524F9C" w14:textId="77777777" w:rsidTr="001703E4">
        <w:tc>
          <w:tcPr>
            <w:tcW w:w="1842" w:type="dxa"/>
            <w:tcBorders>
              <w:right w:val="nil"/>
            </w:tcBorders>
            <w:shd w:val="clear" w:color="auto" w:fill="D9D9D9" w:themeFill="background1" w:themeFillShade="D9"/>
          </w:tcPr>
          <w:p w14:paraId="0B8290FF" w14:textId="77777777" w:rsidR="00123C7B" w:rsidRPr="00E54E8E" w:rsidRDefault="00123C7B" w:rsidP="003D7C30">
            <w:pPr>
              <w:pStyle w:val="TableText-Small"/>
            </w:pPr>
            <w:r w:rsidRPr="00E54E8E">
              <w:t>Field</w:t>
            </w:r>
          </w:p>
        </w:tc>
        <w:tc>
          <w:tcPr>
            <w:tcW w:w="430" w:type="dxa"/>
            <w:tcBorders>
              <w:left w:val="nil"/>
              <w:right w:val="nil"/>
            </w:tcBorders>
            <w:shd w:val="clear" w:color="auto" w:fill="D9D9D9" w:themeFill="background1" w:themeFillShade="D9"/>
          </w:tcPr>
          <w:p w14:paraId="2B014B46" w14:textId="77777777" w:rsidR="00123C7B" w:rsidRPr="00E54E8E" w:rsidRDefault="00123C7B">
            <w:pPr>
              <w:pStyle w:val="TableText-Small"/>
            </w:pPr>
          </w:p>
        </w:tc>
        <w:tc>
          <w:tcPr>
            <w:tcW w:w="4679" w:type="dxa"/>
            <w:tcBorders>
              <w:left w:val="nil"/>
            </w:tcBorders>
            <w:shd w:val="clear" w:color="auto" w:fill="D9D9D9" w:themeFill="background1" w:themeFillShade="D9"/>
          </w:tcPr>
          <w:p w14:paraId="6BB17E97" w14:textId="77777777" w:rsidR="00123C7B" w:rsidRPr="00E54E8E" w:rsidRDefault="00123C7B">
            <w:pPr>
              <w:pStyle w:val="TableText-Small"/>
            </w:pPr>
            <w:r w:rsidRPr="00E54E8E">
              <w:t>Value</w:t>
            </w:r>
          </w:p>
        </w:tc>
      </w:tr>
      <w:tr w:rsidR="00123C7B" w:rsidRPr="00E54E8E" w14:paraId="27C042EA" w14:textId="77777777" w:rsidTr="001703E4">
        <w:tc>
          <w:tcPr>
            <w:tcW w:w="1842" w:type="dxa"/>
            <w:tcBorders>
              <w:right w:val="nil"/>
            </w:tcBorders>
          </w:tcPr>
          <w:p w14:paraId="32BCD29E" w14:textId="77777777" w:rsidR="00123C7B" w:rsidRPr="00E54E8E" w:rsidRDefault="00123C7B" w:rsidP="00D50513">
            <w:pPr>
              <w:pStyle w:val="TableText-Small"/>
            </w:pPr>
            <w:r w:rsidRPr="00E54E8E">
              <w:t>Update</w:t>
            </w:r>
          </w:p>
        </w:tc>
        <w:tc>
          <w:tcPr>
            <w:tcW w:w="430" w:type="dxa"/>
            <w:tcBorders>
              <w:left w:val="nil"/>
              <w:right w:val="nil"/>
            </w:tcBorders>
          </w:tcPr>
          <w:p w14:paraId="10E8BB36" w14:textId="77777777" w:rsidR="00123C7B" w:rsidRPr="00E54E8E" w:rsidRDefault="00123C7B" w:rsidP="00D50513">
            <w:pPr>
              <w:pStyle w:val="TableText-Small"/>
            </w:pPr>
            <w:r w:rsidRPr="00E54E8E">
              <w:t>=</w:t>
            </w:r>
          </w:p>
        </w:tc>
        <w:tc>
          <w:tcPr>
            <w:tcW w:w="4679" w:type="dxa"/>
            <w:tcBorders>
              <w:left w:val="nil"/>
            </w:tcBorders>
          </w:tcPr>
          <w:p w14:paraId="4B62C8DA" w14:textId="77777777" w:rsidR="00123C7B" w:rsidRPr="00D50513" w:rsidRDefault="00123C7B" w:rsidP="00D50513">
            <w:pPr>
              <w:pStyle w:val="TableText-Small"/>
            </w:pPr>
            <w:r w:rsidRPr="00E54E8E">
              <w:t>2024.02 – 2023/24 Budget</w:t>
            </w:r>
          </w:p>
        </w:tc>
      </w:tr>
      <w:tr w:rsidR="00123C7B" w:rsidRPr="00E54E8E" w14:paraId="451A9304" w14:textId="77777777" w:rsidTr="001703E4">
        <w:tc>
          <w:tcPr>
            <w:tcW w:w="1842" w:type="dxa"/>
            <w:tcBorders>
              <w:right w:val="nil"/>
            </w:tcBorders>
          </w:tcPr>
          <w:p w14:paraId="7BFF5603" w14:textId="77777777" w:rsidR="00123C7B" w:rsidRPr="00E54E8E" w:rsidRDefault="00123C7B" w:rsidP="00D50513">
            <w:pPr>
              <w:pStyle w:val="TableText-Small"/>
            </w:pPr>
            <w:r w:rsidRPr="00E54E8E">
              <w:t>Portfolio</w:t>
            </w:r>
          </w:p>
        </w:tc>
        <w:tc>
          <w:tcPr>
            <w:tcW w:w="430" w:type="dxa"/>
            <w:tcBorders>
              <w:left w:val="nil"/>
              <w:right w:val="nil"/>
            </w:tcBorders>
          </w:tcPr>
          <w:p w14:paraId="0D939FFD" w14:textId="77777777" w:rsidR="00123C7B" w:rsidRPr="00E54E8E" w:rsidRDefault="00123C7B" w:rsidP="00327CB9">
            <w:pPr>
              <w:pStyle w:val="TableText-Small"/>
            </w:pPr>
            <w:r w:rsidRPr="00E54E8E">
              <w:t>=</w:t>
            </w:r>
          </w:p>
        </w:tc>
        <w:tc>
          <w:tcPr>
            <w:tcW w:w="4679" w:type="dxa"/>
            <w:tcBorders>
              <w:left w:val="nil"/>
            </w:tcBorders>
          </w:tcPr>
          <w:p w14:paraId="736D59CA" w14:textId="77777777" w:rsidR="00123C7B" w:rsidRPr="00E54E8E" w:rsidRDefault="00123C7B" w:rsidP="003D7C30">
            <w:pPr>
              <w:pStyle w:val="TableText-Small"/>
            </w:pPr>
            <w:r w:rsidRPr="00E54E8E">
              <w:t>Your Portfolio</w:t>
            </w:r>
          </w:p>
        </w:tc>
      </w:tr>
      <w:tr w:rsidR="00123C7B" w:rsidRPr="00E54E8E" w14:paraId="05636302" w14:textId="77777777" w:rsidTr="001703E4">
        <w:tc>
          <w:tcPr>
            <w:tcW w:w="1842" w:type="dxa"/>
            <w:tcBorders>
              <w:right w:val="nil"/>
            </w:tcBorders>
          </w:tcPr>
          <w:p w14:paraId="7E00A36E" w14:textId="77777777" w:rsidR="00123C7B" w:rsidRPr="00E54E8E" w:rsidRDefault="00123C7B" w:rsidP="00D50513">
            <w:pPr>
              <w:pStyle w:val="TableText-Small"/>
            </w:pPr>
            <w:r w:rsidRPr="00E54E8E">
              <w:t>Entity</w:t>
            </w:r>
          </w:p>
        </w:tc>
        <w:tc>
          <w:tcPr>
            <w:tcW w:w="430" w:type="dxa"/>
            <w:tcBorders>
              <w:left w:val="nil"/>
              <w:right w:val="nil"/>
            </w:tcBorders>
          </w:tcPr>
          <w:p w14:paraId="798A9FD4" w14:textId="77777777" w:rsidR="00123C7B" w:rsidRPr="00E54E8E" w:rsidRDefault="00123C7B" w:rsidP="00327CB9">
            <w:pPr>
              <w:pStyle w:val="TableText-Small"/>
            </w:pPr>
            <w:r w:rsidRPr="00E54E8E">
              <w:t>=</w:t>
            </w:r>
          </w:p>
        </w:tc>
        <w:tc>
          <w:tcPr>
            <w:tcW w:w="4679" w:type="dxa"/>
            <w:tcBorders>
              <w:left w:val="nil"/>
            </w:tcBorders>
          </w:tcPr>
          <w:p w14:paraId="5622855F" w14:textId="77777777" w:rsidR="00123C7B" w:rsidRPr="00E54E8E" w:rsidRDefault="00123C7B" w:rsidP="003D7C30">
            <w:pPr>
              <w:pStyle w:val="TableText-Small"/>
            </w:pPr>
            <w:r w:rsidRPr="00E54E8E">
              <w:t>Your Entity</w:t>
            </w:r>
          </w:p>
        </w:tc>
      </w:tr>
      <w:tr w:rsidR="00123C7B" w:rsidRPr="00E54E8E" w14:paraId="4F2A7C47" w14:textId="77777777" w:rsidTr="001703E4">
        <w:tc>
          <w:tcPr>
            <w:tcW w:w="1842" w:type="dxa"/>
            <w:tcBorders>
              <w:right w:val="nil"/>
            </w:tcBorders>
          </w:tcPr>
          <w:p w14:paraId="2C991CC0" w14:textId="1D90DB86" w:rsidR="00123C7B" w:rsidRPr="00E54E8E" w:rsidRDefault="00123C7B" w:rsidP="00D50513">
            <w:pPr>
              <w:pStyle w:val="TableText-Small"/>
            </w:pPr>
            <w:r w:rsidRPr="00E54E8E">
              <w:t>Budget Stage</w:t>
            </w:r>
          </w:p>
        </w:tc>
        <w:tc>
          <w:tcPr>
            <w:tcW w:w="430" w:type="dxa"/>
            <w:tcBorders>
              <w:left w:val="nil"/>
              <w:right w:val="nil"/>
            </w:tcBorders>
          </w:tcPr>
          <w:p w14:paraId="08F0B258" w14:textId="0D85136A" w:rsidR="00123C7B" w:rsidRPr="00E54E8E" w:rsidRDefault="00123C7B" w:rsidP="00327CB9">
            <w:pPr>
              <w:pStyle w:val="TableText-Small"/>
            </w:pPr>
            <w:r w:rsidRPr="00E54E8E">
              <w:t>=</w:t>
            </w:r>
          </w:p>
        </w:tc>
        <w:tc>
          <w:tcPr>
            <w:tcW w:w="4679" w:type="dxa"/>
            <w:tcBorders>
              <w:left w:val="nil"/>
            </w:tcBorders>
          </w:tcPr>
          <w:p w14:paraId="14F67D1D" w14:textId="5C51D407" w:rsidR="00123C7B" w:rsidRPr="00E54E8E" w:rsidRDefault="00123C7B" w:rsidP="003D7C30">
            <w:pPr>
              <w:pStyle w:val="TableText-Small"/>
            </w:pPr>
            <w:r w:rsidRPr="00E54E8E">
              <w:t>Validated</w:t>
            </w:r>
          </w:p>
        </w:tc>
      </w:tr>
      <w:tr w:rsidR="00123C7B" w:rsidRPr="00E54E8E" w14:paraId="0C4992C1" w14:textId="77777777" w:rsidTr="001703E4">
        <w:tc>
          <w:tcPr>
            <w:tcW w:w="1842" w:type="dxa"/>
            <w:tcBorders>
              <w:right w:val="nil"/>
            </w:tcBorders>
          </w:tcPr>
          <w:p w14:paraId="566026E1" w14:textId="65AEFA46" w:rsidR="00123C7B" w:rsidRPr="00E54E8E" w:rsidRDefault="00123C7B" w:rsidP="00D50513">
            <w:pPr>
              <w:pStyle w:val="TableText-Small"/>
            </w:pPr>
            <w:r w:rsidRPr="00E54E8E">
              <w:t>Report Status</w:t>
            </w:r>
          </w:p>
        </w:tc>
        <w:tc>
          <w:tcPr>
            <w:tcW w:w="430" w:type="dxa"/>
            <w:tcBorders>
              <w:left w:val="nil"/>
              <w:right w:val="nil"/>
            </w:tcBorders>
          </w:tcPr>
          <w:p w14:paraId="41C06499" w14:textId="77777777" w:rsidR="00123C7B" w:rsidRPr="00E54E8E" w:rsidRDefault="00123C7B" w:rsidP="00327CB9">
            <w:pPr>
              <w:pStyle w:val="TableText-Small"/>
            </w:pPr>
            <w:r w:rsidRPr="00E54E8E">
              <w:t>=</w:t>
            </w:r>
          </w:p>
        </w:tc>
        <w:tc>
          <w:tcPr>
            <w:tcW w:w="4679" w:type="dxa"/>
            <w:tcBorders>
              <w:left w:val="nil"/>
            </w:tcBorders>
          </w:tcPr>
          <w:p w14:paraId="0CE019C7" w14:textId="7E2C25C8" w:rsidR="00123C7B" w:rsidRPr="00E54E8E" w:rsidRDefault="00123C7B" w:rsidP="003D7C30">
            <w:pPr>
              <w:pStyle w:val="TableText-Small"/>
            </w:pPr>
            <w:r w:rsidRPr="00E54E8E">
              <w:t>2-Final</w:t>
            </w:r>
          </w:p>
        </w:tc>
      </w:tr>
      <w:tr w:rsidR="00123C7B" w:rsidRPr="00E54E8E" w14:paraId="7625E376" w14:textId="77777777" w:rsidTr="001703E4">
        <w:tc>
          <w:tcPr>
            <w:tcW w:w="1842" w:type="dxa"/>
            <w:tcBorders>
              <w:right w:val="nil"/>
            </w:tcBorders>
          </w:tcPr>
          <w:p w14:paraId="677647AD" w14:textId="0551047B" w:rsidR="00123C7B" w:rsidRPr="00E54E8E" w:rsidRDefault="00123C7B" w:rsidP="00D50513">
            <w:pPr>
              <w:pStyle w:val="TableText-Small"/>
            </w:pPr>
            <w:r w:rsidRPr="00E54E8E">
              <w:t>Comparator Text</w:t>
            </w:r>
          </w:p>
        </w:tc>
        <w:tc>
          <w:tcPr>
            <w:tcW w:w="430" w:type="dxa"/>
            <w:tcBorders>
              <w:left w:val="nil"/>
              <w:right w:val="nil"/>
            </w:tcBorders>
          </w:tcPr>
          <w:p w14:paraId="3FA8AC23" w14:textId="0DA14E08" w:rsidR="00123C7B" w:rsidRPr="00E54E8E" w:rsidRDefault="00123C7B" w:rsidP="00327CB9">
            <w:pPr>
              <w:pStyle w:val="TableText-Small"/>
            </w:pPr>
            <w:r w:rsidRPr="00E54E8E">
              <w:t>=</w:t>
            </w:r>
          </w:p>
        </w:tc>
        <w:tc>
          <w:tcPr>
            <w:tcW w:w="4679" w:type="dxa"/>
            <w:tcBorders>
              <w:left w:val="nil"/>
            </w:tcBorders>
          </w:tcPr>
          <w:p w14:paraId="44E090F5" w14:textId="79BF6984" w:rsidR="00123C7B" w:rsidRPr="00E54E8E" w:rsidRDefault="00123C7B" w:rsidP="003D7C30">
            <w:pPr>
              <w:pStyle w:val="TableText-Small"/>
            </w:pPr>
            <w:r w:rsidRPr="00E54E8E">
              <w:t>Budget Appropriation</w:t>
            </w:r>
          </w:p>
        </w:tc>
      </w:tr>
      <w:tr w:rsidR="00123C7B" w:rsidRPr="00E54E8E" w14:paraId="1BDDC62E" w14:textId="77777777" w:rsidTr="001703E4">
        <w:tc>
          <w:tcPr>
            <w:tcW w:w="1842" w:type="dxa"/>
            <w:tcBorders>
              <w:right w:val="nil"/>
            </w:tcBorders>
          </w:tcPr>
          <w:p w14:paraId="0D6F4041" w14:textId="77777777" w:rsidR="00123C7B" w:rsidRPr="00E54E8E" w:rsidRDefault="00123C7B" w:rsidP="00D50513">
            <w:pPr>
              <w:pStyle w:val="TableText-Small"/>
            </w:pPr>
            <w:r w:rsidRPr="00E54E8E">
              <w:t>Reporting Date</w:t>
            </w:r>
          </w:p>
        </w:tc>
        <w:tc>
          <w:tcPr>
            <w:tcW w:w="430" w:type="dxa"/>
            <w:tcBorders>
              <w:left w:val="nil"/>
              <w:right w:val="nil"/>
            </w:tcBorders>
          </w:tcPr>
          <w:p w14:paraId="0000A3E8" w14:textId="77777777" w:rsidR="00123C7B" w:rsidRPr="00E54E8E" w:rsidRDefault="00123C7B" w:rsidP="00327CB9">
            <w:pPr>
              <w:pStyle w:val="TableText-Small"/>
            </w:pPr>
            <w:r w:rsidRPr="00E54E8E">
              <w:t>=</w:t>
            </w:r>
          </w:p>
        </w:tc>
        <w:tc>
          <w:tcPr>
            <w:tcW w:w="4679" w:type="dxa"/>
            <w:tcBorders>
              <w:left w:val="nil"/>
            </w:tcBorders>
          </w:tcPr>
          <w:p w14:paraId="339CA7CA" w14:textId="7E8A39CF" w:rsidR="00123C7B" w:rsidRPr="00E54E8E" w:rsidRDefault="00123C7B" w:rsidP="003D7C30">
            <w:pPr>
              <w:pStyle w:val="TableText-Small"/>
            </w:pPr>
            <w:r w:rsidRPr="00E54E8E">
              <w:t>30/6/2023</w:t>
            </w:r>
          </w:p>
        </w:tc>
      </w:tr>
    </w:tbl>
    <w:p w14:paraId="72CF4739" w14:textId="62AC7118" w:rsidR="00AF1F69" w:rsidRPr="00E54E8E" w:rsidRDefault="00AF1F69" w:rsidP="00D50513">
      <w:pPr>
        <w:pStyle w:val="Indent1"/>
        <w:tabs>
          <w:tab w:val="left" w:pos="567"/>
        </w:tabs>
        <w:ind w:left="567"/>
        <w:rPr>
          <w:color w:val="1C1C1C" w:themeColor="text2"/>
          <w:szCs w:val="28"/>
        </w:rPr>
      </w:pPr>
    </w:p>
    <w:p w14:paraId="0C7BA121" w14:textId="77777777" w:rsidR="00AF1F69" w:rsidRPr="00E54E8E" w:rsidRDefault="00AF1F69">
      <w:pPr>
        <w:suppressAutoHyphens w:val="0"/>
        <w:spacing w:before="0" w:after="120" w:line="440" w:lineRule="atLeast"/>
        <w:rPr>
          <w:color w:val="1C1C1C" w:themeColor="text2"/>
          <w:szCs w:val="28"/>
        </w:rPr>
      </w:pPr>
      <w:r w:rsidRPr="00E54E8E">
        <w:rPr>
          <w:color w:val="1C1C1C" w:themeColor="text2"/>
          <w:szCs w:val="28"/>
        </w:rPr>
        <w:br w:type="page"/>
      </w:r>
    </w:p>
    <w:p w14:paraId="4A20E475" w14:textId="1070D686" w:rsidR="00702D9D" w:rsidRPr="00E54E8E" w:rsidRDefault="009168A3">
      <w:pPr>
        <w:pStyle w:val="Indent1"/>
        <w:tabs>
          <w:tab w:val="left" w:pos="567"/>
        </w:tabs>
        <w:ind w:left="567"/>
      </w:pPr>
      <w:r w:rsidRPr="00E54E8E">
        <w:rPr>
          <w:color w:val="1C1C1C" w:themeColor="text2"/>
          <w:szCs w:val="28"/>
        </w:rPr>
        <w:lastRenderedPageBreak/>
        <w:t xml:space="preserve">The CFO sign-off form for the Appropriation Bills reports is available </w:t>
      </w:r>
      <w:r w:rsidR="00664A24" w:rsidRPr="00E54E8E">
        <w:t>from</w:t>
      </w:r>
      <w:r w:rsidRPr="00E54E8E">
        <w:rPr>
          <w:color w:val="1C1C1C" w:themeColor="text2"/>
          <w:szCs w:val="28"/>
        </w:rPr>
        <w:t xml:space="preserve"> CBMS </w:t>
      </w:r>
      <w:r w:rsidR="0046470E" w:rsidRPr="00E54E8E">
        <w:t>from</w:t>
      </w:r>
      <w:r w:rsidR="00702D9D" w:rsidRPr="00E54E8E">
        <w:rPr>
          <w:color w:val="1C1C1C" w:themeColor="text2"/>
          <w:szCs w:val="28"/>
        </w:rPr>
        <w:t>:</w:t>
      </w:r>
      <w:r w:rsidR="0046470E" w:rsidRPr="00E54E8E">
        <w:br/>
      </w:r>
      <w:r w:rsidR="0046470E" w:rsidRPr="00E54E8E">
        <w:rPr>
          <w:i/>
          <w:iCs/>
        </w:rPr>
        <w:t xml:space="preserve">Note: one sign-off page can be used to cover both </w:t>
      </w:r>
      <w:r w:rsidR="0006634D" w:rsidRPr="00E54E8E">
        <w:rPr>
          <w:i/>
          <w:iCs/>
        </w:rPr>
        <w:t>AE</w:t>
      </w:r>
      <w:r w:rsidR="007A7ECD" w:rsidRPr="00E54E8E">
        <w:rPr>
          <w:i/>
          <w:iCs/>
        </w:rPr>
        <w:t>s</w:t>
      </w:r>
      <w:r w:rsidR="0046470E" w:rsidRPr="00E54E8E">
        <w:rPr>
          <w:i/>
          <w:iCs/>
        </w:rPr>
        <w:t xml:space="preserve"> Bills reports – where applicable</w:t>
      </w:r>
    </w:p>
    <w:p w14:paraId="55060299" w14:textId="5011AD84" w:rsidR="00790E4D" w:rsidRPr="00327CB9" w:rsidRDefault="008D1130">
      <w:pPr>
        <w:pStyle w:val="CBMSReport"/>
      </w:pPr>
      <w:r w:rsidRPr="00E54E8E">
        <w:t xml:space="preserve">All </w:t>
      </w:r>
      <w:r w:rsidR="00234A1E" w:rsidRPr="00E54E8E">
        <w:t xml:space="preserve">Reports </w:t>
      </w:r>
      <w:r w:rsidRPr="00E54E8E">
        <w:t>tile</w:t>
      </w:r>
      <w:r w:rsidR="00C13B88" w:rsidRPr="00E54E8E">
        <w:t xml:space="preserve"> </w:t>
      </w:r>
      <w:r w:rsidR="00502B0E" w:rsidRPr="00D50513">
        <w:rPr>
          <w:rFonts w:ascii="Wingdings" w:eastAsia="Wingdings" w:hAnsi="Wingdings" w:cs="Wingdings"/>
        </w:rPr>
        <w:t>à</w:t>
      </w:r>
      <w:r w:rsidR="00132310" w:rsidRPr="00D50513">
        <w:t xml:space="preserve"> </w:t>
      </w:r>
      <w:r w:rsidR="00234A1E" w:rsidRPr="00D50513">
        <w:t xml:space="preserve">Statutory Reports </w:t>
      </w:r>
      <w:r w:rsidR="00502B0E" w:rsidRPr="00D50513">
        <w:rPr>
          <w:rFonts w:ascii="Wingdings" w:eastAsia="Wingdings" w:hAnsi="Wingdings" w:cs="Wingdings"/>
        </w:rPr>
        <w:t>à</w:t>
      </w:r>
      <w:r w:rsidR="00502B0E" w:rsidRPr="00D50513">
        <w:t xml:space="preserve"> </w:t>
      </w:r>
      <w:r w:rsidR="00132310" w:rsidRPr="00D50513">
        <w:t xml:space="preserve"> </w:t>
      </w:r>
      <w:r w:rsidR="00234A1E" w:rsidRPr="00D50513">
        <w:t xml:space="preserve">Appropriation Bills </w:t>
      </w:r>
      <w:r w:rsidR="003172EA" w:rsidRPr="00D50513">
        <w:rPr>
          <w:rFonts w:ascii="Wingdings" w:eastAsia="Wingdings" w:hAnsi="Wingdings" w:cs="Wingdings"/>
        </w:rPr>
        <w:t>à</w:t>
      </w:r>
      <w:r w:rsidR="003172EA" w:rsidRPr="00D50513">
        <w:t xml:space="preserve"> </w:t>
      </w:r>
      <w:r w:rsidR="00C70348" w:rsidRPr="00D50513" w:rsidDel="00C70348">
        <w:t xml:space="preserve"> </w:t>
      </w:r>
      <w:r w:rsidR="00234A1E" w:rsidRPr="00D50513">
        <w:t>CFO Signoff Page</w:t>
      </w:r>
    </w:p>
    <w:p w14:paraId="62EE5ED8" w14:textId="19DB4962" w:rsidR="009E1BEF" w:rsidRPr="003D7C30" w:rsidRDefault="00234A1E">
      <w:pPr>
        <w:pStyle w:val="Indent1"/>
        <w:tabs>
          <w:tab w:val="left" w:pos="567"/>
        </w:tabs>
        <w:ind w:left="567"/>
      </w:pPr>
      <w:r w:rsidRPr="003D7C30">
        <w:t xml:space="preserve">When </w:t>
      </w:r>
      <w:r w:rsidR="004D7C2E" w:rsidRPr="003D7C30">
        <w:t xml:space="preserve">running the CFO sign-off page report </w:t>
      </w:r>
      <w:r w:rsidR="00652B45" w:rsidRPr="003D7C30">
        <w:t xml:space="preserve">entities </w:t>
      </w:r>
      <w:r w:rsidR="000B23BA" w:rsidRPr="003D7C30">
        <w:t>must</w:t>
      </w:r>
      <w:r w:rsidR="00652B45" w:rsidRPr="003D7C30">
        <w:t xml:space="preserve"> select </w:t>
      </w:r>
      <w:r w:rsidR="004D7C2E" w:rsidRPr="003D7C30">
        <w:t>the following parameters</w:t>
      </w:r>
      <w:r w:rsidR="00652B45" w:rsidRPr="003D7C30">
        <w:t>:</w:t>
      </w:r>
    </w:p>
    <w:tbl>
      <w:tblPr>
        <w:tblStyle w:val="TableGrid"/>
        <w:tblW w:w="0" w:type="auto"/>
        <w:tblInd w:w="846" w:type="dxa"/>
        <w:tblLook w:val="04A0" w:firstRow="1" w:lastRow="0" w:firstColumn="1" w:lastColumn="0" w:noHBand="0" w:noVBand="1"/>
      </w:tblPr>
      <w:tblGrid>
        <w:gridCol w:w="421"/>
        <w:gridCol w:w="1842"/>
        <w:gridCol w:w="430"/>
        <w:gridCol w:w="2816"/>
      </w:tblGrid>
      <w:tr w:rsidR="009E1BEF" w:rsidRPr="00E54E8E" w14:paraId="5CC85C6A" w14:textId="77777777" w:rsidTr="00A32841">
        <w:tc>
          <w:tcPr>
            <w:tcW w:w="421" w:type="dxa"/>
            <w:shd w:val="clear" w:color="auto" w:fill="D9D9D9" w:themeFill="background1" w:themeFillShade="D9"/>
          </w:tcPr>
          <w:p w14:paraId="6DB963B3" w14:textId="77777777" w:rsidR="009E1BEF" w:rsidRPr="00E54E8E" w:rsidRDefault="009E1BEF">
            <w:pPr>
              <w:pStyle w:val="TableText-Small"/>
              <w:ind w:left="-531"/>
            </w:pPr>
          </w:p>
        </w:tc>
        <w:tc>
          <w:tcPr>
            <w:tcW w:w="1842" w:type="dxa"/>
            <w:tcBorders>
              <w:right w:val="nil"/>
            </w:tcBorders>
            <w:shd w:val="clear" w:color="auto" w:fill="D9D9D9" w:themeFill="background1" w:themeFillShade="D9"/>
          </w:tcPr>
          <w:p w14:paraId="7C32C50E" w14:textId="77777777" w:rsidR="009E1BEF" w:rsidRPr="00E54E8E" w:rsidRDefault="009E1BEF">
            <w:pPr>
              <w:pStyle w:val="TableText-Small"/>
            </w:pPr>
            <w:r w:rsidRPr="00E54E8E">
              <w:t>Field</w:t>
            </w:r>
          </w:p>
        </w:tc>
        <w:tc>
          <w:tcPr>
            <w:tcW w:w="430" w:type="dxa"/>
            <w:tcBorders>
              <w:left w:val="nil"/>
              <w:right w:val="nil"/>
            </w:tcBorders>
            <w:shd w:val="clear" w:color="auto" w:fill="D9D9D9" w:themeFill="background1" w:themeFillShade="D9"/>
          </w:tcPr>
          <w:p w14:paraId="42BEB42E" w14:textId="77777777" w:rsidR="009E1BEF" w:rsidRPr="00E54E8E" w:rsidRDefault="009E1BEF">
            <w:pPr>
              <w:pStyle w:val="TableText-Small"/>
            </w:pPr>
          </w:p>
        </w:tc>
        <w:tc>
          <w:tcPr>
            <w:tcW w:w="2816" w:type="dxa"/>
            <w:tcBorders>
              <w:left w:val="nil"/>
            </w:tcBorders>
            <w:shd w:val="clear" w:color="auto" w:fill="D9D9D9" w:themeFill="background1" w:themeFillShade="D9"/>
          </w:tcPr>
          <w:p w14:paraId="2913198F" w14:textId="77777777" w:rsidR="009E1BEF" w:rsidRPr="00E54E8E" w:rsidRDefault="009E1BEF">
            <w:pPr>
              <w:pStyle w:val="TableText-Small"/>
            </w:pPr>
            <w:r w:rsidRPr="00E54E8E">
              <w:t>Value</w:t>
            </w:r>
          </w:p>
        </w:tc>
      </w:tr>
      <w:tr w:rsidR="00443641" w:rsidRPr="00E54E8E" w14:paraId="4A2D4298" w14:textId="77777777" w:rsidTr="00A32841">
        <w:tc>
          <w:tcPr>
            <w:tcW w:w="421" w:type="dxa"/>
          </w:tcPr>
          <w:p w14:paraId="2FEFA932" w14:textId="423A8D69" w:rsidR="00851BC0" w:rsidRPr="00E54E8E" w:rsidRDefault="00851BC0" w:rsidP="00D50513">
            <w:pPr>
              <w:pStyle w:val="TableText-Small"/>
            </w:pPr>
            <w:r w:rsidRPr="00E54E8E">
              <w:t>1</w:t>
            </w:r>
          </w:p>
        </w:tc>
        <w:tc>
          <w:tcPr>
            <w:tcW w:w="1842" w:type="dxa"/>
            <w:tcBorders>
              <w:right w:val="nil"/>
            </w:tcBorders>
          </w:tcPr>
          <w:p w14:paraId="183ABCB5" w14:textId="77777777" w:rsidR="00851BC0" w:rsidRPr="00E54E8E" w:rsidRDefault="00851BC0" w:rsidP="00327CB9">
            <w:pPr>
              <w:pStyle w:val="TableText-Small"/>
            </w:pPr>
            <w:r w:rsidRPr="00E54E8E">
              <w:t>Update</w:t>
            </w:r>
          </w:p>
        </w:tc>
        <w:tc>
          <w:tcPr>
            <w:tcW w:w="430" w:type="dxa"/>
            <w:tcBorders>
              <w:left w:val="nil"/>
              <w:right w:val="nil"/>
            </w:tcBorders>
          </w:tcPr>
          <w:p w14:paraId="2066218E" w14:textId="77777777" w:rsidR="00851BC0" w:rsidRPr="00E54E8E" w:rsidRDefault="00851BC0" w:rsidP="00327CB9">
            <w:pPr>
              <w:pStyle w:val="TableText-Small"/>
            </w:pPr>
            <w:r w:rsidRPr="00E54E8E">
              <w:t>=</w:t>
            </w:r>
          </w:p>
        </w:tc>
        <w:tc>
          <w:tcPr>
            <w:tcW w:w="2816" w:type="dxa"/>
            <w:tcBorders>
              <w:left w:val="nil"/>
            </w:tcBorders>
          </w:tcPr>
          <w:p w14:paraId="0922081A" w14:textId="37FD9B13" w:rsidR="00851BC0" w:rsidRPr="00D50513" w:rsidRDefault="00851BC0" w:rsidP="00327CB9">
            <w:pPr>
              <w:pStyle w:val="TableText-Small"/>
            </w:pPr>
            <w:r w:rsidRPr="00E54E8E">
              <w:t xml:space="preserve">2024.02 </w:t>
            </w:r>
            <w:r w:rsidR="000727DA" w:rsidRPr="00E54E8E">
              <w:t>–</w:t>
            </w:r>
            <w:r w:rsidRPr="00E54E8E">
              <w:t xml:space="preserve"> 2023/24 Budget</w:t>
            </w:r>
          </w:p>
        </w:tc>
      </w:tr>
      <w:tr w:rsidR="00443641" w:rsidRPr="00E54E8E" w14:paraId="54002749" w14:textId="77777777" w:rsidTr="00A32841">
        <w:tc>
          <w:tcPr>
            <w:tcW w:w="421" w:type="dxa"/>
          </w:tcPr>
          <w:p w14:paraId="52C8E5C7" w14:textId="75767526" w:rsidR="00851BC0" w:rsidRPr="00E54E8E" w:rsidRDefault="00851BC0" w:rsidP="00D50513">
            <w:pPr>
              <w:pStyle w:val="TableText-Small"/>
            </w:pPr>
            <w:r w:rsidRPr="00E54E8E">
              <w:t>2</w:t>
            </w:r>
          </w:p>
        </w:tc>
        <w:tc>
          <w:tcPr>
            <w:tcW w:w="1842" w:type="dxa"/>
            <w:tcBorders>
              <w:right w:val="nil"/>
            </w:tcBorders>
          </w:tcPr>
          <w:p w14:paraId="0023DDD0" w14:textId="77777777" w:rsidR="00851BC0" w:rsidRPr="00E54E8E" w:rsidRDefault="00851BC0" w:rsidP="00327CB9">
            <w:pPr>
              <w:pStyle w:val="TableText-Small"/>
            </w:pPr>
            <w:r w:rsidRPr="00E54E8E">
              <w:t>Portfolio</w:t>
            </w:r>
          </w:p>
        </w:tc>
        <w:tc>
          <w:tcPr>
            <w:tcW w:w="430" w:type="dxa"/>
            <w:tcBorders>
              <w:left w:val="nil"/>
              <w:right w:val="nil"/>
            </w:tcBorders>
          </w:tcPr>
          <w:p w14:paraId="7B0111DB" w14:textId="77777777" w:rsidR="00851BC0" w:rsidRPr="00E54E8E" w:rsidRDefault="00851BC0" w:rsidP="003D7C30">
            <w:pPr>
              <w:pStyle w:val="TableText-Small"/>
            </w:pPr>
            <w:r w:rsidRPr="00E54E8E">
              <w:t>=</w:t>
            </w:r>
          </w:p>
        </w:tc>
        <w:tc>
          <w:tcPr>
            <w:tcW w:w="2816" w:type="dxa"/>
            <w:tcBorders>
              <w:left w:val="nil"/>
            </w:tcBorders>
          </w:tcPr>
          <w:p w14:paraId="7316FF95" w14:textId="77777777" w:rsidR="00851BC0" w:rsidRPr="00E54E8E" w:rsidRDefault="00851BC0">
            <w:pPr>
              <w:pStyle w:val="TableText-Small"/>
            </w:pPr>
            <w:r w:rsidRPr="00E54E8E">
              <w:t>Your Portfolio</w:t>
            </w:r>
          </w:p>
        </w:tc>
      </w:tr>
      <w:tr w:rsidR="00443641" w:rsidRPr="00E54E8E" w14:paraId="1A0C2072" w14:textId="77777777" w:rsidTr="00A32841">
        <w:tc>
          <w:tcPr>
            <w:tcW w:w="421" w:type="dxa"/>
          </w:tcPr>
          <w:p w14:paraId="4EA3FF05" w14:textId="3B8FDEF9" w:rsidR="00851BC0" w:rsidRPr="00E54E8E" w:rsidRDefault="00851BC0" w:rsidP="00D50513">
            <w:pPr>
              <w:pStyle w:val="TableText-Small"/>
            </w:pPr>
            <w:r w:rsidRPr="00E54E8E">
              <w:t>3</w:t>
            </w:r>
          </w:p>
        </w:tc>
        <w:tc>
          <w:tcPr>
            <w:tcW w:w="1842" w:type="dxa"/>
            <w:tcBorders>
              <w:right w:val="nil"/>
            </w:tcBorders>
          </w:tcPr>
          <w:p w14:paraId="047B4A85" w14:textId="77777777" w:rsidR="00851BC0" w:rsidRPr="00E54E8E" w:rsidRDefault="00851BC0" w:rsidP="00327CB9">
            <w:pPr>
              <w:pStyle w:val="TableText-Small"/>
            </w:pPr>
            <w:r w:rsidRPr="00E54E8E">
              <w:t>Entity</w:t>
            </w:r>
          </w:p>
        </w:tc>
        <w:tc>
          <w:tcPr>
            <w:tcW w:w="430" w:type="dxa"/>
            <w:tcBorders>
              <w:left w:val="nil"/>
              <w:right w:val="nil"/>
            </w:tcBorders>
          </w:tcPr>
          <w:p w14:paraId="08E692C8" w14:textId="77777777" w:rsidR="00851BC0" w:rsidRPr="00E54E8E" w:rsidRDefault="00851BC0" w:rsidP="003D7C30">
            <w:pPr>
              <w:pStyle w:val="TableText-Small"/>
            </w:pPr>
            <w:r w:rsidRPr="00E54E8E">
              <w:t>=</w:t>
            </w:r>
          </w:p>
        </w:tc>
        <w:tc>
          <w:tcPr>
            <w:tcW w:w="2816" w:type="dxa"/>
            <w:tcBorders>
              <w:left w:val="nil"/>
            </w:tcBorders>
          </w:tcPr>
          <w:p w14:paraId="1099BA8E" w14:textId="77777777" w:rsidR="00851BC0" w:rsidRPr="00E54E8E" w:rsidRDefault="00851BC0">
            <w:pPr>
              <w:pStyle w:val="TableText-Small"/>
            </w:pPr>
            <w:r w:rsidRPr="00E54E8E">
              <w:t>Your Entity</w:t>
            </w:r>
          </w:p>
        </w:tc>
      </w:tr>
      <w:tr w:rsidR="00443641" w:rsidRPr="00E54E8E" w14:paraId="4396A3A7" w14:textId="77777777" w:rsidTr="00A32841">
        <w:tc>
          <w:tcPr>
            <w:tcW w:w="421" w:type="dxa"/>
          </w:tcPr>
          <w:p w14:paraId="05DCF4BE" w14:textId="2BC18740" w:rsidR="00851BC0" w:rsidRPr="00E54E8E" w:rsidRDefault="00851BC0" w:rsidP="00D50513">
            <w:pPr>
              <w:pStyle w:val="TableText-Small"/>
            </w:pPr>
            <w:r w:rsidRPr="00E54E8E">
              <w:t>4</w:t>
            </w:r>
          </w:p>
        </w:tc>
        <w:tc>
          <w:tcPr>
            <w:tcW w:w="1842" w:type="dxa"/>
            <w:tcBorders>
              <w:right w:val="nil"/>
            </w:tcBorders>
          </w:tcPr>
          <w:p w14:paraId="08A5DF6A" w14:textId="01A86F6B" w:rsidR="00851BC0" w:rsidRPr="00E54E8E" w:rsidRDefault="00851BC0" w:rsidP="00327CB9">
            <w:pPr>
              <w:pStyle w:val="TableText-Small"/>
            </w:pPr>
            <w:r w:rsidRPr="00E54E8E">
              <w:t>Report Type</w:t>
            </w:r>
          </w:p>
        </w:tc>
        <w:tc>
          <w:tcPr>
            <w:tcW w:w="430" w:type="dxa"/>
            <w:tcBorders>
              <w:left w:val="nil"/>
              <w:right w:val="nil"/>
            </w:tcBorders>
          </w:tcPr>
          <w:p w14:paraId="5E78966F" w14:textId="5D36E5DB" w:rsidR="00851BC0" w:rsidRPr="00E54E8E" w:rsidRDefault="00851BC0" w:rsidP="003D7C30">
            <w:pPr>
              <w:pStyle w:val="TableText-Small"/>
            </w:pPr>
            <w:r w:rsidRPr="00E54E8E">
              <w:t>=</w:t>
            </w:r>
          </w:p>
        </w:tc>
        <w:tc>
          <w:tcPr>
            <w:tcW w:w="2816" w:type="dxa"/>
            <w:tcBorders>
              <w:left w:val="nil"/>
            </w:tcBorders>
          </w:tcPr>
          <w:p w14:paraId="5330119D" w14:textId="1F8AAD54" w:rsidR="00851BC0" w:rsidRPr="00E54E8E" w:rsidRDefault="00851BC0">
            <w:pPr>
              <w:pStyle w:val="TableText-Small"/>
            </w:pPr>
            <w:r w:rsidRPr="00E54E8E">
              <w:t>Additional Estimates</w:t>
            </w:r>
          </w:p>
        </w:tc>
      </w:tr>
      <w:tr w:rsidR="009E1BEF" w:rsidRPr="00E54E8E" w14:paraId="3B5191C5" w14:textId="77777777" w:rsidTr="00A32841">
        <w:tc>
          <w:tcPr>
            <w:tcW w:w="421" w:type="dxa"/>
          </w:tcPr>
          <w:p w14:paraId="2CC22E04" w14:textId="77777777" w:rsidR="009E1BEF" w:rsidRPr="00E54E8E" w:rsidRDefault="009E1BEF" w:rsidP="00D50513">
            <w:pPr>
              <w:pStyle w:val="TableText-Small"/>
            </w:pPr>
            <w:r w:rsidRPr="00E54E8E">
              <w:t>4</w:t>
            </w:r>
          </w:p>
        </w:tc>
        <w:tc>
          <w:tcPr>
            <w:tcW w:w="1842" w:type="dxa"/>
            <w:tcBorders>
              <w:right w:val="nil"/>
            </w:tcBorders>
          </w:tcPr>
          <w:p w14:paraId="306C0B9F" w14:textId="77777777" w:rsidR="009E1BEF" w:rsidRPr="00E54E8E" w:rsidRDefault="009E1BEF" w:rsidP="00327CB9">
            <w:pPr>
              <w:pStyle w:val="TableText-Small"/>
            </w:pPr>
            <w:r w:rsidRPr="00E54E8E">
              <w:t>Reporting Date</w:t>
            </w:r>
          </w:p>
        </w:tc>
        <w:tc>
          <w:tcPr>
            <w:tcW w:w="430" w:type="dxa"/>
            <w:tcBorders>
              <w:left w:val="nil"/>
              <w:right w:val="nil"/>
            </w:tcBorders>
          </w:tcPr>
          <w:p w14:paraId="3C06A722" w14:textId="77777777" w:rsidR="009E1BEF" w:rsidRPr="00E54E8E" w:rsidRDefault="009E1BEF" w:rsidP="003D7C30">
            <w:pPr>
              <w:pStyle w:val="TableText-Small"/>
            </w:pPr>
            <w:r w:rsidRPr="00E54E8E">
              <w:t>=</w:t>
            </w:r>
          </w:p>
        </w:tc>
        <w:tc>
          <w:tcPr>
            <w:tcW w:w="2816" w:type="dxa"/>
            <w:tcBorders>
              <w:left w:val="nil"/>
            </w:tcBorders>
          </w:tcPr>
          <w:p w14:paraId="66468B0E" w14:textId="3AA6F10A" w:rsidR="009E1BEF" w:rsidRPr="00E54E8E" w:rsidRDefault="00C70348">
            <w:pPr>
              <w:pStyle w:val="TableText-Small"/>
            </w:pPr>
            <w:r w:rsidRPr="00E54E8E">
              <w:t>30/6/2023</w:t>
            </w:r>
          </w:p>
        </w:tc>
      </w:tr>
    </w:tbl>
    <w:p w14:paraId="5D727821" w14:textId="5ED78C2D" w:rsidR="00234A1E" w:rsidRPr="00E54E8E" w:rsidRDefault="00234A1E" w:rsidP="00D50513">
      <w:pPr>
        <w:pStyle w:val="NumberedList1"/>
      </w:pPr>
      <w:r w:rsidRPr="00E54E8E">
        <w:t xml:space="preserve">Entities </w:t>
      </w:r>
      <w:r w:rsidR="00F445A1" w:rsidRPr="00E54E8E">
        <w:t xml:space="preserve">should undertake quality assurance </w:t>
      </w:r>
      <w:r w:rsidR="004A320C" w:rsidRPr="00E54E8E">
        <w:t>for</w:t>
      </w:r>
      <w:r w:rsidR="00F445A1" w:rsidRPr="00E54E8E">
        <w:t xml:space="preserve"> information in</w:t>
      </w:r>
      <w:r w:rsidR="004A320C" w:rsidRPr="00E54E8E">
        <w:t>cluded</w:t>
      </w:r>
      <w:r w:rsidR="00F445A1" w:rsidRPr="00E54E8E">
        <w:t xml:space="preserve"> </w:t>
      </w:r>
      <w:r w:rsidR="004A320C" w:rsidRPr="00E54E8E">
        <w:t xml:space="preserve">in </w:t>
      </w:r>
      <w:r w:rsidR="00F445A1" w:rsidRPr="00E54E8E">
        <w:t xml:space="preserve">the Appropriation Bills in the lead-up to the CFO sign-off, including </w:t>
      </w:r>
      <w:r w:rsidR="00DE7892" w:rsidRPr="00E54E8E">
        <w:t xml:space="preserve">checking the accuracy of information and figures </w:t>
      </w:r>
      <w:r w:rsidR="0015517F" w:rsidRPr="00E54E8E">
        <w:t>such as</w:t>
      </w:r>
      <w:r w:rsidRPr="00E54E8E">
        <w:t xml:space="preserve"> the entity name, outcome statements and additional appropriation amounts</w:t>
      </w:r>
      <w:r w:rsidR="007A7ECD" w:rsidRPr="00E54E8E">
        <w:t>.</w:t>
      </w:r>
      <w:r w:rsidRPr="00E54E8E">
        <w:t xml:space="preserve"> </w:t>
      </w:r>
    </w:p>
    <w:p w14:paraId="57E844B5" w14:textId="77777777" w:rsidR="00153B91" w:rsidRPr="00E54E8E" w:rsidRDefault="00153B91" w:rsidP="00327CB9">
      <w:pPr>
        <w:pStyle w:val="NumberedList1"/>
      </w:pPr>
      <w:r w:rsidRPr="00E54E8E">
        <w:t>The CFO sign-off form should be included with all reports being signed off. Electronic signatures are acceptable on CFO sign-off forms, as is email approval from the CFO with the Appropriation Bills reports attached. </w:t>
      </w:r>
    </w:p>
    <w:p w14:paraId="266F2C84" w14:textId="37279C06" w:rsidR="00153B91" w:rsidRPr="00E54E8E" w:rsidRDefault="00153B91" w:rsidP="003D7C30">
      <w:pPr>
        <w:pStyle w:val="NumberedList1"/>
      </w:pPr>
      <w:r w:rsidRPr="00E54E8E">
        <w:t>CFO sign-offs are only required for those Appropriation Bills reports where the entity will be receiving appropriations through those Bills. For example, if an entity is only receiving appropriations through Bill 3, the CFO does not need to sign</w:t>
      </w:r>
      <w:r w:rsidR="006D51A3" w:rsidRPr="00E54E8E">
        <w:t>-</w:t>
      </w:r>
      <w:r w:rsidRPr="00E54E8E">
        <w:t>off on the Bill 4 report.</w:t>
      </w:r>
    </w:p>
    <w:p w14:paraId="0B77670E" w14:textId="1A3F55DA" w:rsidR="00234A1E" w:rsidRPr="00E54E8E" w:rsidRDefault="006541C6">
      <w:pPr>
        <w:pStyle w:val="NumberedList1"/>
      </w:pPr>
      <w:r w:rsidRPr="00E54E8E">
        <w:t>T</w:t>
      </w:r>
      <w:r w:rsidR="00234A1E" w:rsidRPr="00E54E8E">
        <w:t>he Portfolio Department CFO may sign</w:t>
      </w:r>
      <w:r w:rsidRPr="00E54E8E">
        <w:t xml:space="preserve"> the CFO </w:t>
      </w:r>
      <w:r w:rsidR="007A7ECD" w:rsidRPr="00E54E8E">
        <w:t>s</w:t>
      </w:r>
      <w:r w:rsidRPr="00E54E8E">
        <w:t>ign</w:t>
      </w:r>
      <w:r w:rsidR="007A7ECD" w:rsidRPr="00E54E8E">
        <w:t>-</w:t>
      </w:r>
      <w:r w:rsidRPr="00E54E8E">
        <w:t xml:space="preserve">off </w:t>
      </w:r>
      <w:r w:rsidR="007A7ECD" w:rsidRPr="00E54E8E">
        <w:t>p</w:t>
      </w:r>
      <w:r w:rsidRPr="00E54E8E">
        <w:t>age</w:t>
      </w:r>
      <w:r w:rsidR="00A92281" w:rsidRPr="00E54E8E">
        <w:t xml:space="preserve"> and </w:t>
      </w:r>
      <w:r w:rsidR="007B3539" w:rsidRPr="00E54E8E">
        <w:t>Appropriation</w:t>
      </w:r>
      <w:r w:rsidR="00A92281" w:rsidRPr="00E54E8E">
        <w:t xml:space="preserve"> Bill</w:t>
      </w:r>
      <w:r w:rsidR="007B3539" w:rsidRPr="00E54E8E">
        <w:t>s</w:t>
      </w:r>
      <w:r w:rsidR="00A92281" w:rsidRPr="00E54E8E">
        <w:t xml:space="preserve"> </w:t>
      </w:r>
      <w:r w:rsidR="007B3539" w:rsidRPr="00E54E8E">
        <w:t>r</w:t>
      </w:r>
      <w:r w:rsidR="005C2FB6" w:rsidRPr="00E54E8E">
        <w:t>eports on</w:t>
      </w:r>
      <w:r w:rsidR="00234A1E" w:rsidRPr="00E54E8E">
        <w:t xml:space="preserve"> behalf of any CFO </w:t>
      </w:r>
      <w:r w:rsidR="00A92281" w:rsidRPr="00E54E8E">
        <w:t xml:space="preserve">of </w:t>
      </w:r>
      <w:r w:rsidR="00234A1E" w:rsidRPr="00E54E8E">
        <w:t>an entity within their Portfolio.</w:t>
      </w:r>
    </w:p>
    <w:p w14:paraId="0FC98183" w14:textId="03430342" w:rsidR="00EA463A" w:rsidRPr="00E54E8E" w:rsidRDefault="00234A1E">
      <w:pPr>
        <w:pStyle w:val="Bullet1"/>
      </w:pPr>
      <w:r w:rsidRPr="00E54E8E">
        <w:t xml:space="preserve">If an entity CFO is not available to sign-off </w:t>
      </w:r>
      <w:r w:rsidR="00C961A8" w:rsidRPr="00E54E8E">
        <w:t xml:space="preserve">on </w:t>
      </w:r>
      <w:r w:rsidRPr="00E54E8E">
        <w:t>the Appropriation Bill</w:t>
      </w:r>
      <w:r w:rsidR="007B3539" w:rsidRPr="00E54E8E">
        <w:t>s</w:t>
      </w:r>
      <w:r w:rsidRPr="00E54E8E">
        <w:t xml:space="preserve"> </w:t>
      </w:r>
      <w:r w:rsidR="007B3539" w:rsidRPr="00E54E8E">
        <w:t>r</w:t>
      </w:r>
      <w:r w:rsidRPr="00E54E8E">
        <w:t>eports, arrangements should be made with the Portfolio Department CFO or a more senior officer within the</w:t>
      </w:r>
      <w:r w:rsidR="000376F5" w:rsidRPr="00E54E8E">
        <w:t>ir</w:t>
      </w:r>
      <w:r w:rsidRPr="00E54E8E">
        <w:t xml:space="preserve"> entity </w:t>
      </w:r>
      <w:r w:rsidR="00C961A8" w:rsidRPr="00E54E8E">
        <w:t xml:space="preserve">to ensure </w:t>
      </w:r>
      <w:r w:rsidRPr="00E54E8E">
        <w:t>timely sign</w:t>
      </w:r>
      <w:r w:rsidR="007B3539" w:rsidRPr="00E54E8E">
        <w:t>-</w:t>
      </w:r>
      <w:r w:rsidRPr="00E54E8E">
        <w:t>off.</w:t>
      </w:r>
    </w:p>
    <w:p w14:paraId="263B2923" w14:textId="0AE72EC5" w:rsidR="00104B57" w:rsidRPr="00327CB9" w:rsidRDefault="00104B57">
      <w:pPr>
        <w:pStyle w:val="NumberedList1"/>
      </w:pPr>
      <w:r w:rsidRPr="00D50513">
        <w:t xml:space="preserve">Manual adjustments to generated reports will only be accepted in exceptional circumstances. In such cases, on the statutory </w:t>
      </w:r>
      <w:r w:rsidR="002D3B44" w:rsidRPr="00D50513">
        <w:t xml:space="preserve">Appropriation </w:t>
      </w:r>
      <w:r w:rsidR="002D3B44" w:rsidRPr="00327CB9">
        <w:t xml:space="preserve">Bills </w:t>
      </w:r>
      <w:r w:rsidRPr="00327CB9">
        <w:t>reports</w:t>
      </w:r>
      <w:r w:rsidR="008E2CEC" w:rsidRPr="00D50513">
        <w:t xml:space="preserve"> generated from CBMS</w:t>
      </w:r>
      <w:r w:rsidRPr="00D50513">
        <w:t xml:space="preserve"> accompanying the CFO sign-off form, the incorrect numbers should be struck out </w:t>
      </w:r>
      <w:r w:rsidR="00D11714" w:rsidRPr="00D50513">
        <w:t xml:space="preserve">with </w:t>
      </w:r>
      <w:r w:rsidRPr="00327CB9">
        <w:t>the correct numbers written beside.  </w:t>
      </w:r>
    </w:p>
    <w:p w14:paraId="46A5E008" w14:textId="04007DFE" w:rsidR="00104B57" w:rsidRPr="00D50513" w:rsidRDefault="00104B57">
      <w:pPr>
        <w:pStyle w:val="Bullet1"/>
      </w:pPr>
      <w:r w:rsidRPr="00327CB9">
        <w:t xml:space="preserve">Before making any manual adjustments as part of Appropriation Bills CFO sign-offs, entities should email </w:t>
      </w:r>
      <w:hyperlink r:id="rId13" w:tgtFrame="_blank" w:history="1">
        <w:r w:rsidR="006B34E2" w:rsidRPr="000917BA">
          <w:rPr>
            <w:rStyle w:val="Hyperlink"/>
          </w:rPr>
          <w:t>appropsignoffs@finance.gov.au</w:t>
        </w:r>
      </w:hyperlink>
      <w:r w:rsidRPr="00D50513">
        <w:t xml:space="preserve"> to confirm whether they will be accepted.</w:t>
      </w:r>
    </w:p>
    <w:p w14:paraId="64907536" w14:textId="21EE2F26" w:rsidR="00104B57" w:rsidRPr="00327CB9" w:rsidRDefault="00104B57">
      <w:pPr>
        <w:pStyle w:val="NumberedList1"/>
      </w:pPr>
      <w:r w:rsidRPr="00327CB9">
        <w:t>If sign-offs are received after the due date, it may be too late in the production process to include the appropriation amounts in the Appropriation Bills.</w:t>
      </w:r>
    </w:p>
    <w:p w14:paraId="14ED7E73" w14:textId="2F2EAEFD" w:rsidR="00210A86" w:rsidRPr="00D50513" w:rsidRDefault="00104B57">
      <w:pPr>
        <w:pStyle w:val="NumberedList1"/>
      </w:pPr>
      <w:r w:rsidRPr="00327CB9">
        <w:t>Where changes occur after the CFO sign-off has been provided, an updated sign-off must be provided to your AAU as soon as practicable</w:t>
      </w:r>
      <w:r w:rsidR="00CF07D1" w:rsidRPr="00327CB9">
        <w:t xml:space="preserve"> and resent to </w:t>
      </w:r>
      <w:hyperlink r:id="rId14" w:history="1">
        <w:r w:rsidR="006B34E2" w:rsidRPr="00D50513">
          <w:rPr>
            <w:rStyle w:val="Hyperlink"/>
            <w:rFonts w:cs="Calibri"/>
          </w:rPr>
          <w:t>appropsignoffs@finance.gov.au</w:t>
        </w:r>
      </w:hyperlink>
      <w:r w:rsidRPr="00D50513">
        <w:t>. </w:t>
      </w:r>
    </w:p>
    <w:p w14:paraId="0BC9D285" w14:textId="49938F48" w:rsidR="00210A86" w:rsidRPr="00D50513" w:rsidRDefault="00210A86">
      <w:pPr>
        <w:suppressAutoHyphens w:val="0"/>
        <w:spacing w:before="0" w:after="120" w:line="440" w:lineRule="atLeast"/>
        <w:rPr>
          <w:rFonts w:eastAsiaTheme="majorEastAsia"/>
          <w:bCs/>
          <w:color w:val="1C1C1C" w:themeColor="text2"/>
          <w:szCs w:val="28"/>
        </w:rPr>
      </w:pPr>
    </w:p>
    <w:p w14:paraId="551AC029" w14:textId="77777777" w:rsidR="00630EB3" w:rsidRPr="00327CB9" w:rsidRDefault="00630EB3">
      <w:r w:rsidRPr="00327CB9">
        <w:br w:type="page"/>
      </w:r>
    </w:p>
    <w:tbl>
      <w:tblPr>
        <w:tblW w:w="9649" w:type="dxa"/>
        <w:tblInd w:w="1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81"/>
        <w:gridCol w:w="384"/>
        <w:gridCol w:w="8284"/>
      </w:tblGrid>
      <w:tr w:rsidR="00CF504F" w:rsidRPr="00E54E8E" w14:paraId="11683556" w14:textId="77777777" w:rsidTr="00A32841">
        <w:trPr>
          <w:trHeight w:val="309"/>
        </w:trPr>
        <w:tc>
          <w:tcPr>
            <w:tcW w:w="9649" w:type="dxa"/>
            <w:gridSpan w:val="3"/>
            <w:tcBorders>
              <w:top w:val="single" w:sz="4" w:space="0" w:color="auto"/>
              <w:left w:val="single" w:sz="4" w:space="0" w:color="auto"/>
              <w:bottom w:val="single" w:sz="4" w:space="0" w:color="auto"/>
              <w:right w:val="single" w:sz="4" w:space="0" w:color="auto"/>
            </w:tcBorders>
          </w:tcPr>
          <w:p w14:paraId="2D7C3774" w14:textId="12BF6F3A" w:rsidR="00CF504F" w:rsidRPr="000917BA" w:rsidRDefault="00CF504F">
            <w:pPr>
              <w:pStyle w:val="TableParagraph"/>
              <w:rPr>
                <w:b/>
                <w:bCs/>
              </w:rPr>
            </w:pPr>
            <w:r w:rsidRPr="000917BA">
              <w:rPr>
                <w:b/>
                <w:bCs/>
              </w:rPr>
              <w:t>Quality</w:t>
            </w:r>
            <w:r w:rsidRPr="000917BA">
              <w:rPr>
                <w:b/>
                <w:bCs/>
                <w:spacing w:val="-6"/>
              </w:rPr>
              <w:t xml:space="preserve"> </w:t>
            </w:r>
            <w:r w:rsidRPr="000917BA">
              <w:rPr>
                <w:b/>
                <w:bCs/>
              </w:rPr>
              <w:t>Assurance</w:t>
            </w:r>
            <w:r w:rsidRPr="000917BA">
              <w:rPr>
                <w:b/>
                <w:bCs/>
                <w:spacing w:val="-4"/>
              </w:rPr>
              <w:t xml:space="preserve"> </w:t>
            </w:r>
            <w:r w:rsidRPr="000917BA">
              <w:rPr>
                <w:b/>
                <w:bCs/>
              </w:rPr>
              <w:t>Checklist</w:t>
            </w:r>
            <w:r w:rsidRPr="000917BA">
              <w:rPr>
                <w:b/>
                <w:bCs/>
                <w:spacing w:val="-1"/>
              </w:rPr>
              <w:t xml:space="preserve"> </w:t>
            </w:r>
            <w:r w:rsidRPr="000917BA">
              <w:rPr>
                <w:b/>
                <w:bCs/>
              </w:rPr>
              <w:t>–</w:t>
            </w:r>
            <w:r w:rsidRPr="000917BA">
              <w:rPr>
                <w:b/>
                <w:bCs/>
                <w:spacing w:val="-5"/>
              </w:rPr>
              <w:t xml:space="preserve"> </w:t>
            </w:r>
            <w:r w:rsidRPr="000917BA">
              <w:rPr>
                <w:b/>
                <w:bCs/>
              </w:rPr>
              <w:t>Appropriation</w:t>
            </w:r>
            <w:r w:rsidRPr="000917BA">
              <w:rPr>
                <w:b/>
                <w:bCs/>
                <w:spacing w:val="-4"/>
              </w:rPr>
              <w:t xml:space="preserve"> Bills</w:t>
            </w:r>
          </w:p>
        </w:tc>
      </w:tr>
      <w:tr w:rsidR="00946775" w:rsidRPr="00E54E8E" w14:paraId="75CBA2C6" w14:textId="77777777" w:rsidTr="002D3B44">
        <w:trPr>
          <w:trHeight w:val="3080"/>
        </w:trPr>
        <w:tc>
          <w:tcPr>
            <w:tcW w:w="981" w:type="dxa"/>
            <w:vMerge w:val="restart"/>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vAlign w:val="center"/>
          </w:tcPr>
          <w:p w14:paraId="6376ED5A" w14:textId="22C96C17" w:rsidR="00E71628" w:rsidRPr="00D50513" w:rsidRDefault="00E71628" w:rsidP="00D50513">
            <w:pPr>
              <w:pStyle w:val="TableParagraph"/>
              <w:jc w:val="center"/>
            </w:pPr>
            <w:proofErr w:type="spellStart"/>
            <w:r w:rsidRPr="00E54E8E">
              <w:t>Finalisi</w:t>
            </w:r>
            <w:r w:rsidRPr="00D50513">
              <w:t>ng</w:t>
            </w:r>
            <w:proofErr w:type="spellEnd"/>
            <w:r w:rsidRPr="00D50513">
              <w:rPr>
                <w:spacing w:val="-9"/>
              </w:rPr>
              <w:t xml:space="preserve"> </w:t>
            </w:r>
            <w:r w:rsidRPr="00D50513">
              <w:t>Estimates</w:t>
            </w:r>
          </w:p>
        </w:tc>
        <w:tc>
          <w:tcPr>
            <w:tcW w:w="384" w:type="dxa"/>
            <w:tcBorders>
              <w:top w:val="single" w:sz="4" w:space="0" w:color="auto"/>
              <w:left w:val="single" w:sz="4" w:space="0" w:color="auto"/>
              <w:bottom w:val="single" w:sz="4" w:space="0" w:color="A6A6A6" w:themeColor="background1" w:themeShade="A6"/>
              <w:right w:val="single" w:sz="4" w:space="0" w:color="A6A6A6" w:themeColor="background1" w:themeShade="A6"/>
            </w:tcBorders>
          </w:tcPr>
          <w:p w14:paraId="647C820A" w14:textId="77777777" w:rsidR="00E71628" w:rsidRPr="00327CB9" w:rsidRDefault="00E71628" w:rsidP="00327CB9">
            <w:pPr>
              <w:pStyle w:val="TableParagraph"/>
            </w:pPr>
            <w:r w:rsidRPr="00327CB9">
              <w:t>1.</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1795AC80" w14:textId="77777777" w:rsidR="00E71628" w:rsidRPr="00E54E8E" w:rsidRDefault="00E71628" w:rsidP="003D7C30">
            <w:pPr>
              <w:pStyle w:val="TableParagraph-Question"/>
              <w:rPr>
                <w:b w:val="0"/>
              </w:rPr>
            </w:pPr>
            <w:r w:rsidRPr="003D7C30">
              <w:t>Have</w:t>
            </w:r>
            <w:r w:rsidRPr="003D7C30">
              <w:rPr>
                <w:spacing w:val="-8"/>
              </w:rPr>
              <w:t xml:space="preserve"> </w:t>
            </w:r>
            <w:r w:rsidRPr="003D7C30">
              <w:t>you</w:t>
            </w:r>
            <w:r w:rsidRPr="003D7C30">
              <w:rPr>
                <w:spacing w:val="-7"/>
              </w:rPr>
              <w:t xml:space="preserve"> </w:t>
            </w:r>
            <w:r w:rsidRPr="003D7C30">
              <w:t>generated</w:t>
            </w:r>
            <w:r w:rsidRPr="003D7C30">
              <w:rPr>
                <w:spacing w:val="-5"/>
              </w:rPr>
              <w:t xml:space="preserve"> </w:t>
            </w:r>
            <w:r w:rsidRPr="003D7C30">
              <w:t>the</w:t>
            </w:r>
            <w:r w:rsidRPr="003D7C30">
              <w:rPr>
                <w:spacing w:val="-5"/>
              </w:rPr>
              <w:t xml:space="preserve"> </w:t>
            </w:r>
            <w:r w:rsidRPr="003D7C30">
              <w:t>relevant</w:t>
            </w:r>
            <w:r w:rsidRPr="003D7C30">
              <w:rPr>
                <w:spacing w:val="-4"/>
              </w:rPr>
              <w:t xml:space="preserve"> </w:t>
            </w:r>
            <w:r w:rsidRPr="003D7C30">
              <w:t>Appropriation</w:t>
            </w:r>
            <w:r w:rsidRPr="003D7C30">
              <w:rPr>
                <w:spacing w:val="-7"/>
              </w:rPr>
              <w:t xml:space="preserve"> </w:t>
            </w:r>
            <w:r w:rsidRPr="003D7C30">
              <w:t>Bills</w:t>
            </w:r>
            <w:r w:rsidRPr="003D7C30">
              <w:rPr>
                <w:spacing w:val="-6"/>
              </w:rPr>
              <w:t xml:space="preserve"> </w:t>
            </w:r>
            <w:r w:rsidRPr="003D7C30">
              <w:t>Report(s)</w:t>
            </w:r>
            <w:r w:rsidRPr="003D7C30">
              <w:rPr>
                <w:spacing w:val="-6"/>
              </w:rPr>
              <w:t xml:space="preserve"> </w:t>
            </w:r>
            <w:r w:rsidRPr="003D7C30">
              <w:t>and</w:t>
            </w:r>
            <w:r w:rsidRPr="003D7C30">
              <w:rPr>
                <w:spacing w:val="-4"/>
              </w:rPr>
              <w:t xml:space="preserve"> </w:t>
            </w:r>
            <w:r w:rsidRPr="00E54E8E">
              <w:t>QA</w:t>
            </w:r>
            <w:r w:rsidRPr="00E54E8E">
              <w:rPr>
                <w:spacing w:val="-20"/>
              </w:rPr>
              <w:t xml:space="preserve"> </w:t>
            </w:r>
            <w:r w:rsidRPr="00E54E8E">
              <w:rPr>
                <w:spacing w:val="-2"/>
              </w:rPr>
              <w:t>Reports?</w:t>
            </w:r>
          </w:p>
          <w:p w14:paraId="64076F6F" w14:textId="77777777" w:rsidR="00E71628" w:rsidRPr="00E54E8E" w:rsidRDefault="00E71628">
            <w:pPr>
              <w:pStyle w:val="TableParagraph-Bullet1"/>
            </w:pPr>
            <w:r w:rsidRPr="00E54E8E">
              <w:t>NO</w:t>
            </w:r>
            <w:r w:rsidRPr="00E54E8E">
              <w:rPr>
                <w:spacing w:val="-3"/>
              </w:rPr>
              <w:t xml:space="preserve"> </w:t>
            </w:r>
            <w:r w:rsidRPr="00E54E8E">
              <w:t>-</w:t>
            </w:r>
            <w:r w:rsidRPr="00E54E8E">
              <w:rPr>
                <w:spacing w:val="-2"/>
              </w:rPr>
              <w:t xml:space="preserve"> </w:t>
            </w:r>
            <w:r w:rsidRPr="00E54E8E">
              <w:t>run</w:t>
            </w:r>
            <w:r w:rsidRPr="00E54E8E">
              <w:rPr>
                <w:spacing w:val="-4"/>
              </w:rPr>
              <w:t xml:space="preserve"> </w:t>
            </w:r>
            <w:r w:rsidRPr="00E54E8E">
              <w:t>the</w:t>
            </w:r>
            <w:r w:rsidRPr="00E54E8E">
              <w:rPr>
                <w:spacing w:val="-1"/>
              </w:rPr>
              <w:t xml:space="preserve"> </w:t>
            </w:r>
            <w:r w:rsidRPr="00E54E8E">
              <w:t>relevant</w:t>
            </w:r>
            <w:r w:rsidRPr="00E54E8E">
              <w:rPr>
                <w:spacing w:val="-2"/>
              </w:rPr>
              <w:t xml:space="preserve"> </w:t>
            </w:r>
            <w:r w:rsidRPr="00E54E8E">
              <w:t>Appropriation</w:t>
            </w:r>
            <w:r w:rsidRPr="00E54E8E">
              <w:rPr>
                <w:spacing w:val="-6"/>
              </w:rPr>
              <w:t xml:space="preserve"> </w:t>
            </w:r>
            <w:r w:rsidRPr="00E54E8E">
              <w:t>Bills</w:t>
            </w:r>
            <w:r w:rsidRPr="00E54E8E">
              <w:rPr>
                <w:spacing w:val="-4"/>
              </w:rPr>
              <w:t xml:space="preserve"> </w:t>
            </w:r>
            <w:r w:rsidRPr="00E54E8E">
              <w:t>Report(s)</w:t>
            </w:r>
            <w:r w:rsidRPr="00E54E8E">
              <w:rPr>
                <w:spacing w:val="-2"/>
              </w:rPr>
              <w:t xml:space="preserve"> </w:t>
            </w:r>
            <w:r w:rsidRPr="00E54E8E">
              <w:t>and</w:t>
            </w:r>
            <w:r w:rsidRPr="00E54E8E">
              <w:rPr>
                <w:spacing w:val="-6"/>
              </w:rPr>
              <w:t xml:space="preserve"> </w:t>
            </w:r>
            <w:r w:rsidRPr="00E54E8E">
              <w:t>QA</w:t>
            </w:r>
            <w:r w:rsidRPr="00E54E8E">
              <w:rPr>
                <w:spacing w:val="-12"/>
              </w:rPr>
              <w:t xml:space="preserve"> </w:t>
            </w:r>
            <w:r w:rsidRPr="00E54E8E">
              <w:rPr>
                <w:spacing w:val="-2"/>
              </w:rPr>
              <w:t>Reports.</w:t>
            </w:r>
          </w:p>
          <w:p w14:paraId="1184ED2C" w14:textId="24447670" w:rsidR="00E71628" w:rsidRPr="00E54E8E" w:rsidRDefault="00E71628">
            <w:pPr>
              <w:pStyle w:val="TableParagraph-Bullet2"/>
            </w:pPr>
            <w:r w:rsidRPr="00E54E8E">
              <w:t>The Appropriation</w:t>
            </w:r>
            <w:r w:rsidRPr="00E54E8E">
              <w:rPr>
                <w:spacing w:val="-5"/>
              </w:rPr>
              <w:t xml:space="preserve"> </w:t>
            </w:r>
            <w:r w:rsidRPr="00E54E8E">
              <w:t>Bills</w:t>
            </w:r>
            <w:r w:rsidRPr="00E54E8E">
              <w:rPr>
                <w:spacing w:val="-8"/>
              </w:rPr>
              <w:t xml:space="preserve"> </w:t>
            </w:r>
            <w:r w:rsidRPr="00E54E8E">
              <w:t>Reports can</w:t>
            </w:r>
            <w:r w:rsidRPr="00E54E8E">
              <w:rPr>
                <w:spacing w:val="-6"/>
              </w:rPr>
              <w:t xml:space="preserve"> </w:t>
            </w:r>
            <w:r w:rsidRPr="00E54E8E">
              <w:t>be</w:t>
            </w:r>
            <w:r w:rsidRPr="00E54E8E">
              <w:rPr>
                <w:spacing w:val="-5"/>
              </w:rPr>
              <w:t xml:space="preserve"> </w:t>
            </w:r>
            <w:r w:rsidRPr="00E54E8E">
              <w:t>found</w:t>
            </w:r>
            <w:r w:rsidRPr="00E54E8E">
              <w:rPr>
                <w:spacing w:val="-8"/>
              </w:rPr>
              <w:t xml:space="preserve"> </w:t>
            </w:r>
            <w:r w:rsidRPr="00E54E8E">
              <w:t>in</w:t>
            </w:r>
            <w:r w:rsidRPr="00E54E8E">
              <w:rPr>
                <w:spacing w:val="-8"/>
              </w:rPr>
              <w:t xml:space="preserve"> </w:t>
            </w:r>
            <w:r w:rsidRPr="00E54E8E">
              <w:t>CBMS</w:t>
            </w:r>
            <w:r w:rsidRPr="00E54E8E">
              <w:rPr>
                <w:spacing w:val="-8"/>
              </w:rPr>
              <w:t xml:space="preserve"> </w:t>
            </w:r>
            <w:r w:rsidRPr="00E54E8E">
              <w:t>under:</w:t>
            </w:r>
          </w:p>
          <w:p w14:paraId="0C4AD35D" w14:textId="7B6C3B10" w:rsidR="00E71628" w:rsidRPr="00327CB9" w:rsidRDefault="00E71628">
            <w:pPr>
              <w:pStyle w:val="CBMSReportQAChecklist"/>
            </w:pPr>
            <w:r w:rsidRPr="00E54E8E">
              <w:rPr>
                <w:szCs w:val="22"/>
              </w:rPr>
              <w:t xml:space="preserve">All Reports </w:t>
            </w:r>
            <w:r w:rsidRPr="00D50513">
              <w:rPr>
                <w:rFonts w:ascii="Wingdings" w:eastAsia="Wingdings" w:hAnsi="Wingdings" w:cs="Wingdings"/>
                <w:szCs w:val="22"/>
              </w:rPr>
              <w:t>à</w:t>
            </w:r>
            <w:r w:rsidRPr="00D50513">
              <w:rPr>
                <w:szCs w:val="22"/>
              </w:rPr>
              <w:t xml:space="preserve"> Statutory Reports </w:t>
            </w:r>
            <w:r w:rsidRPr="00D50513">
              <w:rPr>
                <w:rFonts w:ascii="Wingdings" w:eastAsia="Wingdings" w:hAnsi="Wingdings" w:cs="Wingdings"/>
                <w:szCs w:val="22"/>
              </w:rPr>
              <w:t>à</w:t>
            </w:r>
            <w:r w:rsidRPr="00D50513">
              <w:rPr>
                <w:szCs w:val="22"/>
              </w:rPr>
              <w:t xml:space="preserve">  Appropriation Bills </w:t>
            </w:r>
            <w:r w:rsidRPr="00D50513">
              <w:rPr>
                <w:rFonts w:ascii="Wingdings" w:eastAsia="Wingdings" w:hAnsi="Wingdings" w:cs="Wingdings"/>
                <w:szCs w:val="22"/>
              </w:rPr>
              <w:t>à</w:t>
            </w:r>
            <w:r w:rsidRPr="00D50513">
              <w:rPr>
                <w:szCs w:val="22"/>
              </w:rPr>
              <w:t xml:space="preserve"> Additional Estimates Bills</w:t>
            </w:r>
          </w:p>
          <w:p w14:paraId="5734EDF2" w14:textId="0222D279" w:rsidR="00E71628" w:rsidRPr="00E54E8E" w:rsidRDefault="00E71628">
            <w:pPr>
              <w:pStyle w:val="TableParagraph-Bullet2"/>
            </w:pPr>
            <w:r w:rsidRPr="003D7C30">
              <w:t>The Appropriation Bills QA Report will give you a breakdown of the estimates</w:t>
            </w:r>
            <w:r w:rsidRPr="003D7C30">
              <w:rPr>
                <w:spacing w:val="-5"/>
              </w:rPr>
              <w:t xml:space="preserve"> </w:t>
            </w:r>
            <w:r w:rsidRPr="003D7C30">
              <w:t>pulling through to</w:t>
            </w:r>
            <w:r w:rsidRPr="00E54E8E">
              <w:rPr>
                <w:spacing w:val="-5"/>
              </w:rPr>
              <w:t xml:space="preserve"> </w:t>
            </w:r>
            <w:r w:rsidRPr="00E54E8E">
              <w:t>the</w:t>
            </w:r>
            <w:r w:rsidRPr="00E54E8E">
              <w:rPr>
                <w:spacing w:val="-8"/>
              </w:rPr>
              <w:t xml:space="preserve"> </w:t>
            </w:r>
            <w:r w:rsidRPr="00E54E8E">
              <w:t>Appropriation</w:t>
            </w:r>
            <w:r w:rsidRPr="00E54E8E">
              <w:rPr>
                <w:spacing w:val="-6"/>
              </w:rPr>
              <w:t xml:space="preserve"> </w:t>
            </w:r>
            <w:r w:rsidRPr="00E54E8E">
              <w:t>Bills</w:t>
            </w:r>
            <w:r w:rsidRPr="00E54E8E">
              <w:rPr>
                <w:spacing w:val="-9"/>
              </w:rPr>
              <w:t xml:space="preserve"> </w:t>
            </w:r>
            <w:r w:rsidRPr="00E54E8E">
              <w:t>Reports,</w:t>
            </w:r>
            <w:r w:rsidRPr="00E54E8E">
              <w:rPr>
                <w:spacing w:val="-8"/>
              </w:rPr>
              <w:t xml:space="preserve"> </w:t>
            </w:r>
            <w:r w:rsidRPr="00E54E8E">
              <w:t>and</w:t>
            </w:r>
            <w:r w:rsidRPr="00E54E8E">
              <w:rPr>
                <w:spacing w:val="-9"/>
              </w:rPr>
              <w:t xml:space="preserve"> </w:t>
            </w:r>
            <w:r w:rsidRPr="00E54E8E">
              <w:t>can be found in CBMS under:</w:t>
            </w:r>
          </w:p>
          <w:p w14:paraId="2D9B48B0" w14:textId="52769967" w:rsidR="00E71628" w:rsidRPr="00327CB9" w:rsidRDefault="00E71628">
            <w:pPr>
              <w:pStyle w:val="CBMSReportQAChecklist"/>
            </w:pPr>
            <w:r w:rsidRPr="00E54E8E">
              <w:rPr>
                <w:szCs w:val="22"/>
              </w:rPr>
              <w:t xml:space="preserve">Reports </w:t>
            </w:r>
            <w:r w:rsidRPr="00D50513">
              <w:rPr>
                <w:rFonts w:ascii="Wingdings" w:eastAsia="Wingdings" w:hAnsi="Wingdings" w:cs="Wingdings"/>
                <w:szCs w:val="22"/>
              </w:rPr>
              <w:t>à</w:t>
            </w:r>
            <w:r w:rsidRPr="00D50513">
              <w:rPr>
                <w:szCs w:val="22"/>
              </w:rPr>
              <w:t xml:space="preserve"> Operational Reports </w:t>
            </w:r>
            <w:r w:rsidRPr="00D50513">
              <w:rPr>
                <w:rFonts w:ascii="Wingdings" w:eastAsia="Wingdings" w:hAnsi="Wingdings" w:cs="Wingdings"/>
                <w:szCs w:val="22"/>
              </w:rPr>
              <w:t>à</w:t>
            </w:r>
            <w:r w:rsidRPr="00D50513">
              <w:rPr>
                <w:szCs w:val="22"/>
              </w:rPr>
              <w:t xml:space="preserve"> Estimates </w:t>
            </w:r>
            <w:r w:rsidRPr="00D50513">
              <w:rPr>
                <w:rFonts w:ascii="Wingdings" w:eastAsia="Wingdings" w:hAnsi="Wingdings" w:cs="Wingdings"/>
                <w:szCs w:val="22"/>
              </w:rPr>
              <w:t>à</w:t>
            </w:r>
            <w:r w:rsidRPr="00D50513">
              <w:rPr>
                <w:szCs w:val="22"/>
              </w:rPr>
              <w:t xml:space="preserve"> Annual Estimates </w:t>
            </w:r>
            <w:r w:rsidRPr="00D50513">
              <w:rPr>
                <w:rFonts w:ascii="Wingdings" w:eastAsia="Wingdings" w:hAnsi="Wingdings" w:cs="Wingdings"/>
                <w:szCs w:val="22"/>
              </w:rPr>
              <w:t>à</w:t>
            </w:r>
            <w:r w:rsidRPr="00D50513">
              <w:rPr>
                <w:szCs w:val="22"/>
              </w:rPr>
              <w:t xml:space="preserve"> AE.OR.11 Annual Estimates Appropriations QA </w:t>
            </w:r>
            <w:r w:rsidRPr="00327CB9">
              <w:rPr>
                <w:szCs w:val="22"/>
              </w:rPr>
              <w:t>Report</w:t>
            </w:r>
          </w:p>
          <w:p w14:paraId="394060BA" w14:textId="2AE7D4D1"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2</w:t>
            </w:r>
          </w:p>
        </w:tc>
      </w:tr>
      <w:tr w:rsidR="000917BA" w:rsidRPr="00E54E8E" w14:paraId="53217CB8" w14:textId="77777777" w:rsidTr="000917BA">
        <w:trPr>
          <w:trHeight w:val="1974"/>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203072A7"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7DAB39B8" w14:textId="77777777" w:rsidR="00E71628" w:rsidRPr="00E54E8E" w:rsidRDefault="00E71628">
            <w:pPr>
              <w:pStyle w:val="TableParagraph"/>
            </w:pPr>
            <w:r w:rsidRPr="00E54E8E">
              <w:t>2.</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2CD24BDE" w14:textId="77777777" w:rsidR="00E71628" w:rsidRPr="00E54E8E" w:rsidRDefault="00E71628">
            <w:pPr>
              <w:pStyle w:val="TableParagraph-Question"/>
              <w:rPr>
                <w:b w:val="0"/>
              </w:rPr>
            </w:pPr>
            <w:r w:rsidRPr="00E54E8E">
              <w:t>Are</w:t>
            </w:r>
            <w:r w:rsidRPr="00E54E8E">
              <w:rPr>
                <w:spacing w:val="-3"/>
              </w:rPr>
              <w:t xml:space="preserve"> </w:t>
            </w:r>
            <w:r w:rsidRPr="00E54E8E">
              <w:t>the</w:t>
            </w:r>
            <w:r w:rsidRPr="00E54E8E">
              <w:rPr>
                <w:spacing w:val="-3"/>
              </w:rPr>
              <w:t xml:space="preserve"> </w:t>
            </w:r>
            <w:r w:rsidRPr="00E54E8E">
              <w:t>amounts</w:t>
            </w:r>
            <w:r w:rsidRPr="00E54E8E">
              <w:rPr>
                <w:spacing w:val="-4"/>
              </w:rPr>
              <w:t xml:space="preserve"> </w:t>
            </w:r>
            <w:r w:rsidRPr="00E54E8E">
              <w:t>displayed</w:t>
            </w:r>
            <w:r w:rsidRPr="00E54E8E">
              <w:rPr>
                <w:spacing w:val="-6"/>
              </w:rPr>
              <w:t xml:space="preserve"> </w:t>
            </w:r>
            <w:r w:rsidRPr="00E54E8E">
              <w:t>in</w:t>
            </w:r>
            <w:r w:rsidRPr="00E54E8E">
              <w:rPr>
                <w:spacing w:val="-3"/>
              </w:rPr>
              <w:t xml:space="preserve"> </w:t>
            </w:r>
            <w:r w:rsidRPr="00E54E8E">
              <w:t>the</w:t>
            </w:r>
            <w:r w:rsidRPr="00E54E8E">
              <w:rPr>
                <w:spacing w:val="-3"/>
              </w:rPr>
              <w:t xml:space="preserve"> </w:t>
            </w:r>
            <w:r w:rsidRPr="00E54E8E">
              <w:t>Appropriation</w:t>
            </w:r>
            <w:r w:rsidRPr="00E54E8E">
              <w:rPr>
                <w:spacing w:val="-5"/>
              </w:rPr>
              <w:t xml:space="preserve"> </w:t>
            </w:r>
            <w:r w:rsidRPr="00E54E8E">
              <w:t>Bills</w:t>
            </w:r>
            <w:r w:rsidRPr="00E54E8E">
              <w:rPr>
                <w:spacing w:val="-4"/>
              </w:rPr>
              <w:t xml:space="preserve"> </w:t>
            </w:r>
            <w:r w:rsidRPr="00E54E8E">
              <w:t>Report</w:t>
            </w:r>
            <w:r w:rsidRPr="00E54E8E">
              <w:rPr>
                <w:spacing w:val="-2"/>
              </w:rPr>
              <w:t xml:space="preserve"> </w:t>
            </w:r>
            <w:r w:rsidRPr="00E54E8E">
              <w:t>and</w:t>
            </w:r>
            <w:r w:rsidRPr="00E54E8E">
              <w:rPr>
                <w:spacing w:val="-3"/>
              </w:rPr>
              <w:t xml:space="preserve"> </w:t>
            </w:r>
            <w:r w:rsidRPr="00E54E8E">
              <w:t>QA</w:t>
            </w:r>
            <w:r w:rsidRPr="00E54E8E">
              <w:rPr>
                <w:spacing w:val="-2"/>
              </w:rPr>
              <w:t xml:space="preserve"> </w:t>
            </w:r>
            <w:r w:rsidRPr="00E54E8E">
              <w:t>Report</w:t>
            </w:r>
            <w:r w:rsidRPr="00E54E8E">
              <w:rPr>
                <w:spacing w:val="-4"/>
              </w:rPr>
              <w:t xml:space="preserve"> </w:t>
            </w:r>
            <w:r w:rsidRPr="00E54E8E">
              <w:t>what</w:t>
            </w:r>
            <w:r w:rsidRPr="00E54E8E">
              <w:rPr>
                <w:spacing w:val="-4"/>
              </w:rPr>
              <w:t xml:space="preserve"> </w:t>
            </w:r>
            <w:r w:rsidRPr="00E54E8E">
              <w:t xml:space="preserve">you </w:t>
            </w:r>
            <w:r w:rsidRPr="00E54E8E">
              <w:rPr>
                <w:spacing w:val="-2"/>
              </w:rPr>
              <w:t>expect?</w:t>
            </w:r>
          </w:p>
          <w:p w14:paraId="1AB55F97" w14:textId="77777777" w:rsidR="00E71628" w:rsidRPr="00E54E8E" w:rsidRDefault="00E71628">
            <w:pPr>
              <w:pStyle w:val="TableParagraph-Bullet1"/>
            </w:pPr>
            <w:r w:rsidRPr="00E54E8E">
              <w:t>NO</w:t>
            </w:r>
            <w:r w:rsidRPr="00E54E8E">
              <w:rPr>
                <w:spacing w:val="-3"/>
              </w:rPr>
              <w:t xml:space="preserve"> </w:t>
            </w:r>
            <w:r w:rsidRPr="00E54E8E">
              <w:t>-</w:t>
            </w:r>
            <w:r w:rsidRPr="00E54E8E">
              <w:rPr>
                <w:spacing w:val="-3"/>
              </w:rPr>
              <w:t xml:space="preserve"> </w:t>
            </w:r>
            <w:r w:rsidRPr="00E54E8E">
              <w:t>run</w:t>
            </w:r>
            <w:r w:rsidRPr="00E54E8E">
              <w:rPr>
                <w:spacing w:val="-3"/>
              </w:rPr>
              <w:t xml:space="preserve"> </w:t>
            </w:r>
            <w:r w:rsidRPr="00E54E8E">
              <w:t>the</w:t>
            </w:r>
            <w:r w:rsidRPr="00E54E8E">
              <w:rPr>
                <w:spacing w:val="-2"/>
              </w:rPr>
              <w:t xml:space="preserve"> </w:t>
            </w:r>
            <w:r w:rsidRPr="00E54E8E">
              <w:t>Annual</w:t>
            </w:r>
            <w:r w:rsidRPr="00E54E8E">
              <w:rPr>
                <w:spacing w:val="-2"/>
              </w:rPr>
              <w:t xml:space="preserve"> </w:t>
            </w:r>
            <w:r w:rsidRPr="00E54E8E">
              <w:t>Estimates</w:t>
            </w:r>
            <w:r w:rsidRPr="00E54E8E">
              <w:rPr>
                <w:spacing w:val="-5"/>
              </w:rPr>
              <w:t xml:space="preserve"> </w:t>
            </w:r>
            <w:r w:rsidRPr="00E54E8E">
              <w:t>Details</w:t>
            </w:r>
            <w:r w:rsidRPr="00E54E8E">
              <w:rPr>
                <w:spacing w:val="-2"/>
              </w:rPr>
              <w:t xml:space="preserve"> </w:t>
            </w:r>
            <w:r w:rsidRPr="00E54E8E">
              <w:t>Report,</w:t>
            </w:r>
            <w:r w:rsidRPr="00E54E8E">
              <w:rPr>
                <w:spacing w:val="-5"/>
              </w:rPr>
              <w:t xml:space="preserve"> </w:t>
            </w:r>
            <w:r w:rsidRPr="00E54E8E">
              <w:t>then</w:t>
            </w:r>
            <w:r w:rsidRPr="00E54E8E">
              <w:rPr>
                <w:spacing w:val="-2"/>
              </w:rPr>
              <w:t xml:space="preserve"> </w:t>
            </w:r>
            <w:r w:rsidRPr="00E54E8E">
              <w:t>go</w:t>
            </w:r>
            <w:r w:rsidRPr="00E54E8E">
              <w:rPr>
                <w:spacing w:val="-4"/>
              </w:rPr>
              <w:t xml:space="preserve"> </w:t>
            </w:r>
            <w:r w:rsidRPr="00E54E8E">
              <w:t>to</w:t>
            </w:r>
            <w:r w:rsidRPr="00E54E8E">
              <w:rPr>
                <w:spacing w:val="-1"/>
              </w:rPr>
              <w:t xml:space="preserve"> </w:t>
            </w:r>
            <w:r w:rsidRPr="00E54E8E">
              <w:t>step</w:t>
            </w:r>
            <w:r w:rsidRPr="00E54E8E">
              <w:rPr>
                <w:spacing w:val="-10"/>
              </w:rPr>
              <w:t xml:space="preserve"> </w:t>
            </w:r>
            <w:r w:rsidRPr="00E54E8E">
              <w:rPr>
                <w:spacing w:val="-5"/>
              </w:rPr>
              <w:t>3.</w:t>
            </w:r>
          </w:p>
          <w:p w14:paraId="37E73388" w14:textId="1ADC2BF2" w:rsidR="00E71628" w:rsidRPr="00E54E8E" w:rsidRDefault="00E71628">
            <w:pPr>
              <w:pStyle w:val="TableParagraph-Bullet2"/>
            </w:pPr>
            <w:r w:rsidRPr="00E54E8E">
              <w:t>The Details</w:t>
            </w:r>
            <w:r w:rsidRPr="00E54E8E">
              <w:rPr>
                <w:spacing w:val="-3"/>
              </w:rPr>
              <w:t xml:space="preserve"> </w:t>
            </w:r>
            <w:r w:rsidRPr="00E54E8E">
              <w:t>Report can</w:t>
            </w:r>
            <w:r w:rsidRPr="00E54E8E">
              <w:rPr>
                <w:spacing w:val="-1"/>
              </w:rPr>
              <w:t xml:space="preserve"> </w:t>
            </w:r>
            <w:r w:rsidRPr="00E54E8E">
              <w:t>be found</w:t>
            </w:r>
            <w:r w:rsidRPr="00E54E8E">
              <w:rPr>
                <w:spacing w:val="-1"/>
              </w:rPr>
              <w:t xml:space="preserve"> </w:t>
            </w:r>
            <w:r w:rsidRPr="00E54E8E">
              <w:t>in CBMS</w:t>
            </w:r>
            <w:r w:rsidRPr="00E54E8E">
              <w:rPr>
                <w:spacing w:val="-3"/>
              </w:rPr>
              <w:t xml:space="preserve"> </w:t>
            </w:r>
            <w:r w:rsidRPr="00E54E8E">
              <w:t>under:</w:t>
            </w:r>
          </w:p>
          <w:p w14:paraId="3B20D276" w14:textId="3D23A91A" w:rsidR="00E71628" w:rsidRPr="00327CB9" w:rsidRDefault="00E71628">
            <w:pPr>
              <w:pStyle w:val="CBMSReportQAChecklist"/>
            </w:pPr>
            <w:r w:rsidRPr="00E54E8E">
              <w:rPr>
                <w:szCs w:val="22"/>
              </w:rPr>
              <w:t xml:space="preserve">Reports </w:t>
            </w:r>
            <w:r w:rsidRPr="00D50513">
              <w:rPr>
                <w:rFonts w:ascii="Wingdings" w:eastAsia="Wingdings" w:hAnsi="Wingdings" w:cs="Wingdings"/>
                <w:szCs w:val="22"/>
              </w:rPr>
              <w:t>à</w:t>
            </w:r>
            <w:r w:rsidRPr="00D50513">
              <w:rPr>
                <w:szCs w:val="22"/>
              </w:rPr>
              <w:t xml:space="preserve"> Operational Reports </w:t>
            </w:r>
            <w:r w:rsidRPr="00D50513">
              <w:rPr>
                <w:rFonts w:ascii="Wingdings" w:eastAsia="Wingdings" w:hAnsi="Wingdings" w:cs="Wingdings"/>
                <w:szCs w:val="22"/>
              </w:rPr>
              <w:t>à</w:t>
            </w:r>
            <w:r w:rsidRPr="00D50513">
              <w:rPr>
                <w:szCs w:val="22"/>
              </w:rPr>
              <w:t xml:space="preserve">  Estimates </w:t>
            </w:r>
            <w:r w:rsidRPr="00D50513">
              <w:rPr>
                <w:rFonts w:ascii="Wingdings" w:eastAsia="Wingdings" w:hAnsi="Wingdings" w:cs="Wingdings"/>
                <w:szCs w:val="22"/>
              </w:rPr>
              <w:t>à</w:t>
            </w:r>
            <w:r w:rsidRPr="00D50513">
              <w:rPr>
                <w:szCs w:val="22"/>
              </w:rPr>
              <w:t xml:space="preserve"> Annual </w:t>
            </w:r>
            <w:r w:rsidRPr="00327CB9">
              <w:rPr>
                <w:szCs w:val="22"/>
              </w:rPr>
              <w:t xml:space="preserve">Estimates </w:t>
            </w:r>
            <w:r w:rsidRPr="00D50513">
              <w:rPr>
                <w:rFonts w:ascii="Wingdings" w:eastAsia="Wingdings" w:hAnsi="Wingdings" w:cs="Wingdings"/>
                <w:szCs w:val="22"/>
              </w:rPr>
              <w:t>à</w:t>
            </w:r>
            <w:r w:rsidRPr="00D50513">
              <w:rPr>
                <w:szCs w:val="22"/>
              </w:rPr>
              <w:t xml:space="preserve">  AE.OR.13 </w:t>
            </w:r>
            <w:r w:rsidRPr="00327CB9">
              <w:rPr>
                <w:szCs w:val="22"/>
              </w:rPr>
              <w:t>Annual Estimates Detail Listing AEIFRS Report (PBF)</w:t>
            </w:r>
          </w:p>
          <w:p w14:paraId="7536D1F4" w14:textId="1C1B1467"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6</w:t>
            </w:r>
          </w:p>
        </w:tc>
      </w:tr>
      <w:tr w:rsidR="000917BA" w:rsidRPr="00E54E8E" w14:paraId="22E6567C" w14:textId="77777777" w:rsidTr="000917BA">
        <w:trPr>
          <w:trHeight w:val="1961"/>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46BA7B15"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7B109F1B" w14:textId="77777777" w:rsidR="00E71628" w:rsidRPr="00E54E8E" w:rsidRDefault="00E71628">
            <w:pPr>
              <w:pStyle w:val="TableParagraph"/>
            </w:pPr>
            <w:r w:rsidRPr="00E54E8E">
              <w:t>3.</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47B4BDC7" w14:textId="77777777" w:rsidR="00E71628" w:rsidRPr="00E54E8E" w:rsidRDefault="00E71628">
            <w:pPr>
              <w:pStyle w:val="TableParagraph-Question"/>
              <w:rPr>
                <w:b w:val="0"/>
              </w:rPr>
            </w:pPr>
            <w:r w:rsidRPr="00E54E8E">
              <w:t>Have</w:t>
            </w:r>
            <w:r w:rsidRPr="00E54E8E">
              <w:rPr>
                <w:spacing w:val="-7"/>
              </w:rPr>
              <w:t xml:space="preserve"> </w:t>
            </w:r>
            <w:r w:rsidRPr="00E54E8E">
              <w:t>the</w:t>
            </w:r>
            <w:r w:rsidRPr="00E54E8E">
              <w:rPr>
                <w:spacing w:val="-7"/>
              </w:rPr>
              <w:t xml:space="preserve"> </w:t>
            </w:r>
            <w:r w:rsidRPr="00E54E8E">
              <w:t>appropriation</w:t>
            </w:r>
            <w:r w:rsidRPr="00E54E8E">
              <w:rPr>
                <w:spacing w:val="-8"/>
              </w:rPr>
              <w:t xml:space="preserve"> </w:t>
            </w:r>
            <w:r w:rsidRPr="00E54E8E">
              <w:t>estimates</w:t>
            </w:r>
            <w:r w:rsidRPr="00E54E8E">
              <w:rPr>
                <w:spacing w:val="-7"/>
              </w:rPr>
              <w:t xml:space="preserve"> </w:t>
            </w:r>
            <w:r w:rsidRPr="00E54E8E">
              <w:t>been</w:t>
            </w:r>
            <w:r w:rsidRPr="00E54E8E">
              <w:rPr>
                <w:spacing w:val="-9"/>
              </w:rPr>
              <w:t xml:space="preserve"> </w:t>
            </w:r>
            <w:r w:rsidRPr="00E54E8E">
              <w:t>entered</w:t>
            </w:r>
            <w:r w:rsidRPr="00E54E8E">
              <w:rPr>
                <w:spacing w:val="-9"/>
              </w:rPr>
              <w:t xml:space="preserve"> </w:t>
            </w:r>
            <w:r w:rsidRPr="00E54E8E">
              <w:t>consistent</w:t>
            </w:r>
            <w:r w:rsidRPr="00E54E8E">
              <w:rPr>
                <w:spacing w:val="-8"/>
              </w:rPr>
              <w:t xml:space="preserve"> </w:t>
            </w:r>
            <w:r w:rsidRPr="00E54E8E">
              <w:t>with</w:t>
            </w:r>
            <w:r w:rsidRPr="00E54E8E">
              <w:rPr>
                <w:spacing w:val="-7"/>
              </w:rPr>
              <w:t xml:space="preserve"> </w:t>
            </w:r>
            <w:r w:rsidRPr="00E54E8E">
              <w:t>the</w:t>
            </w:r>
            <w:r w:rsidRPr="00E54E8E">
              <w:rPr>
                <w:spacing w:val="-8"/>
              </w:rPr>
              <w:t xml:space="preserve"> </w:t>
            </w:r>
            <w:r w:rsidRPr="00E54E8E">
              <w:t>Appropriation</w:t>
            </w:r>
            <w:r w:rsidRPr="00E54E8E">
              <w:rPr>
                <w:spacing w:val="-6"/>
              </w:rPr>
              <w:t xml:space="preserve"> </w:t>
            </w:r>
            <w:r w:rsidRPr="00E54E8E">
              <w:t xml:space="preserve">Bills </w:t>
            </w:r>
            <w:r w:rsidRPr="00E54E8E">
              <w:rPr>
                <w:spacing w:val="-2"/>
              </w:rPr>
              <w:t>Matrix?</w:t>
            </w:r>
          </w:p>
          <w:p w14:paraId="7BE15594" w14:textId="77777777" w:rsidR="00E71628" w:rsidRPr="00E54E8E" w:rsidRDefault="00E71628">
            <w:pPr>
              <w:pStyle w:val="TableParagraph-Bullet1"/>
            </w:pPr>
            <w:r w:rsidRPr="00E54E8E">
              <w:t>NO</w:t>
            </w:r>
            <w:r w:rsidRPr="00E54E8E">
              <w:rPr>
                <w:spacing w:val="-4"/>
              </w:rPr>
              <w:t xml:space="preserve"> </w:t>
            </w:r>
            <w:r w:rsidRPr="00E54E8E">
              <w:t>-</w:t>
            </w:r>
            <w:r w:rsidRPr="00E54E8E">
              <w:rPr>
                <w:spacing w:val="-3"/>
              </w:rPr>
              <w:t xml:space="preserve"> </w:t>
            </w:r>
            <w:r w:rsidRPr="00E54E8E">
              <w:t>the</w:t>
            </w:r>
            <w:r w:rsidRPr="00E54E8E">
              <w:rPr>
                <w:spacing w:val="-4"/>
              </w:rPr>
              <w:t xml:space="preserve"> </w:t>
            </w:r>
            <w:r w:rsidRPr="00E54E8E">
              <w:t>estimates</w:t>
            </w:r>
            <w:r w:rsidRPr="00E54E8E">
              <w:rPr>
                <w:spacing w:val="-3"/>
              </w:rPr>
              <w:t xml:space="preserve"> </w:t>
            </w:r>
            <w:r w:rsidRPr="00E54E8E">
              <w:t>will</w:t>
            </w:r>
            <w:r w:rsidRPr="00E54E8E">
              <w:rPr>
                <w:spacing w:val="-2"/>
              </w:rPr>
              <w:t xml:space="preserve"> </w:t>
            </w:r>
            <w:r w:rsidRPr="00E54E8E">
              <w:t>need</w:t>
            </w:r>
            <w:r w:rsidRPr="00E54E8E">
              <w:rPr>
                <w:spacing w:val="-4"/>
              </w:rPr>
              <w:t xml:space="preserve"> </w:t>
            </w:r>
            <w:r w:rsidRPr="00E54E8E">
              <w:t>to</w:t>
            </w:r>
            <w:r w:rsidRPr="00E54E8E">
              <w:rPr>
                <w:spacing w:val="-1"/>
              </w:rPr>
              <w:t xml:space="preserve"> </w:t>
            </w:r>
            <w:r w:rsidRPr="00E54E8E">
              <w:t>be</w:t>
            </w:r>
            <w:r w:rsidRPr="00E54E8E">
              <w:rPr>
                <w:spacing w:val="-1"/>
              </w:rPr>
              <w:t xml:space="preserve"> </w:t>
            </w:r>
            <w:r w:rsidRPr="00E54E8E">
              <w:t>reversed</w:t>
            </w:r>
            <w:r w:rsidRPr="00E54E8E">
              <w:rPr>
                <w:spacing w:val="-3"/>
              </w:rPr>
              <w:t xml:space="preserve"> </w:t>
            </w:r>
            <w:r w:rsidRPr="00E54E8E">
              <w:t>and</w:t>
            </w:r>
            <w:r w:rsidRPr="00E54E8E">
              <w:rPr>
                <w:spacing w:val="-2"/>
              </w:rPr>
              <w:t xml:space="preserve"> </w:t>
            </w:r>
            <w:r w:rsidRPr="00E54E8E">
              <w:t>re-entered</w:t>
            </w:r>
            <w:r w:rsidRPr="00E54E8E">
              <w:rPr>
                <w:spacing w:val="-2"/>
              </w:rPr>
              <w:t xml:space="preserve"> </w:t>
            </w:r>
            <w:r w:rsidRPr="00E54E8E">
              <w:t>with</w:t>
            </w:r>
            <w:r w:rsidRPr="00E54E8E">
              <w:rPr>
                <w:spacing w:val="-2"/>
              </w:rPr>
              <w:t xml:space="preserve"> </w:t>
            </w:r>
            <w:r w:rsidRPr="00E54E8E">
              <w:t>the</w:t>
            </w:r>
            <w:r w:rsidRPr="00E54E8E">
              <w:rPr>
                <w:spacing w:val="-4"/>
              </w:rPr>
              <w:t xml:space="preserve"> </w:t>
            </w:r>
            <w:r w:rsidRPr="00E54E8E">
              <w:t>correct</w:t>
            </w:r>
            <w:r w:rsidRPr="00E54E8E">
              <w:rPr>
                <w:spacing w:val="-13"/>
              </w:rPr>
              <w:t xml:space="preserve"> </w:t>
            </w:r>
            <w:r w:rsidRPr="00E54E8E">
              <w:rPr>
                <w:spacing w:val="-2"/>
              </w:rPr>
              <w:t>values.</w:t>
            </w:r>
          </w:p>
          <w:p w14:paraId="35BE3FFC" w14:textId="1E153E5F" w:rsidR="00E71628" w:rsidRPr="00E54E8E" w:rsidRDefault="00E71628">
            <w:pPr>
              <w:pStyle w:val="TableParagraph-Bullet2"/>
            </w:pPr>
            <w:r w:rsidRPr="00E54E8E">
              <w:t>The</w:t>
            </w:r>
            <w:r w:rsidRPr="00E54E8E">
              <w:rPr>
                <w:spacing w:val="-3"/>
              </w:rPr>
              <w:t xml:space="preserve"> </w:t>
            </w:r>
            <w:r w:rsidRPr="00E54E8E">
              <w:t>Appropriation</w:t>
            </w:r>
            <w:r w:rsidRPr="00E54E8E">
              <w:rPr>
                <w:spacing w:val="-4"/>
              </w:rPr>
              <w:t xml:space="preserve"> </w:t>
            </w:r>
            <w:r w:rsidRPr="00E54E8E">
              <w:t>Bills</w:t>
            </w:r>
            <w:r w:rsidRPr="00E54E8E">
              <w:rPr>
                <w:spacing w:val="-6"/>
              </w:rPr>
              <w:t xml:space="preserve"> </w:t>
            </w:r>
            <w:r w:rsidRPr="00E54E8E">
              <w:t>Matrix</w:t>
            </w:r>
            <w:r w:rsidRPr="00E54E8E">
              <w:rPr>
                <w:spacing w:val="-3"/>
              </w:rPr>
              <w:t xml:space="preserve"> </w:t>
            </w:r>
            <w:r w:rsidRPr="00E54E8E">
              <w:t>can</w:t>
            </w:r>
            <w:r w:rsidRPr="00E54E8E">
              <w:rPr>
                <w:spacing w:val="-4"/>
              </w:rPr>
              <w:t xml:space="preserve"> </w:t>
            </w:r>
            <w:r w:rsidRPr="00E54E8E">
              <w:t>be</w:t>
            </w:r>
            <w:r w:rsidRPr="00E54E8E">
              <w:rPr>
                <w:spacing w:val="-2"/>
              </w:rPr>
              <w:t xml:space="preserve"> </w:t>
            </w:r>
            <w:r w:rsidRPr="00E54E8E">
              <w:t>found</w:t>
            </w:r>
            <w:r w:rsidRPr="00E54E8E">
              <w:rPr>
                <w:spacing w:val="-6"/>
              </w:rPr>
              <w:t xml:space="preserve"> </w:t>
            </w:r>
            <w:r w:rsidRPr="00E54E8E">
              <w:t>in</w:t>
            </w:r>
            <w:r w:rsidRPr="00E54E8E">
              <w:rPr>
                <w:spacing w:val="-4"/>
              </w:rPr>
              <w:t xml:space="preserve"> </w:t>
            </w:r>
            <w:r w:rsidRPr="00E54E8E">
              <w:t>the</w:t>
            </w:r>
            <w:r w:rsidRPr="00E54E8E">
              <w:rPr>
                <w:spacing w:val="-2"/>
              </w:rPr>
              <w:t xml:space="preserve"> </w:t>
            </w:r>
            <w:r w:rsidRPr="00E54E8E">
              <w:t>CBMS</w:t>
            </w:r>
            <w:r w:rsidRPr="00E54E8E">
              <w:rPr>
                <w:spacing w:val="-4"/>
              </w:rPr>
              <w:t xml:space="preserve"> </w:t>
            </w:r>
            <w:r w:rsidRPr="00E54E8E">
              <w:t>Portal</w:t>
            </w:r>
            <w:r w:rsidRPr="00E54E8E">
              <w:rPr>
                <w:spacing w:val="-6"/>
              </w:rPr>
              <w:t xml:space="preserve"> via the:</w:t>
            </w:r>
          </w:p>
          <w:p w14:paraId="0E9D0A40" w14:textId="492CE132" w:rsidR="00E71628" w:rsidRPr="00327CB9" w:rsidRDefault="00E71628">
            <w:pPr>
              <w:pStyle w:val="CBMSReportQAChecklist"/>
            </w:pPr>
            <w:r w:rsidRPr="00E54E8E">
              <w:rPr>
                <w:szCs w:val="22"/>
              </w:rPr>
              <w:t xml:space="preserve">Assistance for CBMS feed tile </w:t>
            </w:r>
            <w:r w:rsidRPr="00D50513">
              <w:rPr>
                <w:rFonts w:ascii="Wingdings" w:eastAsia="Wingdings" w:hAnsi="Wingdings" w:cs="Wingdings"/>
                <w:szCs w:val="22"/>
              </w:rPr>
              <w:t>à</w:t>
            </w:r>
            <w:r w:rsidRPr="00D50513">
              <w:rPr>
                <w:szCs w:val="22"/>
              </w:rPr>
              <w:t xml:space="preserve"> User Support </w:t>
            </w:r>
            <w:r w:rsidRPr="00D50513">
              <w:rPr>
                <w:rFonts w:ascii="Wingdings" w:eastAsia="Wingdings" w:hAnsi="Wingdings" w:cs="Wingdings"/>
                <w:szCs w:val="22"/>
              </w:rPr>
              <w:t>à</w:t>
            </w:r>
            <w:r w:rsidRPr="00D50513">
              <w:rPr>
                <w:szCs w:val="22"/>
              </w:rPr>
              <w:t xml:space="preserve"> CBMS User Reference Material </w:t>
            </w:r>
            <w:r w:rsidRPr="00D50513">
              <w:rPr>
                <w:rFonts w:ascii="Wingdings" w:eastAsia="Wingdings" w:hAnsi="Wingdings" w:cs="Wingdings"/>
                <w:szCs w:val="22"/>
              </w:rPr>
              <w:t>à</w:t>
            </w:r>
            <w:r w:rsidRPr="00D50513">
              <w:rPr>
                <w:szCs w:val="22"/>
              </w:rPr>
              <w:t xml:space="preserve"> Reference Material </w:t>
            </w:r>
            <w:r w:rsidRPr="00D50513">
              <w:rPr>
                <w:rFonts w:ascii="Wingdings" w:eastAsia="Wingdings" w:hAnsi="Wingdings" w:cs="Wingdings"/>
                <w:szCs w:val="22"/>
              </w:rPr>
              <w:t>à</w:t>
            </w:r>
            <w:r w:rsidRPr="00D50513">
              <w:rPr>
                <w:szCs w:val="22"/>
              </w:rPr>
              <w:t xml:space="preserve"> Annual Estimates </w:t>
            </w:r>
            <w:r w:rsidRPr="00D50513">
              <w:rPr>
                <w:rFonts w:ascii="Wingdings" w:eastAsia="Wingdings" w:hAnsi="Wingdings" w:cs="Wingdings"/>
                <w:szCs w:val="22"/>
              </w:rPr>
              <w:t>à</w:t>
            </w:r>
            <w:r w:rsidRPr="00D50513">
              <w:rPr>
                <w:szCs w:val="22"/>
              </w:rPr>
              <w:t xml:space="preserve"> Appropriation Bills Matrix</w:t>
            </w:r>
          </w:p>
          <w:p w14:paraId="399EF9EA" w14:textId="59C80F88"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4</w:t>
            </w:r>
          </w:p>
        </w:tc>
      </w:tr>
      <w:tr w:rsidR="000917BA" w:rsidRPr="00E54E8E" w14:paraId="75E0EF2A" w14:textId="77777777" w:rsidTr="000917BA">
        <w:trPr>
          <w:trHeight w:val="2271"/>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799089AB"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38FE4EEC" w14:textId="77777777" w:rsidR="00E71628" w:rsidRPr="00E54E8E" w:rsidRDefault="00E71628">
            <w:pPr>
              <w:pStyle w:val="TableParagraph"/>
            </w:pPr>
            <w:r w:rsidRPr="00E54E8E">
              <w:t>4.</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0F26797F" w14:textId="77777777" w:rsidR="00E71628" w:rsidRPr="00E54E8E" w:rsidRDefault="00E71628">
            <w:pPr>
              <w:pStyle w:val="TableParagraph-Question"/>
              <w:rPr>
                <w:b w:val="0"/>
              </w:rPr>
            </w:pPr>
            <w:r w:rsidRPr="00E54E8E">
              <w:t>Have</w:t>
            </w:r>
            <w:r w:rsidRPr="00E54E8E">
              <w:rPr>
                <w:spacing w:val="-11"/>
              </w:rPr>
              <w:t xml:space="preserve"> </w:t>
            </w:r>
            <w:r w:rsidRPr="00E54E8E">
              <w:t>the</w:t>
            </w:r>
            <w:r w:rsidRPr="00E54E8E">
              <w:rPr>
                <w:spacing w:val="-5"/>
              </w:rPr>
              <w:t xml:space="preserve"> </w:t>
            </w:r>
            <w:r w:rsidRPr="00E54E8E">
              <w:t>correct</w:t>
            </w:r>
            <w:r w:rsidRPr="00E54E8E">
              <w:rPr>
                <w:spacing w:val="-5"/>
              </w:rPr>
              <w:t xml:space="preserve"> </w:t>
            </w:r>
            <w:r w:rsidRPr="00E54E8E">
              <w:t>and</w:t>
            </w:r>
            <w:r w:rsidRPr="00E54E8E">
              <w:rPr>
                <w:spacing w:val="-6"/>
              </w:rPr>
              <w:t xml:space="preserve"> </w:t>
            </w:r>
            <w:r w:rsidRPr="00E54E8E">
              <w:t>current</w:t>
            </w:r>
            <w:r w:rsidRPr="00E54E8E">
              <w:rPr>
                <w:spacing w:val="-4"/>
              </w:rPr>
              <w:t xml:space="preserve"> </w:t>
            </w:r>
            <w:r w:rsidRPr="00E54E8E">
              <w:t>Outcomes</w:t>
            </w:r>
            <w:r w:rsidRPr="00E54E8E">
              <w:rPr>
                <w:spacing w:val="-7"/>
              </w:rPr>
              <w:t xml:space="preserve"> </w:t>
            </w:r>
            <w:r w:rsidRPr="00E54E8E">
              <w:t>and</w:t>
            </w:r>
            <w:r w:rsidRPr="00E54E8E">
              <w:rPr>
                <w:spacing w:val="-3"/>
              </w:rPr>
              <w:t xml:space="preserve"> </w:t>
            </w:r>
            <w:r w:rsidRPr="00E54E8E">
              <w:t>Programs</w:t>
            </w:r>
            <w:r w:rsidRPr="00E54E8E">
              <w:rPr>
                <w:spacing w:val="-4"/>
              </w:rPr>
              <w:t xml:space="preserve"> </w:t>
            </w:r>
            <w:r w:rsidRPr="00E54E8E">
              <w:t>been</w:t>
            </w:r>
            <w:r w:rsidRPr="00E54E8E">
              <w:rPr>
                <w:spacing w:val="-22"/>
              </w:rPr>
              <w:t xml:space="preserve"> </w:t>
            </w:r>
            <w:r w:rsidRPr="00E54E8E">
              <w:rPr>
                <w:spacing w:val="-2"/>
              </w:rPr>
              <w:t>used?</w:t>
            </w:r>
          </w:p>
          <w:p w14:paraId="520FB4BC" w14:textId="6B08C279" w:rsidR="00E71628" w:rsidRPr="00E54E8E" w:rsidRDefault="00E71628">
            <w:pPr>
              <w:pStyle w:val="TableParagraph-Bullet1"/>
            </w:pPr>
            <w:r w:rsidRPr="00E54E8E">
              <w:t>NO - the estimates will need to be reversed and re-entered against the correct Outcomes and Programs.</w:t>
            </w:r>
          </w:p>
          <w:p w14:paraId="1CBAE6CE" w14:textId="41E37194" w:rsidR="00E71628" w:rsidRPr="00E54E8E" w:rsidRDefault="00E71628">
            <w:pPr>
              <w:pStyle w:val="TableParagraph-Indent"/>
            </w:pPr>
            <w:r w:rsidRPr="00E54E8E">
              <w:t>A list of active Outcome and Program codes can be found in CBMS under:</w:t>
            </w:r>
          </w:p>
          <w:p w14:paraId="60CDE121" w14:textId="37DCE61A" w:rsidR="00E71628" w:rsidRPr="00327CB9" w:rsidRDefault="00E71628">
            <w:pPr>
              <w:pStyle w:val="CBMSReportQAChecklist"/>
              <w:rPr>
                <w:i w:val="0"/>
              </w:rPr>
            </w:pPr>
            <w:r w:rsidRPr="00E54E8E">
              <w:rPr>
                <w:szCs w:val="22"/>
              </w:rPr>
              <w:t xml:space="preserve">All Reports </w:t>
            </w:r>
            <w:r w:rsidRPr="00D50513">
              <w:rPr>
                <w:rFonts w:ascii="Wingdings" w:eastAsia="Wingdings" w:hAnsi="Wingdings" w:cs="Wingdings"/>
                <w:szCs w:val="22"/>
              </w:rPr>
              <w:t>à</w:t>
            </w:r>
            <w:r w:rsidRPr="00D50513">
              <w:rPr>
                <w:szCs w:val="22"/>
              </w:rPr>
              <w:t xml:space="preserve">  Reference Data Set Reports </w:t>
            </w:r>
            <w:r w:rsidRPr="00D50513">
              <w:rPr>
                <w:rFonts w:ascii="Wingdings" w:eastAsia="Wingdings" w:hAnsi="Wingdings" w:cs="Wingdings"/>
                <w:szCs w:val="22"/>
              </w:rPr>
              <w:t>à</w:t>
            </w:r>
            <w:r w:rsidRPr="00D50513">
              <w:rPr>
                <w:szCs w:val="22"/>
              </w:rPr>
              <w:t xml:space="preserve"> RDS – Hierarchy for Portfolio, Agency, Outcome, Program</w:t>
            </w:r>
          </w:p>
          <w:p w14:paraId="554291D1" w14:textId="30744AD0" w:rsidR="00E71628" w:rsidRPr="003D7C30" w:rsidRDefault="00E71628">
            <w:pPr>
              <w:pStyle w:val="TableParagraph-Indent"/>
            </w:pPr>
            <w:r w:rsidRPr="003D7C30">
              <w:t>YES</w:t>
            </w:r>
            <w:r w:rsidRPr="003D7C30">
              <w:rPr>
                <w:spacing w:val="-2"/>
              </w:rPr>
              <w:t xml:space="preserve"> </w:t>
            </w:r>
            <w:r w:rsidRPr="003D7C30">
              <w:t>-</w:t>
            </w:r>
            <w:r w:rsidRPr="003D7C30">
              <w:rPr>
                <w:spacing w:val="-1"/>
              </w:rPr>
              <w:t xml:space="preserve"> </w:t>
            </w:r>
            <w:r w:rsidRPr="003D7C30">
              <w:t>go</w:t>
            </w:r>
            <w:r w:rsidRPr="003D7C30">
              <w:rPr>
                <w:spacing w:val="-4"/>
              </w:rPr>
              <w:t xml:space="preserve"> </w:t>
            </w:r>
            <w:r w:rsidRPr="003D7C30">
              <w:t>to step</w:t>
            </w:r>
            <w:r w:rsidRPr="003D7C30">
              <w:rPr>
                <w:spacing w:val="-5"/>
              </w:rPr>
              <w:t xml:space="preserve"> 5</w:t>
            </w:r>
          </w:p>
        </w:tc>
      </w:tr>
      <w:tr w:rsidR="000917BA" w:rsidRPr="00E54E8E" w14:paraId="7498C466" w14:textId="77777777" w:rsidTr="000917BA">
        <w:trPr>
          <w:trHeight w:val="1338"/>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51442235" w14:textId="77777777" w:rsidR="00E71628" w:rsidRPr="00E54E8E" w:rsidRDefault="00E71628">
            <w:pPr>
              <w:rPr>
                <w:sz w:val="2"/>
                <w:szCs w:val="2"/>
              </w:rPr>
            </w:pPr>
          </w:p>
        </w:tc>
        <w:tc>
          <w:tcPr>
            <w:tcW w:w="38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3DE12026" w14:textId="77777777" w:rsidR="00E71628" w:rsidRPr="00E54E8E" w:rsidRDefault="00E71628">
            <w:pPr>
              <w:pStyle w:val="TableParagraph"/>
            </w:pPr>
            <w:r w:rsidRPr="00E54E8E">
              <w:t>5.</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009B23EE" w14:textId="77777777" w:rsidR="00E71628" w:rsidRPr="00E54E8E" w:rsidRDefault="00E71628">
            <w:pPr>
              <w:pStyle w:val="TableParagraph-Question"/>
              <w:rPr>
                <w:b w:val="0"/>
              </w:rPr>
            </w:pPr>
            <w:r w:rsidRPr="00E54E8E">
              <w:t>Are</w:t>
            </w:r>
            <w:r w:rsidRPr="00E54E8E">
              <w:rPr>
                <w:spacing w:val="-8"/>
              </w:rPr>
              <w:t xml:space="preserve"> </w:t>
            </w:r>
            <w:r w:rsidRPr="00E54E8E">
              <w:t>the</w:t>
            </w:r>
            <w:r w:rsidRPr="00E54E8E">
              <w:rPr>
                <w:spacing w:val="-4"/>
              </w:rPr>
              <w:t xml:space="preserve"> </w:t>
            </w:r>
            <w:r w:rsidRPr="00E54E8E">
              <w:t>amounts</w:t>
            </w:r>
            <w:r w:rsidRPr="00E54E8E">
              <w:rPr>
                <w:spacing w:val="-5"/>
              </w:rPr>
              <w:t xml:space="preserve"> </w:t>
            </w:r>
            <w:r w:rsidRPr="00E54E8E">
              <w:t>in</w:t>
            </w:r>
            <w:r w:rsidRPr="00E54E8E">
              <w:rPr>
                <w:spacing w:val="-4"/>
              </w:rPr>
              <w:t xml:space="preserve"> </w:t>
            </w:r>
            <w:r w:rsidRPr="00E54E8E">
              <w:t>the</w:t>
            </w:r>
            <w:r w:rsidRPr="00E54E8E">
              <w:rPr>
                <w:spacing w:val="-6"/>
              </w:rPr>
              <w:t xml:space="preserve"> </w:t>
            </w:r>
            <w:r w:rsidRPr="00E54E8E">
              <w:t>Appropriation</w:t>
            </w:r>
            <w:r w:rsidRPr="00E54E8E">
              <w:rPr>
                <w:spacing w:val="-4"/>
              </w:rPr>
              <w:t xml:space="preserve"> </w:t>
            </w:r>
            <w:r w:rsidRPr="00E54E8E">
              <w:t>Bills</w:t>
            </w:r>
            <w:r w:rsidRPr="00E54E8E">
              <w:rPr>
                <w:spacing w:val="-5"/>
              </w:rPr>
              <w:t xml:space="preserve"> </w:t>
            </w:r>
            <w:r w:rsidRPr="00E54E8E">
              <w:t>Report</w:t>
            </w:r>
            <w:r w:rsidRPr="00E54E8E">
              <w:rPr>
                <w:spacing w:val="-2"/>
              </w:rPr>
              <w:t xml:space="preserve"> </w:t>
            </w:r>
            <w:proofErr w:type="gramStart"/>
            <w:r w:rsidRPr="00E54E8E">
              <w:t>now</w:t>
            </w:r>
            <w:proofErr w:type="gramEnd"/>
            <w:r w:rsidRPr="00E54E8E">
              <w:rPr>
                <w:spacing w:val="-18"/>
              </w:rPr>
              <w:t xml:space="preserve"> </w:t>
            </w:r>
            <w:r w:rsidRPr="00E54E8E">
              <w:rPr>
                <w:spacing w:val="-2"/>
              </w:rPr>
              <w:t>correct?</w:t>
            </w:r>
          </w:p>
          <w:p w14:paraId="5ABE17EF" w14:textId="57286F55" w:rsidR="00E71628" w:rsidRPr="00E54E8E" w:rsidRDefault="00E71628">
            <w:pPr>
              <w:pStyle w:val="TableParagraph-Bullet1"/>
            </w:pPr>
            <w:r w:rsidRPr="00E54E8E">
              <w:t>NO</w:t>
            </w:r>
            <w:r w:rsidRPr="00E54E8E">
              <w:rPr>
                <w:spacing w:val="-6"/>
              </w:rPr>
              <w:t xml:space="preserve"> </w:t>
            </w:r>
            <w:r w:rsidRPr="00E54E8E">
              <w:t>-</w:t>
            </w:r>
            <w:r w:rsidRPr="00E54E8E">
              <w:rPr>
                <w:spacing w:val="-5"/>
              </w:rPr>
              <w:t xml:space="preserve"> </w:t>
            </w:r>
            <w:r w:rsidRPr="00E54E8E">
              <w:t>contact</w:t>
            </w:r>
            <w:r w:rsidRPr="00E54E8E">
              <w:rPr>
                <w:spacing w:val="-6"/>
              </w:rPr>
              <w:t xml:space="preserve"> </w:t>
            </w:r>
            <w:r w:rsidRPr="00E54E8E">
              <w:t>your</w:t>
            </w:r>
            <w:r w:rsidRPr="00E54E8E">
              <w:rPr>
                <w:spacing w:val="-7"/>
              </w:rPr>
              <w:t xml:space="preserve"> </w:t>
            </w:r>
            <w:r w:rsidRPr="00E54E8E">
              <w:t>AAU</w:t>
            </w:r>
            <w:r w:rsidRPr="00E54E8E">
              <w:rPr>
                <w:spacing w:val="-2"/>
              </w:rPr>
              <w:t xml:space="preserve"> </w:t>
            </w:r>
            <w:r w:rsidRPr="00E54E8E">
              <w:t>in</w:t>
            </w:r>
            <w:r w:rsidRPr="00E54E8E">
              <w:rPr>
                <w:spacing w:val="-5"/>
              </w:rPr>
              <w:t xml:space="preserve"> </w:t>
            </w:r>
            <w:r w:rsidRPr="00E54E8E">
              <w:t>the</w:t>
            </w:r>
            <w:r w:rsidRPr="00E54E8E">
              <w:rPr>
                <w:spacing w:val="-4"/>
              </w:rPr>
              <w:t xml:space="preserve"> </w:t>
            </w:r>
            <w:r w:rsidRPr="00E54E8E">
              <w:t>first</w:t>
            </w:r>
            <w:r w:rsidRPr="00E54E8E">
              <w:rPr>
                <w:spacing w:val="-1"/>
              </w:rPr>
              <w:t xml:space="preserve"> </w:t>
            </w:r>
            <w:r w:rsidRPr="00E54E8E">
              <w:t>instance.</w:t>
            </w:r>
            <w:r w:rsidRPr="00E54E8E">
              <w:rPr>
                <w:spacing w:val="-7"/>
              </w:rPr>
              <w:t xml:space="preserve"> </w:t>
            </w:r>
            <w:r w:rsidRPr="00E54E8E">
              <w:t>If</w:t>
            </w:r>
            <w:r w:rsidRPr="00E54E8E">
              <w:rPr>
                <w:spacing w:val="-7"/>
              </w:rPr>
              <w:t xml:space="preserve"> </w:t>
            </w:r>
            <w:r w:rsidRPr="00E54E8E">
              <w:t>your</w:t>
            </w:r>
            <w:r w:rsidRPr="00E54E8E">
              <w:rPr>
                <w:spacing w:val="-7"/>
              </w:rPr>
              <w:t xml:space="preserve"> </w:t>
            </w:r>
            <w:r w:rsidRPr="00E54E8E">
              <w:t>AAU</w:t>
            </w:r>
            <w:r w:rsidRPr="00E54E8E">
              <w:rPr>
                <w:spacing w:val="-4"/>
              </w:rPr>
              <w:t xml:space="preserve"> </w:t>
            </w:r>
            <w:r w:rsidRPr="00E54E8E">
              <w:t>is</w:t>
            </w:r>
            <w:r w:rsidRPr="00E54E8E">
              <w:rPr>
                <w:spacing w:val="-2"/>
              </w:rPr>
              <w:t xml:space="preserve"> </w:t>
            </w:r>
            <w:r w:rsidRPr="00E54E8E">
              <w:t>unavailable, contact the</w:t>
            </w:r>
            <w:r w:rsidR="006B34E2" w:rsidRPr="00E54E8E">
              <w:t xml:space="preserve"> </w:t>
            </w:r>
            <w:r w:rsidRPr="00E54E8E">
              <w:t>Annual Appropriations Team (</w:t>
            </w:r>
            <w:r w:rsidRPr="00E54E8E">
              <w:rPr>
                <w:rStyle w:val="Hyperlink"/>
                <w:sz w:val="22"/>
              </w:rPr>
              <w:t>Annual.Appropriations@finance.gov.au</w:t>
            </w:r>
            <w:r w:rsidRPr="00E54E8E">
              <w:t>).</w:t>
            </w:r>
          </w:p>
          <w:p w14:paraId="49A907B0" w14:textId="4544031E" w:rsidR="00E71628" w:rsidRPr="00E54E8E" w:rsidRDefault="00E71628">
            <w:pPr>
              <w:pStyle w:val="TableParagraph-Indent"/>
            </w:pPr>
            <w:r w:rsidRPr="00E54E8E">
              <w:t>YES</w:t>
            </w:r>
            <w:r w:rsidRPr="00E54E8E">
              <w:rPr>
                <w:spacing w:val="-2"/>
              </w:rPr>
              <w:t xml:space="preserve"> </w:t>
            </w:r>
            <w:r w:rsidRPr="00E54E8E">
              <w:t>-</w:t>
            </w:r>
            <w:r w:rsidRPr="00E54E8E">
              <w:rPr>
                <w:spacing w:val="-1"/>
              </w:rPr>
              <w:t xml:space="preserve"> </w:t>
            </w:r>
            <w:r w:rsidRPr="00E54E8E">
              <w:t>go</w:t>
            </w:r>
            <w:r w:rsidRPr="00E54E8E">
              <w:rPr>
                <w:spacing w:val="-4"/>
              </w:rPr>
              <w:t xml:space="preserve"> </w:t>
            </w:r>
            <w:r w:rsidRPr="00E54E8E">
              <w:t>to step</w:t>
            </w:r>
            <w:r w:rsidRPr="00E54E8E">
              <w:rPr>
                <w:spacing w:val="-5"/>
              </w:rPr>
              <w:t xml:space="preserve"> 6</w:t>
            </w:r>
          </w:p>
        </w:tc>
      </w:tr>
      <w:tr w:rsidR="00E71628" w:rsidRPr="00E54E8E" w14:paraId="42C9666A" w14:textId="77777777" w:rsidTr="000917BA">
        <w:trPr>
          <w:trHeight w:val="60"/>
        </w:trPr>
        <w:tc>
          <w:tcPr>
            <w:tcW w:w="981" w:type="dxa"/>
            <w:vMerge/>
            <w:tcBorders>
              <w:top w:val="single" w:sz="4" w:space="0" w:color="auto"/>
              <w:left w:val="single" w:sz="4" w:space="0" w:color="auto"/>
              <w:bottom w:val="single" w:sz="4" w:space="0" w:color="auto"/>
              <w:right w:val="single" w:sz="4" w:space="0" w:color="auto"/>
            </w:tcBorders>
            <w:shd w:val="clear" w:color="auto" w:fill="C0EAE9" w:themeFill="accent1" w:themeFillTint="66"/>
            <w:textDirection w:val="btLr"/>
          </w:tcPr>
          <w:p w14:paraId="6CF92B68" w14:textId="77777777" w:rsidR="00E71628" w:rsidRPr="00E54E8E" w:rsidRDefault="00E71628">
            <w:pPr>
              <w:rPr>
                <w:sz w:val="2"/>
                <w:szCs w:val="2"/>
              </w:rPr>
            </w:pPr>
          </w:p>
        </w:tc>
        <w:tc>
          <w:tcPr>
            <w:tcW w:w="384" w:type="dxa"/>
            <w:tcBorders>
              <w:left w:val="single" w:sz="4" w:space="0" w:color="auto"/>
              <w:bottom w:val="single" w:sz="4" w:space="0" w:color="auto"/>
            </w:tcBorders>
          </w:tcPr>
          <w:p w14:paraId="2E032CE5" w14:textId="693DA1B3" w:rsidR="00E71628" w:rsidRPr="00E54E8E" w:rsidRDefault="00E71628">
            <w:pPr>
              <w:pStyle w:val="TableParagraph"/>
            </w:pPr>
            <w:r w:rsidRPr="00E54E8E">
              <w:t>6.</w:t>
            </w:r>
          </w:p>
        </w:tc>
        <w:tc>
          <w:tcPr>
            <w:tcW w:w="8284" w:type="dxa"/>
            <w:tcBorders>
              <w:top w:val="single" w:sz="4" w:space="0" w:color="auto"/>
              <w:bottom w:val="single" w:sz="4" w:space="0" w:color="auto"/>
              <w:right w:val="single" w:sz="4" w:space="0" w:color="auto"/>
            </w:tcBorders>
          </w:tcPr>
          <w:p w14:paraId="737DFD40" w14:textId="5B3A1F47" w:rsidR="00E71628" w:rsidRPr="00E54E8E" w:rsidRDefault="00E71628">
            <w:pPr>
              <w:pStyle w:val="TableParagraph-Question"/>
              <w:rPr>
                <w:b w:val="0"/>
              </w:rPr>
            </w:pPr>
            <w:r w:rsidRPr="00E54E8E">
              <w:t>Are the entity name and the outcome description(s) in the Appropriation Bills Reports</w:t>
            </w:r>
          </w:p>
          <w:p w14:paraId="4369754A" w14:textId="77777777" w:rsidR="00E71628" w:rsidRPr="00E54E8E" w:rsidRDefault="00E71628">
            <w:pPr>
              <w:pStyle w:val="TableParagraph-Question"/>
            </w:pPr>
            <w:r w:rsidRPr="00E54E8E">
              <w:t>correct?</w:t>
            </w:r>
          </w:p>
          <w:p w14:paraId="5455836F" w14:textId="16F04E9C" w:rsidR="00E71628" w:rsidRPr="00D50513" w:rsidRDefault="0003672D">
            <w:pPr>
              <w:pStyle w:val="TableParagraph-Bullet1"/>
            </w:pPr>
            <w:r w:rsidRPr="00E54E8E">
              <w:t>N</w:t>
            </w:r>
            <w:r w:rsidR="00E71628" w:rsidRPr="00E54E8E">
              <w:t>O - contact your AAU in the first instance. If your AAU is unavailable, contact the Annual Appropriations Team (</w:t>
            </w:r>
            <w:hyperlink r:id="rId15" w:history="1">
              <w:r w:rsidR="00E71628" w:rsidRPr="00D50513">
                <w:rPr>
                  <w:rStyle w:val="Hyperlink"/>
                  <w:rFonts w:cs="Calibri"/>
                  <w:sz w:val="22"/>
                  <w:u w:val="none"/>
                </w:rPr>
                <w:t>Annual.Appropriations@finance.gov.au</w:t>
              </w:r>
            </w:hyperlink>
            <w:r w:rsidR="00E71628" w:rsidRPr="00D50513">
              <w:t>).</w:t>
            </w:r>
          </w:p>
          <w:p w14:paraId="4ADE0743" w14:textId="22FF3FED" w:rsidR="00164D98" w:rsidRPr="003D7C30" w:rsidRDefault="00E71628">
            <w:pPr>
              <w:pStyle w:val="TableParagraph-Indent"/>
            </w:pPr>
            <w:r w:rsidRPr="00327CB9">
              <w:t>YES - if you are an officer from an Entity, go to step 7. If you are an officer from an AAU, go</w:t>
            </w:r>
            <w:r w:rsidR="006B34E2" w:rsidRPr="003D7C30">
              <w:t xml:space="preserve"> </w:t>
            </w:r>
            <w:r w:rsidRPr="003D7C30">
              <w:t>to step 8</w:t>
            </w:r>
          </w:p>
        </w:tc>
      </w:tr>
      <w:tr w:rsidR="00946775" w:rsidRPr="00E54E8E" w14:paraId="6BBFA9E8" w14:textId="77777777" w:rsidTr="002D3B44">
        <w:trPr>
          <w:trHeight w:val="2566"/>
        </w:trPr>
        <w:tc>
          <w:tcPr>
            <w:tcW w:w="981" w:type="dxa"/>
            <w:vMerge w:val="restart"/>
            <w:tcBorders>
              <w:top w:val="single" w:sz="4" w:space="0" w:color="auto"/>
              <w:left w:val="single" w:sz="4" w:space="0" w:color="auto"/>
              <w:bottom w:val="single" w:sz="4" w:space="0" w:color="auto"/>
              <w:right w:val="single" w:sz="4" w:space="0" w:color="auto"/>
            </w:tcBorders>
            <w:shd w:val="clear" w:color="auto" w:fill="BFBDD7" w:themeFill="accent6" w:themeFillTint="66"/>
            <w:textDirection w:val="btLr"/>
            <w:vAlign w:val="center"/>
          </w:tcPr>
          <w:p w14:paraId="3D705A2D" w14:textId="49122833" w:rsidR="00247464" w:rsidRPr="00E54E8E" w:rsidRDefault="00262C2A" w:rsidP="00D50513">
            <w:pPr>
              <w:jc w:val="center"/>
              <w:rPr>
                <w:sz w:val="24"/>
                <w:szCs w:val="24"/>
              </w:rPr>
            </w:pPr>
            <w:r w:rsidRPr="00E54E8E">
              <w:rPr>
                <w:sz w:val="24"/>
                <w:szCs w:val="24"/>
              </w:rPr>
              <w:t>S</w:t>
            </w:r>
            <w:r w:rsidR="001840C1" w:rsidRPr="00E54E8E">
              <w:rPr>
                <w:sz w:val="24"/>
                <w:szCs w:val="24"/>
              </w:rPr>
              <w:t>ign-offs</w:t>
            </w:r>
          </w:p>
        </w:tc>
        <w:tc>
          <w:tcPr>
            <w:tcW w:w="384" w:type="dxa"/>
            <w:tcBorders>
              <w:top w:val="single" w:sz="4" w:space="0" w:color="auto"/>
              <w:left w:val="single" w:sz="4" w:space="0" w:color="auto"/>
              <w:bottom w:val="single" w:sz="4" w:space="0" w:color="A6A6A6" w:themeColor="background1" w:themeShade="A6"/>
              <w:right w:val="single" w:sz="4" w:space="0" w:color="A6A6A6" w:themeColor="background1" w:themeShade="A6"/>
            </w:tcBorders>
          </w:tcPr>
          <w:p w14:paraId="1A40543B" w14:textId="38B8EEDB" w:rsidR="00247464" w:rsidRPr="00E54E8E" w:rsidRDefault="00247464" w:rsidP="00327CB9">
            <w:pPr>
              <w:pStyle w:val="TableParagraph"/>
            </w:pPr>
            <w:r w:rsidRPr="00E54E8E">
              <w:t>7.</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6CCBD8AC" w14:textId="31702421" w:rsidR="00247464" w:rsidRPr="00E54E8E" w:rsidRDefault="00247464" w:rsidP="003D7C30">
            <w:pPr>
              <w:pStyle w:val="TableParagraph-Question"/>
            </w:pPr>
            <w:r w:rsidRPr="00E54E8E">
              <w:t xml:space="preserve">Sign-off - Entities </w:t>
            </w:r>
          </w:p>
          <w:p w14:paraId="0814465F" w14:textId="35443420" w:rsidR="00247464" w:rsidRPr="00E54E8E" w:rsidRDefault="00247464">
            <w:pPr>
              <w:pStyle w:val="TableParagraph-Numbered1"/>
            </w:pPr>
            <w:r w:rsidRPr="00E54E8E">
              <w:t xml:space="preserve">Generate the CFO sign-off page and provide this to your CFO for sign-off, along with the relevant Appropriation Bills </w:t>
            </w:r>
            <w:r w:rsidR="00EC483B" w:rsidRPr="00E54E8E">
              <w:t>R</w:t>
            </w:r>
            <w:r w:rsidRPr="00E54E8E">
              <w:t>eport(s).</w:t>
            </w:r>
          </w:p>
          <w:p w14:paraId="188D6A12" w14:textId="138EAF73" w:rsidR="00247464" w:rsidRPr="00E54E8E" w:rsidRDefault="00247464">
            <w:pPr>
              <w:pStyle w:val="TableParagraph-Bullet2"/>
              <w:rPr>
                <w:b/>
              </w:rPr>
            </w:pPr>
            <w:r w:rsidRPr="00E54E8E">
              <w:t>The CFO sign-off page can be found under</w:t>
            </w:r>
            <w:r w:rsidR="00EC483B" w:rsidRPr="00E54E8E">
              <w:t>:</w:t>
            </w:r>
          </w:p>
          <w:p w14:paraId="6A322264" w14:textId="430AEDB4" w:rsidR="00247464" w:rsidRPr="00D50513" w:rsidRDefault="00247464">
            <w:pPr>
              <w:pStyle w:val="CBMSReportQAChecklist"/>
            </w:pPr>
            <w:r w:rsidRPr="00E54E8E">
              <w:t xml:space="preserve">CBMS Reporting </w:t>
            </w:r>
            <w:r w:rsidRPr="00D50513">
              <w:rPr>
                <w:rFonts w:ascii="Wingdings" w:eastAsiaTheme="minorEastAsia" w:hAnsi="Wingdings" w:cs="Wingdings"/>
              </w:rPr>
              <w:t>à</w:t>
            </w:r>
            <w:r w:rsidRPr="00D50513">
              <w:t xml:space="preserve"> Statutory Reports </w:t>
            </w:r>
            <w:r w:rsidRPr="00D50513">
              <w:rPr>
                <w:rFonts w:ascii="Wingdings" w:eastAsiaTheme="minorEastAsia" w:hAnsi="Wingdings" w:cs="Wingdings"/>
              </w:rPr>
              <w:t>à</w:t>
            </w:r>
            <w:r w:rsidRPr="00D50513">
              <w:t xml:space="preserve"> Appropriation Bills </w:t>
            </w:r>
            <w:r w:rsidRPr="00D50513">
              <w:rPr>
                <w:rFonts w:ascii="Wingdings" w:eastAsiaTheme="minorEastAsia" w:hAnsi="Wingdings" w:cs="Wingdings"/>
              </w:rPr>
              <w:t>à</w:t>
            </w:r>
            <w:r w:rsidRPr="00D50513">
              <w:t xml:space="preserve">  CFO Signoff Page</w:t>
            </w:r>
          </w:p>
          <w:p w14:paraId="553F4C13" w14:textId="1E98393D" w:rsidR="00247464" w:rsidRPr="003D7C30" w:rsidRDefault="00247464">
            <w:pPr>
              <w:pStyle w:val="TableParagraph-Bullet2"/>
              <w:rPr>
                <w:b/>
              </w:rPr>
            </w:pPr>
            <w:r w:rsidRPr="00327CB9">
              <w:t xml:space="preserve">CFO </w:t>
            </w:r>
            <w:proofErr w:type="gramStart"/>
            <w:r w:rsidRPr="00327CB9">
              <w:t>sign-offs</w:t>
            </w:r>
            <w:proofErr w:type="gramEnd"/>
            <w:r w:rsidRPr="00327CB9">
              <w:t xml:space="preserve"> are only required for Appropriation Bills through which the entity will be receiving an appropriation.</w:t>
            </w:r>
          </w:p>
          <w:p w14:paraId="30EC13C8" w14:textId="14907EFA" w:rsidR="00247464" w:rsidRPr="00E54E8E" w:rsidRDefault="00247464">
            <w:pPr>
              <w:pStyle w:val="TableParagraph-Numbered1"/>
              <w:rPr>
                <w:b/>
              </w:rPr>
            </w:pPr>
            <w:r w:rsidRPr="00E54E8E">
              <w:t xml:space="preserve">Send a copy of the signed CFO sign-off page and relevant Appropriation Bills </w:t>
            </w:r>
            <w:r w:rsidR="00EC483B" w:rsidRPr="00E54E8E">
              <w:t>R</w:t>
            </w:r>
            <w:r w:rsidRPr="00E54E8E">
              <w:t>eport(s) to your AAU.</w:t>
            </w:r>
          </w:p>
        </w:tc>
      </w:tr>
      <w:tr w:rsidR="000917BA" w:rsidRPr="00E54E8E" w14:paraId="6C421560" w14:textId="77777777" w:rsidTr="000917BA">
        <w:trPr>
          <w:trHeight w:val="1338"/>
        </w:trPr>
        <w:tc>
          <w:tcPr>
            <w:tcW w:w="981" w:type="dxa"/>
            <w:vMerge/>
            <w:tcBorders>
              <w:top w:val="single" w:sz="4" w:space="0" w:color="auto"/>
              <w:left w:val="single" w:sz="4" w:space="0" w:color="auto"/>
              <w:bottom w:val="single" w:sz="4" w:space="0" w:color="auto"/>
              <w:right w:val="single" w:sz="4" w:space="0" w:color="auto"/>
            </w:tcBorders>
            <w:shd w:val="clear" w:color="auto" w:fill="BFBDD7" w:themeFill="accent6" w:themeFillTint="66"/>
            <w:textDirection w:val="btLr"/>
          </w:tcPr>
          <w:p w14:paraId="547FE0D7" w14:textId="7AC74252" w:rsidR="00247464" w:rsidRPr="00E54E8E" w:rsidRDefault="00247464">
            <w:pPr>
              <w:rPr>
                <w:sz w:val="2"/>
                <w:szCs w:val="2"/>
              </w:rPr>
            </w:pPr>
          </w:p>
        </w:tc>
        <w:tc>
          <w:tcPr>
            <w:tcW w:w="384" w:type="dxa"/>
            <w:tcBorders>
              <w:top w:val="single" w:sz="4" w:space="0" w:color="A6A6A6" w:themeColor="background1" w:themeShade="A6"/>
              <w:left w:val="single" w:sz="4" w:space="0" w:color="auto"/>
              <w:bottom w:val="single" w:sz="4" w:space="0" w:color="auto"/>
              <w:right w:val="single" w:sz="4" w:space="0" w:color="A6A6A6" w:themeColor="background1" w:themeShade="A6"/>
            </w:tcBorders>
          </w:tcPr>
          <w:p w14:paraId="48E186D9" w14:textId="0F05941C" w:rsidR="00247464" w:rsidRPr="00E54E8E" w:rsidRDefault="00247464">
            <w:pPr>
              <w:pStyle w:val="TableParagraph"/>
            </w:pPr>
            <w:r w:rsidRPr="00E54E8E">
              <w:t>8.</w:t>
            </w:r>
          </w:p>
        </w:tc>
        <w:tc>
          <w:tcPr>
            <w:tcW w:w="8284" w:type="dxa"/>
            <w:tcBorders>
              <w:top w:val="single" w:sz="4" w:space="0" w:color="auto"/>
              <w:left w:val="single" w:sz="4" w:space="0" w:color="A6A6A6" w:themeColor="background1" w:themeShade="A6"/>
              <w:bottom w:val="single" w:sz="4" w:space="0" w:color="auto"/>
              <w:right w:val="single" w:sz="4" w:space="0" w:color="auto"/>
            </w:tcBorders>
          </w:tcPr>
          <w:p w14:paraId="248C6835" w14:textId="775638F6" w:rsidR="00247464" w:rsidRPr="00E54E8E" w:rsidRDefault="00247464">
            <w:pPr>
              <w:pStyle w:val="TableParagraph-Question"/>
              <w:rPr>
                <w:b w:val="0"/>
              </w:rPr>
            </w:pPr>
            <w:r w:rsidRPr="00E54E8E">
              <w:t>Sign-off – AAUs</w:t>
            </w:r>
          </w:p>
          <w:p w14:paraId="29281CA3" w14:textId="02DF5D41" w:rsidR="00247464" w:rsidRPr="00E54E8E" w:rsidRDefault="00247464">
            <w:pPr>
              <w:pStyle w:val="TableParagraph-Numbered1"/>
              <w:numPr>
                <w:ilvl w:val="0"/>
                <w:numId w:val="92"/>
              </w:numPr>
            </w:pPr>
            <w:r w:rsidRPr="00E54E8E">
              <w:t xml:space="preserve">If not provided by the entity, generate the AAU Director sign-off page. </w:t>
            </w:r>
          </w:p>
          <w:p w14:paraId="6997361B" w14:textId="77777777" w:rsidR="00247464" w:rsidRPr="00E54E8E" w:rsidRDefault="00247464">
            <w:pPr>
              <w:pStyle w:val="TableParagraph-Bullet2"/>
              <w:rPr>
                <w:b/>
              </w:rPr>
            </w:pPr>
            <w:r w:rsidRPr="00E54E8E">
              <w:t>The AAU Director sign-off page can be found under</w:t>
            </w:r>
          </w:p>
          <w:p w14:paraId="266478E5" w14:textId="77777777" w:rsidR="00247464" w:rsidRPr="00D50513" w:rsidRDefault="00247464">
            <w:pPr>
              <w:pStyle w:val="CBMSReportQAChecklist"/>
              <w:rPr>
                <w:i w:val="0"/>
                <w:iCs w:val="0"/>
              </w:rPr>
            </w:pPr>
            <w:r w:rsidRPr="00E54E8E">
              <w:t xml:space="preserve">CBMS Reporting </w:t>
            </w:r>
            <w:r w:rsidRPr="00D50513">
              <w:rPr>
                <w:rFonts w:ascii="Wingdings" w:eastAsia="Wingdings" w:hAnsi="Wingdings" w:cs="Wingdings"/>
              </w:rPr>
              <w:t>à</w:t>
            </w:r>
            <w:r w:rsidRPr="00D50513">
              <w:t xml:space="preserve"> Statutory Reports </w:t>
            </w:r>
            <w:r w:rsidRPr="00D50513">
              <w:rPr>
                <w:rFonts w:ascii="Wingdings" w:eastAsia="Wingdings" w:hAnsi="Wingdings" w:cs="Wingdings"/>
              </w:rPr>
              <w:t>à</w:t>
            </w:r>
            <w:r w:rsidRPr="00D50513">
              <w:t xml:space="preserve"> Appropriation Bills </w:t>
            </w:r>
            <w:r w:rsidRPr="00D50513">
              <w:rPr>
                <w:rFonts w:ascii="Wingdings" w:eastAsia="Wingdings" w:hAnsi="Wingdings" w:cs="Wingdings"/>
              </w:rPr>
              <w:t>à</w:t>
            </w:r>
            <w:r w:rsidRPr="00D50513">
              <w:t xml:space="preserve">  CFO Signoff Page</w:t>
            </w:r>
          </w:p>
          <w:p w14:paraId="00E36725" w14:textId="0663FE03" w:rsidR="00247464" w:rsidRPr="00E54E8E" w:rsidRDefault="00247464">
            <w:pPr>
              <w:pStyle w:val="TableParagraph-Numbered1"/>
              <w:rPr>
                <w:b/>
              </w:rPr>
            </w:pPr>
            <w:r w:rsidRPr="00327CB9">
              <w:t xml:space="preserve">Provide a copy of the signed CFO sign-off page and relevant Appropriation Bills </w:t>
            </w:r>
            <w:r w:rsidR="00EC483B" w:rsidRPr="003D7C30">
              <w:t>R</w:t>
            </w:r>
            <w:r w:rsidRPr="003D7C30">
              <w:t xml:space="preserve">eport(s) to your AAU Director for sign-off. </w:t>
            </w:r>
          </w:p>
          <w:p w14:paraId="5E2E336B" w14:textId="56FB3344" w:rsidR="00247464" w:rsidRPr="00327CB9" w:rsidRDefault="00247464">
            <w:pPr>
              <w:pStyle w:val="TableParagraph-Numbered1"/>
              <w:rPr>
                <w:b/>
              </w:rPr>
            </w:pPr>
            <w:r w:rsidRPr="00E54E8E">
              <w:t xml:space="preserve">Email a copy of the signed CFO and AAU Director sign-off pages and relevant Appropriation Bills </w:t>
            </w:r>
            <w:r w:rsidR="00EC483B" w:rsidRPr="00E54E8E">
              <w:t>R</w:t>
            </w:r>
            <w:r w:rsidRPr="00E54E8E">
              <w:t xml:space="preserve">eport(s) to the Annual Appropriations Team via </w:t>
            </w:r>
            <w:hyperlink r:id="rId16" w:history="1">
              <w:r w:rsidR="008F5F2D" w:rsidRPr="00D50513">
                <w:rPr>
                  <w:rStyle w:val="Hyperlink"/>
                  <w:rFonts w:cs="Calibri"/>
                  <w:bCs w:val="0"/>
                  <w:sz w:val="22"/>
                </w:rPr>
                <w:t>appropsignoffs@finance.gov.au</w:t>
              </w:r>
            </w:hyperlink>
            <w:r w:rsidRPr="00D50513">
              <w:t>.</w:t>
            </w:r>
            <w:r w:rsidRPr="00D50513">
              <w:rPr>
                <w:b/>
              </w:rPr>
              <w:t xml:space="preserve"> </w:t>
            </w:r>
          </w:p>
          <w:p w14:paraId="0EFF1E82" w14:textId="77777777" w:rsidR="00247464" w:rsidRPr="00327CB9" w:rsidRDefault="00247464">
            <w:pPr>
              <w:pStyle w:val="TableParagraph"/>
            </w:pPr>
          </w:p>
        </w:tc>
      </w:tr>
    </w:tbl>
    <w:p w14:paraId="2E9D6067" w14:textId="18BD6740" w:rsidR="00152D66" w:rsidRPr="00E54E8E" w:rsidRDefault="00152D66">
      <w:pPr>
        <w:suppressAutoHyphens w:val="0"/>
        <w:spacing w:before="0" w:after="120" w:line="440" w:lineRule="atLeast"/>
        <w:rPr>
          <w:rFonts w:eastAsiaTheme="majorEastAsia"/>
          <w:bCs/>
          <w:color w:val="1C1C1C" w:themeColor="text2"/>
          <w:szCs w:val="28"/>
        </w:rPr>
      </w:pPr>
      <w:r w:rsidRPr="00E54E8E">
        <w:br w:type="page"/>
      </w:r>
    </w:p>
    <w:p w14:paraId="757E67D9" w14:textId="658942F1" w:rsidR="0048370F" w:rsidRPr="00E54E8E" w:rsidRDefault="004A5FBC" w:rsidP="000917BA">
      <w:pPr>
        <w:pStyle w:val="Heading1Numbered"/>
        <w:shd w:val="clear" w:color="auto" w:fill="auto"/>
      </w:pPr>
      <w:r w:rsidRPr="00E54E8E">
        <w:t>Net</w:t>
      </w:r>
      <w:r w:rsidR="00895045" w:rsidRPr="00E54E8E">
        <w:t>-</w:t>
      </w:r>
      <w:r w:rsidR="006E6B2C" w:rsidRPr="00E54E8E">
        <w:t>n</w:t>
      </w:r>
      <w:r w:rsidRPr="00E54E8E">
        <w:t>egatives in the Appropriation Bills</w:t>
      </w:r>
    </w:p>
    <w:p w14:paraId="158D5980" w14:textId="5771C474" w:rsidR="00C84F38" w:rsidRPr="00E54E8E" w:rsidRDefault="00C84F38" w:rsidP="00D50513">
      <w:pPr>
        <w:pStyle w:val="NumberedList1"/>
      </w:pPr>
      <w:r w:rsidRPr="00E54E8E">
        <w:t>Net-negative appropriations are where the overall reduction in appropriation estimates for an outcome and appropriation type is greater than the overall increase in appropriation estimates.</w:t>
      </w:r>
    </w:p>
    <w:p w14:paraId="428A8975" w14:textId="2BC6B22E" w:rsidR="001232AA" w:rsidRPr="00E54E8E" w:rsidRDefault="001232AA" w:rsidP="00327CB9">
      <w:pPr>
        <w:pStyle w:val="NumberedList1"/>
      </w:pPr>
      <w:r w:rsidRPr="00E54E8E">
        <w:t>Generally, net-negative amounts are not included in Appropriation Bills and entities should ensure there are sufficient estimates balances before reducing estimates by running CBMS Reports AE.OR.11 Annual Estimates Appropriation QA Report and/or AE.OR.13 Annual Estimates Detail Listing AEIFRS Report (PBF).</w:t>
      </w:r>
    </w:p>
    <w:p w14:paraId="6FCD041E" w14:textId="388831FC" w:rsidR="001232AA" w:rsidRPr="00E54E8E" w:rsidRDefault="001232AA" w:rsidP="003D7C30">
      <w:pPr>
        <w:pStyle w:val="NumberedList1"/>
      </w:pPr>
      <w:r w:rsidRPr="00E54E8E">
        <w:t>However, an exception to this is departmental appropriations in Appropriation Bill No. 3/5 only (not Appropriation Bill No. 1). In Appropriation Bill No. 3/5, a net-negative amount for an outcome is included where a departmental outcome is negative, but the total departmental amount for the entity is still positive.</w:t>
      </w:r>
    </w:p>
    <w:p w14:paraId="1178164C" w14:textId="5F25E70F" w:rsidR="00A921E4" w:rsidRPr="00E54E8E" w:rsidRDefault="00A921E4">
      <w:pPr>
        <w:pStyle w:val="NumberedList1"/>
      </w:pPr>
      <w:r w:rsidRPr="00E54E8E">
        <w:t>Entities should be careful to ensure they do not enter any adjustments that would result in:</w:t>
      </w:r>
    </w:p>
    <w:p w14:paraId="46FC122A" w14:textId="7A4662B1" w:rsidR="00A921E4" w:rsidRPr="00E54E8E" w:rsidRDefault="00A921E4">
      <w:pPr>
        <w:pStyle w:val="NumberedList1"/>
        <w:numPr>
          <w:ilvl w:val="0"/>
          <w:numId w:val="0"/>
        </w:numPr>
        <w:ind w:firstLine="567"/>
        <w:outlineLvl w:val="9"/>
      </w:pPr>
      <w:r w:rsidRPr="00E54E8E">
        <w:t>Appropriation Bill No. 3:</w:t>
      </w:r>
    </w:p>
    <w:p w14:paraId="4F51A3B5" w14:textId="77777777" w:rsidR="00A921E4" w:rsidRPr="00D50513" w:rsidRDefault="00A921E4">
      <w:pPr>
        <w:pStyle w:val="Bullet1"/>
      </w:pPr>
      <w:r w:rsidRPr="00E54E8E">
        <w:t xml:space="preserve">Departmental Capital Budget </w:t>
      </w:r>
      <w:r w:rsidRPr="00D50513">
        <w:t xml:space="preserve">or Administered Capital Budget: a net-negative for an outcome, </w:t>
      </w:r>
    </w:p>
    <w:p w14:paraId="0A02376A" w14:textId="77777777" w:rsidR="00A921E4" w:rsidRPr="00327CB9" w:rsidRDefault="00A921E4">
      <w:pPr>
        <w:pStyle w:val="Bullet1"/>
      </w:pPr>
      <w:r w:rsidRPr="00327CB9">
        <w:t>Total departmental Bill 3: a negative total amount for the entity, or</w:t>
      </w:r>
    </w:p>
    <w:p w14:paraId="12149D20" w14:textId="77777777" w:rsidR="00A921E4" w:rsidRPr="00E54E8E" w:rsidRDefault="00A921E4">
      <w:pPr>
        <w:pStyle w:val="Bullet1"/>
      </w:pPr>
      <w:r w:rsidRPr="003D7C30">
        <w:t>Administered operating: a net-negative for an outcome.</w:t>
      </w:r>
    </w:p>
    <w:p w14:paraId="3BDC9045" w14:textId="781E88AB" w:rsidR="00A921E4" w:rsidRPr="00E54E8E" w:rsidRDefault="00A921E4" w:rsidP="000917BA">
      <w:pPr>
        <w:pStyle w:val="NumberedList1"/>
        <w:numPr>
          <w:ilvl w:val="0"/>
          <w:numId w:val="0"/>
        </w:numPr>
        <w:ind w:left="567"/>
        <w:outlineLvl w:val="9"/>
      </w:pPr>
      <w:r w:rsidRPr="00E54E8E">
        <w:t>Appropriation Bill No. 4:</w:t>
      </w:r>
    </w:p>
    <w:p w14:paraId="52CE077E" w14:textId="1CCC62AD" w:rsidR="00332738" w:rsidRPr="00E54E8E" w:rsidRDefault="00A921E4">
      <w:pPr>
        <w:pStyle w:val="Bullet1"/>
      </w:pPr>
      <w:r w:rsidRPr="00E54E8E">
        <w:t>Payments to States, ACT, NT and local government</w:t>
      </w:r>
      <w:r w:rsidR="00332738" w:rsidRPr="00E54E8E">
        <w:t>: a net-negative for an outcome,</w:t>
      </w:r>
    </w:p>
    <w:p w14:paraId="17977106" w14:textId="44133C55" w:rsidR="00A921E4" w:rsidRPr="00E54E8E" w:rsidRDefault="00A921E4">
      <w:pPr>
        <w:pStyle w:val="Bullet1"/>
      </w:pPr>
      <w:r w:rsidRPr="00E54E8E">
        <w:t>New Administered Outcomes: a net-negative for an outcome, or</w:t>
      </w:r>
    </w:p>
    <w:p w14:paraId="27D7B15F" w14:textId="77777777" w:rsidR="00A921E4" w:rsidRPr="00E54E8E" w:rsidRDefault="00A921E4">
      <w:pPr>
        <w:pStyle w:val="Bullet1"/>
      </w:pPr>
      <w:r w:rsidRPr="00E54E8E">
        <w:t xml:space="preserve">Non-operating: a negative total amount for the entity for each appropriation type. </w:t>
      </w:r>
    </w:p>
    <w:p w14:paraId="17D1872A" w14:textId="16A7F597" w:rsidR="00C84F38" w:rsidRPr="00E54E8E" w:rsidRDefault="00A921E4">
      <w:pPr>
        <w:pStyle w:val="NumberedList1"/>
      </w:pPr>
      <w:r w:rsidRPr="00E54E8E">
        <w:t>In the lead-up to the CFO sign-off</w:t>
      </w:r>
      <w:r w:rsidR="009C6DA6" w:rsidRPr="00E54E8E">
        <w:t>,</w:t>
      </w:r>
      <w:r w:rsidRPr="00E54E8E">
        <w:t xml:space="preserve"> entities should check for net-negatives. </w:t>
      </w:r>
      <w:r w:rsidR="009F020E" w:rsidRPr="00E54E8E">
        <w:t>AAUs should</w:t>
      </w:r>
      <w:r w:rsidRPr="00D50513">
        <w:t xml:space="preserve"> also review net-negative amounts and contact </w:t>
      </w:r>
      <w:r w:rsidR="009F020E" w:rsidRPr="00D50513">
        <w:t xml:space="preserve">their </w:t>
      </w:r>
      <w:r w:rsidRPr="00327CB9">
        <w:t xml:space="preserve">entities to discuss whether adjustments need to be reversed and re-entered against other appropriation codes. In some cases, amounts may need to be withheld under section 51 of the </w:t>
      </w:r>
      <w:r w:rsidR="00433FB8" w:rsidRPr="00327CB9">
        <w:rPr>
          <w:bCs w:val="0"/>
          <w:i/>
          <w:iCs/>
        </w:rPr>
        <w:t>Public Governance, Performance and Accountability Act 2013</w:t>
      </w:r>
      <w:r w:rsidR="00433FB8" w:rsidRPr="003D7C30">
        <w:rPr>
          <w:i/>
          <w:iCs/>
        </w:rPr>
        <w:t xml:space="preserve"> </w:t>
      </w:r>
      <w:r w:rsidR="00433FB8" w:rsidRPr="003D7C30">
        <w:t xml:space="preserve">(PGPA Act) </w:t>
      </w:r>
      <w:r w:rsidRPr="00E54E8E">
        <w:t xml:space="preserve">from an existing appropriation instead.  </w:t>
      </w:r>
    </w:p>
    <w:p w14:paraId="5D8A0BB3" w14:textId="35790038" w:rsidR="005D4CBB" w:rsidRPr="00D50513" w:rsidRDefault="005D4CBB" w:rsidP="000917BA">
      <w:pPr>
        <w:pStyle w:val="Heading1Numbered"/>
        <w:shd w:val="clear" w:color="auto" w:fill="auto"/>
      </w:pPr>
      <w:r w:rsidRPr="00D50513">
        <w:t>Portfolio Additional Estimates Statements (PAES)</w:t>
      </w:r>
    </w:p>
    <w:p w14:paraId="6FC94D6B" w14:textId="688845E7" w:rsidR="002E7358" w:rsidRPr="00D50513" w:rsidRDefault="002E7358" w:rsidP="00D50513">
      <w:pPr>
        <w:pStyle w:val="NumberedList1"/>
      </w:pPr>
      <w:r w:rsidRPr="00327CB9">
        <w:t xml:space="preserve">The PAES are ‘relevant documents’ under the </w:t>
      </w:r>
      <w:r w:rsidRPr="00327CB9">
        <w:rPr>
          <w:i/>
          <w:iCs/>
        </w:rPr>
        <w:t>Acts Interpretation Act 1901</w:t>
      </w:r>
      <w:r w:rsidRPr="003D7C30">
        <w:t xml:space="preserve"> to aid the interpretation of the </w:t>
      </w:r>
      <w:r w:rsidRPr="000917BA">
        <w:t xml:space="preserve">Appropriation </w:t>
      </w:r>
      <w:r w:rsidR="00E620D2" w:rsidRPr="000917BA">
        <w:t>Acts</w:t>
      </w:r>
      <w:r w:rsidRPr="000917BA">
        <w:t>.</w:t>
      </w:r>
    </w:p>
    <w:p w14:paraId="1980B669" w14:textId="3584ACA6" w:rsidR="00374200" w:rsidRPr="003D7C30" w:rsidRDefault="00374200" w:rsidP="00D50513">
      <w:pPr>
        <w:pStyle w:val="NumberedList1"/>
      </w:pPr>
      <w:r w:rsidRPr="00D50513">
        <w:t xml:space="preserve">Portfolio Departments are to coordinate the publication of the PAES consistent with the timelines for the </w:t>
      </w:r>
      <w:r w:rsidRPr="000917BA">
        <w:t>2023</w:t>
      </w:r>
      <w:r w:rsidRPr="000917BA">
        <w:noBreakHyphen/>
        <w:t>24 Portfolio Budget Statements (PB Statements</w:t>
      </w:r>
      <w:r w:rsidRPr="00D50513">
        <w:t xml:space="preserve">) so that PAES can be printed and tabled when the AE </w:t>
      </w:r>
      <w:r w:rsidR="00CA6857" w:rsidRPr="00D50513">
        <w:t>B</w:t>
      </w:r>
      <w:r w:rsidRPr="00327CB9">
        <w:t>ills are introduced in Parliament on Budget night (9 May 2023).</w:t>
      </w:r>
    </w:p>
    <w:p w14:paraId="44587971" w14:textId="5EF14AF2" w:rsidR="005D4CBB" w:rsidRPr="00E54E8E" w:rsidRDefault="005D4CBB" w:rsidP="00327CB9">
      <w:pPr>
        <w:pStyle w:val="NumberedList1"/>
      </w:pPr>
      <w:r w:rsidRPr="00E54E8E">
        <w:t xml:space="preserve">Only entities who require funding through the 2022-23 Appropriation Bills </w:t>
      </w:r>
      <w:r w:rsidR="005E4636" w:rsidRPr="00E54E8E">
        <w:t>(</w:t>
      </w:r>
      <w:r w:rsidRPr="00E54E8E">
        <w:t>No. 3 and No. 4</w:t>
      </w:r>
      <w:r w:rsidR="005E4636" w:rsidRPr="00E54E8E">
        <w:t>)</w:t>
      </w:r>
      <w:r w:rsidRPr="00E54E8E">
        <w:t xml:space="preserve">, will be required to prepare a Portfolio Additional Estimates Statement (PAES) chapter. </w:t>
      </w:r>
    </w:p>
    <w:p w14:paraId="7FE5058D" w14:textId="62D5ECD3" w:rsidR="00751256" w:rsidRPr="00E54E8E" w:rsidRDefault="00751256" w:rsidP="003D7C30">
      <w:pPr>
        <w:pStyle w:val="NumberedList1"/>
      </w:pPr>
      <w:r w:rsidRPr="00E54E8E">
        <w:t>The 2022-23 PAES will utilise the short</w:t>
      </w:r>
      <w:r w:rsidR="005E4636" w:rsidRPr="00E54E8E">
        <w:t xml:space="preserve"> </w:t>
      </w:r>
      <w:r w:rsidRPr="00E54E8E">
        <w:t xml:space="preserve">form of the </w:t>
      </w:r>
      <w:r w:rsidR="008B1271" w:rsidRPr="00E54E8E">
        <w:t xml:space="preserve">PB </w:t>
      </w:r>
      <w:r w:rsidRPr="00E54E8E">
        <w:t xml:space="preserve">Statement templates, which are similar to the </w:t>
      </w:r>
      <w:r w:rsidR="005E4636" w:rsidRPr="00E54E8E">
        <w:t>P</w:t>
      </w:r>
      <w:r w:rsidRPr="00E54E8E">
        <w:t xml:space="preserve">ortfolio </w:t>
      </w:r>
      <w:r w:rsidR="005E4636" w:rsidRPr="00E54E8E">
        <w:t>S</w:t>
      </w:r>
      <w:r w:rsidRPr="00E54E8E">
        <w:t xml:space="preserve">upplementary </w:t>
      </w:r>
      <w:r w:rsidR="005E4636" w:rsidRPr="00E54E8E">
        <w:t>A</w:t>
      </w:r>
      <w:r w:rsidRPr="00E54E8E">
        <w:t xml:space="preserve">dditional </w:t>
      </w:r>
      <w:r w:rsidR="005E4636" w:rsidRPr="00E54E8E">
        <w:t>E</w:t>
      </w:r>
      <w:r w:rsidRPr="00E54E8E">
        <w:t>stimates format. The templates will only capture changes to entities reporting since the 2022</w:t>
      </w:r>
      <w:r w:rsidRPr="00E54E8E">
        <w:noBreakHyphen/>
        <w:t>23 October P</w:t>
      </w:r>
      <w:r w:rsidR="001C7C9D" w:rsidRPr="00E54E8E">
        <w:t xml:space="preserve">B </w:t>
      </w:r>
      <w:r w:rsidRPr="00E54E8E">
        <w:t>Statements for their:</w:t>
      </w:r>
    </w:p>
    <w:p w14:paraId="1012EF48" w14:textId="77777777" w:rsidR="00751256" w:rsidRPr="00E54E8E" w:rsidRDefault="00751256">
      <w:pPr>
        <w:pStyle w:val="Lettered"/>
        <w:spacing w:before="120" w:after="120"/>
        <w:ind w:left="992" w:hanging="425"/>
        <w:contextualSpacing/>
      </w:pPr>
      <w:r w:rsidRPr="00E54E8E">
        <w:t>Performance information</w:t>
      </w:r>
    </w:p>
    <w:p w14:paraId="417256C7" w14:textId="77777777" w:rsidR="00751256" w:rsidRPr="00E54E8E" w:rsidRDefault="00751256">
      <w:pPr>
        <w:pStyle w:val="Lettered"/>
        <w:spacing w:before="120" w:after="120"/>
        <w:ind w:left="992" w:hanging="425"/>
        <w:contextualSpacing/>
      </w:pPr>
      <w:r w:rsidRPr="00E54E8E">
        <w:t>Measures</w:t>
      </w:r>
    </w:p>
    <w:p w14:paraId="5A77DDEB" w14:textId="77777777" w:rsidR="00751256" w:rsidRPr="00E54E8E" w:rsidRDefault="00751256">
      <w:pPr>
        <w:pStyle w:val="Lettered"/>
        <w:spacing w:before="120" w:after="120"/>
        <w:ind w:left="992" w:hanging="425"/>
        <w:contextualSpacing/>
      </w:pPr>
      <w:r w:rsidRPr="00E54E8E">
        <w:t>Additional Estimates and variations</w:t>
      </w:r>
    </w:p>
    <w:p w14:paraId="4389611B" w14:textId="4D638761" w:rsidR="00751256" w:rsidRPr="00E54E8E" w:rsidRDefault="00751256">
      <w:pPr>
        <w:pStyle w:val="Lettered"/>
        <w:spacing w:before="120" w:after="120"/>
        <w:ind w:left="992" w:hanging="425"/>
        <w:contextualSpacing/>
      </w:pPr>
      <w:r w:rsidRPr="00E54E8E">
        <w:t>Appropriation Bill (No.</w:t>
      </w:r>
      <w:r w:rsidR="008E4EB9" w:rsidRPr="00E54E8E">
        <w:t xml:space="preserve"> </w:t>
      </w:r>
      <w:r w:rsidRPr="00E54E8E">
        <w:t>3) 2022-23 information</w:t>
      </w:r>
    </w:p>
    <w:p w14:paraId="085F0F65" w14:textId="1911352B" w:rsidR="00751256" w:rsidRPr="00E54E8E" w:rsidRDefault="00751256">
      <w:pPr>
        <w:pStyle w:val="Lettered"/>
        <w:spacing w:before="120" w:after="120"/>
        <w:ind w:left="992" w:hanging="425"/>
        <w:contextualSpacing/>
      </w:pPr>
      <w:r w:rsidRPr="00E54E8E">
        <w:t>Appropriation Bill (No.</w:t>
      </w:r>
      <w:r w:rsidR="008E4EB9" w:rsidRPr="00E54E8E">
        <w:t xml:space="preserve"> </w:t>
      </w:r>
      <w:r w:rsidRPr="00E54E8E">
        <w:t>4) 2022-2</w:t>
      </w:r>
      <w:r w:rsidR="002B7C6B" w:rsidRPr="00E54E8E">
        <w:t>3</w:t>
      </w:r>
      <w:r w:rsidRPr="00E54E8E">
        <w:t xml:space="preserve"> information</w:t>
      </w:r>
    </w:p>
    <w:p w14:paraId="41DE4D37" w14:textId="43EB38D6" w:rsidR="00751256" w:rsidRPr="00E54E8E" w:rsidRDefault="00751256">
      <w:pPr>
        <w:ind w:left="567"/>
      </w:pPr>
      <w:r w:rsidRPr="00E54E8E">
        <w:t xml:space="preserve">This means for, entities are </w:t>
      </w:r>
      <w:r w:rsidRPr="00E54E8E">
        <w:rPr>
          <w:b/>
          <w:bCs/>
        </w:rPr>
        <w:t>not required</w:t>
      </w:r>
      <w:r w:rsidRPr="00E54E8E">
        <w:t xml:space="preserve"> to prepare a set of budgeted financial statements to accompany their 2022-23 PAES chapter.</w:t>
      </w:r>
    </w:p>
    <w:p w14:paraId="50E08D4E" w14:textId="2DBD7BAC" w:rsidR="00917FB9" w:rsidRPr="00D50513" w:rsidRDefault="00917FB9">
      <w:pPr>
        <w:pStyle w:val="NumberedList1"/>
      </w:pPr>
      <w:r w:rsidRPr="00E54E8E">
        <w:t xml:space="preserve">Entities need to ensure that their entity name, outcome statements and additional appropriation amounts contained in the PAES reflect Government policy. Entities will need to ensure their PAES templates are ready for </w:t>
      </w:r>
      <w:r w:rsidRPr="000917BA">
        <w:t>publication</w:t>
      </w:r>
      <w:r w:rsidRPr="00D50513">
        <w:t xml:space="preserve"> by referring to section </w:t>
      </w:r>
      <w:r w:rsidR="00C7397A" w:rsidRPr="00D50513">
        <w:t>5</w:t>
      </w:r>
      <w:r w:rsidRPr="00327CB9">
        <w:t xml:space="preserve"> </w:t>
      </w:r>
      <w:r w:rsidRPr="006E4EFF">
        <w:rPr>
          <w:rStyle w:val="CrossReference"/>
        </w:rPr>
        <w:fldChar w:fldCharType="begin"/>
      </w:r>
      <w:r w:rsidRPr="00E54E8E">
        <w:rPr>
          <w:rStyle w:val="CrossReference"/>
        </w:rPr>
        <w:instrText xml:space="preserve"> REF _Ref128571184 \h  \* MERGEFORMAT </w:instrText>
      </w:r>
      <w:r w:rsidRPr="006E4EFF">
        <w:rPr>
          <w:rStyle w:val="CrossReference"/>
        </w:rPr>
      </w:r>
      <w:r w:rsidRPr="006E4EFF">
        <w:rPr>
          <w:rStyle w:val="CrossReference"/>
        </w:rPr>
        <w:fldChar w:fldCharType="separate"/>
      </w:r>
      <w:r w:rsidR="003F5E24" w:rsidRPr="003F5E24">
        <w:rPr>
          <w:rStyle w:val="CrossReference"/>
        </w:rPr>
        <w:t xml:space="preserve">Entity quality assurance and Attachment E </w:t>
      </w:r>
      <w:r w:rsidRPr="006E4EFF">
        <w:rPr>
          <w:rStyle w:val="CrossReference"/>
        </w:rPr>
        <w:fldChar w:fldCharType="end"/>
      </w:r>
      <w:r w:rsidRPr="00D50513">
        <w:t xml:space="preserve"> below.</w:t>
      </w:r>
    </w:p>
    <w:p w14:paraId="08450150" w14:textId="38F53E6C" w:rsidR="00751256" w:rsidRPr="00E54E8E" w:rsidRDefault="00751256">
      <w:pPr>
        <w:pStyle w:val="NumberedList1"/>
        <w:rPr>
          <w:rStyle w:val="ui-provider"/>
        </w:rPr>
      </w:pPr>
      <w:r w:rsidRPr="00327CB9">
        <w:rPr>
          <w:rStyle w:val="ui-provider"/>
        </w:rPr>
        <w:t xml:space="preserve">All measures tied to </w:t>
      </w:r>
      <w:r w:rsidR="00173CA3" w:rsidRPr="00327CB9">
        <w:rPr>
          <w:rStyle w:val="ui-provider"/>
        </w:rPr>
        <w:t xml:space="preserve">the </w:t>
      </w:r>
      <w:r w:rsidRPr="003D7C30">
        <w:rPr>
          <w:rStyle w:val="ui-provider"/>
        </w:rPr>
        <w:t xml:space="preserve">2022-23 Appropriation Bills (No. 3 and No. 4) should be reported in the PAES statements and should </w:t>
      </w:r>
      <w:r w:rsidRPr="00E54E8E">
        <w:rPr>
          <w:rStyle w:val="ui-provider"/>
          <w:b/>
          <w:bCs w:val="0"/>
        </w:rPr>
        <w:t>not</w:t>
      </w:r>
      <w:r w:rsidRPr="00E54E8E">
        <w:rPr>
          <w:rStyle w:val="ui-provider"/>
        </w:rPr>
        <w:t xml:space="preserve"> be included </w:t>
      </w:r>
      <w:r w:rsidR="00173CA3" w:rsidRPr="00E54E8E">
        <w:rPr>
          <w:rStyle w:val="ui-provider"/>
        </w:rPr>
        <w:t xml:space="preserve">in </w:t>
      </w:r>
      <w:r w:rsidRPr="00E54E8E">
        <w:rPr>
          <w:rStyle w:val="ui-provider"/>
        </w:rPr>
        <w:t>the 2023-24 PB Statement chapter. The approach adopted is consistent with prior AE</w:t>
      </w:r>
      <w:r w:rsidR="00173CA3" w:rsidRPr="00E54E8E">
        <w:rPr>
          <w:rStyle w:val="ui-provider"/>
        </w:rPr>
        <w:t>s</w:t>
      </w:r>
      <w:r w:rsidRPr="00E54E8E">
        <w:rPr>
          <w:rStyle w:val="ui-provider"/>
        </w:rPr>
        <w:t xml:space="preserve"> update rounds published in previous years where:</w:t>
      </w:r>
    </w:p>
    <w:p w14:paraId="5A5014BB" w14:textId="3368942B" w:rsidR="00751256" w:rsidRPr="00D50513" w:rsidRDefault="00751256">
      <w:pPr>
        <w:pStyle w:val="Bullet1"/>
        <w:rPr>
          <w:rStyle w:val="ui-provider"/>
        </w:rPr>
      </w:pPr>
      <w:r w:rsidRPr="00E54E8E">
        <w:rPr>
          <w:rStyle w:val="ui-provider"/>
        </w:rPr>
        <w:t xml:space="preserve">Budget measures must match the final measures list provided by Finance before being reported. Measure figures are to be reported on the same basis </w:t>
      </w:r>
      <w:r w:rsidR="000E159E" w:rsidRPr="00E54E8E">
        <w:rPr>
          <w:rStyle w:val="ui-provider"/>
        </w:rPr>
        <w:t>i</w:t>
      </w:r>
      <w:r w:rsidRPr="00E54E8E">
        <w:rPr>
          <w:rStyle w:val="ui-provider"/>
        </w:rPr>
        <w:t>n which B</w:t>
      </w:r>
      <w:r w:rsidR="00AC71A3" w:rsidRPr="00E54E8E">
        <w:rPr>
          <w:rStyle w:val="ui-provider"/>
        </w:rPr>
        <w:t xml:space="preserve">udget </w:t>
      </w:r>
      <w:r w:rsidRPr="00E54E8E">
        <w:rPr>
          <w:rStyle w:val="ui-provider"/>
        </w:rPr>
        <w:t>P</w:t>
      </w:r>
      <w:r w:rsidR="00AC71A3" w:rsidRPr="00E54E8E">
        <w:rPr>
          <w:rStyle w:val="ui-provider"/>
        </w:rPr>
        <w:t>aper</w:t>
      </w:r>
      <w:r w:rsidRPr="00E54E8E">
        <w:rPr>
          <w:rStyle w:val="ui-provider"/>
        </w:rPr>
        <w:t xml:space="preserve"> No. 2 </w:t>
      </w:r>
      <w:r w:rsidR="00CB2C8E" w:rsidRPr="00E54E8E">
        <w:rPr>
          <w:rStyle w:val="ui-provider"/>
        </w:rPr>
        <w:t xml:space="preserve">(BP No. 2) </w:t>
      </w:r>
      <w:r w:rsidRPr="00E54E8E">
        <w:rPr>
          <w:rStyle w:val="ui-provider"/>
        </w:rPr>
        <w:t>is prepared.</w:t>
      </w:r>
    </w:p>
    <w:p w14:paraId="4D382C64" w14:textId="37ED2CC3" w:rsidR="00751256" w:rsidRPr="00327CB9" w:rsidRDefault="00751256">
      <w:pPr>
        <w:pStyle w:val="NumberedList1"/>
      </w:pPr>
      <w:r w:rsidRPr="00D50513">
        <w:t>More broadly, e</w:t>
      </w:r>
      <w:r w:rsidRPr="00327CB9">
        <w:t>ntities must exclude</w:t>
      </w:r>
      <w:r w:rsidRPr="003D7C30">
        <w:t xml:space="preserve"> </w:t>
      </w:r>
      <w:r w:rsidR="002D1B0F" w:rsidRPr="003D7C30">
        <w:t>financial</w:t>
      </w:r>
      <w:r w:rsidR="008F6659" w:rsidRPr="00E54E8E">
        <w:t xml:space="preserve"> and performance related</w:t>
      </w:r>
      <w:r w:rsidR="002D1B0F" w:rsidRPr="00E54E8E">
        <w:t xml:space="preserve"> </w:t>
      </w:r>
      <w:r w:rsidRPr="00E54E8E">
        <w:t xml:space="preserve">information relating to </w:t>
      </w:r>
      <w:r w:rsidR="00AC71A3" w:rsidRPr="00E54E8E">
        <w:t>the 2022</w:t>
      </w:r>
      <w:r w:rsidR="008F6659" w:rsidRPr="00E54E8E">
        <w:noBreakHyphen/>
      </w:r>
      <w:r w:rsidR="00AC71A3" w:rsidRPr="00E54E8E">
        <w:t>23</w:t>
      </w:r>
      <w:r w:rsidR="008F6659" w:rsidRPr="00E54E8E">
        <w:t> </w:t>
      </w:r>
      <w:r w:rsidRPr="00E54E8E">
        <w:t>Appropriation Bills (No.</w:t>
      </w:r>
      <w:r w:rsidR="00AC71A3" w:rsidRPr="00E54E8E">
        <w:t xml:space="preserve"> </w:t>
      </w:r>
      <w:r w:rsidRPr="00E54E8E">
        <w:t>3 and No.</w:t>
      </w:r>
      <w:r w:rsidR="00AC71A3" w:rsidRPr="00E54E8E">
        <w:t xml:space="preserve"> </w:t>
      </w:r>
      <w:r w:rsidRPr="00E54E8E">
        <w:t xml:space="preserve">4) </w:t>
      </w:r>
      <w:r w:rsidRPr="00D50513">
        <w:t xml:space="preserve">from their 2023-24 PB Statements as the </w:t>
      </w:r>
      <w:r w:rsidR="00AC71A3" w:rsidRPr="00D50513">
        <w:t xml:space="preserve">AEs </w:t>
      </w:r>
      <w:r w:rsidRPr="00327CB9">
        <w:t>Bills will be tabled at the same time as the 2023-24 Appropriation Bills (No.</w:t>
      </w:r>
      <w:r w:rsidR="00AC71A3" w:rsidRPr="00327CB9">
        <w:t xml:space="preserve"> </w:t>
      </w:r>
      <w:r w:rsidRPr="003D7C30">
        <w:t>1 and No.</w:t>
      </w:r>
      <w:r w:rsidR="00AC71A3" w:rsidRPr="003D7C30">
        <w:t xml:space="preserve"> </w:t>
      </w:r>
      <w:r w:rsidRPr="00E54E8E">
        <w:t xml:space="preserve">2) (the 2023-24 Budget Bills) on Budget night. </w:t>
      </w:r>
      <w:r w:rsidR="009767DE" w:rsidRPr="00D50513">
        <w:t>This is because Appropriation Bills (No. 3 and No. 4) will not have been tabled nor have received royal assent prior to finalisation of the 2023-24 Portfolio Budget Statements.</w:t>
      </w:r>
    </w:p>
    <w:p w14:paraId="4808229E" w14:textId="52C66ACD" w:rsidR="002B7966" w:rsidRPr="003D7C30" w:rsidRDefault="002E7358">
      <w:pPr>
        <w:pStyle w:val="NumberedList1"/>
        <w:rPr>
          <w:b/>
          <w:sz w:val="24"/>
        </w:rPr>
      </w:pPr>
      <w:r w:rsidRPr="00327CB9">
        <w:t xml:space="preserve">An entity needs to provide performance information in their PAES where a </w:t>
      </w:r>
      <w:r w:rsidR="002D5D8E" w:rsidRPr="000917BA">
        <w:t>new</w:t>
      </w:r>
      <w:r w:rsidRPr="00D50513">
        <w:t xml:space="preserve"> program is </w:t>
      </w:r>
      <w:proofErr w:type="gramStart"/>
      <w:r w:rsidRPr="00D50513">
        <w:t>established</w:t>
      </w:r>
      <w:proofErr w:type="gramEnd"/>
      <w:r w:rsidRPr="00D50513">
        <w:t xml:space="preserve"> or </w:t>
      </w:r>
      <w:r w:rsidR="002D5D8E" w:rsidRPr="00D50513">
        <w:t xml:space="preserve">existing program is </w:t>
      </w:r>
      <w:r w:rsidRPr="00327CB9">
        <w:t>materially changed as a result of the additional funding provided.</w:t>
      </w:r>
    </w:p>
    <w:p w14:paraId="7E7DF9CC" w14:textId="20FC0DB8" w:rsidR="00283156" w:rsidRPr="00E54E8E" w:rsidRDefault="000B56E7" w:rsidP="000917BA">
      <w:pPr>
        <w:pStyle w:val="Heading1Numbered"/>
        <w:shd w:val="clear" w:color="auto" w:fill="auto"/>
      </w:pPr>
      <w:r w:rsidRPr="003D7C30">
        <w:t xml:space="preserve">Paper </w:t>
      </w:r>
      <w:r w:rsidR="00E20692" w:rsidRPr="00E54E8E">
        <w:t>and format specifications</w:t>
      </w:r>
    </w:p>
    <w:p w14:paraId="7C2D6DA3" w14:textId="6503170A" w:rsidR="00052C84" w:rsidRPr="00D50513" w:rsidRDefault="00052C84" w:rsidP="00D50513">
      <w:pPr>
        <w:pStyle w:val="NumberedList1"/>
      </w:pPr>
      <w:r w:rsidRPr="00E54E8E">
        <w:t xml:space="preserve">Hard copies of the </w:t>
      </w:r>
      <w:r w:rsidRPr="000917BA">
        <w:rPr>
          <w:color w:val="auto"/>
        </w:rPr>
        <w:t>P</w:t>
      </w:r>
      <w:r w:rsidR="00F657F8" w:rsidRPr="000917BA">
        <w:rPr>
          <w:color w:val="auto"/>
        </w:rPr>
        <w:t>AES</w:t>
      </w:r>
      <w:r w:rsidRPr="00D50513">
        <w:t xml:space="preserve"> Statements must be produced on standard B5 size paper (17.6 cm x 25 cm) with the following font requirements: </w:t>
      </w:r>
    </w:p>
    <w:p w14:paraId="4AF30087" w14:textId="77777777" w:rsidR="002B1EB3" w:rsidRPr="00327CB9" w:rsidRDefault="002B1EB3" w:rsidP="00327CB9">
      <w:pPr>
        <w:pStyle w:val="Bullet1"/>
        <w:numPr>
          <w:ilvl w:val="1"/>
          <w:numId w:val="85"/>
        </w:numPr>
        <w:ind w:left="992" w:hanging="425"/>
      </w:pPr>
      <w:r w:rsidRPr="00327CB9">
        <w:t>for tables (including those in the Excel workbook), Arial and 8 point (minimum font size 7.5 point)</w:t>
      </w:r>
    </w:p>
    <w:p w14:paraId="6AA2ECF5" w14:textId="77777777" w:rsidR="00F713C3" w:rsidRPr="00E54E8E" w:rsidRDefault="002B1EB3" w:rsidP="003D7C30">
      <w:pPr>
        <w:pStyle w:val="Bullet1"/>
        <w:numPr>
          <w:ilvl w:val="1"/>
          <w:numId w:val="85"/>
        </w:numPr>
        <w:ind w:left="992" w:hanging="425"/>
      </w:pPr>
      <w:r w:rsidRPr="003D7C30">
        <w:t xml:space="preserve">for other text (in the Word template), Book Antiqua and 10 </w:t>
      </w:r>
      <w:proofErr w:type="gramStart"/>
      <w:r w:rsidRPr="003D7C30">
        <w:t>point</w:t>
      </w:r>
      <w:proofErr w:type="gramEnd"/>
      <w:r w:rsidRPr="003D7C30">
        <w:t>.</w:t>
      </w:r>
    </w:p>
    <w:p w14:paraId="450564E4" w14:textId="04D30049" w:rsidR="00026220" w:rsidRPr="00E54E8E" w:rsidRDefault="002B1EB3">
      <w:pPr>
        <w:pStyle w:val="NumberedList1"/>
      </w:pPr>
      <w:r w:rsidRPr="00E54E8E">
        <w:t xml:space="preserve">Adherence to the fonts and styles provided in the templates (available from CBMS user reference </w:t>
      </w:r>
      <w:r w:rsidR="00F713C3" w:rsidRPr="00E54E8E">
        <w:t>in CBMS)</w:t>
      </w:r>
      <w:r w:rsidR="007D7F45" w:rsidRPr="00E54E8E">
        <w:t xml:space="preserve"> ensures that the statements are consistent with other budget documents and related papers</w:t>
      </w:r>
      <w:r w:rsidR="00F713C3" w:rsidRPr="00E54E8E">
        <w:t>.</w:t>
      </w:r>
    </w:p>
    <w:p w14:paraId="2ABA42B7" w14:textId="6D8AFC86" w:rsidR="00F713C3" w:rsidRPr="00D50513" w:rsidRDefault="00FD08F6">
      <w:pPr>
        <w:pStyle w:val="NumberedList1"/>
      </w:pPr>
      <w:r w:rsidRPr="00E54E8E">
        <w:t>For the covers, entities must use ‘</w:t>
      </w:r>
      <w:proofErr w:type="spellStart"/>
      <w:r w:rsidRPr="00E54E8E">
        <w:t>Tablex</w:t>
      </w:r>
      <w:proofErr w:type="spellEnd"/>
      <w:r w:rsidRPr="00E54E8E">
        <w:t xml:space="preserve"> System Board 250gsm – White Offset’ paper with the cover text in black</w:t>
      </w:r>
      <w:r w:rsidR="002F5BD7" w:rsidRPr="00E54E8E">
        <w:t xml:space="preserve">. This is the same paper </w:t>
      </w:r>
      <w:r w:rsidR="00723448" w:rsidRPr="00E54E8E">
        <w:t>used for producing the 2022-23 October Portfolio Budget Statements.</w:t>
      </w:r>
    </w:p>
    <w:p w14:paraId="080689E2" w14:textId="74E462CD" w:rsidR="00BE519C" w:rsidRPr="00D50513" w:rsidRDefault="00114851">
      <w:pPr>
        <w:pStyle w:val="NumberedList1"/>
      </w:pPr>
      <w:r w:rsidRPr="00D50513">
        <w:t>For consistency and only where possible</w:t>
      </w:r>
      <w:r w:rsidR="00D60213" w:rsidRPr="00327CB9">
        <w:t xml:space="preserve"> depending on the thickness of </w:t>
      </w:r>
      <w:r w:rsidR="00D00531" w:rsidRPr="00327CB9">
        <w:t xml:space="preserve">the </w:t>
      </w:r>
      <w:r w:rsidR="00D60213" w:rsidRPr="003D7C30">
        <w:t>PAES book</w:t>
      </w:r>
      <w:r w:rsidRPr="003D7C30">
        <w:t xml:space="preserve">, </w:t>
      </w:r>
      <w:r w:rsidR="00B75BFF" w:rsidRPr="00E54E8E">
        <w:t>P</w:t>
      </w:r>
      <w:r w:rsidR="003F20E4" w:rsidRPr="00E54E8E">
        <w:t>ortfolio</w:t>
      </w:r>
      <w:r w:rsidR="00D60213" w:rsidRPr="00E54E8E">
        <w:t xml:space="preserve">s should </w:t>
      </w:r>
      <w:r w:rsidR="00A84905" w:rsidRPr="00E54E8E">
        <w:t xml:space="preserve">include their </w:t>
      </w:r>
      <w:r w:rsidR="00B75BFF" w:rsidRPr="00E54E8E">
        <w:t>P</w:t>
      </w:r>
      <w:r w:rsidR="00A84905" w:rsidRPr="00E54E8E">
        <w:t xml:space="preserve">ortfolio name </w:t>
      </w:r>
      <w:r w:rsidR="00732A48" w:rsidRPr="00E54E8E">
        <w:t xml:space="preserve">so </w:t>
      </w:r>
      <w:r w:rsidR="00B75BFF" w:rsidRPr="00E54E8E">
        <w:t>that it</w:t>
      </w:r>
      <w:r w:rsidR="00732A48" w:rsidRPr="00E54E8E">
        <w:t xml:space="preserve"> is clearly </w:t>
      </w:r>
      <w:r w:rsidR="00A84905" w:rsidRPr="00E54E8E">
        <w:t xml:space="preserve">visible on the spine of the </w:t>
      </w:r>
      <w:r w:rsidR="00732A48" w:rsidRPr="00E54E8E">
        <w:t>book</w:t>
      </w:r>
      <w:r w:rsidR="00A84905" w:rsidRPr="00E54E8E">
        <w:t>.</w:t>
      </w:r>
    </w:p>
    <w:p w14:paraId="419F92B0" w14:textId="130074F0" w:rsidR="004A5FBC" w:rsidRPr="00E54E8E" w:rsidRDefault="004A5FBC" w:rsidP="000917BA">
      <w:pPr>
        <w:pStyle w:val="Heading1Numbered"/>
        <w:shd w:val="clear" w:color="auto" w:fill="auto"/>
      </w:pPr>
      <w:bookmarkStart w:id="1" w:name="_Ref128570839"/>
      <w:bookmarkStart w:id="2" w:name="_Ref128571184"/>
      <w:bookmarkStart w:id="3" w:name="_Ref128571351"/>
      <w:r w:rsidRPr="00D50513">
        <w:t xml:space="preserve">Entity </w:t>
      </w:r>
      <w:r w:rsidR="005F2C68" w:rsidRPr="00327CB9">
        <w:t>q</w:t>
      </w:r>
      <w:r w:rsidRPr="00327CB9">
        <w:t xml:space="preserve">uality </w:t>
      </w:r>
      <w:r w:rsidR="005F2C68" w:rsidRPr="003D7C30">
        <w:t>a</w:t>
      </w:r>
      <w:r w:rsidRPr="003D7C30">
        <w:t xml:space="preserve">ssurance and </w:t>
      </w:r>
      <w:r w:rsidRPr="00E54E8E">
        <w:rPr>
          <w:u w:val="single"/>
        </w:rPr>
        <w:t>Attachment E</w:t>
      </w:r>
      <w:r w:rsidRPr="00E54E8E">
        <w:t xml:space="preserve"> </w:t>
      </w:r>
      <w:bookmarkEnd w:id="1"/>
      <w:bookmarkEnd w:id="2"/>
      <w:r w:rsidR="00D4487F" w:rsidRPr="00E54E8E">
        <w:t>O</w:t>
      </w:r>
      <w:r w:rsidR="0099035D" w:rsidRPr="00E54E8E">
        <w:t xml:space="preserve">nline </w:t>
      </w:r>
      <w:r w:rsidR="005F2C68" w:rsidRPr="00E54E8E">
        <w:t>f</w:t>
      </w:r>
      <w:r w:rsidR="0099035D" w:rsidRPr="00E54E8E">
        <w:t xml:space="preserve">ile </w:t>
      </w:r>
      <w:r w:rsidR="005F2C68" w:rsidRPr="00E54E8E">
        <w:t>p</w:t>
      </w:r>
      <w:r w:rsidR="0099035D" w:rsidRPr="00E54E8E">
        <w:t>ublication checklist for data.gov.au</w:t>
      </w:r>
      <w:bookmarkEnd w:id="3"/>
    </w:p>
    <w:p w14:paraId="546A6762" w14:textId="59F0EC73" w:rsidR="00941FD1" w:rsidRPr="00E54E8E" w:rsidRDefault="00941FD1" w:rsidP="00D50513">
      <w:pPr>
        <w:pStyle w:val="NumberedList1"/>
      </w:pPr>
      <w:r w:rsidRPr="00E54E8E">
        <w:t xml:space="preserve">Each entity is responsible for ensuring all information in their </w:t>
      </w:r>
      <w:r w:rsidR="005718C0" w:rsidRPr="00E54E8E">
        <w:t>PAES</w:t>
      </w:r>
      <w:r w:rsidRPr="00E54E8E">
        <w:t xml:space="preserve"> is current, correct and </w:t>
      </w:r>
      <w:r w:rsidRPr="00E54E8E">
        <w:rPr>
          <w:b/>
          <w:bCs w:val="0"/>
        </w:rPr>
        <w:t xml:space="preserve">matches data in </w:t>
      </w:r>
      <w:r w:rsidR="00AF513B" w:rsidRPr="00E54E8E">
        <w:rPr>
          <w:b/>
          <w:bCs w:val="0"/>
        </w:rPr>
        <w:t>CBMS</w:t>
      </w:r>
      <w:r w:rsidR="00AF513B" w:rsidRPr="00E54E8E">
        <w:t>, as CBMS will provide the source data for the Bills</w:t>
      </w:r>
      <w:r w:rsidRPr="00E54E8E">
        <w:t>.</w:t>
      </w:r>
    </w:p>
    <w:p w14:paraId="110CF08C" w14:textId="058BFEA2" w:rsidR="00941FD1" w:rsidRPr="00E54E8E" w:rsidRDefault="00941FD1" w:rsidP="00327CB9">
      <w:pPr>
        <w:pStyle w:val="NumberedList1"/>
      </w:pPr>
      <w:r w:rsidRPr="00E54E8E">
        <w:t xml:space="preserve">Appropriation amounts included in the </w:t>
      </w:r>
      <w:r w:rsidR="005718C0" w:rsidRPr="00E54E8E">
        <w:t>PAES</w:t>
      </w:r>
      <w:r w:rsidRPr="00E54E8E">
        <w:t xml:space="preserve"> </w:t>
      </w:r>
      <w:r w:rsidRPr="00E54E8E">
        <w:rPr>
          <w:b/>
        </w:rPr>
        <w:t>must</w:t>
      </w:r>
      <w:r w:rsidRPr="00E54E8E">
        <w:t xml:space="preserve"> match amounts in the Appropriation Bills</w:t>
      </w:r>
      <w:r w:rsidR="00243FBB" w:rsidRPr="00E54E8E">
        <w:t xml:space="preserve"> (No.</w:t>
      </w:r>
      <w:r w:rsidR="00E90CFD" w:rsidRPr="00E54E8E">
        <w:t xml:space="preserve"> </w:t>
      </w:r>
      <w:r w:rsidR="00243FBB" w:rsidRPr="00E54E8E">
        <w:t>3 and No.</w:t>
      </w:r>
      <w:r w:rsidR="00E90CFD" w:rsidRPr="00E54E8E">
        <w:t xml:space="preserve"> </w:t>
      </w:r>
      <w:r w:rsidR="00243FBB" w:rsidRPr="00E54E8E">
        <w:t>4)</w:t>
      </w:r>
      <w:r w:rsidRPr="00E54E8E">
        <w:t>. Once the</w:t>
      </w:r>
      <w:r w:rsidR="00D80FBD" w:rsidRPr="00E54E8E">
        <w:t xml:space="preserve"> Bills</w:t>
      </w:r>
      <w:r w:rsidRPr="00E54E8E">
        <w:t xml:space="preserve"> have been passed by Parliament and receive royal assent, the Appropriation Acts are law and </w:t>
      </w:r>
      <w:r w:rsidR="004C256C" w:rsidRPr="00E54E8E">
        <w:t xml:space="preserve">take precedence over information in </w:t>
      </w:r>
      <w:r w:rsidR="00B75BFF" w:rsidRPr="00E54E8E">
        <w:t xml:space="preserve">the </w:t>
      </w:r>
      <w:r w:rsidR="002B67BF" w:rsidRPr="00E54E8E">
        <w:t>PAES</w:t>
      </w:r>
      <w:r w:rsidRPr="00E54E8E">
        <w:t xml:space="preserve">. </w:t>
      </w:r>
    </w:p>
    <w:p w14:paraId="3874EB73" w14:textId="66B44B1D" w:rsidR="00941FD1" w:rsidRPr="00E54E8E" w:rsidRDefault="00941FD1" w:rsidP="003D7C30">
      <w:pPr>
        <w:pStyle w:val="NumberedList1"/>
      </w:pPr>
      <w:r w:rsidRPr="00E54E8E">
        <w:t xml:space="preserve">Entities </w:t>
      </w:r>
      <w:r w:rsidRPr="00E54E8E">
        <w:rPr>
          <w:b/>
        </w:rPr>
        <w:t>must</w:t>
      </w:r>
      <w:r w:rsidRPr="00E54E8E">
        <w:t xml:space="preserve"> use the templates provided at </w:t>
      </w:r>
      <w:r w:rsidRPr="00E54E8E">
        <w:rPr>
          <w:u w:val="single"/>
        </w:rPr>
        <w:t>Attachments B</w:t>
      </w:r>
      <w:r w:rsidRPr="00E54E8E">
        <w:t xml:space="preserve"> to </w:t>
      </w:r>
      <w:r w:rsidRPr="00E54E8E">
        <w:rPr>
          <w:u w:val="single"/>
        </w:rPr>
        <w:t>D</w:t>
      </w:r>
      <w:r w:rsidRPr="00E54E8E">
        <w:t xml:space="preserve"> to prepare their </w:t>
      </w:r>
      <w:r w:rsidR="005718C0" w:rsidRPr="00E54E8E">
        <w:t>PAES</w:t>
      </w:r>
      <w:r w:rsidRPr="00E54E8E">
        <w:t>.</w:t>
      </w:r>
    </w:p>
    <w:p w14:paraId="78796447" w14:textId="754DB28D" w:rsidR="00941FD1" w:rsidRPr="00D50513" w:rsidRDefault="00941FD1" w:rsidP="003D7C30">
      <w:pPr>
        <w:pStyle w:val="NumberedList1"/>
      </w:pPr>
      <w:r w:rsidRPr="00E54E8E">
        <w:t xml:space="preserve">Measure titles and descriptions published in the </w:t>
      </w:r>
      <w:r w:rsidR="005718C0" w:rsidRPr="00E54E8E">
        <w:t>PAES</w:t>
      </w:r>
      <w:r w:rsidRPr="00E54E8E">
        <w:t xml:space="preserve"> should be consistent with those being published in BP </w:t>
      </w:r>
      <w:r w:rsidR="00275B5D">
        <w:t xml:space="preserve">No. </w:t>
      </w:r>
      <w:r w:rsidRPr="00E54E8E">
        <w:t>2 and should not be printed until BP</w:t>
      </w:r>
      <w:r w:rsidR="00C613FB">
        <w:t xml:space="preserve"> No.</w:t>
      </w:r>
      <w:r w:rsidRPr="00E54E8E">
        <w:t xml:space="preserve"> 2 is cleared.</w:t>
      </w:r>
    </w:p>
    <w:p w14:paraId="6408FF43" w14:textId="5C6FAC57" w:rsidR="00941FD1" w:rsidRPr="00E54E8E" w:rsidRDefault="00941FD1">
      <w:pPr>
        <w:pStyle w:val="NumberedList1"/>
      </w:pPr>
      <w:r w:rsidRPr="00D50513">
        <w:t>PB Statements</w:t>
      </w:r>
      <w:r w:rsidR="002B67BF" w:rsidRPr="00327CB9">
        <w:t xml:space="preserve"> and</w:t>
      </w:r>
      <w:r w:rsidRPr="00327CB9">
        <w:t xml:space="preserve"> the </w:t>
      </w:r>
      <w:r w:rsidR="005718C0" w:rsidRPr="003D7C30">
        <w:t>PAES</w:t>
      </w:r>
      <w:r w:rsidRPr="003D7C30">
        <w:t xml:space="preserve"> are under embargo until tabled in the Senate, which is expected around 8.15pm on Budget night</w:t>
      </w:r>
      <w:r w:rsidR="001D16B4" w:rsidRPr="00E54E8E">
        <w:t xml:space="preserve"> on Tuesday, 9 May</w:t>
      </w:r>
      <w:r w:rsidR="00261C59" w:rsidRPr="00E54E8E">
        <w:t xml:space="preserve"> 2023</w:t>
      </w:r>
      <w:r w:rsidRPr="00E54E8E">
        <w:t>.</w:t>
      </w:r>
    </w:p>
    <w:p w14:paraId="483596C4" w14:textId="3BEA57FE" w:rsidR="00941FD1" w:rsidRPr="000917BA" w:rsidRDefault="005718C0">
      <w:pPr>
        <w:pStyle w:val="NumberedList1"/>
      </w:pPr>
      <w:r w:rsidRPr="000917BA">
        <w:t>PAES</w:t>
      </w:r>
      <w:r w:rsidR="00941FD1" w:rsidRPr="000917BA">
        <w:t xml:space="preserve"> financial tables will be published on </w:t>
      </w:r>
      <w:hyperlink r:id="rId17" w:history="1">
        <w:r w:rsidR="002B67BF" w:rsidRPr="000917BA">
          <w:rPr>
            <w:rStyle w:val="Hyperlink"/>
          </w:rPr>
          <w:t>www.</w:t>
        </w:r>
        <w:r w:rsidR="00941FD1" w:rsidRPr="000917BA">
          <w:rPr>
            <w:rStyle w:val="Hyperlink"/>
          </w:rPr>
          <w:t>data.gov.au</w:t>
        </w:r>
      </w:hyperlink>
      <w:r w:rsidR="00941FD1" w:rsidRPr="000917BA">
        <w:t xml:space="preserve"> as part of the Government’s </w:t>
      </w:r>
      <w:r w:rsidR="002B67BF" w:rsidRPr="000917BA">
        <w:t>Open </w:t>
      </w:r>
      <w:r w:rsidR="00941FD1" w:rsidRPr="000917BA">
        <w:t xml:space="preserve">Government initiative. Portfolio Departments are required to send cleared MS Excel copies of the </w:t>
      </w:r>
      <w:r w:rsidRPr="000917BA">
        <w:t>PAES</w:t>
      </w:r>
      <w:r w:rsidR="00941FD1" w:rsidRPr="000917BA">
        <w:t xml:space="preserve"> financial tables via Pro</w:t>
      </w:r>
      <w:r w:rsidR="00885B9C" w:rsidRPr="000917BA">
        <w:t xml:space="preserve">tected-rated email or </w:t>
      </w:r>
      <w:proofErr w:type="spellStart"/>
      <w:r w:rsidR="00885B9C" w:rsidRPr="000917BA">
        <w:t>CabNet</w:t>
      </w:r>
      <w:proofErr w:type="spellEnd"/>
      <w:r w:rsidR="00885B9C" w:rsidRPr="000917BA">
        <w:t xml:space="preserve"> to </w:t>
      </w:r>
      <w:hyperlink r:id="rId18" w:history="1">
        <w:r w:rsidR="00941FD1" w:rsidRPr="000917BA">
          <w:rPr>
            <w:rStyle w:val="Hyperlink"/>
            <w:rFonts w:cs="Calibri"/>
          </w:rPr>
          <w:t>budget_framework@finance.gov.au</w:t>
        </w:r>
      </w:hyperlink>
      <w:r w:rsidR="00941FD1" w:rsidRPr="000917BA">
        <w:t xml:space="preserve"> by</w:t>
      </w:r>
      <w:r w:rsidR="00035686" w:rsidRPr="000917BA">
        <w:t xml:space="preserve"> Monday,</w:t>
      </w:r>
      <w:r w:rsidR="00941FD1" w:rsidRPr="000917BA">
        <w:t xml:space="preserve"> </w:t>
      </w:r>
      <w:r w:rsidR="00004821" w:rsidRPr="000917BA">
        <w:t>8 Ma</w:t>
      </w:r>
      <w:r w:rsidR="00035686" w:rsidRPr="000917BA">
        <w:t>y</w:t>
      </w:r>
      <w:r w:rsidR="00AB2438" w:rsidRPr="000917BA">
        <w:t xml:space="preserve"> 2023</w:t>
      </w:r>
      <w:r w:rsidR="00004821" w:rsidRPr="000917BA">
        <w:t xml:space="preserve"> </w:t>
      </w:r>
      <w:r w:rsidR="002B67BF" w:rsidRPr="000917BA">
        <w:t>(to align with the PBS EM once finalised)</w:t>
      </w:r>
      <w:r w:rsidR="00941FD1" w:rsidRPr="000917BA">
        <w:t xml:space="preserve">. </w:t>
      </w:r>
      <w:r w:rsidR="0003535F" w:rsidRPr="000917BA">
        <w:t xml:space="preserve"> </w:t>
      </w:r>
      <w:r w:rsidR="00941FD1" w:rsidRPr="000917BA">
        <w:t>All extraneous material should be removed.</w:t>
      </w:r>
    </w:p>
    <w:p w14:paraId="4AE5A67C" w14:textId="421F7EF4" w:rsidR="00941FD1" w:rsidRPr="000917BA" w:rsidRDefault="00941FD1">
      <w:pPr>
        <w:pStyle w:val="NumberedList1"/>
      </w:pPr>
      <w:r w:rsidRPr="000917BA">
        <w:t xml:space="preserve">Please refer to </w:t>
      </w:r>
      <w:r w:rsidRPr="000917BA">
        <w:rPr>
          <w:u w:val="single"/>
        </w:rPr>
        <w:t xml:space="preserve">Attachment E </w:t>
      </w:r>
      <w:r w:rsidR="002B67BF" w:rsidRPr="000917BA">
        <w:t>for</w:t>
      </w:r>
      <w:r w:rsidRPr="000917BA">
        <w:t xml:space="preserve"> a checklist for preparing the tables for data.gov.au publication</w:t>
      </w:r>
      <w:r w:rsidR="006D7DDD" w:rsidRPr="000917BA">
        <w:t xml:space="preserve"> purposes</w:t>
      </w:r>
      <w:r w:rsidRPr="000917BA">
        <w:t xml:space="preserve">. Tables may be returned to Portfolio Departments for urgent correction if </w:t>
      </w:r>
      <w:r w:rsidR="002B67BF" w:rsidRPr="000917BA">
        <w:t>required</w:t>
      </w:r>
      <w:r w:rsidRPr="000917BA">
        <w:t>.</w:t>
      </w:r>
      <w:r w:rsidRPr="00D50513">
        <w:t xml:space="preserve"> </w:t>
      </w:r>
    </w:p>
    <w:p w14:paraId="6730AF3F" w14:textId="6523CA35" w:rsidR="00941FD1" w:rsidRPr="00016BDE" w:rsidRDefault="00941FD1" w:rsidP="00CB6E45">
      <w:pPr>
        <w:pStyle w:val="NumberedList1"/>
      </w:pPr>
      <w:r w:rsidRPr="00016BDE">
        <w:t xml:space="preserve">Entities must provide a full copy of the </w:t>
      </w:r>
      <w:r w:rsidR="005718C0" w:rsidRPr="00016BDE">
        <w:t>PAES</w:t>
      </w:r>
      <w:r w:rsidRPr="00016BDE">
        <w:t xml:space="preserve"> in Adobe PDF format for the Budget media lockup</w:t>
      </w:r>
      <w:r w:rsidR="00F64E28" w:rsidRPr="00016BDE">
        <w:t xml:space="preserve"> by emailing the </w:t>
      </w:r>
      <w:hyperlink r:id="rId19" w:history="1">
        <w:r w:rsidR="00F64E28" w:rsidRPr="00016BDE">
          <w:rPr>
            <w:rStyle w:val="Hyperlink"/>
            <w:rFonts w:cs="Calibri"/>
          </w:rPr>
          <w:t>budget_framework@finance.gov.au</w:t>
        </w:r>
      </w:hyperlink>
      <w:r w:rsidR="00F64E28" w:rsidRPr="00016BDE">
        <w:t xml:space="preserve"> </w:t>
      </w:r>
      <w:r w:rsidR="0088723A" w:rsidRPr="00016BDE">
        <w:t xml:space="preserve">and the </w:t>
      </w:r>
      <w:hyperlink r:id="rId20" w:history="1">
        <w:r w:rsidR="00EA7560" w:rsidRPr="00016BDE">
          <w:rPr>
            <w:rStyle w:val="Hyperlink"/>
            <w:rFonts w:cs="Calibri"/>
          </w:rPr>
          <w:t>budgetcommunications@treasury.gov.au</w:t>
        </w:r>
      </w:hyperlink>
      <w:r w:rsidR="00EA7560" w:rsidRPr="00016BDE">
        <w:t xml:space="preserve"> </w:t>
      </w:r>
      <w:r w:rsidR="00F64E28" w:rsidRPr="00016BDE">
        <w:t>mailbox</w:t>
      </w:r>
      <w:r w:rsidR="000B1AED" w:rsidRPr="00016BDE">
        <w:t>es</w:t>
      </w:r>
      <w:r w:rsidRPr="00016BDE">
        <w:t>.</w:t>
      </w:r>
    </w:p>
    <w:p w14:paraId="7CE10FD8" w14:textId="578F2483" w:rsidR="009539D9" w:rsidRPr="00A32841" w:rsidRDefault="00941FD1" w:rsidP="00A32841">
      <w:pPr>
        <w:pStyle w:val="NumberedList1"/>
        <w:rPr>
          <w:sz w:val="24"/>
        </w:rPr>
      </w:pPr>
      <w:r w:rsidRPr="00016BDE">
        <w:t xml:space="preserve">Additional information for preparing the </w:t>
      </w:r>
      <w:r w:rsidR="005718C0" w:rsidRPr="00016BDE">
        <w:t>PAES</w:t>
      </w:r>
      <w:r w:rsidRPr="00016BDE">
        <w:t xml:space="preserve"> </w:t>
      </w:r>
      <w:r w:rsidR="00445EEE" w:rsidRPr="00016BDE">
        <w:t xml:space="preserve">that </w:t>
      </w:r>
      <w:r w:rsidRPr="00016BDE">
        <w:t>includ</w:t>
      </w:r>
      <w:r w:rsidR="00445EEE" w:rsidRPr="00016BDE">
        <w:t>es</w:t>
      </w:r>
      <w:r w:rsidRPr="00016BDE">
        <w:t xml:space="preserve"> key dates, contacts and delivery requirements </w:t>
      </w:r>
      <w:r w:rsidR="00A34A56" w:rsidRPr="00016BDE">
        <w:t>are</w:t>
      </w:r>
      <w:r w:rsidRPr="00016BDE">
        <w:t xml:space="preserve"> </w:t>
      </w:r>
      <w:r w:rsidR="00A34A56" w:rsidRPr="00016BDE">
        <w:t xml:space="preserve">outlined </w:t>
      </w:r>
      <w:r w:rsidRPr="00016BDE">
        <w:t>below.</w:t>
      </w:r>
    </w:p>
    <w:p w14:paraId="688A3F21" w14:textId="14BB1740" w:rsidR="007E5DD6" w:rsidRPr="00016BDE" w:rsidRDefault="00541F3B" w:rsidP="00A32841">
      <w:pPr>
        <w:pStyle w:val="Heading1Numbered"/>
      </w:pPr>
      <w:r w:rsidRPr="00016BDE">
        <w:t xml:space="preserve">Key Contacts for </w:t>
      </w:r>
      <w:r w:rsidR="00391C5D" w:rsidRPr="00016BDE">
        <w:t xml:space="preserve">Appropriation </w:t>
      </w:r>
      <w:r w:rsidR="00E6799D" w:rsidRPr="00016BDE">
        <w:t xml:space="preserve">Bills and </w:t>
      </w:r>
      <w:r w:rsidR="005718C0" w:rsidRPr="00016BDE">
        <w:t>PAES</w:t>
      </w:r>
    </w:p>
    <w:p w14:paraId="6783EFC0" w14:textId="6877BD40" w:rsidR="00277F04" w:rsidRPr="00016BDE" w:rsidRDefault="00E84791" w:rsidP="00ED3D60">
      <w:pPr>
        <w:pStyle w:val="Heading2"/>
      </w:pPr>
      <w:r w:rsidRPr="00016BDE">
        <w:t>Department of Finance</w:t>
      </w:r>
      <w:r w:rsidR="002923FF" w:rsidRPr="00016BDE">
        <w:t xml:space="preserve"> (Finance)</w:t>
      </w:r>
    </w:p>
    <w:p w14:paraId="3CC7F62F" w14:textId="7A7428DA" w:rsidR="00E84791" w:rsidRPr="00016BDE" w:rsidRDefault="00E84791" w:rsidP="00A32841">
      <w:r w:rsidRPr="00016BDE">
        <w:t xml:space="preserve">In the first instance, entities should contact their </w:t>
      </w:r>
      <w:r w:rsidR="002923FF" w:rsidRPr="00016BDE">
        <w:t>Agency Advice Unit (</w:t>
      </w:r>
      <w:r w:rsidRPr="00016BDE">
        <w:t>AAU</w:t>
      </w:r>
      <w:r w:rsidR="002923FF" w:rsidRPr="00016BDE">
        <w:t>)</w:t>
      </w:r>
      <w:r w:rsidRPr="00016BDE">
        <w:t xml:space="preserve"> for enquiries.</w:t>
      </w:r>
    </w:p>
    <w:p w14:paraId="5E3C4E4D" w14:textId="35E527E7" w:rsidR="00E84791" w:rsidRPr="00016BDE" w:rsidRDefault="00E84791" w:rsidP="00A32841">
      <w:r w:rsidRPr="00016BDE">
        <w:t xml:space="preserve">For guidance on the preparation of the </w:t>
      </w:r>
      <w:r w:rsidR="005718C0" w:rsidRPr="00016BDE">
        <w:t>PAES</w:t>
      </w:r>
      <w:r w:rsidRPr="00016BDE">
        <w:t xml:space="preserve"> (including publication on </w:t>
      </w:r>
      <w:hyperlink r:id="rId21">
        <w:r w:rsidRPr="00016BDE">
          <w:rPr>
            <w:rStyle w:val="Hyperlink"/>
            <w:rFonts w:cs="Calibri"/>
            <w:u w:val="none"/>
          </w:rPr>
          <w:t>data.gov.au</w:t>
        </w:r>
      </w:hyperlink>
      <w:r w:rsidRPr="00016BDE">
        <w:t xml:space="preserve"> but excluding performance reporting), entities can contact the </w:t>
      </w:r>
      <w:r w:rsidRPr="00A32841">
        <w:t>Accounting Framework and Capability Support Team</w:t>
      </w:r>
      <w:r w:rsidRPr="00016BDE">
        <w:t>:</w:t>
      </w:r>
    </w:p>
    <w:p w14:paraId="4A94C906" w14:textId="101F4585" w:rsidR="00E84791" w:rsidRPr="00016BDE" w:rsidRDefault="00E84791" w:rsidP="00A32841">
      <w:pPr>
        <w:pStyle w:val="BulletforContacts"/>
        <w:numPr>
          <w:ilvl w:val="1"/>
          <w:numId w:val="85"/>
        </w:numPr>
        <w:ind w:left="425" w:hanging="425"/>
      </w:pPr>
      <w:r w:rsidRPr="00016BDE">
        <w:t xml:space="preserve">by email </w:t>
      </w:r>
      <w:r w:rsidR="00BD7D46" w:rsidRPr="00016BDE">
        <w:t>(emails rated up to Protected)</w:t>
      </w:r>
      <w:r w:rsidR="004C0BE3" w:rsidRPr="00016BDE">
        <w:tab/>
      </w:r>
      <w:r w:rsidR="00BD7D46" w:rsidRPr="00016BDE">
        <w:tab/>
      </w:r>
      <w:hyperlink r:id="rId22" w:history="1">
        <w:r w:rsidR="00BD7D46" w:rsidRPr="00016BDE">
          <w:rPr>
            <w:rStyle w:val="Hyperlink"/>
          </w:rPr>
          <w:t>budget_framework@finance.gov.au</w:t>
        </w:r>
      </w:hyperlink>
    </w:p>
    <w:p w14:paraId="47BC28B8" w14:textId="77777777" w:rsidR="005D6632" w:rsidRPr="00016BDE" w:rsidRDefault="005D6632" w:rsidP="007E7C2C"/>
    <w:p w14:paraId="2224C435" w14:textId="5781DD54" w:rsidR="00E84791" w:rsidRPr="00016BDE" w:rsidRDefault="00E84791" w:rsidP="00A32841">
      <w:r w:rsidRPr="00016BDE">
        <w:t xml:space="preserve">For guidance on the production of </w:t>
      </w:r>
      <w:r w:rsidRPr="00A32841">
        <w:t>Appropriation Bills</w:t>
      </w:r>
      <w:r w:rsidR="00C046B9">
        <w:t xml:space="preserve"> and</w:t>
      </w:r>
      <w:r w:rsidRPr="00016BDE">
        <w:t xml:space="preserve"> the CFO sign-off process, entities should contact</w:t>
      </w:r>
      <w:r w:rsidR="00DC300C" w:rsidRPr="00DC300C">
        <w:t xml:space="preserve"> </w:t>
      </w:r>
      <w:r w:rsidR="00C613FB">
        <w:t xml:space="preserve">the </w:t>
      </w:r>
      <w:r w:rsidR="00DC300C" w:rsidRPr="00016BDE">
        <w:t>Annual Appropriation</w:t>
      </w:r>
      <w:r w:rsidR="00DC300C">
        <w:t>s</w:t>
      </w:r>
      <w:r w:rsidR="00DC300C" w:rsidRPr="00016BDE">
        <w:t xml:space="preserve"> Team</w:t>
      </w:r>
      <w:r w:rsidRPr="00016BDE">
        <w:t>:</w:t>
      </w:r>
    </w:p>
    <w:p w14:paraId="7787DAAD" w14:textId="15F0EA7A" w:rsidR="00E84791" w:rsidRPr="00016BDE" w:rsidRDefault="00E84791" w:rsidP="00A32841">
      <w:pPr>
        <w:pStyle w:val="BulletforContacts"/>
        <w:numPr>
          <w:ilvl w:val="1"/>
          <w:numId w:val="85"/>
        </w:numPr>
        <w:ind w:left="425" w:hanging="425"/>
        <w:rPr>
          <w:rStyle w:val="Hyperlink"/>
          <w:rFonts w:eastAsiaTheme="minorHAnsi" w:cs="Calibri"/>
          <w:bCs w:val="0"/>
          <w:szCs w:val="20"/>
        </w:rPr>
      </w:pPr>
      <w:r w:rsidRPr="00016BDE">
        <w:t>by emai</w:t>
      </w:r>
      <w:r w:rsidR="00F2510C" w:rsidRPr="00016BDE">
        <w:t>l</w:t>
      </w:r>
      <w:r w:rsidR="00BD7D46" w:rsidRPr="00016BDE">
        <w:tab/>
      </w:r>
      <w:r w:rsidR="00DB79DF" w:rsidRPr="00016BDE">
        <w:tab/>
      </w:r>
      <w:r w:rsidR="005601D3" w:rsidRPr="00016BDE">
        <w:fldChar w:fldCharType="begin"/>
      </w:r>
      <w:r w:rsidR="005601D3" w:rsidRPr="00016BDE">
        <w:instrText xml:space="preserve"> HYPERLINK "mailto:annual.appropriations@finance.gov.au" </w:instrText>
      </w:r>
      <w:r w:rsidR="005601D3" w:rsidRPr="00016BDE">
        <w:fldChar w:fldCharType="separate"/>
      </w:r>
      <w:r w:rsidRPr="00016BDE">
        <w:rPr>
          <w:rStyle w:val="Hyperlink"/>
          <w:rFonts w:cs="Calibri"/>
        </w:rPr>
        <w:t>annual.appropriations@finance.gov.au</w:t>
      </w:r>
    </w:p>
    <w:p w14:paraId="0E1EA3DE" w14:textId="6F2C42B9" w:rsidR="005D6632" w:rsidRDefault="005601D3" w:rsidP="00AD043F">
      <w:pPr>
        <w:pStyle w:val="BulletforContacts"/>
        <w:numPr>
          <w:ilvl w:val="0"/>
          <w:numId w:val="0"/>
        </w:numPr>
        <w:ind w:left="425"/>
      </w:pPr>
      <w:r w:rsidRPr="00016BDE">
        <w:fldChar w:fldCharType="end"/>
      </w:r>
    </w:p>
    <w:p w14:paraId="07A55BF7" w14:textId="1872FB47" w:rsidR="00E84791" w:rsidRPr="00016BDE" w:rsidRDefault="00B75BFF" w:rsidP="00ED3D60">
      <w:pPr>
        <w:pStyle w:val="Heading2"/>
      </w:pPr>
      <w:r>
        <w:t xml:space="preserve">The Department of the </w:t>
      </w:r>
      <w:r w:rsidR="00E84791" w:rsidRPr="00016BDE">
        <w:t>Treasury</w:t>
      </w:r>
      <w:r w:rsidR="002923FF" w:rsidRPr="00016BDE">
        <w:t xml:space="preserve"> </w:t>
      </w:r>
      <w:r>
        <w:t xml:space="preserve">(Treasury) </w:t>
      </w:r>
      <w:r w:rsidR="00E84791" w:rsidRPr="00016BDE">
        <w:t>contacts:</w:t>
      </w:r>
    </w:p>
    <w:p w14:paraId="306D64B7" w14:textId="5236AFC3" w:rsidR="00BD5163" w:rsidRPr="00016BDE" w:rsidRDefault="00E84791" w:rsidP="00A32841">
      <w:r w:rsidRPr="00016BDE">
        <w:t xml:space="preserve">Treasury </w:t>
      </w:r>
      <w:r w:rsidR="00365631" w:rsidRPr="00016BDE">
        <w:t xml:space="preserve">determines the </w:t>
      </w:r>
      <w:r w:rsidRPr="00016BDE">
        <w:t xml:space="preserve">formatting for </w:t>
      </w:r>
      <w:r w:rsidR="00365631" w:rsidRPr="00016BDE">
        <w:t xml:space="preserve">the </w:t>
      </w:r>
      <w:r w:rsidRPr="00016BDE">
        <w:t>P</w:t>
      </w:r>
      <w:r w:rsidR="005A15AD">
        <w:t>AES</w:t>
      </w:r>
      <w:r w:rsidRPr="00016BDE">
        <w:t xml:space="preserve"> templates and uploads </w:t>
      </w:r>
      <w:r w:rsidR="00E54E8E">
        <w:t>the</w:t>
      </w:r>
      <w:r w:rsidRPr="00016BDE">
        <w:t xml:space="preserve"> Statements links to </w:t>
      </w:r>
      <w:hyperlink r:id="rId23">
        <w:r w:rsidRPr="00016BDE">
          <w:rPr>
            <w:rStyle w:val="Hyperlink"/>
            <w:rFonts w:cs="Calibri"/>
          </w:rPr>
          <w:t>www.budget.gov.au</w:t>
        </w:r>
      </w:hyperlink>
      <w:r w:rsidRPr="00016BDE">
        <w:t>. Treasury also coordinates the Budget lock-up at Australian Parliament House and undertakes budget coordination activities at the agency level.</w:t>
      </w:r>
      <w:r w:rsidR="00365631" w:rsidRPr="00016BDE">
        <w:t xml:space="preserve"> The appropriate areas in Treasury can be contacted for: </w:t>
      </w:r>
    </w:p>
    <w:p w14:paraId="20D828E2" w14:textId="4CB970FC" w:rsidR="002D2A6B" w:rsidRPr="00016BDE" w:rsidRDefault="002D2A6B" w:rsidP="00A32841">
      <w:pPr>
        <w:pStyle w:val="BulletforContacts"/>
        <w:numPr>
          <w:ilvl w:val="1"/>
          <w:numId w:val="85"/>
        </w:numPr>
        <w:ind w:left="425" w:hanging="425"/>
        <w:rPr>
          <w:u w:color="0070C0"/>
        </w:rPr>
      </w:pPr>
      <w:r w:rsidRPr="00016BDE">
        <w:rPr>
          <w:u w:color="0070C0"/>
        </w:rPr>
        <w:t>General budget communication queries</w:t>
      </w:r>
      <w:r w:rsidRPr="00016BDE">
        <w:rPr>
          <w:u w:color="0070C0"/>
        </w:rPr>
        <w:tab/>
      </w:r>
      <w:r w:rsidRPr="00016BDE">
        <w:rPr>
          <w:u w:color="0070C0"/>
        </w:rPr>
        <w:tab/>
      </w:r>
      <w:hyperlink r:id="rId24" w:history="1">
        <w:r w:rsidRPr="00016BDE">
          <w:rPr>
            <w:rStyle w:val="Hyperlink"/>
            <w:rFonts w:cs="Calibri"/>
          </w:rPr>
          <w:t>budgetcommunications@treasury.gov.au</w:t>
        </w:r>
      </w:hyperlink>
    </w:p>
    <w:p w14:paraId="0AD4C0B0" w14:textId="67E73EE1" w:rsidR="00BD5163" w:rsidRPr="00016BDE" w:rsidRDefault="005601D3" w:rsidP="00A32841">
      <w:pPr>
        <w:pStyle w:val="BulletforContacts"/>
        <w:numPr>
          <w:ilvl w:val="1"/>
          <w:numId w:val="85"/>
        </w:numPr>
        <w:ind w:left="425" w:hanging="425"/>
        <w:rPr>
          <w:u w:color="0070C0"/>
        </w:rPr>
      </w:pPr>
      <w:r w:rsidRPr="00016BDE">
        <w:t>D</w:t>
      </w:r>
      <w:r w:rsidR="00E84791" w:rsidRPr="00016BDE">
        <w:t>esign and formatting</w:t>
      </w:r>
      <w:r w:rsidR="00E84791" w:rsidRPr="00016BDE">
        <w:tab/>
      </w:r>
      <w:r w:rsidR="00DB79DF" w:rsidRPr="00016BDE">
        <w:tab/>
      </w:r>
      <w:hyperlink r:id="rId25" w:history="1">
        <w:r w:rsidR="00BD5163" w:rsidRPr="00A32841">
          <w:rPr>
            <w:rStyle w:val="Hyperlink"/>
            <w:rFonts w:cs="Calibri"/>
          </w:rPr>
          <w:t>creativeservices@treasury.gov.au</w:t>
        </w:r>
      </w:hyperlink>
    </w:p>
    <w:p w14:paraId="68E3F6F8" w14:textId="2DF011CA" w:rsidR="002D2A6B" w:rsidRPr="00A32841" w:rsidRDefault="005601D3" w:rsidP="00A32841">
      <w:pPr>
        <w:pStyle w:val="BulletforContacts"/>
        <w:numPr>
          <w:ilvl w:val="1"/>
          <w:numId w:val="85"/>
        </w:numPr>
        <w:ind w:left="425" w:hanging="425"/>
      </w:pPr>
      <w:r w:rsidRPr="00016BDE">
        <w:t>B</w:t>
      </w:r>
      <w:r w:rsidR="00E84791" w:rsidRPr="00016BDE">
        <w:t>udget website</w:t>
      </w:r>
      <w:r w:rsidR="00536406" w:rsidRPr="00016BDE">
        <w:tab/>
      </w:r>
      <w:r w:rsidR="00536406" w:rsidRPr="00016BDE">
        <w:tab/>
      </w:r>
      <w:hyperlink r:id="rId26" w:history="1">
        <w:r w:rsidR="002D2A6B" w:rsidRPr="00016BDE">
          <w:rPr>
            <w:rStyle w:val="Hyperlink"/>
            <w:rFonts w:cs="Calibri"/>
          </w:rPr>
          <w:t>budget-website@treasury.gov.au</w:t>
        </w:r>
      </w:hyperlink>
    </w:p>
    <w:p w14:paraId="46045E3C" w14:textId="1E1500E6" w:rsidR="00E84791" w:rsidRPr="00016BDE" w:rsidRDefault="00E84791" w:rsidP="00A32841">
      <w:pPr>
        <w:pStyle w:val="BulletforContacts"/>
        <w:numPr>
          <w:ilvl w:val="1"/>
          <w:numId w:val="85"/>
        </w:numPr>
        <w:ind w:left="425" w:hanging="425"/>
      </w:pPr>
      <w:r w:rsidRPr="00016BDE">
        <w:t xml:space="preserve">Treasury Budget Communications Team can also be </w:t>
      </w:r>
      <w:r w:rsidR="00365631" w:rsidRPr="00016BDE">
        <w:t>contacted on</w:t>
      </w:r>
      <w:r w:rsidRPr="00016BDE">
        <w:t xml:space="preserve"> </w:t>
      </w:r>
      <w:r w:rsidR="00CB720E" w:rsidRPr="00016BDE">
        <w:tab/>
      </w:r>
      <w:r w:rsidRPr="00016BDE">
        <w:t>(02) 6263 3788</w:t>
      </w:r>
    </w:p>
    <w:p w14:paraId="6FA86CB6" w14:textId="77777777" w:rsidR="00A23CBE" w:rsidRPr="00016BDE" w:rsidRDefault="00A23CBE" w:rsidP="00A32841">
      <w:pPr>
        <w:rPr>
          <w:b/>
          <w:sz w:val="24"/>
        </w:rPr>
      </w:pPr>
      <w:r w:rsidRPr="00016BDE">
        <w:br w:type="page"/>
      </w:r>
    </w:p>
    <w:p w14:paraId="30A00AE6" w14:textId="26D0421C" w:rsidR="00E84791" w:rsidRPr="00016BDE" w:rsidRDefault="00E84791" w:rsidP="00A32841">
      <w:pPr>
        <w:pStyle w:val="Heading2"/>
      </w:pPr>
      <w:proofErr w:type="spellStart"/>
      <w:r w:rsidRPr="00016BDE">
        <w:t>CanPrint</w:t>
      </w:r>
      <w:proofErr w:type="spellEnd"/>
    </w:p>
    <w:p w14:paraId="540BDEE3" w14:textId="6234F939" w:rsidR="00A23CBE" w:rsidRPr="00016BDE" w:rsidRDefault="00E84791" w:rsidP="00A32841">
      <w:proofErr w:type="spellStart"/>
      <w:r w:rsidRPr="00016BDE">
        <w:t>CanPrint</w:t>
      </w:r>
      <w:proofErr w:type="spellEnd"/>
      <w:r w:rsidRPr="00016BDE">
        <w:rPr>
          <w:b/>
        </w:rPr>
        <w:t xml:space="preserve"> </w:t>
      </w:r>
      <w:r w:rsidRPr="00016BDE">
        <w:t xml:space="preserve">is the preferred printer for </w:t>
      </w:r>
      <w:r w:rsidR="00365631" w:rsidRPr="00016BDE">
        <w:t xml:space="preserve">PAES </w:t>
      </w:r>
      <w:r w:rsidRPr="00016BDE">
        <w:t xml:space="preserve">and PB Statements. If printing is carried out ‘in-house’ or with another printer, entities must liaise with Finance to ensure that cover stock, colour and text is consistent with all other </w:t>
      </w:r>
      <w:r w:rsidR="00B75BFF">
        <w:t>P</w:t>
      </w:r>
      <w:r w:rsidR="00B75BFF" w:rsidRPr="00016BDE">
        <w:t>ortfolios</w:t>
      </w:r>
      <w:r w:rsidRPr="00016BDE">
        <w:t>.</w:t>
      </w:r>
      <w:r w:rsidRPr="00016BDE">
        <w:br/>
        <w:t xml:space="preserve">It is the responsibility of each </w:t>
      </w:r>
      <w:r w:rsidR="00D80667">
        <w:t>P</w:t>
      </w:r>
      <w:r w:rsidRPr="00016BDE">
        <w:t xml:space="preserve">ortfolio </w:t>
      </w:r>
      <w:r w:rsidR="00D80667">
        <w:t>D</w:t>
      </w:r>
      <w:r w:rsidRPr="00016BDE">
        <w:t xml:space="preserve">epartment to arrange the printing and secure freighting of their </w:t>
      </w:r>
      <w:r w:rsidR="00365631" w:rsidRPr="00016BDE">
        <w:t xml:space="preserve">PAES </w:t>
      </w:r>
      <w:r w:rsidR="00A51C43" w:rsidRPr="00016BDE">
        <w:t xml:space="preserve">and </w:t>
      </w:r>
      <w:r w:rsidRPr="00016BDE">
        <w:t>PB Statements.</w:t>
      </w:r>
    </w:p>
    <w:p w14:paraId="06CEF100" w14:textId="7FEA2149" w:rsidR="00E84791" w:rsidRPr="00016BDE" w:rsidRDefault="00E84791" w:rsidP="00A32841">
      <w:r w:rsidRPr="00016BDE">
        <w:t xml:space="preserve">Contact details for </w:t>
      </w:r>
      <w:proofErr w:type="spellStart"/>
      <w:r w:rsidRPr="00016BDE">
        <w:t>CanPrint</w:t>
      </w:r>
      <w:proofErr w:type="spellEnd"/>
      <w:r w:rsidRPr="00016BDE">
        <w:t xml:space="preserve"> Communications Pty Ltd are:</w:t>
      </w:r>
    </w:p>
    <w:p w14:paraId="374680EA" w14:textId="4E07E0EB" w:rsidR="0028068E" w:rsidRPr="00016BDE" w:rsidRDefault="0028068E" w:rsidP="00A32841">
      <w:pPr>
        <w:spacing w:before="60" w:after="120"/>
        <w:ind w:left="1701"/>
        <w:contextualSpacing/>
      </w:pPr>
      <w:proofErr w:type="spellStart"/>
      <w:r w:rsidRPr="00016BDE">
        <w:t>Canprint</w:t>
      </w:r>
      <w:proofErr w:type="spellEnd"/>
      <w:r w:rsidRPr="00016BDE">
        <w:t xml:space="preserve"> Communications Pty Ltd</w:t>
      </w:r>
    </w:p>
    <w:p w14:paraId="363BBB59" w14:textId="2E9F7B36" w:rsidR="00E84791" w:rsidRPr="00016BDE" w:rsidRDefault="00E84791" w:rsidP="00A32841">
      <w:pPr>
        <w:spacing w:before="60" w:after="120"/>
        <w:ind w:left="1701"/>
        <w:contextualSpacing/>
      </w:pPr>
      <w:r w:rsidRPr="00016BDE">
        <w:t xml:space="preserve">16 </w:t>
      </w:r>
      <w:proofErr w:type="spellStart"/>
      <w:r w:rsidRPr="00016BDE">
        <w:t>Nyrang</w:t>
      </w:r>
      <w:proofErr w:type="spellEnd"/>
      <w:r w:rsidRPr="00016BDE">
        <w:t xml:space="preserve"> Street</w:t>
      </w:r>
    </w:p>
    <w:p w14:paraId="2C8F1881" w14:textId="77777777" w:rsidR="00E84791" w:rsidRPr="00016BDE" w:rsidRDefault="00E84791" w:rsidP="00A32841">
      <w:pPr>
        <w:spacing w:before="60" w:after="120"/>
        <w:ind w:left="1701"/>
        <w:contextualSpacing/>
      </w:pPr>
      <w:r w:rsidRPr="00016BDE">
        <w:t>Fyshwick, ACT 2609</w:t>
      </w:r>
    </w:p>
    <w:p w14:paraId="2F55309F" w14:textId="77777777" w:rsidR="00040946" w:rsidRDefault="00040946">
      <w:pPr>
        <w:pStyle w:val="Heading2"/>
      </w:pPr>
    </w:p>
    <w:p w14:paraId="2BF5B292" w14:textId="10428985" w:rsidR="006E0051" w:rsidRPr="00016BDE" w:rsidRDefault="006E0051" w:rsidP="00A32841">
      <w:pPr>
        <w:pStyle w:val="Heading2"/>
      </w:pPr>
      <w:r w:rsidRPr="00016BDE">
        <w:t>Senate Tabl</w:t>
      </w:r>
      <w:r w:rsidR="00040946">
        <w:t>e</w:t>
      </w:r>
      <w:r w:rsidRPr="00016BDE">
        <w:t xml:space="preserve"> Office</w:t>
      </w:r>
    </w:p>
    <w:p w14:paraId="4390B227" w14:textId="0DD10582" w:rsidR="004967CA" w:rsidRPr="00016BDE" w:rsidRDefault="00E84791" w:rsidP="00A32841">
      <w:r w:rsidRPr="00016BDE">
        <w:t xml:space="preserve">The </w:t>
      </w:r>
      <w:r w:rsidRPr="00016BDE">
        <w:rPr>
          <w:b/>
        </w:rPr>
        <w:t>Senate Table Office</w:t>
      </w:r>
      <w:r w:rsidRPr="00016BDE">
        <w:t xml:space="preserve"> receives deliveries from entities of </w:t>
      </w:r>
      <w:r w:rsidR="00040946">
        <w:t xml:space="preserve">PAES and </w:t>
      </w:r>
      <w:r w:rsidRPr="00016BDE">
        <w:t>PB Statements for the Senate, House of Representatives, Budget lockup and the Parliamentary Library. Their contact details are:</w:t>
      </w:r>
    </w:p>
    <w:p w14:paraId="210F556A" w14:textId="22C904BE" w:rsidR="004967CA" w:rsidRPr="00016BDE" w:rsidRDefault="00BF5393" w:rsidP="00A32841">
      <w:pPr>
        <w:pStyle w:val="BulletforContacts"/>
        <w:numPr>
          <w:ilvl w:val="1"/>
          <w:numId w:val="85"/>
        </w:numPr>
        <w:ind w:left="425" w:hanging="425"/>
      </w:pPr>
      <w:r w:rsidRPr="00016BDE">
        <w:t>D</w:t>
      </w:r>
      <w:r w:rsidR="00E84791" w:rsidRPr="00016BDE">
        <w:t>ocuments officer</w:t>
      </w:r>
      <w:r w:rsidR="00BD7D46" w:rsidRPr="00016BDE">
        <w:tab/>
      </w:r>
      <w:hyperlink r:id="rId27" w:history="1">
        <w:r w:rsidR="00E84791" w:rsidRPr="00016BDE">
          <w:rPr>
            <w:rStyle w:val="Hyperlink"/>
            <w:rFonts w:cs="Calibri"/>
          </w:rPr>
          <w:t>table.docs@aph.gov.au</w:t>
        </w:r>
      </w:hyperlink>
      <w:r w:rsidR="00BD7D46" w:rsidRPr="00016BDE">
        <w:tab/>
      </w:r>
      <w:r w:rsidR="004967CA" w:rsidRPr="00016BDE">
        <w:t>(</w:t>
      </w:r>
      <w:r w:rsidR="00E84791" w:rsidRPr="00016BDE">
        <w:t>02</w:t>
      </w:r>
      <w:r w:rsidR="004967CA" w:rsidRPr="00016BDE">
        <w:t>)</w:t>
      </w:r>
      <w:r w:rsidR="00E84791" w:rsidRPr="00016BDE">
        <w:t xml:space="preserve"> 6277 3037</w:t>
      </w:r>
    </w:p>
    <w:p w14:paraId="644C95C7" w14:textId="1E3C46B6" w:rsidR="00E84791" w:rsidRPr="00016BDE" w:rsidRDefault="00BF5393" w:rsidP="00A32841">
      <w:pPr>
        <w:pStyle w:val="BulletforContacts"/>
        <w:numPr>
          <w:ilvl w:val="1"/>
          <w:numId w:val="85"/>
        </w:numPr>
        <w:ind w:left="425" w:hanging="425"/>
      </w:pPr>
      <w:r w:rsidRPr="00016BDE">
        <w:t>A</w:t>
      </w:r>
      <w:r w:rsidR="00E84791" w:rsidRPr="00016BDE">
        <w:t>ddress:</w:t>
      </w:r>
    </w:p>
    <w:p w14:paraId="18EC248C" w14:textId="0F4751FE" w:rsidR="0028068E" w:rsidRPr="00016BDE" w:rsidRDefault="0028068E" w:rsidP="00A32841">
      <w:pPr>
        <w:spacing w:before="60" w:after="120"/>
        <w:ind w:left="1701"/>
        <w:contextualSpacing/>
      </w:pPr>
      <w:r w:rsidRPr="00016BDE">
        <w:t>Room SG 25</w:t>
      </w:r>
    </w:p>
    <w:p w14:paraId="691ADE10" w14:textId="6199C19E" w:rsidR="00E84791" w:rsidRPr="00016BDE" w:rsidRDefault="00E84791" w:rsidP="00A32841">
      <w:pPr>
        <w:spacing w:before="60" w:after="120"/>
        <w:ind w:left="1701"/>
        <w:contextualSpacing/>
      </w:pPr>
      <w:r w:rsidRPr="00016BDE">
        <w:t>Department of the Senate</w:t>
      </w:r>
    </w:p>
    <w:p w14:paraId="46C605CC" w14:textId="0A9A074E" w:rsidR="00E84791" w:rsidRPr="00016BDE" w:rsidRDefault="00E84791" w:rsidP="00A32841">
      <w:pPr>
        <w:spacing w:before="60" w:after="120"/>
        <w:ind w:left="1701"/>
        <w:contextualSpacing/>
      </w:pPr>
      <w:r w:rsidRPr="00016BDE">
        <w:t>Parliament House</w:t>
      </w:r>
    </w:p>
    <w:p w14:paraId="35D931DC" w14:textId="5697BEEE" w:rsidR="006A562D" w:rsidRDefault="00E84791" w:rsidP="006A562D">
      <w:pPr>
        <w:spacing w:before="60" w:after="120"/>
        <w:ind w:left="1701"/>
        <w:contextualSpacing/>
      </w:pPr>
      <w:r w:rsidRPr="00016BDE">
        <w:t>Canberra, ACT 2600</w:t>
      </w:r>
    </w:p>
    <w:p w14:paraId="2C5F57C3" w14:textId="77777777" w:rsidR="006A562D" w:rsidRDefault="006A562D">
      <w:pPr>
        <w:suppressAutoHyphens w:val="0"/>
        <w:spacing w:before="0" w:after="120" w:line="440" w:lineRule="atLeast"/>
      </w:pPr>
      <w:r>
        <w:br w:type="page"/>
      </w:r>
    </w:p>
    <w:p w14:paraId="685A9B16" w14:textId="59921699" w:rsidR="00380599" w:rsidRPr="00016BDE" w:rsidRDefault="004967CA" w:rsidP="00A32841">
      <w:pPr>
        <w:pStyle w:val="Heading1Numbered"/>
      </w:pPr>
      <w:r w:rsidRPr="00016BDE">
        <w:t>Key Dates and Deadlines:</w:t>
      </w:r>
    </w:p>
    <w:p w14:paraId="76FC96D8" w14:textId="77777777" w:rsidR="004967CA" w:rsidRPr="00016BDE" w:rsidRDefault="004967CA" w:rsidP="00CB6E45"/>
    <w:tbl>
      <w:tblPr>
        <w:tblStyle w:val="TableGrid"/>
        <w:tblW w:w="9346" w:type="dxa"/>
        <w:tblInd w:w="5" w:type="dxa"/>
        <w:shd w:val="clear" w:color="auto" w:fill="FFFFFF" w:themeFill="background1"/>
        <w:tblCellMar>
          <w:left w:w="113" w:type="dxa"/>
          <w:right w:w="113" w:type="dxa"/>
        </w:tblCellMar>
        <w:tblLook w:val="04A0" w:firstRow="1" w:lastRow="0" w:firstColumn="1" w:lastColumn="0" w:noHBand="0" w:noVBand="1"/>
      </w:tblPr>
      <w:tblGrid>
        <w:gridCol w:w="2967"/>
        <w:gridCol w:w="6379"/>
      </w:tblGrid>
      <w:tr w:rsidR="004967CA" w:rsidRPr="005D6632" w14:paraId="054727D2" w14:textId="77777777">
        <w:trPr>
          <w:trHeight w:val="516"/>
        </w:trPr>
        <w:tc>
          <w:tcPr>
            <w:tcW w:w="2967" w:type="dxa"/>
            <w:tcBorders>
              <w:bottom w:val="single" w:sz="4" w:space="0" w:color="auto"/>
            </w:tcBorders>
            <w:shd w:val="clear" w:color="auto" w:fill="FFFFFF" w:themeFill="background1"/>
            <w:vAlign w:val="center"/>
          </w:tcPr>
          <w:p w14:paraId="5333E656" w14:textId="77777777" w:rsidR="004967CA" w:rsidRPr="000917BA" w:rsidRDefault="004967CA" w:rsidP="00CB6E45">
            <w:pPr>
              <w:pStyle w:val="TableText-Normal"/>
              <w:rPr>
                <w:b/>
                <w:bCs/>
              </w:rPr>
            </w:pPr>
            <w:r w:rsidRPr="000917BA">
              <w:rPr>
                <w:b/>
                <w:bCs/>
              </w:rPr>
              <w:t>Date Due</w:t>
            </w:r>
          </w:p>
        </w:tc>
        <w:tc>
          <w:tcPr>
            <w:tcW w:w="6379" w:type="dxa"/>
            <w:tcBorders>
              <w:bottom w:val="single" w:sz="4" w:space="0" w:color="auto"/>
            </w:tcBorders>
            <w:shd w:val="clear" w:color="auto" w:fill="FFFFFF" w:themeFill="background1"/>
            <w:vAlign w:val="center"/>
          </w:tcPr>
          <w:p w14:paraId="0918537A" w14:textId="77777777" w:rsidR="004967CA" w:rsidRPr="000917BA" w:rsidRDefault="004967CA" w:rsidP="00CB6E45">
            <w:pPr>
              <w:pStyle w:val="TableText-Normal"/>
              <w:rPr>
                <w:b/>
                <w:bCs/>
              </w:rPr>
            </w:pPr>
            <w:r w:rsidRPr="000917BA">
              <w:rPr>
                <w:b/>
                <w:bCs/>
              </w:rPr>
              <w:t>Action Required</w:t>
            </w:r>
          </w:p>
        </w:tc>
      </w:tr>
      <w:tr w:rsidR="004967CA" w:rsidRPr="005D6632" w14:paraId="4E0131B8" w14:textId="77777777">
        <w:trPr>
          <w:trHeight w:val="268"/>
        </w:trPr>
        <w:tc>
          <w:tcPr>
            <w:tcW w:w="9346" w:type="dxa"/>
            <w:gridSpan w:val="2"/>
            <w:shd w:val="clear" w:color="auto" w:fill="D9D9D9" w:themeFill="background1" w:themeFillShade="D9"/>
          </w:tcPr>
          <w:p w14:paraId="15CF551F" w14:textId="5DB575AA" w:rsidR="004967CA" w:rsidRPr="000917BA" w:rsidRDefault="004967CA" w:rsidP="00CB6E45">
            <w:pPr>
              <w:pStyle w:val="TableText-Normal"/>
              <w:rPr>
                <w:b/>
                <w:bCs/>
              </w:rPr>
            </w:pPr>
            <w:r w:rsidRPr="000917BA">
              <w:rPr>
                <w:b/>
                <w:bCs/>
              </w:rPr>
              <w:t xml:space="preserve">Appropriation Bills </w:t>
            </w:r>
            <w:r w:rsidR="000727DA" w:rsidRPr="000917BA">
              <w:rPr>
                <w:b/>
                <w:bCs/>
              </w:rPr>
              <w:t>(</w:t>
            </w:r>
            <w:r w:rsidRPr="000917BA">
              <w:rPr>
                <w:b/>
                <w:bCs/>
              </w:rPr>
              <w:t>No.</w:t>
            </w:r>
            <w:r w:rsidR="007461A5" w:rsidRPr="000917BA">
              <w:rPr>
                <w:b/>
                <w:bCs/>
              </w:rPr>
              <w:t xml:space="preserve"> </w:t>
            </w:r>
            <w:r w:rsidR="00492774" w:rsidRPr="000917BA">
              <w:rPr>
                <w:b/>
                <w:bCs/>
              </w:rPr>
              <w:t>3</w:t>
            </w:r>
            <w:r w:rsidRPr="000917BA">
              <w:rPr>
                <w:b/>
                <w:bCs/>
              </w:rPr>
              <w:t xml:space="preserve"> and </w:t>
            </w:r>
            <w:r w:rsidR="000727DA" w:rsidRPr="000917BA">
              <w:rPr>
                <w:b/>
                <w:bCs/>
              </w:rPr>
              <w:t>No.</w:t>
            </w:r>
            <w:r w:rsidR="007461A5" w:rsidRPr="000917BA">
              <w:rPr>
                <w:b/>
                <w:bCs/>
              </w:rPr>
              <w:t xml:space="preserve"> </w:t>
            </w:r>
            <w:r w:rsidR="00492774" w:rsidRPr="000917BA">
              <w:rPr>
                <w:b/>
                <w:bCs/>
              </w:rPr>
              <w:t>4</w:t>
            </w:r>
            <w:r w:rsidR="000727DA" w:rsidRPr="000917BA">
              <w:rPr>
                <w:b/>
                <w:bCs/>
              </w:rPr>
              <w:t>)</w:t>
            </w:r>
          </w:p>
        </w:tc>
      </w:tr>
    </w:tbl>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3" w:type="dxa"/>
          <w:right w:w="113" w:type="dxa"/>
        </w:tblCellMar>
        <w:tblLook w:val="04A0" w:firstRow="1" w:lastRow="0" w:firstColumn="1" w:lastColumn="0" w:noHBand="0" w:noVBand="1"/>
      </w:tblPr>
      <w:tblGrid>
        <w:gridCol w:w="2967"/>
        <w:gridCol w:w="6379"/>
      </w:tblGrid>
      <w:tr w:rsidR="004967CA" w:rsidRPr="005D6632" w14:paraId="63307E98" w14:textId="77777777" w:rsidTr="000917BA">
        <w:trPr>
          <w:trHeight w:val="129"/>
        </w:trPr>
        <w:tc>
          <w:tcPr>
            <w:tcW w:w="2967" w:type="dxa"/>
            <w:tcBorders>
              <w:bottom w:val="single" w:sz="4" w:space="0" w:color="auto"/>
            </w:tcBorders>
            <w:shd w:val="clear" w:color="auto" w:fill="auto"/>
          </w:tcPr>
          <w:p w14:paraId="1EDD472C" w14:textId="33D3A62E" w:rsidR="004967CA" w:rsidRPr="000917BA" w:rsidRDefault="00A17DE0" w:rsidP="00CB6E45">
            <w:pPr>
              <w:pStyle w:val="TableText-Normal"/>
            </w:pPr>
            <w:r w:rsidRPr="000917BA">
              <w:t>Monday</w:t>
            </w:r>
            <w:r w:rsidR="004967CA" w:rsidRPr="000917BA">
              <w:t xml:space="preserve">, </w:t>
            </w:r>
            <w:r w:rsidR="00D50513">
              <w:t>2</w:t>
            </w:r>
            <w:r w:rsidRPr="000917BA">
              <w:t>7</w:t>
            </w:r>
            <w:r w:rsidR="004967CA" w:rsidRPr="000917BA">
              <w:t xml:space="preserve"> </w:t>
            </w:r>
            <w:r w:rsidR="00D50513">
              <w:t>March</w:t>
            </w:r>
            <w:r w:rsidR="00D50513" w:rsidRPr="000917BA">
              <w:t xml:space="preserve"> </w:t>
            </w:r>
            <w:r w:rsidR="004967CA" w:rsidRPr="000917BA">
              <w:t>202</w:t>
            </w:r>
            <w:r w:rsidRPr="000917BA">
              <w:t>3</w:t>
            </w:r>
          </w:p>
        </w:tc>
        <w:tc>
          <w:tcPr>
            <w:tcW w:w="6379" w:type="dxa"/>
            <w:tcBorders>
              <w:bottom w:val="single" w:sz="4" w:space="0" w:color="auto"/>
            </w:tcBorders>
            <w:shd w:val="clear" w:color="auto" w:fill="auto"/>
          </w:tcPr>
          <w:p w14:paraId="2A0028F8" w14:textId="77D2341C" w:rsidR="004967CA" w:rsidRPr="000917BA" w:rsidRDefault="00D50513" w:rsidP="00CB6E45">
            <w:pPr>
              <w:pStyle w:val="TableText-Normal"/>
              <w:rPr>
                <w:b/>
              </w:rPr>
            </w:pPr>
            <w:r w:rsidRPr="00E54E8E">
              <w:t>Entities are required to update their appropriation estimates in CBMS for Appropriation Bills (No. 3 and No. 4)</w:t>
            </w:r>
          </w:p>
        </w:tc>
      </w:tr>
      <w:tr w:rsidR="00D50513" w:rsidRPr="000A4C64" w14:paraId="40C2F28C" w14:textId="77777777">
        <w:trPr>
          <w:trHeight w:val="129"/>
        </w:trPr>
        <w:tc>
          <w:tcPr>
            <w:tcW w:w="2967" w:type="dxa"/>
            <w:tcBorders>
              <w:bottom w:val="single" w:sz="4" w:space="0" w:color="auto"/>
            </w:tcBorders>
            <w:shd w:val="clear" w:color="auto" w:fill="auto"/>
          </w:tcPr>
          <w:p w14:paraId="71193140" w14:textId="77777777" w:rsidR="00D50513" w:rsidRPr="000A4C64" w:rsidRDefault="00D50513">
            <w:pPr>
              <w:pStyle w:val="TableText-Normal"/>
            </w:pPr>
            <w:r w:rsidRPr="000A4C64">
              <w:t>Monday, 17 April 2023</w:t>
            </w:r>
          </w:p>
        </w:tc>
        <w:tc>
          <w:tcPr>
            <w:tcW w:w="6379" w:type="dxa"/>
            <w:tcBorders>
              <w:bottom w:val="single" w:sz="4" w:space="0" w:color="auto"/>
            </w:tcBorders>
            <w:shd w:val="clear" w:color="auto" w:fill="auto"/>
          </w:tcPr>
          <w:p w14:paraId="6E835E3B" w14:textId="77777777" w:rsidR="00D50513" w:rsidRPr="000A4C64" w:rsidRDefault="00D50513">
            <w:pPr>
              <w:pStyle w:val="TableText-Normal"/>
              <w:rPr>
                <w:b/>
              </w:rPr>
            </w:pPr>
            <w:r w:rsidRPr="000A4C64">
              <w:t>Appropriation Bills CFO sign-offs and relevant reports due to AAUs</w:t>
            </w:r>
          </w:p>
        </w:tc>
      </w:tr>
      <w:tr w:rsidR="004967CA" w:rsidRPr="005D6632" w14:paraId="7A9336FE" w14:textId="77777777">
        <w:trPr>
          <w:trHeight w:val="445"/>
        </w:trPr>
        <w:tc>
          <w:tcPr>
            <w:tcW w:w="2967" w:type="dxa"/>
            <w:tcBorders>
              <w:bottom w:val="single" w:sz="4" w:space="0" w:color="auto"/>
            </w:tcBorders>
            <w:shd w:val="clear" w:color="auto" w:fill="FFFFFF" w:themeFill="background1"/>
          </w:tcPr>
          <w:p w14:paraId="4C6E3FBC" w14:textId="3A03BA12" w:rsidR="004967CA" w:rsidRPr="000917BA" w:rsidRDefault="004967CA" w:rsidP="00CB6E45">
            <w:pPr>
              <w:pStyle w:val="TableText-Normal"/>
            </w:pPr>
            <w:r w:rsidRPr="000917BA">
              <w:t>Tuesday, 9 Ma</w:t>
            </w:r>
            <w:r w:rsidR="003F3DFA" w:rsidRPr="000917BA">
              <w:t>y</w:t>
            </w:r>
            <w:r w:rsidRPr="000917BA">
              <w:t xml:space="preserve"> 202</w:t>
            </w:r>
            <w:r w:rsidR="00AC1C37" w:rsidRPr="000917BA">
              <w:t>3</w:t>
            </w:r>
          </w:p>
        </w:tc>
        <w:tc>
          <w:tcPr>
            <w:tcW w:w="6379" w:type="dxa"/>
            <w:tcBorders>
              <w:bottom w:val="single" w:sz="4" w:space="0" w:color="auto"/>
            </w:tcBorders>
            <w:shd w:val="clear" w:color="auto" w:fill="FFFFFF" w:themeFill="background1"/>
          </w:tcPr>
          <w:p w14:paraId="3C8FFABF" w14:textId="1977976C" w:rsidR="004967CA" w:rsidRPr="000917BA" w:rsidRDefault="004967CA" w:rsidP="00CB6E45">
            <w:pPr>
              <w:pStyle w:val="TableText-Normal"/>
              <w:rPr>
                <w:b/>
              </w:rPr>
            </w:pPr>
            <w:r w:rsidRPr="000917BA">
              <w:t>Budget night – AEs Bills introduced in Parliament</w:t>
            </w:r>
          </w:p>
        </w:tc>
      </w:tr>
      <w:tr w:rsidR="004967CA" w:rsidRPr="005D6632" w14:paraId="4606C0EF" w14:textId="77777777">
        <w:trPr>
          <w:trHeight w:val="109"/>
        </w:trPr>
        <w:tc>
          <w:tcPr>
            <w:tcW w:w="9346" w:type="dxa"/>
            <w:gridSpan w:val="2"/>
            <w:tcBorders>
              <w:bottom w:val="single" w:sz="4" w:space="0" w:color="auto"/>
            </w:tcBorders>
            <w:shd w:val="clear" w:color="auto" w:fill="D9D9D9" w:themeFill="background1" w:themeFillShade="D9"/>
          </w:tcPr>
          <w:p w14:paraId="7CB1A4A8" w14:textId="1BF8D95C" w:rsidR="004967CA" w:rsidRPr="000917BA" w:rsidRDefault="004967CA" w:rsidP="00CB6E45">
            <w:pPr>
              <w:pStyle w:val="TableText-Normal"/>
              <w:rPr>
                <w:b/>
                <w:bCs/>
              </w:rPr>
            </w:pPr>
            <w:r w:rsidRPr="000917BA">
              <w:rPr>
                <w:b/>
                <w:bCs/>
              </w:rPr>
              <w:t>Portfolio Additional Estimates Statements</w:t>
            </w:r>
          </w:p>
        </w:tc>
      </w:tr>
    </w:tbl>
    <w:tbl>
      <w:tblPr>
        <w:tblStyle w:val="TableGrid"/>
        <w:tblW w:w="9346" w:type="dxa"/>
        <w:tblInd w:w="5" w:type="dxa"/>
        <w:shd w:val="clear" w:color="auto" w:fill="FFFFFF" w:themeFill="background1"/>
        <w:tblLayout w:type="fixed"/>
        <w:tblCellMar>
          <w:left w:w="113" w:type="dxa"/>
          <w:right w:w="113" w:type="dxa"/>
        </w:tblCellMar>
        <w:tblLook w:val="04A0" w:firstRow="1" w:lastRow="0" w:firstColumn="1" w:lastColumn="0" w:noHBand="0" w:noVBand="1"/>
      </w:tblPr>
      <w:tblGrid>
        <w:gridCol w:w="2967"/>
        <w:gridCol w:w="6379"/>
      </w:tblGrid>
      <w:tr w:rsidR="004967CA" w:rsidRPr="005D6632" w14:paraId="1F57953E" w14:textId="77777777">
        <w:tc>
          <w:tcPr>
            <w:tcW w:w="2967" w:type="dxa"/>
            <w:shd w:val="clear" w:color="auto" w:fill="FFFFFF" w:themeFill="background1"/>
            <w:vAlign w:val="center"/>
          </w:tcPr>
          <w:p w14:paraId="0C246D10" w14:textId="5C40BAF9" w:rsidR="004967CA" w:rsidRPr="000917BA" w:rsidRDefault="004967CA" w:rsidP="00CB6E45">
            <w:pPr>
              <w:pStyle w:val="TableText-Normal"/>
            </w:pPr>
            <w:r w:rsidRPr="000917BA">
              <w:t>By 4:30pm Monday,</w:t>
            </w:r>
            <w:r w:rsidRPr="000917BA">
              <w:br/>
              <w:t xml:space="preserve">8 </w:t>
            </w:r>
            <w:r w:rsidR="00C947B9" w:rsidRPr="000917BA">
              <w:t>May</w:t>
            </w:r>
            <w:r w:rsidR="009762B4" w:rsidRPr="000917BA">
              <w:t xml:space="preserve"> 2023</w:t>
            </w:r>
          </w:p>
        </w:tc>
        <w:tc>
          <w:tcPr>
            <w:tcW w:w="6379" w:type="dxa"/>
            <w:shd w:val="clear" w:color="auto" w:fill="FFFFFF" w:themeFill="background1"/>
          </w:tcPr>
          <w:p w14:paraId="6C78C94A" w14:textId="71128ED7" w:rsidR="004967CA" w:rsidRPr="000917BA" w:rsidRDefault="005718C0" w:rsidP="00CB6E45">
            <w:pPr>
              <w:pStyle w:val="TableText-Normal"/>
            </w:pPr>
            <w:r w:rsidRPr="000917BA">
              <w:t>PAES</w:t>
            </w:r>
            <w:r w:rsidR="004967CA" w:rsidRPr="000917BA">
              <w:t xml:space="preserve"> </w:t>
            </w:r>
            <w:r w:rsidR="00C0118D" w:rsidRPr="000917BA">
              <w:t xml:space="preserve">hard copy </w:t>
            </w:r>
            <w:r w:rsidR="004967CA" w:rsidRPr="000917BA">
              <w:t xml:space="preserve">books printed and delivered to Senate Table Office at Parliament House </w:t>
            </w:r>
            <w:r w:rsidR="004967CA" w:rsidRPr="000917BA">
              <w:rPr>
                <w:b/>
              </w:rPr>
              <w:t>and</w:t>
            </w:r>
            <w:r w:rsidR="004967CA" w:rsidRPr="000917BA">
              <w:t xml:space="preserve"> the Department of Finance by </w:t>
            </w:r>
            <w:r w:rsidR="00AA33DC" w:rsidRPr="000917BA">
              <w:t>Portfolios</w:t>
            </w:r>
            <w:r w:rsidR="004967CA" w:rsidRPr="000917BA">
              <w:t>.</w:t>
            </w:r>
          </w:p>
          <w:p w14:paraId="70CF0AD9" w14:textId="58A3D87E" w:rsidR="004967CA" w:rsidRPr="000917BA" w:rsidRDefault="004967CA" w:rsidP="00A32841">
            <w:pPr>
              <w:pStyle w:val="TableText-Normal"/>
            </w:pPr>
            <w:r w:rsidRPr="000917BA">
              <w:t xml:space="preserve">PDF copies of the </w:t>
            </w:r>
            <w:r w:rsidR="005718C0" w:rsidRPr="000917BA">
              <w:t>PAES</w:t>
            </w:r>
            <w:r w:rsidRPr="000917BA">
              <w:t xml:space="preserve"> emailed (addressed to </w:t>
            </w:r>
            <w:r w:rsidR="00B8722D" w:rsidRPr="000917BA">
              <w:t>Alex Berry</w:t>
            </w:r>
            <w:r w:rsidRPr="000917BA">
              <w:t xml:space="preserve">) via </w:t>
            </w:r>
            <w:proofErr w:type="spellStart"/>
            <w:r w:rsidRPr="000917BA">
              <w:t>CabNet</w:t>
            </w:r>
            <w:proofErr w:type="spellEnd"/>
            <w:r w:rsidRPr="000917BA">
              <w:t xml:space="preserve"> or by Protected-rated email to </w:t>
            </w:r>
            <w:hyperlink r:id="rId28" w:history="1">
              <w:r w:rsidRPr="000917BA">
                <w:rPr>
                  <w:rStyle w:val="Hyperlink"/>
                  <w:rFonts w:cs="Calibri"/>
                  <w:szCs w:val="22"/>
                </w:rPr>
                <w:t>budget_framework@finance.gov.au</w:t>
              </w:r>
            </w:hyperlink>
            <w:r w:rsidR="001D27ED" w:rsidRPr="000917BA">
              <w:t xml:space="preserve"> and </w:t>
            </w:r>
            <w:hyperlink r:id="rId29" w:history="1">
              <w:r w:rsidR="002039D5" w:rsidRPr="00D50513">
                <w:rPr>
                  <w:rStyle w:val="Hyperlink"/>
                  <w:rFonts w:cs="Times New Roman"/>
                </w:rPr>
                <w:t>budgetcommunications@treasury.gov.au</w:t>
              </w:r>
            </w:hyperlink>
            <w:r w:rsidRPr="000917BA">
              <w:t xml:space="preserve">. Please ensure this email is separate to the email providing PB Statements. </w:t>
            </w:r>
          </w:p>
          <w:p w14:paraId="51E0277C" w14:textId="294B7FA7" w:rsidR="004967CA" w:rsidRPr="000917BA" w:rsidRDefault="004967CA" w:rsidP="00CB6E45">
            <w:pPr>
              <w:pStyle w:val="TableText-Normal"/>
            </w:pPr>
            <w:r w:rsidRPr="000917BA">
              <w:t xml:space="preserve">The URL, where </w:t>
            </w:r>
            <w:r w:rsidR="005718C0" w:rsidRPr="000917BA">
              <w:t>PAES</w:t>
            </w:r>
            <w:r w:rsidRPr="000917BA">
              <w:t xml:space="preserve"> will be posted, provided to the Treasury at </w:t>
            </w:r>
            <w:hyperlink r:id="rId30" w:history="1">
              <w:r w:rsidRPr="000917BA">
                <w:rPr>
                  <w:rStyle w:val="Hyperlink"/>
                  <w:rFonts w:cs="Calibri"/>
                  <w:szCs w:val="22"/>
                </w:rPr>
                <w:t>budgetpublishing@treasury.gov.au</w:t>
              </w:r>
            </w:hyperlink>
            <w:r w:rsidRPr="000917BA">
              <w:t xml:space="preserve">. </w:t>
            </w:r>
          </w:p>
        </w:tc>
      </w:tr>
      <w:tr w:rsidR="004967CA" w:rsidRPr="00016BDE" w14:paraId="50B1FD04" w14:textId="77777777">
        <w:tc>
          <w:tcPr>
            <w:tcW w:w="2967" w:type="dxa"/>
            <w:shd w:val="clear" w:color="auto" w:fill="FFFFFF" w:themeFill="background1"/>
            <w:vAlign w:val="center"/>
          </w:tcPr>
          <w:p w14:paraId="7E053327" w14:textId="37BC48CF" w:rsidR="004967CA" w:rsidRPr="000917BA" w:rsidRDefault="004967CA" w:rsidP="00CB6E45">
            <w:pPr>
              <w:pStyle w:val="TableText-Normal"/>
            </w:pPr>
            <w:r w:rsidRPr="000917BA">
              <w:t xml:space="preserve">Tuesday, 9 </w:t>
            </w:r>
            <w:r w:rsidR="009762B4" w:rsidRPr="000917BA">
              <w:t>May 2023</w:t>
            </w:r>
            <w:r w:rsidRPr="000917BA">
              <w:t>, following tabling</w:t>
            </w:r>
          </w:p>
        </w:tc>
        <w:tc>
          <w:tcPr>
            <w:tcW w:w="6379" w:type="dxa"/>
            <w:shd w:val="clear" w:color="auto" w:fill="FFFFFF" w:themeFill="background1"/>
          </w:tcPr>
          <w:p w14:paraId="288851E3" w14:textId="769C78C1" w:rsidR="004967CA" w:rsidRPr="000917BA" w:rsidRDefault="004967CA" w:rsidP="00CB6E45">
            <w:pPr>
              <w:pStyle w:val="TableText-Normal"/>
            </w:pPr>
            <w:r w:rsidRPr="000917BA">
              <w:t xml:space="preserve">Portfolio </w:t>
            </w:r>
            <w:r w:rsidR="00F54FBA" w:rsidRPr="000917BA">
              <w:t>D</w:t>
            </w:r>
            <w:r w:rsidRPr="000917BA">
              <w:t>epartment</w:t>
            </w:r>
            <w:r w:rsidR="00F54FBA" w:rsidRPr="000917BA">
              <w:t>s</w:t>
            </w:r>
            <w:r w:rsidRPr="000917BA">
              <w:t xml:space="preserve"> are to publish their </w:t>
            </w:r>
            <w:r w:rsidR="005718C0" w:rsidRPr="000917BA">
              <w:t>PAES</w:t>
            </w:r>
            <w:r w:rsidRPr="000917BA">
              <w:t xml:space="preserve"> on their website.</w:t>
            </w:r>
          </w:p>
          <w:p w14:paraId="10BA288A" w14:textId="5DA04243" w:rsidR="004967CA" w:rsidRPr="00016BDE" w:rsidRDefault="004967CA" w:rsidP="00CB6E45">
            <w:pPr>
              <w:pStyle w:val="TableText-Normal"/>
            </w:pPr>
            <w:r w:rsidRPr="000917BA">
              <w:t xml:space="preserve">Portfolios to deliver </w:t>
            </w:r>
            <w:r w:rsidR="005718C0" w:rsidRPr="000917BA">
              <w:t>PAES</w:t>
            </w:r>
            <w:r w:rsidRPr="000917BA">
              <w:t xml:space="preserve"> to remaining recipients</w:t>
            </w:r>
            <w:r w:rsidR="00446510" w:rsidRPr="000917BA">
              <w:t>.</w:t>
            </w:r>
          </w:p>
        </w:tc>
      </w:tr>
    </w:tbl>
    <w:p w14:paraId="574455D9" w14:textId="77777777" w:rsidR="004967CA" w:rsidRPr="00016BDE" w:rsidRDefault="004967CA" w:rsidP="00CB6E45"/>
    <w:p w14:paraId="739E460A" w14:textId="5F809B13" w:rsidR="004967CA" w:rsidRPr="00016BDE" w:rsidRDefault="004967CA" w:rsidP="00CB6E45">
      <w:r w:rsidRPr="00016BDE">
        <w:br w:type="page"/>
      </w:r>
    </w:p>
    <w:p w14:paraId="63CA12AC" w14:textId="77777777" w:rsidR="00C13E36" w:rsidRPr="00016BDE" w:rsidRDefault="00C13E36" w:rsidP="00CB6E45"/>
    <w:p w14:paraId="19F1D02B" w14:textId="681ADEA0" w:rsidR="00380599" w:rsidRPr="00016BDE" w:rsidRDefault="004967CA" w:rsidP="00A32841">
      <w:pPr>
        <w:pStyle w:val="Heading1Numbered"/>
      </w:pPr>
      <w:r w:rsidRPr="00016BDE">
        <w:t>Number of books</w:t>
      </w:r>
    </w:p>
    <w:p w14:paraId="6CCBAFB3" w14:textId="77777777" w:rsidR="00380599" w:rsidRPr="00016BDE" w:rsidRDefault="00380599" w:rsidP="00CB6E45"/>
    <w:tbl>
      <w:tblPr>
        <w:tblW w:w="10343"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225"/>
        <w:gridCol w:w="3118"/>
      </w:tblGrid>
      <w:tr w:rsidR="004967CA" w:rsidRPr="00016BDE" w14:paraId="1DCD7E3C" w14:textId="77777777" w:rsidTr="00A32841">
        <w:tc>
          <w:tcPr>
            <w:tcW w:w="10343" w:type="dxa"/>
            <w:gridSpan w:val="2"/>
            <w:shd w:val="clear" w:color="auto" w:fill="DDF3FA"/>
          </w:tcPr>
          <w:p w14:paraId="5D205B10" w14:textId="5D0EFF07" w:rsidR="004967CA" w:rsidRPr="003D7C30" w:rsidRDefault="004967CA" w:rsidP="00CB6E45">
            <w:pPr>
              <w:pStyle w:val="TableText-Normal"/>
              <w:rPr>
                <w:b/>
                <w:bCs/>
              </w:rPr>
            </w:pPr>
            <w:r w:rsidRPr="00A32841">
              <w:rPr>
                <w:b/>
                <w:bCs/>
              </w:rPr>
              <w:t xml:space="preserve">For delivery by 4:30 </w:t>
            </w:r>
            <w:r w:rsidRPr="003D7C30">
              <w:rPr>
                <w:b/>
                <w:bCs/>
              </w:rPr>
              <w:t xml:space="preserve">pm </w:t>
            </w:r>
            <w:r w:rsidRPr="000917BA">
              <w:rPr>
                <w:b/>
                <w:bCs/>
              </w:rPr>
              <w:t xml:space="preserve">Monday </w:t>
            </w:r>
            <w:r w:rsidR="00927FB7" w:rsidRPr="000917BA">
              <w:rPr>
                <w:b/>
                <w:bCs/>
              </w:rPr>
              <w:t>9 May 202</w:t>
            </w:r>
            <w:r w:rsidR="00927FB7" w:rsidRPr="003D7C30">
              <w:rPr>
                <w:b/>
                <w:bCs/>
              </w:rPr>
              <w:t>3</w:t>
            </w:r>
            <w:r w:rsidR="00CF14AA" w:rsidRPr="003D7C30">
              <w:rPr>
                <w:b/>
                <w:bCs/>
              </w:rPr>
              <w:t xml:space="preserve"> </w:t>
            </w:r>
            <w:r w:rsidRPr="003D7C30">
              <w:rPr>
                <w:b/>
                <w:bCs/>
              </w:rPr>
              <w:t xml:space="preserve">(minimum </w:t>
            </w:r>
            <w:r w:rsidR="00B03471" w:rsidRPr="003D7C30">
              <w:rPr>
                <w:b/>
                <w:bCs/>
              </w:rPr>
              <w:t xml:space="preserve">120 </w:t>
            </w:r>
            <w:r w:rsidRPr="003D7C30">
              <w:rPr>
                <w:b/>
                <w:bCs/>
              </w:rPr>
              <w:t>copies)</w:t>
            </w:r>
          </w:p>
          <w:p w14:paraId="3D526A86" w14:textId="3AC8EBFD" w:rsidR="004967CA" w:rsidRPr="00016BDE" w:rsidRDefault="004967CA" w:rsidP="00CB6E45">
            <w:pPr>
              <w:pStyle w:val="TableText-Normal"/>
            </w:pPr>
            <w:r w:rsidRPr="003D7C30">
              <w:rPr>
                <w:b/>
                <w:bCs/>
              </w:rPr>
              <w:t>Treasury will provide separate advice</w:t>
            </w:r>
            <w:r w:rsidRPr="003D7C30">
              <w:t xml:space="preserve"> to </w:t>
            </w:r>
            <w:r w:rsidR="00787017" w:rsidRPr="003D7C30">
              <w:t>P</w:t>
            </w:r>
            <w:r w:rsidRPr="003D7C30">
              <w:t xml:space="preserve">ortfolio </w:t>
            </w:r>
            <w:r w:rsidR="00787017" w:rsidRPr="003D7C30">
              <w:t>D</w:t>
            </w:r>
            <w:r w:rsidRPr="003D7C30">
              <w:t>epartments concerning the delivery arrangements (including the number of books required) for the Treasury</w:t>
            </w:r>
            <w:r w:rsidRPr="003D7C30">
              <w:rPr>
                <w:b/>
                <w:bCs/>
              </w:rPr>
              <w:t xml:space="preserve"> media</w:t>
            </w:r>
            <w:r w:rsidRPr="003D7C30">
              <w:t xml:space="preserve"> and </w:t>
            </w:r>
            <w:r w:rsidRPr="003D7C30">
              <w:rPr>
                <w:b/>
                <w:bCs/>
              </w:rPr>
              <w:t>stakeholder</w:t>
            </w:r>
            <w:r w:rsidRPr="003D7C30">
              <w:t xml:space="preserve"> lockups as soon as the </w:t>
            </w:r>
            <w:r w:rsidRPr="000917BA">
              <w:t>202</w:t>
            </w:r>
            <w:r w:rsidR="00787017" w:rsidRPr="000917BA">
              <w:t>3</w:t>
            </w:r>
            <w:r w:rsidRPr="000917BA">
              <w:t>-2</w:t>
            </w:r>
            <w:r w:rsidR="00787017" w:rsidRPr="003D7C30">
              <w:t>4</w:t>
            </w:r>
            <w:r w:rsidRPr="003D7C30">
              <w:t xml:space="preserve"> Budget arrangements are finalised.</w:t>
            </w:r>
          </w:p>
        </w:tc>
      </w:tr>
      <w:tr w:rsidR="004967CA" w:rsidRPr="00016BDE" w14:paraId="56A6D6D6" w14:textId="77777777" w:rsidTr="00A32841">
        <w:tc>
          <w:tcPr>
            <w:tcW w:w="7225" w:type="dxa"/>
          </w:tcPr>
          <w:p w14:paraId="6F707852" w14:textId="77777777" w:rsidR="004967CA" w:rsidRPr="00016BDE" w:rsidRDefault="004967CA" w:rsidP="000917BA">
            <w:pPr>
              <w:pStyle w:val="TableText-Normal"/>
              <w:ind w:left="720"/>
            </w:pPr>
            <w:r w:rsidRPr="00016BDE">
              <w:t>Parliament House:</w:t>
            </w:r>
          </w:p>
          <w:p w14:paraId="48C4C84A" w14:textId="77777777" w:rsidR="004967CA" w:rsidRPr="00016BDE" w:rsidRDefault="004967CA" w:rsidP="000917BA">
            <w:pPr>
              <w:pStyle w:val="TableText-Normal"/>
              <w:ind w:left="720"/>
            </w:pPr>
            <w:r w:rsidRPr="00016BDE">
              <w:t>Documents Officer – Senate Table Office, Room SG 25</w:t>
            </w:r>
            <w:r w:rsidRPr="00016BDE">
              <w:br/>
              <w:t>Department of the Senate</w:t>
            </w:r>
            <w:r w:rsidRPr="00016BDE">
              <w:br/>
              <w:t>Parliament House</w:t>
            </w:r>
            <w:r w:rsidRPr="00016BDE">
              <w:br/>
              <w:t>CANBERRA ACT 2600</w:t>
            </w:r>
            <w:r w:rsidRPr="00016BDE">
              <w:br/>
            </w:r>
            <w:proofErr w:type="spellStart"/>
            <w:r w:rsidRPr="00016BDE">
              <w:t>ph</w:t>
            </w:r>
            <w:proofErr w:type="spellEnd"/>
            <w:r w:rsidRPr="00016BDE">
              <w:t>: (02) 6277 3037</w:t>
            </w:r>
          </w:p>
          <w:p w14:paraId="2F31F3E2" w14:textId="77777777" w:rsidR="0056634D" w:rsidRPr="00016BDE" w:rsidRDefault="0056634D" w:rsidP="00CB6E45">
            <w:pPr>
              <w:pStyle w:val="TableText-Normal"/>
            </w:pPr>
          </w:p>
          <w:p w14:paraId="4044AB4E" w14:textId="4EF52FA7" w:rsidR="004967CA" w:rsidRPr="00016BDE" w:rsidRDefault="004967CA" w:rsidP="00CB6E45">
            <w:pPr>
              <w:pStyle w:val="TableText-Normal"/>
            </w:pPr>
            <w:r w:rsidRPr="00016BDE">
              <w:t xml:space="preserve">The books </w:t>
            </w:r>
            <w:r w:rsidRPr="00016BDE">
              <w:rPr>
                <w:u w:val="single"/>
              </w:rPr>
              <w:t>must</w:t>
            </w:r>
            <w:r w:rsidRPr="00016BDE">
              <w:t xml:space="preserve"> be separately boxed as follows:</w:t>
            </w:r>
          </w:p>
          <w:p w14:paraId="256CA2CF" w14:textId="77777777" w:rsidR="004967CA" w:rsidRPr="008D0C65" w:rsidRDefault="004967CA" w:rsidP="00A32841">
            <w:pPr>
              <w:pStyle w:val="BulletforNumberofBooks"/>
            </w:pPr>
            <w:r w:rsidRPr="008D0C65">
              <w:t>50 copies – Senate</w:t>
            </w:r>
          </w:p>
          <w:p w14:paraId="53AEA003" w14:textId="77777777" w:rsidR="004967CA" w:rsidRPr="008D0C65" w:rsidRDefault="004967CA" w:rsidP="00A32841">
            <w:pPr>
              <w:pStyle w:val="BulletforNumberofBooks"/>
            </w:pPr>
            <w:r w:rsidRPr="008D0C65">
              <w:t>15 copies – House of Representatives</w:t>
            </w:r>
          </w:p>
          <w:p w14:paraId="6D3D717F" w14:textId="49122BBE" w:rsidR="004967CA" w:rsidRPr="006E1BFA" w:rsidRDefault="004967CA" w:rsidP="00A32841">
            <w:pPr>
              <w:pStyle w:val="BulletforNumberofBooks"/>
            </w:pPr>
            <w:r w:rsidRPr="008D0C65">
              <w:t>25 copies – Parliamentary Library</w:t>
            </w:r>
          </w:p>
          <w:p w14:paraId="6938103E" w14:textId="77777777" w:rsidR="004967CA" w:rsidRPr="00016BDE" w:rsidRDefault="004967CA" w:rsidP="00CB6E45">
            <w:pPr>
              <w:pStyle w:val="TableText-Normal"/>
            </w:pPr>
            <w:r w:rsidRPr="00016BDE">
              <w:t>Note:</w:t>
            </w:r>
          </w:p>
          <w:p w14:paraId="26D40526" w14:textId="76FB3880" w:rsidR="004967CA" w:rsidRPr="00016BDE" w:rsidRDefault="004967CA" w:rsidP="00A32841">
            <w:pPr>
              <w:pStyle w:val="BulletforNumberofBooks"/>
            </w:pPr>
            <w:r w:rsidRPr="00016BDE">
              <w:t xml:space="preserve">Books for Parliament House are to be delivered to a single location – the </w:t>
            </w:r>
            <w:r w:rsidRPr="00A32841">
              <w:t>Senate Table Office</w:t>
            </w:r>
            <w:r w:rsidRPr="00016BDE">
              <w:t>,</w:t>
            </w:r>
            <w:r w:rsidRPr="00A32841">
              <w:t xml:space="preserve"> </w:t>
            </w:r>
            <w:r w:rsidRPr="00016BDE">
              <w:t xml:space="preserve">which will arrange for the books to be distributed to recipients. Please do not leave the books at the loading </w:t>
            </w:r>
            <w:r w:rsidR="004B7C8C">
              <w:t>d</w:t>
            </w:r>
            <w:r w:rsidRPr="00016BDE">
              <w:t>ock until they are picked up by the Senate Tabl</w:t>
            </w:r>
            <w:r w:rsidR="004B7C8C">
              <w:t>e</w:t>
            </w:r>
            <w:r w:rsidRPr="00016BDE">
              <w:t xml:space="preserve"> Office.</w:t>
            </w:r>
          </w:p>
          <w:p w14:paraId="2ED6487D" w14:textId="231A7D88" w:rsidR="004967CA" w:rsidRPr="00016BDE" w:rsidRDefault="004967CA" w:rsidP="00A32841">
            <w:pPr>
              <w:pStyle w:val="BulletforNumberofBooks"/>
            </w:pPr>
            <w:proofErr w:type="spellStart"/>
            <w:r w:rsidRPr="00016BDE">
              <w:t>CanPrint</w:t>
            </w:r>
            <w:proofErr w:type="spellEnd"/>
            <w:r w:rsidRPr="00016BDE">
              <w:t xml:space="preserve"> will deliver these copies to Parliament House on the </w:t>
            </w:r>
            <w:r w:rsidR="00B75BFF">
              <w:t>P</w:t>
            </w:r>
            <w:r w:rsidR="00B75BFF" w:rsidRPr="00016BDE">
              <w:t>ortfolios</w:t>
            </w:r>
            <w:r w:rsidR="00B75BFF">
              <w:t>’</w:t>
            </w:r>
            <w:r w:rsidR="00B75BFF" w:rsidRPr="00016BDE">
              <w:t xml:space="preserve"> </w:t>
            </w:r>
            <w:r w:rsidRPr="00016BDE">
              <w:t>behalf.</w:t>
            </w:r>
          </w:p>
        </w:tc>
        <w:tc>
          <w:tcPr>
            <w:tcW w:w="3118" w:type="dxa"/>
          </w:tcPr>
          <w:p w14:paraId="6DA7BA66" w14:textId="4A4E7F88" w:rsidR="004967CA" w:rsidRPr="00016BDE" w:rsidRDefault="004967CA" w:rsidP="00CB6E45">
            <w:pPr>
              <w:pStyle w:val="TableText-Normal"/>
            </w:pPr>
            <w:r w:rsidRPr="00016BDE">
              <w:t>90 copies</w:t>
            </w:r>
            <w:r w:rsidRPr="00016BDE">
              <w:br/>
            </w:r>
            <w:r w:rsidRPr="00016BDE">
              <w:br/>
              <w:t>Plus</w:t>
            </w:r>
            <w:r w:rsidRPr="00016BDE">
              <w:br/>
            </w:r>
            <w:r w:rsidRPr="00016BDE">
              <w:br/>
              <w:t xml:space="preserve">Books required for both the </w:t>
            </w:r>
            <w:r w:rsidRPr="00016BDE">
              <w:rPr>
                <w:i/>
                <w:iCs/>
              </w:rPr>
              <w:t>Treasury media lockup</w:t>
            </w:r>
            <w:r w:rsidRPr="00016BDE">
              <w:t xml:space="preserve"> and </w:t>
            </w:r>
            <w:r w:rsidRPr="00016BDE">
              <w:rPr>
                <w:i/>
                <w:iCs/>
              </w:rPr>
              <w:t xml:space="preserve">Treasury stakeholder </w:t>
            </w:r>
            <w:r w:rsidRPr="00016BDE">
              <w:t>lockup as advised by the Treasury</w:t>
            </w:r>
          </w:p>
        </w:tc>
      </w:tr>
      <w:tr w:rsidR="004967CA" w:rsidRPr="00016BDE" w14:paraId="0F7699C0" w14:textId="77777777" w:rsidTr="00A32841">
        <w:tc>
          <w:tcPr>
            <w:tcW w:w="7225" w:type="dxa"/>
          </w:tcPr>
          <w:p w14:paraId="598CAC47" w14:textId="77777777" w:rsidR="004967CA" w:rsidRPr="00016BDE" w:rsidRDefault="004967CA" w:rsidP="00CB6E45">
            <w:pPr>
              <w:pStyle w:val="TableText-Normal"/>
            </w:pPr>
            <w:r w:rsidRPr="00016BDE">
              <w:t>Department of Finance:</w:t>
            </w:r>
          </w:p>
          <w:p w14:paraId="04BA0626" w14:textId="77777777" w:rsidR="004967CA" w:rsidRPr="00016BDE" w:rsidRDefault="004967CA" w:rsidP="00CB6E45">
            <w:pPr>
              <w:pStyle w:val="TableText-Normal"/>
            </w:pPr>
            <w:r w:rsidRPr="00016BDE">
              <w:t>Accounting Framework and Capability Support Team</w:t>
            </w:r>
            <w:r w:rsidRPr="00016BDE">
              <w:tab/>
            </w:r>
          </w:p>
          <w:p w14:paraId="6F8A97EC" w14:textId="20B547C5" w:rsidR="004967CA" w:rsidRPr="00016BDE" w:rsidRDefault="004967CA" w:rsidP="00CB6E45">
            <w:pPr>
              <w:pStyle w:val="TableText-Normal"/>
            </w:pPr>
            <w:r w:rsidRPr="00016BDE">
              <w:t xml:space="preserve">c/o </w:t>
            </w:r>
            <w:r w:rsidR="00B8722D">
              <w:t>Alex Berry</w:t>
            </w:r>
          </w:p>
          <w:p w14:paraId="32F33AD0" w14:textId="77777777" w:rsidR="004967CA" w:rsidRPr="00016BDE" w:rsidRDefault="004967CA" w:rsidP="00CB6E45">
            <w:pPr>
              <w:pStyle w:val="TableText-Normal"/>
            </w:pPr>
            <w:r w:rsidRPr="00016BDE">
              <w:t>Financial Analysis, Reporting and Management</w:t>
            </w:r>
          </w:p>
          <w:p w14:paraId="3823FDA1" w14:textId="77777777" w:rsidR="004967CA" w:rsidRPr="00016BDE" w:rsidRDefault="004967CA" w:rsidP="00CB6E45">
            <w:pPr>
              <w:pStyle w:val="TableText-Normal"/>
            </w:pPr>
            <w:r w:rsidRPr="00016BDE">
              <w:t>Department of Finance</w:t>
            </w:r>
          </w:p>
          <w:p w14:paraId="57C5C894" w14:textId="77777777" w:rsidR="004967CA" w:rsidRPr="00016BDE" w:rsidRDefault="004967CA" w:rsidP="00CB6E45">
            <w:pPr>
              <w:pStyle w:val="TableText-Normal"/>
            </w:pPr>
            <w:r w:rsidRPr="00016BDE">
              <w:t>One Canberra Avenue</w:t>
            </w:r>
          </w:p>
          <w:p w14:paraId="59ACAD5B" w14:textId="77777777" w:rsidR="004967CA" w:rsidRPr="00016BDE" w:rsidRDefault="004967CA" w:rsidP="00CB6E45">
            <w:pPr>
              <w:pStyle w:val="TableText-Normal"/>
            </w:pPr>
            <w:r w:rsidRPr="00016BDE">
              <w:t>FORREST ACT 2600</w:t>
            </w:r>
          </w:p>
          <w:p w14:paraId="4549CA7F" w14:textId="77777777" w:rsidR="003D7C30" w:rsidRDefault="003D7C30" w:rsidP="00CB6E45">
            <w:pPr>
              <w:pStyle w:val="TableText-Normal"/>
            </w:pPr>
          </w:p>
          <w:p w14:paraId="508362DC" w14:textId="76B628D7" w:rsidR="004967CA" w:rsidRPr="00016BDE" w:rsidRDefault="004967CA" w:rsidP="00CB6E45">
            <w:pPr>
              <w:pStyle w:val="TableText-Normal"/>
            </w:pPr>
            <w:r w:rsidRPr="00016BDE">
              <w:t>Note:</w:t>
            </w:r>
          </w:p>
          <w:p w14:paraId="5B7473DA" w14:textId="701056E9" w:rsidR="004967CA" w:rsidRPr="00016BDE" w:rsidRDefault="004967CA" w:rsidP="00A32841">
            <w:pPr>
              <w:pStyle w:val="BulletforNumberofBooks"/>
            </w:pPr>
            <w:proofErr w:type="spellStart"/>
            <w:r w:rsidRPr="00016BDE">
              <w:t>CanPrint</w:t>
            </w:r>
            <w:proofErr w:type="spellEnd"/>
            <w:r w:rsidRPr="00016BDE">
              <w:t xml:space="preserve"> will deliver copies to Finance on the </w:t>
            </w:r>
            <w:r w:rsidR="00B75BFF">
              <w:t>P</w:t>
            </w:r>
            <w:r w:rsidR="00B75BFF" w:rsidRPr="00016BDE">
              <w:t xml:space="preserve">ortfolios’ </w:t>
            </w:r>
            <w:r w:rsidRPr="00016BDE">
              <w:t>behalf.</w:t>
            </w:r>
          </w:p>
          <w:p w14:paraId="1D8D5B8C" w14:textId="4E218479" w:rsidR="004967CA" w:rsidRPr="00016BDE" w:rsidRDefault="004967CA" w:rsidP="00A32841">
            <w:pPr>
              <w:pStyle w:val="BulletforNumberofBooks"/>
            </w:pPr>
            <w:r w:rsidRPr="00016BDE">
              <w:t>This allocation includes the copy for the Finance Secretary as required under the Requirement for Performance Information included in PB Statements (Finance Secretary Direction under section 36(3) of the</w:t>
            </w:r>
            <w:r w:rsidRPr="00A32841">
              <w:rPr>
                <w:i/>
                <w:iCs/>
              </w:rPr>
              <w:t xml:space="preserve"> </w:t>
            </w:r>
            <w:r w:rsidR="00B75BFF">
              <w:t>PGPA Act).</w:t>
            </w:r>
          </w:p>
          <w:p w14:paraId="52FDCC2C" w14:textId="77777777" w:rsidR="004967CA" w:rsidRPr="00016BDE" w:rsidRDefault="004967CA" w:rsidP="00A32841">
            <w:pPr>
              <w:pStyle w:val="BulletforNumberofBooks"/>
            </w:pPr>
            <w:r w:rsidRPr="00016BDE">
              <w:t>Out of the 29 copies, a number of copies are allocated to your AAU.</w:t>
            </w:r>
          </w:p>
        </w:tc>
        <w:tc>
          <w:tcPr>
            <w:tcW w:w="3118" w:type="dxa"/>
          </w:tcPr>
          <w:p w14:paraId="6D8E844E" w14:textId="76E3F6E9" w:rsidR="004967CA" w:rsidRPr="00016BDE" w:rsidRDefault="00B03471" w:rsidP="00CB6E45">
            <w:pPr>
              <w:pStyle w:val="TableText-Normal"/>
            </w:pPr>
            <w:r w:rsidRPr="00A32841">
              <w:t>30</w:t>
            </w:r>
            <w:r w:rsidRPr="00016BDE">
              <w:t xml:space="preserve"> </w:t>
            </w:r>
            <w:r w:rsidR="004967CA" w:rsidRPr="00016BDE">
              <w:t>copies</w:t>
            </w:r>
          </w:p>
        </w:tc>
      </w:tr>
      <w:tr w:rsidR="004967CA" w:rsidRPr="00016BDE" w14:paraId="0B775482" w14:textId="77777777" w:rsidTr="00A32841">
        <w:tc>
          <w:tcPr>
            <w:tcW w:w="7225" w:type="dxa"/>
          </w:tcPr>
          <w:p w14:paraId="53F52680" w14:textId="22844A7F" w:rsidR="004967CA" w:rsidRPr="00016BDE" w:rsidRDefault="004967CA" w:rsidP="00CB6E45">
            <w:pPr>
              <w:pStyle w:val="TableText-Normal"/>
            </w:pPr>
            <w:r w:rsidRPr="00016BDE">
              <w:t>Your Portfolio Minister and advis</w:t>
            </w:r>
            <w:r w:rsidR="009B0D25">
              <w:t>e</w:t>
            </w:r>
            <w:r w:rsidRPr="00016BDE">
              <w:t>rs (following the Minister’s sign-off on the final document)</w:t>
            </w:r>
          </w:p>
        </w:tc>
        <w:tc>
          <w:tcPr>
            <w:tcW w:w="3118" w:type="dxa"/>
            <w:vMerge w:val="restart"/>
          </w:tcPr>
          <w:p w14:paraId="7D218EFC" w14:textId="67A12C35" w:rsidR="004967CA" w:rsidRPr="00016BDE" w:rsidRDefault="004967CA" w:rsidP="00327CB9">
            <w:pPr>
              <w:pStyle w:val="TableText-Normal"/>
            </w:pPr>
            <w:r w:rsidRPr="00016BDE">
              <w:t>Portfolios are responsible for confirming required numbers and the delivery of the books with their Minister’s office.</w:t>
            </w:r>
          </w:p>
        </w:tc>
      </w:tr>
      <w:tr w:rsidR="004967CA" w:rsidRPr="00016BDE" w14:paraId="4E48780C" w14:textId="77777777" w:rsidTr="000917BA">
        <w:trPr>
          <w:trHeight w:val="685"/>
        </w:trPr>
        <w:tc>
          <w:tcPr>
            <w:tcW w:w="7225" w:type="dxa"/>
          </w:tcPr>
          <w:p w14:paraId="7BF1B58C" w14:textId="473E2E55" w:rsidR="00B75BFF" w:rsidRPr="00016BDE" w:rsidRDefault="004967CA" w:rsidP="00CB6E45">
            <w:pPr>
              <w:pStyle w:val="TableText-Normal"/>
            </w:pPr>
            <w:r w:rsidRPr="00016BDE">
              <w:t xml:space="preserve">The Minister representing the </w:t>
            </w:r>
            <w:r w:rsidR="00B75BFF">
              <w:t>P</w:t>
            </w:r>
            <w:r w:rsidR="00B75BFF" w:rsidRPr="00016BDE">
              <w:t xml:space="preserve">ortfolio </w:t>
            </w:r>
            <w:r w:rsidRPr="00016BDE">
              <w:t>in the other Chamber</w:t>
            </w:r>
          </w:p>
        </w:tc>
        <w:tc>
          <w:tcPr>
            <w:tcW w:w="3118" w:type="dxa"/>
            <w:vMerge/>
          </w:tcPr>
          <w:p w14:paraId="02CEB027" w14:textId="77777777" w:rsidR="004967CA" w:rsidRPr="00016BDE" w:rsidRDefault="004967CA" w:rsidP="00CB6E45">
            <w:pPr>
              <w:pStyle w:val="TableText-Normal"/>
            </w:pPr>
          </w:p>
        </w:tc>
      </w:tr>
    </w:tbl>
    <w:p w14:paraId="49038AFF" w14:textId="77777777" w:rsidR="005D6632" w:rsidRDefault="005D6632">
      <w:r>
        <w:br w:type="page"/>
      </w:r>
    </w:p>
    <w:tbl>
      <w:tblPr>
        <w:tblW w:w="10343"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500"/>
        <w:gridCol w:w="1843"/>
      </w:tblGrid>
      <w:tr w:rsidR="004967CA" w:rsidRPr="00016BDE" w14:paraId="1BEDAEAE" w14:textId="77777777" w:rsidTr="00A32841">
        <w:tc>
          <w:tcPr>
            <w:tcW w:w="10343" w:type="dxa"/>
            <w:gridSpan w:val="2"/>
            <w:shd w:val="clear" w:color="auto" w:fill="DDF3FA"/>
          </w:tcPr>
          <w:p w14:paraId="4D3240D3" w14:textId="696341CF" w:rsidR="004967CA" w:rsidRPr="000917BA" w:rsidRDefault="004967CA" w:rsidP="000917BA">
            <w:pPr>
              <w:pStyle w:val="TableText-Normal"/>
              <w:ind w:left="0"/>
              <w:rPr>
                <w:b/>
                <w:bCs/>
              </w:rPr>
            </w:pPr>
            <w:r w:rsidRPr="000917BA">
              <w:rPr>
                <w:b/>
                <w:bCs/>
              </w:rPr>
              <w:br w:type="page"/>
            </w:r>
            <w:r w:rsidRPr="000917BA">
              <w:rPr>
                <w:b/>
                <w:bCs/>
              </w:rPr>
              <w:br w:type="page"/>
            </w:r>
            <w:r w:rsidRPr="000917BA">
              <w:rPr>
                <w:b/>
                <w:bCs/>
              </w:rPr>
              <w:br w:type="page"/>
            </w:r>
            <w:r w:rsidRPr="000917BA">
              <w:rPr>
                <w:b/>
                <w:bCs/>
              </w:rPr>
              <w:br w:type="page"/>
              <w:t xml:space="preserve">For delivery </w:t>
            </w:r>
            <w:r w:rsidRPr="000917BA">
              <w:rPr>
                <w:b/>
                <w:bCs/>
                <w:u w:val="single"/>
              </w:rPr>
              <w:t>after</w:t>
            </w:r>
            <w:r w:rsidRPr="000917BA">
              <w:rPr>
                <w:b/>
                <w:bCs/>
              </w:rPr>
              <w:t xml:space="preserve"> tabling/Budget night (1</w:t>
            </w:r>
            <w:r w:rsidR="005D6632">
              <w:rPr>
                <w:b/>
                <w:bCs/>
              </w:rPr>
              <w:t>6</w:t>
            </w:r>
            <w:r w:rsidRPr="000917BA">
              <w:rPr>
                <w:b/>
                <w:bCs/>
              </w:rPr>
              <w:t xml:space="preserve"> + based on number of committees your </w:t>
            </w:r>
            <w:r w:rsidR="00B75BFF" w:rsidRPr="000917BA">
              <w:rPr>
                <w:b/>
                <w:bCs/>
              </w:rPr>
              <w:t xml:space="preserve">Portfolio </w:t>
            </w:r>
            <w:r w:rsidRPr="000917BA">
              <w:rPr>
                <w:b/>
                <w:bCs/>
              </w:rPr>
              <w:t>reports to)</w:t>
            </w:r>
          </w:p>
        </w:tc>
      </w:tr>
      <w:tr w:rsidR="004967CA" w:rsidRPr="00016BDE" w14:paraId="4D146A4D" w14:textId="77777777" w:rsidTr="00A32841">
        <w:tc>
          <w:tcPr>
            <w:tcW w:w="10343" w:type="dxa"/>
            <w:gridSpan w:val="2"/>
          </w:tcPr>
          <w:p w14:paraId="0D1DF66B" w14:textId="77777777" w:rsidR="00194AE7" w:rsidRPr="00016BDE" w:rsidRDefault="00194AE7" w:rsidP="00CB6E45">
            <w:pPr>
              <w:pStyle w:val="TableText-Normal"/>
            </w:pPr>
            <w:r w:rsidRPr="00016BDE">
              <w:t>Parliamentary Committees</w:t>
            </w:r>
          </w:p>
          <w:p w14:paraId="5183188C" w14:textId="0CFCE8CE" w:rsidR="00194AE7" w:rsidRPr="00016BDE" w:rsidRDefault="005D6632" w:rsidP="00CB6E45">
            <w:pPr>
              <w:pStyle w:val="TableText-Normal"/>
            </w:pPr>
            <w:r>
              <w:t xml:space="preserve">The </w:t>
            </w:r>
            <w:r w:rsidR="00194AE7" w:rsidRPr="00016BDE">
              <w:t>P</w:t>
            </w:r>
            <w:r w:rsidR="006E0C94">
              <w:t>AES</w:t>
            </w:r>
            <w:r w:rsidR="00194AE7" w:rsidRPr="00016BDE">
              <w:t xml:space="preserve"> Statements only need to be sent to </w:t>
            </w:r>
            <w:r w:rsidR="00194AE7" w:rsidRPr="000917BA">
              <w:rPr>
                <w:b/>
                <w:bCs/>
              </w:rPr>
              <w:t>your</w:t>
            </w:r>
            <w:r w:rsidR="00194AE7" w:rsidRPr="00016BDE">
              <w:t xml:space="preserve"> </w:t>
            </w:r>
            <w:r w:rsidR="00B75BFF">
              <w:t>P</w:t>
            </w:r>
            <w:r w:rsidR="00194AE7" w:rsidRPr="00016BDE">
              <w:t>ortfolio’s relevant parliamentary committee(s)</w:t>
            </w:r>
            <w:r>
              <w:t>.  Please</w:t>
            </w:r>
            <w:r w:rsidR="00194AE7" w:rsidRPr="00016BDE">
              <w:t xml:space="preserve"> </w:t>
            </w:r>
            <w:r>
              <w:t xml:space="preserve">address and </w:t>
            </w:r>
            <w:r w:rsidR="00194AE7" w:rsidRPr="00016BDE">
              <w:t xml:space="preserve">mail to </w:t>
            </w:r>
            <w:r>
              <w:t>your</w:t>
            </w:r>
            <w:r w:rsidRPr="00016BDE">
              <w:t xml:space="preserve"> </w:t>
            </w:r>
            <w:r>
              <w:t>relevant</w:t>
            </w:r>
            <w:r w:rsidRPr="00016BDE">
              <w:t xml:space="preserve"> </w:t>
            </w:r>
            <w:r w:rsidR="00194AE7" w:rsidRPr="00016BDE">
              <w:t xml:space="preserve">Committee </w:t>
            </w:r>
            <w:r w:rsidRPr="000917BA">
              <w:rPr>
                <w:b/>
                <w:bCs/>
              </w:rPr>
              <w:t>after</w:t>
            </w:r>
            <w:r>
              <w:t xml:space="preserve"> </w:t>
            </w:r>
            <w:r w:rsidR="00194AE7" w:rsidRPr="00016BDE">
              <w:t>tabling</w:t>
            </w:r>
            <w:r>
              <w:t xml:space="preserve"> has occurred</w:t>
            </w:r>
            <w:r w:rsidR="00194AE7" w:rsidRPr="00016BDE">
              <w:t>:</w:t>
            </w:r>
          </w:p>
          <w:p w14:paraId="61C13B7F" w14:textId="4863C84C" w:rsidR="004967CA" w:rsidRPr="00016BDE" w:rsidRDefault="00194AE7" w:rsidP="00CB6E45">
            <w:pPr>
              <w:pStyle w:val="TableText-Normal"/>
            </w:pPr>
            <w:r w:rsidRPr="00016BDE">
              <w:tab/>
              <w:t>[Name of Committee]</w:t>
            </w:r>
            <w:r w:rsidRPr="00016BDE">
              <w:br/>
            </w:r>
            <w:r w:rsidRPr="00016BDE">
              <w:tab/>
              <w:t>PO Box 6100</w:t>
            </w:r>
            <w:r w:rsidRPr="00016BDE">
              <w:br/>
            </w:r>
            <w:r w:rsidRPr="00016BDE">
              <w:tab/>
              <w:t>Parliament House</w:t>
            </w:r>
            <w:r w:rsidRPr="00016BDE">
              <w:br/>
            </w:r>
            <w:r w:rsidRPr="00016BDE">
              <w:tab/>
              <w:t>Canberra ACT 2600</w:t>
            </w:r>
            <w:r w:rsidRPr="00016BDE">
              <w:br/>
            </w:r>
            <w:r w:rsidRPr="00016BDE">
              <w:tab/>
              <w:t>Australia</w:t>
            </w:r>
          </w:p>
        </w:tc>
      </w:tr>
      <w:tr w:rsidR="00F54B50" w:rsidRPr="00016BDE" w14:paraId="071B5B86" w14:textId="77777777" w:rsidTr="00A32841">
        <w:tc>
          <w:tcPr>
            <w:tcW w:w="8500" w:type="dxa"/>
          </w:tcPr>
          <w:p w14:paraId="71F3B7F1" w14:textId="77777777" w:rsidR="00F54B50" w:rsidRPr="00016BDE" w:rsidRDefault="00F54B50" w:rsidP="00CB6E45">
            <w:pPr>
              <w:pStyle w:val="TableText-Normal"/>
            </w:pPr>
            <w:r w:rsidRPr="00016BDE">
              <w:t>Community Affairs</w:t>
            </w:r>
            <w:r w:rsidRPr="00016BDE">
              <w:softHyphen/>
              <w:t xml:space="preserve"> (Health and Aged Care, and Social Services)</w:t>
            </w:r>
          </w:p>
          <w:p w14:paraId="2DE4948F"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3515</w:t>
            </w:r>
          </w:p>
          <w:p w14:paraId="400E8235" w14:textId="4B5E2615" w:rsidR="00F54B50" w:rsidRPr="00016BDE" w:rsidRDefault="00F54B50" w:rsidP="00CB6E45">
            <w:pPr>
              <w:pStyle w:val="TableText-NormalIndented"/>
              <w:rPr>
                <w:rStyle w:val="Hyperlink"/>
                <w:rFonts w:cs="Calibri"/>
                <w:szCs w:val="22"/>
              </w:rPr>
            </w:pPr>
            <w:r w:rsidRPr="00016BDE">
              <w:rPr>
                <w:rFonts w:cs="Calibri"/>
              </w:rPr>
              <w:t xml:space="preserve">email:  </w:t>
            </w:r>
            <w:hyperlink r:id="rId31">
              <w:r w:rsidRPr="00016BDE">
                <w:rPr>
                  <w:rStyle w:val="Hyperlink"/>
                </w:rPr>
                <w:t>community.affairs.sen@aph.gov.au</w:t>
              </w:r>
            </w:hyperlink>
          </w:p>
        </w:tc>
        <w:tc>
          <w:tcPr>
            <w:tcW w:w="1843" w:type="dxa"/>
          </w:tcPr>
          <w:p w14:paraId="07A60506" w14:textId="75E7D735" w:rsidR="00F54B50" w:rsidRPr="00016BDE" w:rsidRDefault="00F54B50" w:rsidP="00CB6E45">
            <w:pPr>
              <w:pStyle w:val="TableText-Normal"/>
            </w:pPr>
            <w:r w:rsidRPr="00016BDE">
              <w:t>5 copies</w:t>
            </w:r>
          </w:p>
        </w:tc>
      </w:tr>
      <w:tr w:rsidR="00F54B50" w:rsidRPr="00016BDE" w14:paraId="23B60978" w14:textId="77777777" w:rsidTr="00A32841">
        <w:tc>
          <w:tcPr>
            <w:tcW w:w="8500" w:type="dxa"/>
          </w:tcPr>
          <w:p w14:paraId="6D159FCB" w14:textId="77777777" w:rsidR="00F54B50" w:rsidRPr="00016BDE" w:rsidRDefault="00F54B50" w:rsidP="00CB6E45">
            <w:pPr>
              <w:pStyle w:val="TableText-Normal"/>
            </w:pPr>
            <w:r w:rsidRPr="00016BDE">
              <w:t>Economics</w:t>
            </w:r>
            <w:r w:rsidRPr="00016BDE">
              <w:softHyphen/>
              <w:t xml:space="preserve"> (Industry, Science and Resources, and Treasury)</w:t>
            </w:r>
          </w:p>
          <w:p w14:paraId="71A01C4A"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3540</w:t>
            </w:r>
          </w:p>
          <w:p w14:paraId="7FE1C4DD" w14:textId="2051E041" w:rsidR="00F54B50" w:rsidRPr="00016BDE" w:rsidRDefault="00F54B50" w:rsidP="00CB6E45">
            <w:pPr>
              <w:pStyle w:val="TableText-NormalIndented"/>
              <w:rPr>
                <w:rStyle w:val="Hyperlink"/>
                <w:rFonts w:cs="Calibri"/>
                <w:szCs w:val="22"/>
              </w:rPr>
            </w:pPr>
            <w:r w:rsidRPr="00016BDE">
              <w:rPr>
                <w:rFonts w:cs="Calibri"/>
              </w:rPr>
              <w:t xml:space="preserve">email: </w:t>
            </w:r>
            <w:hyperlink r:id="rId32">
              <w:r w:rsidRPr="00016BDE">
                <w:rPr>
                  <w:rStyle w:val="Hyperlink"/>
                </w:rPr>
                <w:t>economics.sen@aph.gov.au</w:t>
              </w:r>
            </w:hyperlink>
          </w:p>
        </w:tc>
        <w:tc>
          <w:tcPr>
            <w:tcW w:w="1843" w:type="dxa"/>
          </w:tcPr>
          <w:p w14:paraId="134A47ED" w14:textId="0014EE9D" w:rsidR="00F54B50" w:rsidRPr="00016BDE" w:rsidRDefault="00F54B50" w:rsidP="00CB6E45">
            <w:pPr>
              <w:pStyle w:val="TableText-Normal"/>
            </w:pPr>
            <w:r w:rsidRPr="00016BDE">
              <w:t>3 copies</w:t>
            </w:r>
          </w:p>
        </w:tc>
      </w:tr>
      <w:tr w:rsidR="00F54B50" w:rsidRPr="00016BDE" w14:paraId="48A2F3A8" w14:textId="77777777" w:rsidTr="00A32841">
        <w:tc>
          <w:tcPr>
            <w:tcW w:w="8500" w:type="dxa"/>
          </w:tcPr>
          <w:p w14:paraId="01D399CA" w14:textId="77777777" w:rsidR="00F54B50" w:rsidRPr="00016BDE" w:rsidRDefault="00F54B50" w:rsidP="00CB6E45">
            <w:pPr>
              <w:pStyle w:val="TableText-Normal"/>
            </w:pPr>
            <w:r w:rsidRPr="00016BDE">
              <w:t>Education and Employment</w:t>
            </w:r>
            <w:r w:rsidRPr="00016BDE">
              <w:softHyphen/>
              <w:t xml:space="preserve"> (Education, and Employment and Workplace Relations)</w:t>
            </w:r>
          </w:p>
          <w:p w14:paraId="2DBF9B46"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3521</w:t>
            </w:r>
          </w:p>
          <w:p w14:paraId="2B9E273C" w14:textId="52E1E540" w:rsidR="00F54B50" w:rsidRPr="00016BDE" w:rsidRDefault="00F54B50" w:rsidP="00CB6E45">
            <w:pPr>
              <w:pStyle w:val="TableText-NormalIndented"/>
              <w:rPr>
                <w:rStyle w:val="Hyperlink"/>
                <w:rFonts w:cs="Calibri"/>
                <w:szCs w:val="22"/>
              </w:rPr>
            </w:pPr>
            <w:r w:rsidRPr="00016BDE">
              <w:t xml:space="preserve">email:  </w:t>
            </w:r>
            <w:hyperlink r:id="rId33">
              <w:r w:rsidRPr="00016BDE">
                <w:rPr>
                  <w:rStyle w:val="Hyperlink"/>
                </w:rPr>
                <w:t>eec.sen@aph.gov.au</w:t>
              </w:r>
            </w:hyperlink>
          </w:p>
        </w:tc>
        <w:tc>
          <w:tcPr>
            <w:tcW w:w="1843" w:type="dxa"/>
          </w:tcPr>
          <w:p w14:paraId="6D53F320" w14:textId="3F24AE28" w:rsidR="00F54B50" w:rsidRPr="00016BDE" w:rsidRDefault="00F54B50" w:rsidP="00CB6E45">
            <w:pPr>
              <w:pStyle w:val="TableText-Normal"/>
            </w:pPr>
            <w:r w:rsidRPr="00016BDE">
              <w:t>6 copies</w:t>
            </w:r>
          </w:p>
        </w:tc>
      </w:tr>
      <w:tr w:rsidR="00F54B50" w:rsidRPr="00016BDE" w14:paraId="6C785079" w14:textId="77777777" w:rsidTr="00A32841">
        <w:tc>
          <w:tcPr>
            <w:tcW w:w="8500" w:type="dxa"/>
          </w:tcPr>
          <w:p w14:paraId="3816C713" w14:textId="77777777" w:rsidR="00F54B50" w:rsidRPr="00016BDE" w:rsidRDefault="00F54B50" w:rsidP="00CB6E45">
            <w:pPr>
              <w:pStyle w:val="TableText-Normal"/>
            </w:pPr>
            <w:r w:rsidRPr="00016BDE">
              <w:t>Environment and Communications</w:t>
            </w:r>
            <w:r w:rsidRPr="00016BDE">
              <w:softHyphen/>
              <w:t xml:space="preserve"> (Climate Change, Energy, the Environment and Water, and Infrastructure, Transport, Regional Development, Communications and the Arts (Communications and the Arts functions only))</w:t>
            </w:r>
          </w:p>
          <w:p w14:paraId="5CDFFBA4"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3526</w:t>
            </w:r>
          </w:p>
          <w:p w14:paraId="4087A6AF" w14:textId="6207F1D7" w:rsidR="00F54B50" w:rsidRPr="00016BDE" w:rsidRDefault="00F54B50" w:rsidP="00CB6E45">
            <w:pPr>
              <w:pStyle w:val="TableText-NormalIndented"/>
              <w:rPr>
                <w:rStyle w:val="Hyperlink"/>
                <w:rFonts w:cs="Calibri"/>
                <w:szCs w:val="22"/>
              </w:rPr>
            </w:pPr>
            <w:r w:rsidRPr="00016BDE">
              <w:t xml:space="preserve">email: </w:t>
            </w:r>
            <w:hyperlink r:id="rId34">
              <w:r w:rsidRPr="00016BDE">
                <w:rPr>
                  <w:rStyle w:val="Hyperlink"/>
                </w:rPr>
                <w:t>ec.sen@aph.gov.au</w:t>
              </w:r>
            </w:hyperlink>
          </w:p>
        </w:tc>
        <w:tc>
          <w:tcPr>
            <w:tcW w:w="1843" w:type="dxa"/>
          </w:tcPr>
          <w:p w14:paraId="2F124F48" w14:textId="65D5A533" w:rsidR="00F54B50" w:rsidRPr="00016BDE" w:rsidRDefault="00F54B50" w:rsidP="00CB6E45">
            <w:pPr>
              <w:pStyle w:val="TableText-Normal"/>
            </w:pPr>
            <w:r w:rsidRPr="00016BDE">
              <w:t>5 copies</w:t>
            </w:r>
          </w:p>
        </w:tc>
      </w:tr>
      <w:tr w:rsidR="00F54B50" w:rsidRPr="00016BDE" w14:paraId="0E9126AC" w14:textId="77777777" w:rsidTr="00A32841">
        <w:tc>
          <w:tcPr>
            <w:tcW w:w="8500" w:type="dxa"/>
          </w:tcPr>
          <w:p w14:paraId="4E7AD995" w14:textId="502F80D3" w:rsidR="00F54B50" w:rsidRPr="00016BDE" w:rsidRDefault="00F54B50" w:rsidP="00CB6E45">
            <w:pPr>
              <w:pStyle w:val="TableText-Normal"/>
              <w:rPr>
                <w:rFonts w:cs="Calibri"/>
              </w:rPr>
            </w:pPr>
            <w:r w:rsidRPr="00016BDE">
              <w:rPr>
                <w:rFonts w:cs="Calibri"/>
              </w:rPr>
              <w:t>Finance and Public Administration</w:t>
            </w:r>
            <w:r w:rsidRPr="00016BDE">
              <w:rPr>
                <w:rFonts w:cs="Calibri"/>
              </w:rPr>
              <w:softHyphen/>
              <w:t xml:space="preserve"> (</w:t>
            </w:r>
            <w:r w:rsidRPr="00016BDE">
              <w:t xml:space="preserve">Finance, Parliamentary </w:t>
            </w:r>
            <w:r w:rsidR="008E1B2D">
              <w:t>D</w:t>
            </w:r>
            <w:r w:rsidRPr="00016BDE">
              <w:t xml:space="preserve">epartments, and </w:t>
            </w:r>
            <w:r w:rsidR="008E1B2D">
              <w:t xml:space="preserve">the </w:t>
            </w:r>
            <w:r w:rsidRPr="00016BDE">
              <w:t>Prime Minister and Cabinet)</w:t>
            </w:r>
          </w:p>
          <w:p w14:paraId="59FA1387"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3846</w:t>
            </w:r>
          </w:p>
          <w:p w14:paraId="41DE21AD" w14:textId="1F76B534" w:rsidR="00F54B50" w:rsidRPr="00016BDE" w:rsidRDefault="00F54B50" w:rsidP="00CB6E45">
            <w:pPr>
              <w:pStyle w:val="TableText-NormalIndented"/>
              <w:rPr>
                <w:rStyle w:val="Hyperlink"/>
                <w:rFonts w:cs="Calibri"/>
                <w:szCs w:val="22"/>
              </w:rPr>
            </w:pPr>
            <w:r w:rsidRPr="00016BDE">
              <w:t xml:space="preserve">email: </w:t>
            </w:r>
            <w:hyperlink r:id="rId35">
              <w:r w:rsidRPr="00016BDE">
                <w:rPr>
                  <w:rStyle w:val="Hyperlink"/>
                </w:rPr>
                <w:t>fpa.sen@aph.gov.au</w:t>
              </w:r>
            </w:hyperlink>
          </w:p>
        </w:tc>
        <w:tc>
          <w:tcPr>
            <w:tcW w:w="1843" w:type="dxa"/>
          </w:tcPr>
          <w:p w14:paraId="01BEC4D1" w14:textId="28124570" w:rsidR="00F54B50" w:rsidRPr="00016BDE" w:rsidRDefault="00F54B50" w:rsidP="00CB6E45">
            <w:pPr>
              <w:pStyle w:val="TableText-Normal"/>
            </w:pPr>
            <w:r w:rsidRPr="00016BDE">
              <w:t>8 copies</w:t>
            </w:r>
          </w:p>
        </w:tc>
      </w:tr>
      <w:tr w:rsidR="00F54B50" w:rsidRPr="00016BDE" w14:paraId="40C106B7" w14:textId="77777777" w:rsidTr="00A32841">
        <w:tc>
          <w:tcPr>
            <w:tcW w:w="8500" w:type="dxa"/>
          </w:tcPr>
          <w:p w14:paraId="13064E3A" w14:textId="77777777" w:rsidR="00F54B50" w:rsidRPr="00016BDE" w:rsidRDefault="00F54B50" w:rsidP="00CB6E45">
            <w:pPr>
              <w:pStyle w:val="TableText-Normal"/>
            </w:pPr>
            <w:r w:rsidRPr="00016BDE">
              <w:t>Foreign Affairs, Defence and Trade</w:t>
            </w:r>
            <w:r w:rsidRPr="00016BDE">
              <w:softHyphen/>
              <w:t xml:space="preserve"> (Defence (including Veterans' Affairs), Foreign Affairs and Trade)</w:t>
            </w:r>
          </w:p>
          <w:p w14:paraId="73F3C8EE"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3535</w:t>
            </w:r>
          </w:p>
          <w:p w14:paraId="23515816" w14:textId="41F318E3" w:rsidR="00F54B50" w:rsidRPr="00016BDE" w:rsidRDefault="00F54B50" w:rsidP="00CB6E45">
            <w:pPr>
              <w:pStyle w:val="TableText-NormalIndented"/>
              <w:rPr>
                <w:rStyle w:val="Hyperlink"/>
                <w:rFonts w:cs="Calibri"/>
                <w:szCs w:val="22"/>
              </w:rPr>
            </w:pPr>
            <w:r w:rsidRPr="00016BDE">
              <w:t xml:space="preserve">email: </w:t>
            </w:r>
            <w:hyperlink r:id="rId36">
              <w:r w:rsidRPr="00016BDE">
                <w:rPr>
                  <w:rStyle w:val="Hyperlink"/>
                </w:rPr>
                <w:t>fadt.sen@aph.gov.au</w:t>
              </w:r>
            </w:hyperlink>
          </w:p>
        </w:tc>
        <w:tc>
          <w:tcPr>
            <w:tcW w:w="1843" w:type="dxa"/>
          </w:tcPr>
          <w:p w14:paraId="02ACF85F" w14:textId="260EA42B" w:rsidR="00F54B50" w:rsidRPr="00016BDE" w:rsidRDefault="00F54B50" w:rsidP="00CB6E45">
            <w:pPr>
              <w:pStyle w:val="TableText-Normal"/>
            </w:pPr>
            <w:r w:rsidRPr="00016BDE">
              <w:t>6 copies</w:t>
            </w:r>
          </w:p>
        </w:tc>
      </w:tr>
      <w:tr w:rsidR="00F54B50" w:rsidRPr="00016BDE" w14:paraId="2C054E69" w14:textId="77777777" w:rsidTr="00A32841">
        <w:tc>
          <w:tcPr>
            <w:tcW w:w="8500" w:type="dxa"/>
          </w:tcPr>
          <w:p w14:paraId="35402F09" w14:textId="77777777" w:rsidR="00F54B50" w:rsidRPr="00016BDE" w:rsidRDefault="00F54B50" w:rsidP="00CB6E45">
            <w:pPr>
              <w:pStyle w:val="TableText-Normal"/>
            </w:pPr>
            <w:r w:rsidRPr="00016BDE">
              <w:t>Legal and Constitutional Affairs</w:t>
            </w:r>
            <w:r w:rsidRPr="00016BDE">
              <w:softHyphen/>
              <w:t xml:space="preserve"> (Attorney-General’s and Home Affairs)</w:t>
            </w:r>
          </w:p>
          <w:p w14:paraId="7A5939AB"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3560</w:t>
            </w:r>
          </w:p>
          <w:p w14:paraId="445FAA61" w14:textId="6DE3F26F" w:rsidR="00F54B50" w:rsidRPr="00016BDE" w:rsidRDefault="00F54B50" w:rsidP="00CB6E45">
            <w:pPr>
              <w:pStyle w:val="TableText-NormalIndented"/>
              <w:rPr>
                <w:rStyle w:val="Hyperlink"/>
                <w:rFonts w:cs="Calibri"/>
                <w:szCs w:val="22"/>
              </w:rPr>
            </w:pPr>
            <w:r w:rsidRPr="00016BDE">
              <w:t xml:space="preserve">email: </w:t>
            </w:r>
            <w:hyperlink r:id="rId37" w:history="1">
              <w:r w:rsidRPr="00016BDE">
                <w:rPr>
                  <w:rStyle w:val="Hyperlink"/>
                </w:rPr>
                <w:t>legcon.sen@aph.gov.au</w:t>
              </w:r>
            </w:hyperlink>
          </w:p>
        </w:tc>
        <w:tc>
          <w:tcPr>
            <w:tcW w:w="1843" w:type="dxa"/>
          </w:tcPr>
          <w:p w14:paraId="25183065" w14:textId="5CD88A94" w:rsidR="00F54B50" w:rsidRPr="00016BDE" w:rsidRDefault="00F54B50" w:rsidP="00CB6E45">
            <w:pPr>
              <w:pStyle w:val="TableText-Normal"/>
            </w:pPr>
            <w:r w:rsidRPr="00016BDE">
              <w:t>3 copies</w:t>
            </w:r>
          </w:p>
        </w:tc>
      </w:tr>
      <w:tr w:rsidR="00F54B50" w:rsidRPr="00016BDE" w14:paraId="6BDA6F64" w14:textId="77777777" w:rsidTr="00A32841">
        <w:tc>
          <w:tcPr>
            <w:tcW w:w="8500" w:type="dxa"/>
          </w:tcPr>
          <w:p w14:paraId="5D33EE39" w14:textId="77777777" w:rsidR="00F54B50" w:rsidRPr="00016BDE" w:rsidRDefault="00F54B50" w:rsidP="00CB6E45">
            <w:pPr>
              <w:pStyle w:val="TableText-Normal"/>
            </w:pPr>
            <w:r w:rsidRPr="00016BDE">
              <w:t>Rural and Regional Affairs and Transport</w:t>
            </w:r>
            <w:r w:rsidRPr="00016BDE">
              <w:softHyphen/>
              <w:t xml:space="preserve"> (Agriculture, Fisheries and Forestry, and Infrastructure, Transport, Regional Development, Communications and the Arts (Infrastructure, Transport and Regional Development functions only))</w:t>
            </w:r>
          </w:p>
          <w:p w14:paraId="2C46D7A0" w14:textId="77777777" w:rsidR="00F54B50" w:rsidRPr="00016BDE" w:rsidRDefault="00F54B50" w:rsidP="00CB6E45">
            <w:pPr>
              <w:pStyle w:val="TableText-NormalIndented"/>
            </w:pPr>
            <w:r w:rsidRPr="00016BDE">
              <w:t>Estimates Officer</w:t>
            </w:r>
            <w:r w:rsidRPr="00016BDE">
              <w:tab/>
            </w:r>
            <w:proofErr w:type="spellStart"/>
            <w:r w:rsidRPr="00016BDE">
              <w:t>ph</w:t>
            </w:r>
            <w:proofErr w:type="spellEnd"/>
            <w:r w:rsidRPr="00016BDE">
              <w:t>: (02) 6277 3511</w:t>
            </w:r>
          </w:p>
          <w:p w14:paraId="5E1CE39B" w14:textId="090E8DA3" w:rsidR="00F54B50" w:rsidRPr="00016BDE" w:rsidRDefault="00F54B50" w:rsidP="00CB6E45">
            <w:pPr>
              <w:pStyle w:val="TableText-NormalIndented"/>
            </w:pPr>
            <w:r w:rsidRPr="00016BDE">
              <w:t xml:space="preserve">email: </w:t>
            </w:r>
            <w:hyperlink r:id="rId38" w:history="1">
              <w:r w:rsidRPr="00016BDE">
                <w:rPr>
                  <w:rStyle w:val="Hyperlink"/>
                </w:rPr>
                <w:t>rrat.sen@aph.gov.au</w:t>
              </w:r>
            </w:hyperlink>
          </w:p>
        </w:tc>
        <w:tc>
          <w:tcPr>
            <w:tcW w:w="1843" w:type="dxa"/>
          </w:tcPr>
          <w:p w14:paraId="1554A8BF" w14:textId="0E5C6382" w:rsidR="00F54B50" w:rsidRPr="00016BDE" w:rsidRDefault="00F54B50" w:rsidP="00CB6E45">
            <w:pPr>
              <w:pStyle w:val="TableText-Normal"/>
            </w:pPr>
            <w:r w:rsidRPr="00016BDE">
              <w:t>3 copies</w:t>
            </w:r>
          </w:p>
        </w:tc>
      </w:tr>
      <w:tr w:rsidR="00F54B50" w:rsidRPr="00016BDE" w14:paraId="6DE5FBF7" w14:textId="77777777" w:rsidTr="00A32841">
        <w:tc>
          <w:tcPr>
            <w:tcW w:w="8500" w:type="dxa"/>
          </w:tcPr>
          <w:p w14:paraId="17BD59F1" w14:textId="77777777" w:rsidR="00F54B50" w:rsidRPr="00016BDE" w:rsidRDefault="00F54B50" w:rsidP="00CB6E45">
            <w:pPr>
              <w:pStyle w:val="TableText-Normal"/>
            </w:pPr>
            <w:r w:rsidRPr="00016BDE">
              <w:t>Commonwealth Library Deposit and Free Issue Schemes (LDS)</w:t>
            </w:r>
          </w:p>
          <w:p w14:paraId="76257009" w14:textId="1FAEFD67" w:rsidR="00E26C25" w:rsidRPr="00016BDE" w:rsidRDefault="00F54B50" w:rsidP="00CB6E45">
            <w:pPr>
              <w:pStyle w:val="TableText-Normal"/>
              <w:rPr>
                <w:rFonts w:cs="Calibri"/>
              </w:rPr>
            </w:pPr>
            <w:r w:rsidRPr="00016BDE">
              <w:rPr>
                <w:rFonts w:cs="Calibri"/>
              </w:rPr>
              <w:t xml:space="preserve">email: </w:t>
            </w:r>
            <w:hyperlink r:id="rId39">
              <w:r w:rsidRPr="00016BDE">
                <w:rPr>
                  <w:rStyle w:val="Hyperlink"/>
                  <w:szCs w:val="20"/>
                </w:rPr>
                <w:t>info@dta.gov.au</w:t>
              </w:r>
            </w:hyperlink>
            <w:r w:rsidR="00E26C25" w:rsidRPr="00016BDE">
              <w:rPr>
                <w:rStyle w:val="Hyperlink"/>
                <w:szCs w:val="20"/>
                <w:u w:val="none"/>
              </w:rPr>
              <w:tab/>
            </w:r>
            <w:proofErr w:type="spellStart"/>
            <w:r w:rsidR="00E26C25" w:rsidRPr="00016BDE">
              <w:rPr>
                <w:rFonts w:cs="Calibri"/>
              </w:rPr>
              <w:t>ph</w:t>
            </w:r>
            <w:proofErr w:type="spellEnd"/>
            <w:r w:rsidR="00E26C25" w:rsidRPr="00016BDE">
              <w:rPr>
                <w:rFonts w:cs="Calibri"/>
              </w:rPr>
              <w:t>: 02 6120 8707</w:t>
            </w:r>
          </w:p>
          <w:p w14:paraId="5C9B636F" w14:textId="4105A350" w:rsidR="00F54B50" w:rsidRPr="00016BDE" w:rsidRDefault="00F54B50" w:rsidP="00CB6E45">
            <w:pPr>
              <w:pStyle w:val="TableText-Normal"/>
              <w:rPr>
                <w:rFonts w:cs="Calibri"/>
                <w:szCs w:val="22"/>
              </w:rPr>
            </w:pPr>
            <w:r w:rsidRPr="00016BDE">
              <w:rPr>
                <w:rFonts w:cs="Calibri"/>
              </w:rPr>
              <w:t xml:space="preserve">Website: </w:t>
            </w:r>
            <w:hyperlink r:id="rId40">
              <w:r w:rsidRPr="00016BDE">
                <w:rPr>
                  <w:rStyle w:val="Hyperlink"/>
                  <w:szCs w:val="20"/>
                </w:rPr>
                <w:t>www.dta.gov.au/help-and-advice/guides-and-tools/commonwealth-library-deposit-and-free-issue-schemes</w:t>
              </w:r>
            </w:hyperlink>
          </w:p>
        </w:tc>
        <w:tc>
          <w:tcPr>
            <w:tcW w:w="1843" w:type="dxa"/>
          </w:tcPr>
          <w:p w14:paraId="1182C887" w14:textId="77777777" w:rsidR="00F54B50" w:rsidRPr="00016BDE" w:rsidRDefault="00F54B50" w:rsidP="00CB6E45">
            <w:pPr>
              <w:pStyle w:val="TableText-Normal"/>
            </w:pPr>
            <w:r w:rsidRPr="00016BDE">
              <w:t>16 copies</w:t>
            </w:r>
          </w:p>
          <w:p w14:paraId="226DEB3B" w14:textId="4C85107C" w:rsidR="00F54B50" w:rsidRPr="00016BDE" w:rsidRDefault="00F54B50" w:rsidP="00CB6E45">
            <w:pPr>
              <w:pStyle w:val="TableText-Normal"/>
            </w:pPr>
            <w:r w:rsidRPr="00016BDE">
              <w:t>(Please check Library Deposit website prior to printing)</w:t>
            </w:r>
          </w:p>
        </w:tc>
      </w:tr>
    </w:tbl>
    <w:p w14:paraId="2B002227" w14:textId="77777777" w:rsidR="00681881" w:rsidRPr="00016BDE" w:rsidRDefault="00681881" w:rsidP="00CB6E45"/>
    <w:sectPr w:rsidR="00681881" w:rsidRPr="00016BDE" w:rsidSect="00D917EF">
      <w:headerReference w:type="default" r:id="rId41"/>
      <w:footerReference w:type="default" r:id="rId42"/>
      <w:headerReference w:type="first" r:id="rId43"/>
      <w:footerReference w:type="first" r:id="rId44"/>
      <w:pgSz w:w="11906" w:h="16838" w:code="9"/>
      <w:pgMar w:top="1418" w:right="991" w:bottom="1418" w:left="993" w:header="567"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0B49" w14:textId="77777777" w:rsidR="00A514BA" w:rsidRDefault="00A514BA" w:rsidP="00CB6E45">
      <w:r>
        <w:separator/>
      </w:r>
    </w:p>
  </w:endnote>
  <w:endnote w:type="continuationSeparator" w:id="0">
    <w:p w14:paraId="6910A65B" w14:textId="77777777" w:rsidR="00A514BA" w:rsidRDefault="00A514BA" w:rsidP="00CB6E45">
      <w:r>
        <w:continuationSeparator/>
      </w:r>
    </w:p>
  </w:endnote>
  <w:endnote w:type="continuationNotice" w:id="1">
    <w:p w14:paraId="085D429F" w14:textId="77777777" w:rsidR="00A514BA" w:rsidRDefault="00A514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8"/>
      </w:rPr>
      <w:id w:val="275452561"/>
      <w:docPartObj>
        <w:docPartGallery w:val="Page Numbers (Bottom of Page)"/>
        <w:docPartUnique/>
      </w:docPartObj>
    </w:sdtPr>
    <w:sdtEndPr>
      <w:rPr>
        <w:noProof/>
      </w:rPr>
    </w:sdtEndPr>
    <w:sdtContent>
      <w:p w14:paraId="4280CCCA" w14:textId="77777777" w:rsidR="005F6C75" w:rsidRPr="004F3C77" w:rsidRDefault="005F6C75" w:rsidP="005F6C75">
        <w:pPr>
          <w:pStyle w:val="Footer"/>
          <w:jc w:val="right"/>
          <w:rPr>
            <w:sz w:val="20"/>
            <w:szCs w:val="28"/>
          </w:rPr>
        </w:pPr>
        <w:r w:rsidRPr="004F3C77">
          <w:rPr>
            <w:sz w:val="20"/>
            <w:szCs w:val="28"/>
          </w:rPr>
          <w:t xml:space="preserve"> | </w:t>
        </w:r>
        <w:r w:rsidRPr="004F3C77">
          <w:rPr>
            <w:sz w:val="20"/>
            <w:szCs w:val="28"/>
          </w:rPr>
          <w:fldChar w:fldCharType="begin"/>
        </w:r>
        <w:r w:rsidRPr="004F3C77">
          <w:rPr>
            <w:sz w:val="20"/>
            <w:szCs w:val="28"/>
          </w:rPr>
          <w:instrText xml:space="preserve"> PAGE   \* MERGEFORMAT </w:instrText>
        </w:r>
        <w:r w:rsidRPr="004F3C77">
          <w:rPr>
            <w:sz w:val="20"/>
            <w:szCs w:val="28"/>
          </w:rPr>
          <w:fldChar w:fldCharType="separate"/>
        </w:r>
        <w:r>
          <w:rPr>
            <w:sz w:val="20"/>
            <w:szCs w:val="28"/>
          </w:rPr>
          <w:t>1</w:t>
        </w:r>
        <w:r w:rsidRPr="004F3C77">
          <w:rPr>
            <w:noProof/>
            <w:sz w:val="20"/>
            <w:szCs w:val="28"/>
          </w:rPr>
          <w:fldChar w:fldCharType="end"/>
        </w:r>
      </w:p>
    </w:sdtContent>
  </w:sdt>
  <w:p w14:paraId="76E823A0" w14:textId="77777777" w:rsidR="005F6C75" w:rsidRDefault="005F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8"/>
      </w:rPr>
      <w:id w:val="-1406138130"/>
      <w:docPartObj>
        <w:docPartGallery w:val="Page Numbers (Bottom of Page)"/>
        <w:docPartUnique/>
      </w:docPartObj>
    </w:sdtPr>
    <w:sdtEndPr>
      <w:rPr>
        <w:noProof/>
      </w:rPr>
    </w:sdtEndPr>
    <w:sdtContent>
      <w:p w14:paraId="12D11C6C" w14:textId="228D564F" w:rsidR="005F6C75" w:rsidRPr="00A32841" w:rsidRDefault="005F6C75" w:rsidP="00A32841">
        <w:pPr>
          <w:pStyle w:val="Footer"/>
          <w:jc w:val="right"/>
          <w:rPr>
            <w:sz w:val="20"/>
            <w:szCs w:val="28"/>
          </w:rPr>
        </w:pPr>
        <w:r w:rsidRPr="00A32841">
          <w:rPr>
            <w:sz w:val="20"/>
            <w:szCs w:val="28"/>
          </w:rPr>
          <w:t xml:space="preserve"> | </w:t>
        </w:r>
        <w:r w:rsidRPr="00A32841">
          <w:rPr>
            <w:sz w:val="20"/>
            <w:szCs w:val="28"/>
          </w:rPr>
          <w:fldChar w:fldCharType="begin"/>
        </w:r>
        <w:r w:rsidRPr="00A32841">
          <w:rPr>
            <w:sz w:val="20"/>
            <w:szCs w:val="28"/>
          </w:rPr>
          <w:instrText xml:space="preserve"> PAGE   \* MERGEFORMAT </w:instrText>
        </w:r>
        <w:r w:rsidRPr="00A32841">
          <w:rPr>
            <w:sz w:val="20"/>
            <w:szCs w:val="28"/>
          </w:rPr>
          <w:fldChar w:fldCharType="separate"/>
        </w:r>
        <w:r w:rsidRPr="00A32841">
          <w:rPr>
            <w:noProof/>
            <w:sz w:val="20"/>
            <w:szCs w:val="28"/>
          </w:rPr>
          <w:t>2</w:t>
        </w:r>
        <w:r w:rsidRPr="00A32841">
          <w:rPr>
            <w:noProof/>
            <w:sz w:val="20"/>
            <w:szCs w:val="28"/>
          </w:rPr>
          <w:fldChar w:fldCharType="end"/>
        </w:r>
      </w:p>
    </w:sdtContent>
  </w:sdt>
  <w:p w14:paraId="6C55EE8C" w14:textId="77777777" w:rsidR="000A6A8B" w:rsidRDefault="000A6A8B" w:rsidP="00CB6E45">
    <w:pPr>
      <w:pStyle w:val="Foo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84A0" w14:textId="77777777" w:rsidR="00A514BA" w:rsidRDefault="00A514BA" w:rsidP="00CB6E45">
      <w:pPr>
        <w:pStyle w:val="FootnoteSeparator"/>
      </w:pPr>
    </w:p>
  </w:footnote>
  <w:footnote w:type="continuationSeparator" w:id="0">
    <w:p w14:paraId="70CAD8E6" w14:textId="77777777" w:rsidR="00A514BA" w:rsidRDefault="00A514BA" w:rsidP="00CB6E45">
      <w:r>
        <w:continuationSeparator/>
      </w:r>
    </w:p>
  </w:footnote>
  <w:footnote w:type="continuationNotice" w:id="1">
    <w:p w14:paraId="7E694742" w14:textId="77777777" w:rsidR="00A514BA" w:rsidRDefault="00A514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AC13" w14:textId="5513D765" w:rsidR="000A6A8B" w:rsidRPr="00634334" w:rsidRDefault="00BE2647" w:rsidP="00A32841">
    <w:pPr>
      <w:pStyle w:val="Header"/>
      <w:jc w:val="center"/>
      <w:rPr>
        <w:rStyle w:val="Classification"/>
        <w:bCs/>
      </w:rPr>
    </w:pPr>
    <w:sdt>
      <w:sdtPr>
        <w:rPr>
          <w:rFonts w:eastAsia="Calibri"/>
          <w:b/>
          <w:bCs/>
          <w:caps/>
          <w:sz w:val="22"/>
          <w:lang w:eastAsia="en-AU" w:bidi="en-AU"/>
        </w:rPr>
        <w:id w:val="383531853"/>
        <w:comboBox>
          <w:listItem w:value="Choose an item."/>
          <w:listItem w:displayText="OFFICIAL" w:value="OFFICIAL"/>
          <w:listItem w:displayText="OFFICIAL: Sensitive" w:value="OFFICIAL: Sensitive"/>
          <w:listItem w:displayText="CABINET" w:value="CABINET"/>
          <w:listItem w:displayText="PROTECTED" w:value="PROTECTED"/>
          <w:listItem w:displayText="PROTECTED: CABINET" w:value="PROTECTED: CABINET"/>
        </w:comboBox>
      </w:sdtPr>
      <w:sdtEndPr/>
      <w:sdtContent>
        <w:r w:rsidR="00634334" w:rsidRPr="00A32841">
          <w:rPr>
            <w:rFonts w:eastAsia="Calibri"/>
            <w:bCs/>
            <w:caps/>
            <w:sz w:val="22"/>
            <w:lang w:eastAsia="en-AU" w:bidi="en-AU"/>
          </w:rPr>
          <w:t>OFFICIAL</w:t>
        </w:r>
      </w:sdtContent>
    </w:sdt>
  </w:p>
  <w:p w14:paraId="4BCF4E23" w14:textId="40D71D4D" w:rsidR="003A6877" w:rsidRPr="00A32841" w:rsidRDefault="00E52F80" w:rsidP="00A32841">
    <w:pPr>
      <w:jc w:val="right"/>
      <w:rPr>
        <w:b/>
        <w:bCs/>
      </w:rPr>
    </w:pPr>
    <w:r w:rsidRPr="002415F7">
      <w:rPr>
        <w:b/>
        <w:bCs/>
      </w:rPr>
      <w:t>EM 202</w:t>
    </w:r>
    <w:r w:rsidR="00C7397A" w:rsidRPr="002415F7">
      <w:rPr>
        <w:b/>
        <w:bCs/>
      </w:rPr>
      <w:t>3</w:t>
    </w:r>
    <w:r w:rsidR="003A6877" w:rsidRPr="002415F7">
      <w:rPr>
        <w:b/>
        <w:bCs/>
      </w:rPr>
      <w:t>/</w:t>
    </w:r>
    <w:r w:rsidR="002415F7" w:rsidRPr="002415F7">
      <w:rPr>
        <w:b/>
        <w:bCs/>
      </w:rPr>
      <w:t>06</w:t>
    </w:r>
    <w:r w:rsidR="003A6877" w:rsidRPr="002415F7">
      <w:rPr>
        <w:b/>
        <w:bCs/>
      </w:rPr>
      <w:t xml:space="preserve">- Attachment </w:t>
    </w:r>
    <w:r w:rsidR="002415F7" w:rsidRPr="002415F7">
      <w:rPr>
        <w:b/>
        <w:bCs/>
      </w:rPr>
      <w:t>A</w:t>
    </w:r>
  </w:p>
  <w:p w14:paraId="6AF56AA8" w14:textId="77777777" w:rsidR="007E5DD6" w:rsidRPr="00201F6E" w:rsidRDefault="007E5DD6" w:rsidP="00CB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9FBD" w14:textId="33C81D37" w:rsidR="000C2A48" w:rsidRDefault="005F6C75" w:rsidP="00590C05">
    <w:pPr>
      <w:pStyle w:val="Header"/>
      <w:jc w:val="center"/>
      <w:rPr>
        <w:rFonts w:eastAsia="Calibri"/>
        <w:sz w:val="22"/>
        <w:lang w:eastAsia="en-AU" w:bidi="en-AU"/>
      </w:rPr>
    </w:pPr>
    <w:r>
      <w:rPr>
        <w:rFonts w:ascii="Arial" w:hAnsi="Arial" w:cs="Arial"/>
        <w:noProof/>
        <w:sz w:val="30"/>
        <w:szCs w:val="30"/>
        <w:lang w:eastAsia="en-AU"/>
      </w:rPr>
      <w:drawing>
        <wp:anchor distT="0" distB="0" distL="114300" distR="114300" simplePos="0" relativeHeight="251658240" behindDoc="1" locked="0" layoutInCell="1" allowOverlap="1" wp14:anchorId="0E0BE422" wp14:editId="139DAA06">
          <wp:simplePos x="0" y="0"/>
          <wp:positionH relativeFrom="column">
            <wp:posOffset>-173257</wp:posOffset>
          </wp:positionH>
          <wp:positionV relativeFrom="paragraph">
            <wp:posOffset>-218538</wp:posOffset>
          </wp:positionV>
          <wp:extent cx="2462893" cy="6531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62893" cy="653143"/>
                  </a:xfrm>
                  <a:prstGeom prst="rect">
                    <a:avLst/>
                  </a:prstGeom>
                  <a:noFill/>
                  <a:ln w="9525">
                    <a:noFill/>
                    <a:miter lim="800000"/>
                    <a:headEnd/>
                    <a:tailEnd/>
                  </a:ln>
                </pic:spPr>
              </pic:pic>
            </a:graphicData>
          </a:graphic>
        </wp:anchor>
      </w:drawing>
    </w:r>
    <w:sdt>
      <w:sdtPr>
        <w:rPr>
          <w:rFonts w:eastAsia="Calibri"/>
          <w:sz w:val="22"/>
          <w:lang w:eastAsia="en-AU" w:bidi="en-AU"/>
        </w:rPr>
        <w:id w:val="-1776170219"/>
        <w:comboBox>
          <w:listItem w:value="Choose an item."/>
          <w:listItem w:displayText="OFFICIAL" w:value="OFFICIAL"/>
          <w:listItem w:displayText="OFFICIAL: Sensitive" w:value="OFFICIAL: Sensitive"/>
          <w:listItem w:displayText="CABINET" w:value="CABINET"/>
          <w:listItem w:displayText="PROTECTED" w:value="PROTECTED"/>
          <w:listItem w:displayText="PROTECTED: CABINET" w:value="PROTECTED: CABINET"/>
        </w:comboBox>
      </w:sdtPr>
      <w:sdtEndPr/>
      <w:sdtContent>
        <w:r w:rsidR="00590C05">
          <w:rPr>
            <w:rFonts w:eastAsia="Calibri"/>
            <w:sz w:val="22"/>
            <w:lang w:eastAsia="en-AU" w:bidi="en-AU"/>
          </w:rPr>
          <w:t>OFFICIAL</w:t>
        </w:r>
      </w:sdtContent>
    </w:sdt>
  </w:p>
  <w:p w14:paraId="4AF954AC" w14:textId="6A7D2900" w:rsidR="00590C05" w:rsidRDefault="005F6C75" w:rsidP="00A32841">
    <w:pPr>
      <w:pStyle w:val="Header"/>
      <w:jc w:val="center"/>
    </w:pPr>
    <w:r w:rsidRPr="002757C6">
      <w:rPr>
        <w:noProof/>
        <w:lang w:eastAsia="en-AU"/>
      </w:rPr>
      <mc:AlternateContent>
        <mc:Choice Requires="wps">
          <w:drawing>
            <wp:anchor distT="45720" distB="45720" distL="114300" distR="114300" simplePos="0" relativeHeight="251658241" behindDoc="0" locked="0" layoutInCell="1" allowOverlap="1" wp14:anchorId="428A1B52" wp14:editId="67A78A0E">
              <wp:simplePos x="0" y="0"/>
              <wp:positionH relativeFrom="margin">
                <wp:align>right</wp:align>
              </wp:positionH>
              <wp:positionV relativeFrom="paragraph">
                <wp:posOffset>9525</wp:posOffset>
              </wp:positionV>
              <wp:extent cx="2790825" cy="2667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solidFill>
                        <a:srgbClr val="FFFFFF"/>
                      </a:solidFill>
                      <a:ln w="9525">
                        <a:noFill/>
                        <a:miter lim="800000"/>
                        <a:headEnd/>
                        <a:tailEnd/>
                      </a:ln>
                    </wps:spPr>
                    <wps:txbx>
                      <w:txbxContent>
                        <w:p w14:paraId="02960B5B" w14:textId="155400E6" w:rsidR="00590C05" w:rsidRPr="002B2F6D" w:rsidRDefault="00590C05" w:rsidP="00590C05">
                          <w:pPr>
                            <w:spacing w:before="0" w:after="0" w:line="240" w:lineRule="auto"/>
                            <w:jc w:val="right"/>
                            <w:rPr>
                              <w:rFonts w:cstheme="minorHAnsi"/>
                              <w:b/>
                            </w:rPr>
                          </w:pPr>
                          <w:r w:rsidRPr="002415F7">
                            <w:rPr>
                              <w:rFonts w:cstheme="minorHAnsi"/>
                              <w:b/>
                            </w:rPr>
                            <w:t>Estimates Memorandum 2023/</w:t>
                          </w:r>
                          <w:r w:rsidR="002415F7" w:rsidRPr="002415F7">
                            <w:rPr>
                              <w:rFonts w:cstheme="minorHAnsi"/>
                              <w:b/>
                            </w:rPr>
                            <w:t>06</w:t>
                          </w:r>
                        </w:p>
                        <w:p w14:paraId="513E59BB" w14:textId="77777777" w:rsidR="00590C05" w:rsidRPr="00204216" w:rsidRDefault="00590C05" w:rsidP="00590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du="http://schemas.microsoft.com/office/word/2023/wordml/word16du">
          <w:pict w14:anchorId="08793EF4">
            <v:shapetype id="_x0000_t202" coordsize="21600,21600" o:spt="202" path="m,l,21600r21600,l21600,xe" w14:anchorId="428A1B52">
              <v:stroke joinstyle="miter"/>
              <v:path gradientshapeok="t" o:connecttype="rect"/>
            </v:shapetype>
            <v:shape id="Text Box 3" style="position:absolute;left:0;text-align:left;margin-left:168.55pt;margin-top:.75pt;width:219.75pt;height:21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">
              <v:textbox>
                <w:txbxContent>
                  <w:p w:rsidRPr="002B2F6D" w:rsidR="00590C05" w:rsidP="00590C05" w:rsidRDefault="00590C05" w14:paraId="499C5FFD" w14:textId="155400E6">
                    <w:pPr>
                      <w:spacing w:before="0" w:after="0" w:line="240" w:lineRule="auto"/>
                      <w:jc w:val="right"/>
                      <w:rPr>
                        <w:rFonts w:cstheme="minorHAnsi"/>
                        <w:b/>
                      </w:rPr>
                    </w:pPr>
                    <w:r w:rsidRPr="002415F7">
                      <w:rPr>
                        <w:rFonts w:cstheme="minorHAnsi"/>
                        <w:b/>
                      </w:rPr>
                      <w:t>Estimates Memorandum 2023/</w:t>
                    </w:r>
                    <w:r w:rsidRPr="002415F7" w:rsidR="002415F7">
                      <w:rPr>
                        <w:rFonts w:cstheme="minorHAnsi"/>
                        <w:b/>
                      </w:rPr>
                      <w:t>06</w:t>
                    </w:r>
                  </w:p>
                  <w:p w:rsidRPr="00204216" w:rsidR="00590C05" w:rsidP="00590C05" w:rsidRDefault="00590C05" w14:paraId="0A37501D" w14:textId="77777777"/>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4E8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A4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C26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525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88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A3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3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444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CA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4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53E62"/>
    <w:multiLevelType w:val="multilevel"/>
    <w:tmpl w:val="184EC0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1621FC"/>
    <w:multiLevelType w:val="multilevel"/>
    <w:tmpl w:val="DA3CC40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7016EEB"/>
    <w:multiLevelType w:val="hybridMultilevel"/>
    <w:tmpl w:val="2E6664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92162E5"/>
    <w:multiLevelType w:val="hybridMultilevel"/>
    <w:tmpl w:val="6478BC7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2F6B80"/>
    <w:multiLevelType w:val="multilevel"/>
    <w:tmpl w:val="AB240ED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0B93E44"/>
    <w:multiLevelType w:val="multilevel"/>
    <w:tmpl w:val="F340A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5367E8A"/>
    <w:multiLevelType w:val="multilevel"/>
    <w:tmpl w:val="9106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AB2796"/>
    <w:multiLevelType w:val="multilevel"/>
    <w:tmpl w:val="D5FE0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9AC0F9C"/>
    <w:multiLevelType w:val="multilevel"/>
    <w:tmpl w:val="12D839F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Calibri" w:hAnsi="Calibri" w:hint="default"/>
        <w:caps w:val="0"/>
        <w:strike w:val="0"/>
        <w:dstrike w:val="0"/>
        <w:vanish w:val="0"/>
        <w:sz w:val="20"/>
        <w:vertAlign w:val="baseli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B7E716A"/>
    <w:multiLevelType w:val="multilevel"/>
    <w:tmpl w:val="3B66274C"/>
    <w:lvl w:ilvl="0">
      <w:start w:val="1"/>
      <w:numFmt w:val="decimal"/>
      <w:lvlText w:val="%1."/>
      <w:lvlJc w:val="left"/>
      <w:pPr>
        <w:ind w:left="0" w:firstLine="0"/>
      </w:pPr>
      <w:rPr>
        <w:rFonts w:hint="default"/>
      </w:rPr>
    </w:lvl>
    <w:lvl w:ilvl="1">
      <w:start w:val="1"/>
      <w:numFmt w:val="decimal"/>
      <w:lvlRestart w:val="0"/>
      <w:lvlText w:val="%1.%2."/>
      <w:lvlJc w:val="left"/>
      <w:pPr>
        <w:ind w:left="792" w:hanging="432"/>
      </w:pPr>
      <w:rPr>
        <w:rFonts w:ascii="Calibri" w:hAnsi="Calibri" w:hint="default"/>
        <w:caps w:val="0"/>
        <w:strike w:val="0"/>
        <w:dstrike w:val="0"/>
        <w:vanish w:val="0"/>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187950"/>
    <w:multiLevelType w:val="hybridMultilevel"/>
    <w:tmpl w:val="56FC74B6"/>
    <w:lvl w:ilvl="0" w:tplc="E454F53A">
      <w:numFmt w:val="bullet"/>
      <w:pStyle w:val="TableParagraph-Bullet1"/>
      <w:lvlText w:val="□"/>
      <w:lvlJc w:val="left"/>
      <w:pPr>
        <w:ind w:left="619" w:hanging="360"/>
      </w:pPr>
      <w:rPr>
        <w:rFonts w:ascii="Times New Roman" w:eastAsia="Times New Roman" w:hAnsi="Times New Roman" w:cs="Times New Roman" w:hint="default"/>
        <w:b w:val="0"/>
        <w:bCs w:val="0"/>
        <w:i w:val="0"/>
        <w:iCs w:val="0"/>
        <w:w w:val="100"/>
        <w:sz w:val="28"/>
        <w:szCs w:val="28"/>
        <w:lang w:val="en-US" w:eastAsia="en-US" w:bidi="ar-SA"/>
      </w:rPr>
    </w:lvl>
    <w:lvl w:ilvl="1" w:tplc="0EF055EA">
      <w:numFmt w:val="bullet"/>
      <w:pStyle w:val="TableParagraph-Bullet2"/>
      <w:lvlText w:val="o"/>
      <w:lvlJc w:val="left"/>
      <w:pPr>
        <w:ind w:left="923" w:hanging="240"/>
      </w:pPr>
      <w:rPr>
        <w:rFonts w:ascii="Courier New" w:eastAsia="Courier New" w:hAnsi="Courier New" w:cs="Courier New" w:hint="default"/>
        <w:b w:val="0"/>
        <w:bCs w:val="0"/>
        <w:i w:val="0"/>
        <w:iCs w:val="0"/>
        <w:w w:val="97"/>
        <w:sz w:val="20"/>
        <w:szCs w:val="20"/>
        <w:lang w:val="en-US" w:eastAsia="en-US" w:bidi="ar-SA"/>
      </w:rPr>
    </w:lvl>
    <w:lvl w:ilvl="2" w:tplc="8FB46C64">
      <w:numFmt w:val="bullet"/>
      <w:lvlText w:val="•"/>
      <w:lvlJc w:val="left"/>
      <w:pPr>
        <w:ind w:left="1736" w:hanging="240"/>
      </w:pPr>
      <w:rPr>
        <w:rFonts w:hint="default"/>
        <w:lang w:val="en-US" w:eastAsia="en-US" w:bidi="ar-SA"/>
      </w:rPr>
    </w:lvl>
    <w:lvl w:ilvl="3" w:tplc="9740E240">
      <w:numFmt w:val="bullet"/>
      <w:lvlText w:val="•"/>
      <w:lvlJc w:val="left"/>
      <w:pPr>
        <w:ind w:left="2553" w:hanging="240"/>
      </w:pPr>
      <w:rPr>
        <w:rFonts w:hint="default"/>
        <w:lang w:val="en-US" w:eastAsia="en-US" w:bidi="ar-SA"/>
      </w:rPr>
    </w:lvl>
    <w:lvl w:ilvl="4" w:tplc="76064AFE">
      <w:numFmt w:val="bullet"/>
      <w:lvlText w:val="•"/>
      <w:lvlJc w:val="left"/>
      <w:pPr>
        <w:ind w:left="3369" w:hanging="240"/>
      </w:pPr>
      <w:rPr>
        <w:rFonts w:hint="default"/>
        <w:lang w:val="en-US" w:eastAsia="en-US" w:bidi="ar-SA"/>
      </w:rPr>
    </w:lvl>
    <w:lvl w:ilvl="5" w:tplc="3F1C65A6">
      <w:numFmt w:val="bullet"/>
      <w:lvlText w:val="•"/>
      <w:lvlJc w:val="left"/>
      <w:pPr>
        <w:ind w:left="4186" w:hanging="240"/>
      </w:pPr>
      <w:rPr>
        <w:rFonts w:hint="default"/>
        <w:lang w:val="en-US" w:eastAsia="en-US" w:bidi="ar-SA"/>
      </w:rPr>
    </w:lvl>
    <w:lvl w:ilvl="6" w:tplc="ED9E4C84">
      <w:numFmt w:val="bullet"/>
      <w:lvlText w:val="•"/>
      <w:lvlJc w:val="left"/>
      <w:pPr>
        <w:ind w:left="5002" w:hanging="240"/>
      </w:pPr>
      <w:rPr>
        <w:rFonts w:hint="default"/>
        <w:lang w:val="en-US" w:eastAsia="en-US" w:bidi="ar-SA"/>
      </w:rPr>
    </w:lvl>
    <w:lvl w:ilvl="7" w:tplc="DADA873E">
      <w:numFmt w:val="bullet"/>
      <w:lvlText w:val="•"/>
      <w:lvlJc w:val="left"/>
      <w:pPr>
        <w:ind w:left="5819" w:hanging="240"/>
      </w:pPr>
      <w:rPr>
        <w:rFonts w:hint="default"/>
        <w:lang w:val="en-US" w:eastAsia="en-US" w:bidi="ar-SA"/>
      </w:rPr>
    </w:lvl>
    <w:lvl w:ilvl="8" w:tplc="DFF67DA0">
      <w:numFmt w:val="bullet"/>
      <w:lvlText w:val="•"/>
      <w:lvlJc w:val="left"/>
      <w:pPr>
        <w:ind w:left="6635" w:hanging="240"/>
      </w:pPr>
      <w:rPr>
        <w:rFonts w:hint="default"/>
        <w:lang w:val="en-US" w:eastAsia="en-US" w:bidi="ar-SA"/>
      </w:rPr>
    </w:lvl>
  </w:abstractNum>
  <w:abstractNum w:abstractNumId="21" w15:restartNumberingAfterBreak="0">
    <w:nsid w:val="1C1D37C8"/>
    <w:multiLevelType w:val="hybridMultilevel"/>
    <w:tmpl w:val="5F023B52"/>
    <w:lvl w:ilvl="0" w:tplc="11A0AF0A">
      <w:numFmt w:val="bullet"/>
      <w:lvlText w:val="□"/>
      <w:lvlJc w:val="left"/>
      <w:pPr>
        <w:ind w:left="619" w:hanging="360"/>
      </w:pPr>
      <w:rPr>
        <w:rFonts w:ascii="Times New Roman" w:eastAsia="Times New Roman" w:hAnsi="Times New Roman" w:cs="Times New Roman" w:hint="default"/>
        <w:b w:val="0"/>
        <w:bCs w:val="0"/>
        <w:i w:val="0"/>
        <w:iCs w:val="0"/>
        <w:w w:val="100"/>
        <w:sz w:val="28"/>
        <w:szCs w:val="28"/>
        <w:lang w:val="en-US" w:eastAsia="en-US" w:bidi="ar-SA"/>
      </w:rPr>
    </w:lvl>
    <w:lvl w:ilvl="1" w:tplc="A86A5744">
      <w:numFmt w:val="bullet"/>
      <w:lvlText w:val="o"/>
      <w:lvlJc w:val="left"/>
      <w:pPr>
        <w:ind w:left="923" w:hanging="240"/>
      </w:pPr>
      <w:rPr>
        <w:rFonts w:ascii="Courier New" w:eastAsia="Courier New" w:hAnsi="Courier New" w:cs="Courier New" w:hint="default"/>
        <w:b w:val="0"/>
        <w:bCs w:val="0"/>
        <w:i w:val="0"/>
        <w:iCs w:val="0"/>
        <w:w w:val="97"/>
        <w:sz w:val="20"/>
        <w:szCs w:val="20"/>
        <w:lang w:val="en-US" w:eastAsia="en-US" w:bidi="ar-SA"/>
      </w:rPr>
    </w:lvl>
    <w:lvl w:ilvl="2" w:tplc="579EDDF2">
      <w:numFmt w:val="bullet"/>
      <w:lvlText w:val="•"/>
      <w:lvlJc w:val="left"/>
      <w:pPr>
        <w:ind w:left="1736" w:hanging="240"/>
      </w:pPr>
      <w:rPr>
        <w:rFonts w:hint="default"/>
        <w:lang w:val="en-US" w:eastAsia="en-US" w:bidi="ar-SA"/>
      </w:rPr>
    </w:lvl>
    <w:lvl w:ilvl="3" w:tplc="06C40E68">
      <w:numFmt w:val="bullet"/>
      <w:lvlText w:val="•"/>
      <w:lvlJc w:val="left"/>
      <w:pPr>
        <w:ind w:left="2553" w:hanging="240"/>
      </w:pPr>
      <w:rPr>
        <w:rFonts w:hint="default"/>
        <w:lang w:val="en-US" w:eastAsia="en-US" w:bidi="ar-SA"/>
      </w:rPr>
    </w:lvl>
    <w:lvl w:ilvl="4" w:tplc="0F5220BE">
      <w:numFmt w:val="bullet"/>
      <w:lvlText w:val="•"/>
      <w:lvlJc w:val="left"/>
      <w:pPr>
        <w:ind w:left="3369" w:hanging="240"/>
      </w:pPr>
      <w:rPr>
        <w:rFonts w:hint="default"/>
        <w:lang w:val="en-US" w:eastAsia="en-US" w:bidi="ar-SA"/>
      </w:rPr>
    </w:lvl>
    <w:lvl w:ilvl="5" w:tplc="8DD820D6">
      <w:numFmt w:val="bullet"/>
      <w:lvlText w:val="•"/>
      <w:lvlJc w:val="left"/>
      <w:pPr>
        <w:ind w:left="4186" w:hanging="240"/>
      </w:pPr>
      <w:rPr>
        <w:rFonts w:hint="default"/>
        <w:lang w:val="en-US" w:eastAsia="en-US" w:bidi="ar-SA"/>
      </w:rPr>
    </w:lvl>
    <w:lvl w:ilvl="6" w:tplc="2714AF8E">
      <w:numFmt w:val="bullet"/>
      <w:lvlText w:val="•"/>
      <w:lvlJc w:val="left"/>
      <w:pPr>
        <w:ind w:left="5002" w:hanging="240"/>
      </w:pPr>
      <w:rPr>
        <w:rFonts w:hint="default"/>
        <w:lang w:val="en-US" w:eastAsia="en-US" w:bidi="ar-SA"/>
      </w:rPr>
    </w:lvl>
    <w:lvl w:ilvl="7" w:tplc="4A40F2CE">
      <w:numFmt w:val="bullet"/>
      <w:lvlText w:val="•"/>
      <w:lvlJc w:val="left"/>
      <w:pPr>
        <w:ind w:left="5819" w:hanging="240"/>
      </w:pPr>
      <w:rPr>
        <w:rFonts w:hint="default"/>
        <w:lang w:val="en-US" w:eastAsia="en-US" w:bidi="ar-SA"/>
      </w:rPr>
    </w:lvl>
    <w:lvl w:ilvl="8" w:tplc="8BDABC4C">
      <w:numFmt w:val="bullet"/>
      <w:lvlText w:val="•"/>
      <w:lvlJc w:val="left"/>
      <w:pPr>
        <w:ind w:left="6635" w:hanging="240"/>
      </w:pPr>
      <w:rPr>
        <w:rFonts w:hint="default"/>
        <w:lang w:val="en-US" w:eastAsia="en-US" w:bidi="ar-SA"/>
      </w:rPr>
    </w:lvl>
  </w:abstractNum>
  <w:abstractNum w:abstractNumId="22" w15:restartNumberingAfterBreak="0">
    <w:nsid w:val="1C6B6AA1"/>
    <w:multiLevelType w:val="multilevel"/>
    <w:tmpl w:val="BE5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B8019B"/>
    <w:multiLevelType w:val="multilevel"/>
    <w:tmpl w:val="A1E07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F595A12"/>
    <w:multiLevelType w:val="multilevel"/>
    <w:tmpl w:val="5A5CF7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1486D9F"/>
    <w:multiLevelType w:val="multilevel"/>
    <w:tmpl w:val="3B66274C"/>
    <w:lvl w:ilvl="0">
      <w:start w:val="1"/>
      <w:numFmt w:val="decimal"/>
      <w:lvlText w:val="%1."/>
      <w:lvlJc w:val="left"/>
      <w:pPr>
        <w:ind w:left="0" w:firstLine="0"/>
      </w:pPr>
      <w:rPr>
        <w:rFonts w:hint="default"/>
      </w:rPr>
    </w:lvl>
    <w:lvl w:ilvl="1">
      <w:start w:val="1"/>
      <w:numFmt w:val="decimal"/>
      <w:lvlRestart w:val="0"/>
      <w:lvlText w:val="%1.%2."/>
      <w:lvlJc w:val="left"/>
      <w:pPr>
        <w:ind w:left="792" w:hanging="432"/>
      </w:pPr>
      <w:rPr>
        <w:rFonts w:ascii="Calibri" w:hAnsi="Calibri" w:hint="default"/>
        <w:caps w:val="0"/>
        <w:strike w:val="0"/>
        <w:dstrike w:val="0"/>
        <w:vanish w:val="0"/>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DA2F04"/>
    <w:multiLevelType w:val="hybridMultilevel"/>
    <w:tmpl w:val="AC1EA1B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5B0443"/>
    <w:multiLevelType w:val="multilevel"/>
    <w:tmpl w:val="7EBEB948"/>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8" w15:restartNumberingAfterBreak="0">
    <w:nsid w:val="239D755D"/>
    <w:multiLevelType w:val="multilevel"/>
    <w:tmpl w:val="7EBEB948"/>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9" w15:restartNumberingAfterBreak="0">
    <w:nsid w:val="267D528C"/>
    <w:multiLevelType w:val="multilevel"/>
    <w:tmpl w:val="308CB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79A6D37"/>
    <w:multiLevelType w:val="multilevel"/>
    <w:tmpl w:val="7D861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393CC1"/>
    <w:multiLevelType w:val="hybridMultilevel"/>
    <w:tmpl w:val="CDD850EA"/>
    <w:lvl w:ilvl="0" w:tplc="9B464F3A">
      <w:numFmt w:val="bullet"/>
      <w:lvlText w:val="□"/>
      <w:lvlJc w:val="left"/>
      <w:pPr>
        <w:ind w:left="619" w:hanging="360"/>
      </w:pPr>
      <w:rPr>
        <w:rFonts w:ascii="Times New Roman" w:eastAsia="Times New Roman" w:hAnsi="Times New Roman" w:cs="Times New Roman" w:hint="default"/>
        <w:b w:val="0"/>
        <w:bCs w:val="0"/>
        <w:i w:val="0"/>
        <w:iCs w:val="0"/>
        <w:w w:val="100"/>
        <w:sz w:val="28"/>
        <w:szCs w:val="28"/>
        <w:lang w:val="en-US" w:eastAsia="en-US" w:bidi="ar-SA"/>
      </w:rPr>
    </w:lvl>
    <w:lvl w:ilvl="1" w:tplc="F67C8474">
      <w:numFmt w:val="bullet"/>
      <w:lvlText w:val="o"/>
      <w:lvlJc w:val="left"/>
      <w:pPr>
        <w:ind w:left="923" w:hanging="240"/>
      </w:pPr>
      <w:rPr>
        <w:rFonts w:ascii="Courier New" w:eastAsia="Courier New" w:hAnsi="Courier New" w:cs="Courier New" w:hint="default"/>
        <w:b w:val="0"/>
        <w:bCs w:val="0"/>
        <w:i w:val="0"/>
        <w:iCs w:val="0"/>
        <w:w w:val="97"/>
        <w:sz w:val="20"/>
        <w:szCs w:val="20"/>
        <w:lang w:val="en-US" w:eastAsia="en-US" w:bidi="ar-SA"/>
      </w:rPr>
    </w:lvl>
    <w:lvl w:ilvl="2" w:tplc="B8369266">
      <w:numFmt w:val="bullet"/>
      <w:lvlText w:val="•"/>
      <w:lvlJc w:val="left"/>
      <w:pPr>
        <w:ind w:left="1736" w:hanging="240"/>
      </w:pPr>
      <w:rPr>
        <w:rFonts w:hint="default"/>
        <w:lang w:val="en-US" w:eastAsia="en-US" w:bidi="ar-SA"/>
      </w:rPr>
    </w:lvl>
    <w:lvl w:ilvl="3" w:tplc="EA4C2090">
      <w:numFmt w:val="bullet"/>
      <w:lvlText w:val="•"/>
      <w:lvlJc w:val="left"/>
      <w:pPr>
        <w:ind w:left="2553" w:hanging="240"/>
      </w:pPr>
      <w:rPr>
        <w:rFonts w:hint="default"/>
        <w:lang w:val="en-US" w:eastAsia="en-US" w:bidi="ar-SA"/>
      </w:rPr>
    </w:lvl>
    <w:lvl w:ilvl="4" w:tplc="8526790A">
      <w:numFmt w:val="bullet"/>
      <w:lvlText w:val="•"/>
      <w:lvlJc w:val="left"/>
      <w:pPr>
        <w:ind w:left="3369" w:hanging="240"/>
      </w:pPr>
      <w:rPr>
        <w:rFonts w:hint="default"/>
        <w:lang w:val="en-US" w:eastAsia="en-US" w:bidi="ar-SA"/>
      </w:rPr>
    </w:lvl>
    <w:lvl w:ilvl="5" w:tplc="0F8CDF5E">
      <w:numFmt w:val="bullet"/>
      <w:lvlText w:val="•"/>
      <w:lvlJc w:val="left"/>
      <w:pPr>
        <w:ind w:left="4186" w:hanging="240"/>
      </w:pPr>
      <w:rPr>
        <w:rFonts w:hint="default"/>
        <w:lang w:val="en-US" w:eastAsia="en-US" w:bidi="ar-SA"/>
      </w:rPr>
    </w:lvl>
    <w:lvl w:ilvl="6" w:tplc="B1AA3AA8">
      <w:numFmt w:val="bullet"/>
      <w:lvlText w:val="•"/>
      <w:lvlJc w:val="left"/>
      <w:pPr>
        <w:ind w:left="5002" w:hanging="240"/>
      </w:pPr>
      <w:rPr>
        <w:rFonts w:hint="default"/>
        <w:lang w:val="en-US" w:eastAsia="en-US" w:bidi="ar-SA"/>
      </w:rPr>
    </w:lvl>
    <w:lvl w:ilvl="7" w:tplc="B71AE3B4">
      <w:numFmt w:val="bullet"/>
      <w:lvlText w:val="•"/>
      <w:lvlJc w:val="left"/>
      <w:pPr>
        <w:ind w:left="5819" w:hanging="240"/>
      </w:pPr>
      <w:rPr>
        <w:rFonts w:hint="default"/>
        <w:lang w:val="en-US" w:eastAsia="en-US" w:bidi="ar-SA"/>
      </w:rPr>
    </w:lvl>
    <w:lvl w:ilvl="8" w:tplc="28BAEAA4">
      <w:numFmt w:val="bullet"/>
      <w:lvlText w:val="•"/>
      <w:lvlJc w:val="left"/>
      <w:pPr>
        <w:ind w:left="6635" w:hanging="240"/>
      </w:pPr>
      <w:rPr>
        <w:rFonts w:hint="default"/>
        <w:lang w:val="en-US" w:eastAsia="en-US" w:bidi="ar-SA"/>
      </w:rPr>
    </w:lvl>
  </w:abstractNum>
  <w:abstractNum w:abstractNumId="3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2F10317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882C4F"/>
    <w:multiLevelType w:val="multilevel"/>
    <w:tmpl w:val="184EC0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C13735"/>
    <w:multiLevelType w:val="hybridMultilevel"/>
    <w:tmpl w:val="46103F9C"/>
    <w:lvl w:ilvl="0" w:tplc="0C09000F">
      <w:start w:val="1"/>
      <w:numFmt w:val="decimal"/>
      <w:lvlText w:val="%1."/>
      <w:lvlJc w:val="left"/>
      <w:pPr>
        <w:ind w:left="827" w:hanging="360"/>
      </w:p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36" w15:restartNumberingAfterBreak="0">
    <w:nsid w:val="388168DF"/>
    <w:multiLevelType w:val="multilevel"/>
    <w:tmpl w:val="AB240ED8"/>
    <w:numStyleLink w:val="Numberedlist"/>
  </w:abstractNum>
  <w:abstractNum w:abstractNumId="37" w15:restartNumberingAfterBreak="0">
    <w:nsid w:val="3BA14CFA"/>
    <w:multiLevelType w:val="multilevel"/>
    <w:tmpl w:val="92121F84"/>
    <w:lvl w:ilvl="0">
      <w:start w:val="1"/>
      <w:numFmt w:val="decimal"/>
      <w:pStyle w:val="Heading1Numbered"/>
      <w:lvlText w:val="%1."/>
      <w:lvlJc w:val="left"/>
      <w:pPr>
        <w:ind w:left="567" w:hanging="567"/>
      </w:pPr>
      <w:rPr>
        <w:rFonts w:hint="default"/>
      </w:rPr>
    </w:lvl>
    <w:lvl w:ilvl="1">
      <w:start w:val="1"/>
      <w:numFmt w:val="decimal"/>
      <w:pStyle w:val="NumberedList1"/>
      <w:lvlText w:val="%1.%2"/>
      <w:lvlJc w:val="left"/>
      <w:pPr>
        <w:ind w:left="567" w:hanging="567"/>
      </w:pPr>
      <w:rPr>
        <w:rFonts w:ascii="Calibri" w:hAnsi="Calibri" w:hint="default"/>
        <w:b w:val="0"/>
        <w:bCs/>
        <w:caps w:val="0"/>
        <w:strike w:val="0"/>
        <w:dstrike w:val="0"/>
        <w:vanish w:val="0"/>
        <w:sz w:val="20"/>
        <w:vertAlign w:val="baseli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3BD223C6"/>
    <w:multiLevelType w:val="multilevel"/>
    <w:tmpl w:val="24BA703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Calibri" w:hAnsi="Calibri" w:hint="default"/>
        <w:caps w:val="0"/>
        <w:strike w:val="0"/>
        <w:dstrike w:val="0"/>
        <w:vanish w:val="0"/>
        <w:sz w:val="20"/>
        <w:vertAlign w:val="baseli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3D88461E"/>
    <w:multiLevelType w:val="multilevel"/>
    <w:tmpl w:val="00702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AF55F4"/>
    <w:multiLevelType w:val="multilevel"/>
    <w:tmpl w:val="57E2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3E0133"/>
    <w:multiLevelType w:val="hybridMultilevel"/>
    <w:tmpl w:val="8F2894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44732C3D"/>
    <w:multiLevelType w:val="hybridMultilevel"/>
    <w:tmpl w:val="DC34740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2674BA"/>
    <w:multiLevelType w:val="multilevel"/>
    <w:tmpl w:val="91BC4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6C534BB"/>
    <w:multiLevelType w:val="multilevel"/>
    <w:tmpl w:val="55D2E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8E42564"/>
    <w:multiLevelType w:val="multilevel"/>
    <w:tmpl w:val="6B8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6859A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D126801"/>
    <w:multiLevelType w:val="hybridMultilevel"/>
    <w:tmpl w:val="682A8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2F4AE5"/>
    <w:multiLevelType w:val="multilevel"/>
    <w:tmpl w:val="EDCC3EB2"/>
    <w:lvl w:ilvl="0">
      <w:start w:val="1"/>
      <w:numFmt w:val="decimal"/>
      <w:lvlText w:val="%1"/>
      <w:lvlJc w:val="left"/>
      <w:pPr>
        <w:ind w:left="378" w:hanging="378"/>
      </w:pPr>
      <w:rPr>
        <w:rFonts w:hint="default"/>
      </w:rPr>
    </w:lvl>
    <w:lvl w:ilvl="1">
      <w:start w:val="1"/>
      <w:numFmt w:val="decimal"/>
      <w:lvlText w:val="%1.%2"/>
      <w:lvlJc w:val="left"/>
      <w:pPr>
        <w:ind w:left="662" w:hanging="37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4E5C596C"/>
    <w:multiLevelType w:val="multilevel"/>
    <w:tmpl w:val="9E2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0E780A"/>
    <w:multiLevelType w:val="multilevel"/>
    <w:tmpl w:val="36769360"/>
    <w:lvl w:ilvl="0">
      <w:start w:val="1"/>
      <w:numFmt w:val="bullet"/>
      <w:pStyle w:val="Bullet2"/>
      <w:lvlText w:val="­"/>
      <w:lvlJc w:val="left"/>
      <w:pPr>
        <w:ind w:left="567" w:hanging="56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66B80"/>
    <w:multiLevelType w:val="hybridMultilevel"/>
    <w:tmpl w:val="9FC4A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6741B6"/>
    <w:multiLevelType w:val="multilevel"/>
    <w:tmpl w:val="3F52B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4" w15:restartNumberingAfterBreak="0">
    <w:nsid w:val="5B40643D"/>
    <w:multiLevelType w:val="multilevel"/>
    <w:tmpl w:val="A2B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1A10D5"/>
    <w:multiLevelType w:val="multilevel"/>
    <w:tmpl w:val="BFF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6B1048"/>
    <w:multiLevelType w:val="hybridMultilevel"/>
    <w:tmpl w:val="057E2876"/>
    <w:lvl w:ilvl="0" w:tplc="8D660570">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410" w:hanging="430"/>
      </w:pPr>
      <w:rPr>
        <w:rFonts w:ascii="Arial" w:hAnsi="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8" w15:restartNumberingAfterBreak="0">
    <w:nsid w:val="61FE229C"/>
    <w:multiLevelType w:val="hybridMultilevel"/>
    <w:tmpl w:val="D62E2426"/>
    <w:lvl w:ilvl="0" w:tplc="4E0455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6E3DE7"/>
    <w:multiLevelType w:val="multilevel"/>
    <w:tmpl w:val="EDCC3EB2"/>
    <w:lvl w:ilvl="0">
      <w:start w:val="1"/>
      <w:numFmt w:val="decimal"/>
      <w:lvlText w:val="%1"/>
      <w:lvlJc w:val="left"/>
      <w:pPr>
        <w:ind w:left="378" w:hanging="378"/>
      </w:pPr>
      <w:rPr>
        <w:rFonts w:hint="default"/>
      </w:rPr>
    </w:lvl>
    <w:lvl w:ilvl="1">
      <w:start w:val="1"/>
      <w:numFmt w:val="decimal"/>
      <w:lvlText w:val="%1.%2"/>
      <w:lvlJc w:val="left"/>
      <w:pPr>
        <w:ind w:left="662" w:hanging="37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64C40C35"/>
    <w:multiLevelType w:val="multilevel"/>
    <w:tmpl w:val="140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C9327B"/>
    <w:multiLevelType w:val="multilevel"/>
    <w:tmpl w:val="D174E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65693FB6"/>
    <w:multiLevelType w:val="hybridMultilevel"/>
    <w:tmpl w:val="1944BA7C"/>
    <w:lvl w:ilvl="0" w:tplc="0C09000F">
      <w:start w:val="1"/>
      <w:numFmt w:val="decimal"/>
      <w:lvlText w:val="%1."/>
      <w:lvlJc w:val="left"/>
      <w:pPr>
        <w:ind w:left="720" w:hanging="360"/>
      </w:pPr>
    </w:lvl>
    <w:lvl w:ilvl="1" w:tplc="A7D62E16">
      <w:start w:val="1"/>
      <w:numFmt w:val="lowerLetter"/>
      <w:pStyle w:val="Lettered"/>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6AE754E"/>
    <w:multiLevelType w:val="hybridMultilevel"/>
    <w:tmpl w:val="AF665F9C"/>
    <w:lvl w:ilvl="0" w:tplc="6310D1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4B0C9B"/>
    <w:multiLevelType w:val="hybridMultilevel"/>
    <w:tmpl w:val="B8C29692"/>
    <w:lvl w:ilvl="0" w:tplc="0C09000F">
      <w:start w:val="1"/>
      <w:numFmt w:val="decimal"/>
      <w:lvlText w:val="%1."/>
      <w:lvlJc w:val="left"/>
      <w:pPr>
        <w:ind w:left="720" w:hanging="360"/>
      </w:pPr>
      <w:rPr>
        <w:rFonts w:hint="default"/>
      </w:rPr>
    </w:lvl>
    <w:lvl w:ilvl="1" w:tplc="D5269C92">
      <w:start w:val="1"/>
      <w:numFmt w:val="bullet"/>
      <w:pStyle w:val="Bullet1"/>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9D5B3F"/>
    <w:multiLevelType w:val="hybridMultilevel"/>
    <w:tmpl w:val="66AE9376"/>
    <w:lvl w:ilvl="0" w:tplc="7F0A3AA0">
      <w:start w:val="1"/>
      <w:numFmt w:val="decimal"/>
      <w:pStyle w:val="TableParagraph-Numbered1"/>
      <w:lvlText w:val="%1."/>
      <w:lvlJc w:val="left"/>
      <w:pPr>
        <w:ind w:left="720" w:hanging="360"/>
      </w:pPr>
      <w:rPr>
        <w:rFonts w:hint="default"/>
        <w:b w:val="0"/>
        <w:b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410" w:hanging="430"/>
      </w:pPr>
      <w:rPr>
        <w:rFonts w:ascii="Arial" w:hAnsi="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7" w15:restartNumberingAfterBreak="0">
    <w:nsid w:val="74B62DB4"/>
    <w:multiLevelType w:val="hybridMultilevel"/>
    <w:tmpl w:val="E87A26AC"/>
    <w:lvl w:ilvl="0" w:tplc="0C090003">
      <w:start w:val="1"/>
      <w:numFmt w:val="bullet"/>
      <w:lvlText w:val="o"/>
      <w:lvlJc w:val="left"/>
      <w:pPr>
        <w:ind w:left="979" w:hanging="360"/>
      </w:pPr>
      <w:rPr>
        <w:rFonts w:ascii="Courier New" w:hAnsi="Courier New" w:cs="Courier New" w:hint="default"/>
      </w:rPr>
    </w:lvl>
    <w:lvl w:ilvl="1" w:tplc="0C090003" w:tentative="1">
      <w:start w:val="1"/>
      <w:numFmt w:val="bullet"/>
      <w:lvlText w:val="o"/>
      <w:lvlJc w:val="left"/>
      <w:pPr>
        <w:ind w:left="1699" w:hanging="360"/>
      </w:pPr>
      <w:rPr>
        <w:rFonts w:ascii="Courier New" w:hAnsi="Courier New" w:cs="Courier New" w:hint="default"/>
      </w:rPr>
    </w:lvl>
    <w:lvl w:ilvl="2" w:tplc="0C090005" w:tentative="1">
      <w:start w:val="1"/>
      <w:numFmt w:val="bullet"/>
      <w:lvlText w:val=""/>
      <w:lvlJc w:val="left"/>
      <w:pPr>
        <w:ind w:left="241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3859" w:hanging="360"/>
      </w:pPr>
      <w:rPr>
        <w:rFonts w:ascii="Courier New" w:hAnsi="Courier New" w:cs="Courier New" w:hint="default"/>
      </w:rPr>
    </w:lvl>
    <w:lvl w:ilvl="5" w:tplc="0C090005" w:tentative="1">
      <w:start w:val="1"/>
      <w:numFmt w:val="bullet"/>
      <w:lvlText w:val=""/>
      <w:lvlJc w:val="left"/>
      <w:pPr>
        <w:ind w:left="4579" w:hanging="360"/>
      </w:pPr>
      <w:rPr>
        <w:rFonts w:ascii="Wingdings" w:hAnsi="Wingdings" w:hint="default"/>
      </w:rPr>
    </w:lvl>
    <w:lvl w:ilvl="6" w:tplc="0C090001" w:tentative="1">
      <w:start w:val="1"/>
      <w:numFmt w:val="bullet"/>
      <w:lvlText w:val=""/>
      <w:lvlJc w:val="left"/>
      <w:pPr>
        <w:ind w:left="5299" w:hanging="360"/>
      </w:pPr>
      <w:rPr>
        <w:rFonts w:ascii="Symbol" w:hAnsi="Symbol" w:hint="default"/>
      </w:rPr>
    </w:lvl>
    <w:lvl w:ilvl="7" w:tplc="0C090003" w:tentative="1">
      <w:start w:val="1"/>
      <w:numFmt w:val="bullet"/>
      <w:lvlText w:val="o"/>
      <w:lvlJc w:val="left"/>
      <w:pPr>
        <w:ind w:left="6019" w:hanging="360"/>
      </w:pPr>
      <w:rPr>
        <w:rFonts w:ascii="Courier New" w:hAnsi="Courier New" w:cs="Courier New" w:hint="default"/>
      </w:rPr>
    </w:lvl>
    <w:lvl w:ilvl="8" w:tplc="0C090005" w:tentative="1">
      <w:start w:val="1"/>
      <w:numFmt w:val="bullet"/>
      <w:lvlText w:val=""/>
      <w:lvlJc w:val="left"/>
      <w:pPr>
        <w:ind w:left="6739" w:hanging="360"/>
      </w:pPr>
      <w:rPr>
        <w:rFonts w:ascii="Wingdings" w:hAnsi="Wingdings" w:hint="default"/>
      </w:rPr>
    </w:lvl>
  </w:abstractNum>
  <w:abstractNum w:abstractNumId="68" w15:restartNumberingAfterBreak="0">
    <w:nsid w:val="78D426B0"/>
    <w:multiLevelType w:val="hybridMultilevel"/>
    <w:tmpl w:val="C636B34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C0B0D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D44675A"/>
    <w:multiLevelType w:val="multilevel"/>
    <w:tmpl w:val="8C6A4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A85D9C"/>
    <w:multiLevelType w:val="hybridMultilevel"/>
    <w:tmpl w:val="0AD86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2" w15:restartNumberingAfterBreak="0">
    <w:nsid w:val="7F303BCF"/>
    <w:multiLevelType w:val="hybridMultilevel"/>
    <w:tmpl w:val="5CE2AD4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758DB36">
      <w:start w:val="1"/>
      <w:numFmt w:val="bullet"/>
      <w:lvlText w:val="»"/>
      <w:lvlJc w:val="left"/>
      <w:pPr>
        <w:ind w:left="2410" w:hanging="430"/>
      </w:pPr>
      <w:rPr>
        <w:rFonts w:ascii="Arial" w:hAnsi="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200127">
    <w:abstractNumId w:val="66"/>
  </w:num>
  <w:num w:numId="2" w16cid:durableId="2129618187">
    <w:abstractNumId w:val="14"/>
  </w:num>
  <w:num w:numId="3" w16cid:durableId="965886913">
    <w:abstractNumId w:val="32"/>
  </w:num>
  <w:num w:numId="4" w16cid:durableId="2023386429">
    <w:abstractNumId w:val="53"/>
  </w:num>
  <w:num w:numId="5" w16cid:durableId="95756663">
    <w:abstractNumId w:val="57"/>
  </w:num>
  <w:num w:numId="6" w16cid:durableId="773402705">
    <w:abstractNumId w:val="66"/>
  </w:num>
  <w:num w:numId="7" w16cid:durableId="547181788">
    <w:abstractNumId w:val="32"/>
  </w:num>
  <w:num w:numId="8" w16cid:durableId="2058892744">
    <w:abstractNumId w:val="14"/>
  </w:num>
  <w:num w:numId="9" w16cid:durableId="1030960401">
    <w:abstractNumId w:val="34"/>
  </w:num>
  <w:num w:numId="10" w16cid:durableId="1219627287">
    <w:abstractNumId w:val="64"/>
  </w:num>
  <w:num w:numId="11" w16cid:durableId="284436132">
    <w:abstractNumId w:val="13"/>
  </w:num>
  <w:num w:numId="12" w16cid:durableId="178394195">
    <w:abstractNumId w:val="72"/>
  </w:num>
  <w:num w:numId="13" w16cid:durableId="1174146722">
    <w:abstractNumId w:val="11"/>
  </w:num>
  <w:num w:numId="14" w16cid:durableId="112409329">
    <w:abstractNumId w:val="26"/>
  </w:num>
  <w:num w:numId="15" w16cid:durableId="332270466">
    <w:abstractNumId w:val="68"/>
  </w:num>
  <w:num w:numId="16" w16cid:durableId="1277252396">
    <w:abstractNumId w:val="42"/>
  </w:num>
  <w:num w:numId="17" w16cid:durableId="942541692">
    <w:abstractNumId w:val="63"/>
  </w:num>
  <w:num w:numId="18" w16cid:durableId="1144395395">
    <w:abstractNumId w:val="9"/>
  </w:num>
  <w:num w:numId="19" w16cid:durableId="460194569">
    <w:abstractNumId w:val="7"/>
  </w:num>
  <w:num w:numId="20" w16cid:durableId="1840853341">
    <w:abstractNumId w:val="6"/>
  </w:num>
  <w:num w:numId="21" w16cid:durableId="631450036">
    <w:abstractNumId w:val="5"/>
  </w:num>
  <w:num w:numId="22" w16cid:durableId="912857320">
    <w:abstractNumId w:val="4"/>
  </w:num>
  <w:num w:numId="23" w16cid:durableId="2128965270">
    <w:abstractNumId w:val="8"/>
  </w:num>
  <w:num w:numId="24" w16cid:durableId="1244488757">
    <w:abstractNumId w:val="3"/>
  </w:num>
  <w:num w:numId="25" w16cid:durableId="709451195">
    <w:abstractNumId w:val="2"/>
  </w:num>
  <w:num w:numId="26" w16cid:durableId="655500037">
    <w:abstractNumId w:val="1"/>
  </w:num>
  <w:num w:numId="27" w16cid:durableId="1437023368">
    <w:abstractNumId w:val="0"/>
  </w:num>
  <w:num w:numId="28" w16cid:durableId="827787992">
    <w:abstractNumId w:val="59"/>
  </w:num>
  <w:num w:numId="29" w16cid:durableId="536940431">
    <w:abstractNumId w:val="48"/>
  </w:num>
  <w:num w:numId="30" w16cid:durableId="1942833054">
    <w:abstractNumId w:val="46"/>
  </w:num>
  <w:num w:numId="31" w16cid:durableId="843933781">
    <w:abstractNumId w:val="50"/>
  </w:num>
  <w:num w:numId="32" w16cid:durableId="1445660025">
    <w:abstractNumId w:val="58"/>
  </w:num>
  <w:num w:numId="33" w16cid:durableId="633103288">
    <w:abstractNumId w:val="69"/>
  </w:num>
  <w:num w:numId="34" w16cid:durableId="600994052">
    <w:abstractNumId w:val="36"/>
  </w:num>
  <w:num w:numId="35" w16cid:durableId="949167705">
    <w:abstractNumId w:val="33"/>
  </w:num>
  <w:num w:numId="36" w16cid:durableId="1418286212">
    <w:abstractNumId w:val="10"/>
  </w:num>
  <w:num w:numId="37" w16cid:durableId="893349764">
    <w:abstractNumId w:val="30"/>
  </w:num>
  <w:num w:numId="38" w16cid:durableId="1359310594">
    <w:abstractNumId w:val="39"/>
  </w:num>
  <w:num w:numId="39" w16cid:durableId="374276936">
    <w:abstractNumId w:val="27"/>
  </w:num>
  <w:num w:numId="40" w16cid:durableId="30347349">
    <w:abstractNumId w:val="28"/>
  </w:num>
  <w:num w:numId="41" w16cid:durableId="479739121">
    <w:abstractNumId w:val="18"/>
  </w:num>
  <w:num w:numId="42" w16cid:durableId="1794902329">
    <w:abstractNumId w:val="37"/>
  </w:num>
  <w:num w:numId="43" w16cid:durableId="546065637">
    <w:abstractNumId w:val="37"/>
  </w:num>
  <w:num w:numId="44" w16cid:durableId="16398032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32689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2797254">
    <w:abstractNumId w:val="62"/>
  </w:num>
  <w:num w:numId="47" w16cid:durableId="299264505">
    <w:abstractNumId w:val="37"/>
  </w:num>
  <w:num w:numId="48" w16cid:durableId="1593588252">
    <w:abstractNumId w:val="25"/>
  </w:num>
  <w:num w:numId="49" w16cid:durableId="967008280">
    <w:abstractNumId w:val="19"/>
  </w:num>
  <w:num w:numId="50" w16cid:durableId="576786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6226911">
    <w:abstractNumId w:val="37"/>
  </w:num>
  <w:num w:numId="52" w16cid:durableId="181170017">
    <w:abstractNumId w:val="70"/>
  </w:num>
  <w:num w:numId="53" w16cid:durableId="1155534528">
    <w:abstractNumId w:val="44"/>
  </w:num>
  <w:num w:numId="54" w16cid:durableId="851801013">
    <w:abstractNumId w:val="38"/>
  </w:num>
  <w:num w:numId="55" w16cid:durableId="2002076748">
    <w:abstractNumId w:val="18"/>
  </w:num>
  <w:num w:numId="56" w16cid:durableId="1988702723">
    <w:abstractNumId w:val="18"/>
  </w:num>
  <w:num w:numId="57" w16cid:durableId="1823692943">
    <w:abstractNumId w:val="45"/>
  </w:num>
  <w:num w:numId="58" w16cid:durableId="1627348738">
    <w:abstractNumId w:val="15"/>
  </w:num>
  <w:num w:numId="59" w16cid:durableId="1140416168">
    <w:abstractNumId w:val="60"/>
  </w:num>
  <w:num w:numId="60" w16cid:durableId="1081608797">
    <w:abstractNumId w:val="29"/>
  </w:num>
  <w:num w:numId="61" w16cid:durableId="669017541">
    <w:abstractNumId w:val="16"/>
  </w:num>
  <w:num w:numId="62" w16cid:durableId="1359041019">
    <w:abstractNumId w:val="52"/>
  </w:num>
  <w:num w:numId="63" w16cid:durableId="707336850">
    <w:abstractNumId w:val="22"/>
  </w:num>
  <w:num w:numId="64" w16cid:durableId="1960140528">
    <w:abstractNumId w:val="43"/>
  </w:num>
  <w:num w:numId="65" w16cid:durableId="1684746480">
    <w:abstractNumId w:val="40"/>
  </w:num>
  <w:num w:numId="66" w16cid:durableId="2071809889">
    <w:abstractNumId w:val="24"/>
  </w:num>
  <w:num w:numId="67" w16cid:durableId="8222461">
    <w:abstractNumId w:val="49"/>
  </w:num>
  <w:num w:numId="68" w16cid:durableId="2125490257">
    <w:abstractNumId w:val="17"/>
  </w:num>
  <w:num w:numId="69" w16cid:durableId="2025784768">
    <w:abstractNumId w:val="55"/>
  </w:num>
  <w:num w:numId="70" w16cid:durableId="699552368">
    <w:abstractNumId w:val="61"/>
  </w:num>
  <w:num w:numId="71" w16cid:durableId="1293558731">
    <w:abstractNumId w:val="54"/>
  </w:num>
  <w:num w:numId="72" w16cid:durableId="1569344616">
    <w:abstractNumId w:val="23"/>
  </w:num>
  <w:num w:numId="73" w16cid:durableId="1521360987">
    <w:abstractNumId w:val="21"/>
  </w:num>
  <w:num w:numId="74" w16cid:durableId="608587010">
    <w:abstractNumId w:val="31"/>
  </w:num>
  <w:num w:numId="75" w16cid:durableId="495194421">
    <w:abstractNumId w:val="20"/>
  </w:num>
  <w:num w:numId="76" w16cid:durableId="883562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1018769">
    <w:abstractNumId w:val="64"/>
  </w:num>
  <w:num w:numId="78" w16cid:durableId="1353072159">
    <w:abstractNumId w:val="64"/>
  </w:num>
  <w:num w:numId="79" w16cid:durableId="62455928">
    <w:abstractNumId w:val="37"/>
  </w:num>
  <w:num w:numId="80" w16cid:durableId="929002604">
    <w:abstractNumId w:val="64"/>
  </w:num>
  <w:num w:numId="81" w16cid:durableId="1285119332">
    <w:abstractNumId w:val="64"/>
  </w:num>
  <w:num w:numId="82" w16cid:durableId="1136921550">
    <w:abstractNumId w:val="47"/>
  </w:num>
  <w:num w:numId="83" w16cid:durableId="642393791">
    <w:abstractNumId w:val="67"/>
  </w:num>
  <w:num w:numId="84" w16cid:durableId="658312135">
    <w:abstractNumId w:val="35"/>
  </w:num>
  <w:num w:numId="85" w16cid:durableId="195313110">
    <w:abstractNumId w:val="65"/>
  </w:num>
  <w:num w:numId="86" w16cid:durableId="1604412562">
    <w:abstractNumId w:val="56"/>
  </w:num>
  <w:num w:numId="87" w16cid:durableId="1065100939">
    <w:abstractNumId w:val="71"/>
  </w:num>
  <w:num w:numId="88" w16cid:durableId="49309367">
    <w:abstractNumId w:val="51"/>
  </w:num>
  <w:num w:numId="89" w16cid:durableId="1999773222">
    <w:abstractNumId w:val="41"/>
  </w:num>
  <w:num w:numId="90" w16cid:durableId="2054881918">
    <w:abstractNumId w:val="12"/>
  </w:num>
  <w:num w:numId="91" w16cid:durableId="1788425820">
    <w:abstractNumId w:val="37"/>
  </w:num>
  <w:num w:numId="92" w16cid:durableId="1246501770">
    <w:abstractNumId w:val="65"/>
    <w:lvlOverride w:ilvl="0">
      <w:startOverride w:val="1"/>
    </w:lvlOverride>
  </w:num>
  <w:num w:numId="93" w16cid:durableId="816806184">
    <w:abstractNumId w:val="6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1E"/>
    <w:rsid w:val="00000450"/>
    <w:rsid w:val="0000142F"/>
    <w:rsid w:val="000037FA"/>
    <w:rsid w:val="00004821"/>
    <w:rsid w:val="00013225"/>
    <w:rsid w:val="0001400D"/>
    <w:rsid w:val="00014AEB"/>
    <w:rsid w:val="00016BDE"/>
    <w:rsid w:val="00021464"/>
    <w:rsid w:val="00021B85"/>
    <w:rsid w:val="000261F7"/>
    <w:rsid w:val="00026220"/>
    <w:rsid w:val="0002782F"/>
    <w:rsid w:val="000278DF"/>
    <w:rsid w:val="00031F4A"/>
    <w:rsid w:val="00033DFB"/>
    <w:rsid w:val="0003535F"/>
    <w:rsid w:val="00035686"/>
    <w:rsid w:val="00036198"/>
    <w:rsid w:val="0003672D"/>
    <w:rsid w:val="00037062"/>
    <w:rsid w:val="000376F5"/>
    <w:rsid w:val="00040946"/>
    <w:rsid w:val="000421A8"/>
    <w:rsid w:val="00043BDA"/>
    <w:rsid w:val="00043CF6"/>
    <w:rsid w:val="00043CFC"/>
    <w:rsid w:val="0004470B"/>
    <w:rsid w:val="00044FA9"/>
    <w:rsid w:val="00047CFD"/>
    <w:rsid w:val="00052C84"/>
    <w:rsid w:val="00053509"/>
    <w:rsid w:val="00054E4D"/>
    <w:rsid w:val="00057635"/>
    <w:rsid w:val="000579B7"/>
    <w:rsid w:val="00060073"/>
    <w:rsid w:val="00060B57"/>
    <w:rsid w:val="0006154D"/>
    <w:rsid w:val="000621AE"/>
    <w:rsid w:val="00063DF9"/>
    <w:rsid w:val="0006634D"/>
    <w:rsid w:val="000711A9"/>
    <w:rsid w:val="000720A8"/>
    <w:rsid w:val="000727DA"/>
    <w:rsid w:val="000744B0"/>
    <w:rsid w:val="000753AC"/>
    <w:rsid w:val="000777C7"/>
    <w:rsid w:val="00077AE9"/>
    <w:rsid w:val="00077D97"/>
    <w:rsid w:val="00080521"/>
    <w:rsid w:val="00084FEF"/>
    <w:rsid w:val="00087CF0"/>
    <w:rsid w:val="000917BA"/>
    <w:rsid w:val="00091BF1"/>
    <w:rsid w:val="000925C6"/>
    <w:rsid w:val="00092795"/>
    <w:rsid w:val="0009292D"/>
    <w:rsid w:val="00093701"/>
    <w:rsid w:val="0009581F"/>
    <w:rsid w:val="00096471"/>
    <w:rsid w:val="000969C1"/>
    <w:rsid w:val="000A149E"/>
    <w:rsid w:val="000A3199"/>
    <w:rsid w:val="000A485D"/>
    <w:rsid w:val="000A4B30"/>
    <w:rsid w:val="000A5CA3"/>
    <w:rsid w:val="000A5F02"/>
    <w:rsid w:val="000A5F6F"/>
    <w:rsid w:val="000A6A8B"/>
    <w:rsid w:val="000B1AED"/>
    <w:rsid w:val="000B23BA"/>
    <w:rsid w:val="000B3BF0"/>
    <w:rsid w:val="000B56E7"/>
    <w:rsid w:val="000C2A48"/>
    <w:rsid w:val="000C2C99"/>
    <w:rsid w:val="000C5C46"/>
    <w:rsid w:val="000C71CA"/>
    <w:rsid w:val="000D12F6"/>
    <w:rsid w:val="000D60B1"/>
    <w:rsid w:val="000E159E"/>
    <w:rsid w:val="000E234F"/>
    <w:rsid w:val="000E33A1"/>
    <w:rsid w:val="000E48C9"/>
    <w:rsid w:val="000E79E1"/>
    <w:rsid w:val="000E7FA8"/>
    <w:rsid w:val="000F0FBA"/>
    <w:rsid w:val="000F37DB"/>
    <w:rsid w:val="000F4097"/>
    <w:rsid w:val="000F4179"/>
    <w:rsid w:val="000F4A4D"/>
    <w:rsid w:val="000F5401"/>
    <w:rsid w:val="00104B57"/>
    <w:rsid w:val="001069C7"/>
    <w:rsid w:val="00107027"/>
    <w:rsid w:val="00107E51"/>
    <w:rsid w:val="001124E9"/>
    <w:rsid w:val="00112DC2"/>
    <w:rsid w:val="00113305"/>
    <w:rsid w:val="00114851"/>
    <w:rsid w:val="001156CC"/>
    <w:rsid w:val="001166FD"/>
    <w:rsid w:val="00117E33"/>
    <w:rsid w:val="001214A5"/>
    <w:rsid w:val="001228E1"/>
    <w:rsid w:val="001232AA"/>
    <w:rsid w:val="00123C7B"/>
    <w:rsid w:val="00126305"/>
    <w:rsid w:val="001317C7"/>
    <w:rsid w:val="00132310"/>
    <w:rsid w:val="00134AA1"/>
    <w:rsid w:val="001357B7"/>
    <w:rsid w:val="00137713"/>
    <w:rsid w:val="00140A23"/>
    <w:rsid w:val="00141288"/>
    <w:rsid w:val="00141B3E"/>
    <w:rsid w:val="00143A00"/>
    <w:rsid w:val="00152B7A"/>
    <w:rsid w:val="00152D66"/>
    <w:rsid w:val="00153B91"/>
    <w:rsid w:val="00153C28"/>
    <w:rsid w:val="001541EA"/>
    <w:rsid w:val="0015517F"/>
    <w:rsid w:val="00156965"/>
    <w:rsid w:val="00156C7D"/>
    <w:rsid w:val="00160047"/>
    <w:rsid w:val="00160C35"/>
    <w:rsid w:val="001612A4"/>
    <w:rsid w:val="00163109"/>
    <w:rsid w:val="00164D98"/>
    <w:rsid w:val="00166479"/>
    <w:rsid w:val="00167D8E"/>
    <w:rsid w:val="001703E4"/>
    <w:rsid w:val="0017052C"/>
    <w:rsid w:val="00173CA3"/>
    <w:rsid w:val="00176C90"/>
    <w:rsid w:val="00177A17"/>
    <w:rsid w:val="001840C1"/>
    <w:rsid w:val="00186F36"/>
    <w:rsid w:val="00190386"/>
    <w:rsid w:val="0019356F"/>
    <w:rsid w:val="00194AE7"/>
    <w:rsid w:val="001A05EC"/>
    <w:rsid w:val="001A063F"/>
    <w:rsid w:val="001A3844"/>
    <w:rsid w:val="001A3F39"/>
    <w:rsid w:val="001A7692"/>
    <w:rsid w:val="001A7C38"/>
    <w:rsid w:val="001B0491"/>
    <w:rsid w:val="001B144C"/>
    <w:rsid w:val="001B1E8E"/>
    <w:rsid w:val="001B7090"/>
    <w:rsid w:val="001B7156"/>
    <w:rsid w:val="001C6066"/>
    <w:rsid w:val="001C7C9D"/>
    <w:rsid w:val="001D16B4"/>
    <w:rsid w:val="001D27ED"/>
    <w:rsid w:val="001E123E"/>
    <w:rsid w:val="001E1DC0"/>
    <w:rsid w:val="001E3935"/>
    <w:rsid w:val="001E42D3"/>
    <w:rsid w:val="001E5236"/>
    <w:rsid w:val="001E749A"/>
    <w:rsid w:val="001F5050"/>
    <w:rsid w:val="001F5180"/>
    <w:rsid w:val="0020122A"/>
    <w:rsid w:val="00201676"/>
    <w:rsid w:val="00201F6E"/>
    <w:rsid w:val="00201FD4"/>
    <w:rsid w:val="002039D5"/>
    <w:rsid w:val="00207648"/>
    <w:rsid w:val="00210946"/>
    <w:rsid w:val="00210A86"/>
    <w:rsid w:val="00211C39"/>
    <w:rsid w:val="00212B2A"/>
    <w:rsid w:val="00213E9E"/>
    <w:rsid w:val="00214B3C"/>
    <w:rsid w:val="00215BC9"/>
    <w:rsid w:val="00216DB6"/>
    <w:rsid w:val="00231136"/>
    <w:rsid w:val="0023315A"/>
    <w:rsid w:val="00234A1E"/>
    <w:rsid w:val="002415F7"/>
    <w:rsid w:val="00243FBB"/>
    <w:rsid w:val="002445BB"/>
    <w:rsid w:val="00244FC9"/>
    <w:rsid w:val="00246FC2"/>
    <w:rsid w:val="00247464"/>
    <w:rsid w:val="00255A7E"/>
    <w:rsid w:val="00257F6B"/>
    <w:rsid w:val="00260291"/>
    <w:rsid w:val="002606E2"/>
    <w:rsid w:val="0026105E"/>
    <w:rsid w:val="00261C59"/>
    <w:rsid w:val="00262C2A"/>
    <w:rsid w:val="002654C5"/>
    <w:rsid w:val="00265F89"/>
    <w:rsid w:val="002676AF"/>
    <w:rsid w:val="002730E9"/>
    <w:rsid w:val="00274B0D"/>
    <w:rsid w:val="00275B5D"/>
    <w:rsid w:val="002770BD"/>
    <w:rsid w:val="00277F04"/>
    <w:rsid w:val="0028068E"/>
    <w:rsid w:val="002819E3"/>
    <w:rsid w:val="00283156"/>
    <w:rsid w:val="00284287"/>
    <w:rsid w:val="0028602A"/>
    <w:rsid w:val="002923FF"/>
    <w:rsid w:val="00294862"/>
    <w:rsid w:val="00295CC6"/>
    <w:rsid w:val="00297779"/>
    <w:rsid w:val="00297D0D"/>
    <w:rsid w:val="002A011E"/>
    <w:rsid w:val="002A108B"/>
    <w:rsid w:val="002A26A5"/>
    <w:rsid w:val="002B07B9"/>
    <w:rsid w:val="002B141A"/>
    <w:rsid w:val="002B1EB3"/>
    <w:rsid w:val="002B48C0"/>
    <w:rsid w:val="002B601A"/>
    <w:rsid w:val="002B67BF"/>
    <w:rsid w:val="002B7966"/>
    <w:rsid w:val="002B7C6B"/>
    <w:rsid w:val="002C1314"/>
    <w:rsid w:val="002C1324"/>
    <w:rsid w:val="002C4AEF"/>
    <w:rsid w:val="002C4CB4"/>
    <w:rsid w:val="002C779C"/>
    <w:rsid w:val="002D0C0B"/>
    <w:rsid w:val="002D1A55"/>
    <w:rsid w:val="002D1B0F"/>
    <w:rsid w:val="002D2246"/>
    <w:rsid w:val="002D2A6B"/>
    <w:rsid w:val="002D3B44"/>
    <w:rsid w:val="002D5D8E"/>
    <w:rsid w:val="002D7D81"/>
    <w:rsid w:val="002E1125"/>
    <w:rsid w:val="002E5954"/>
    <w:rsid w:val="002E7358"/>
    <w:rsid w:val="002F10D7"/>
    <w:rsid w:val="002F1E36"/>
    <w:rsid w:val="002F5BD7"/>
    <w:rsid w:val="002F6659"/>
    <w:rsid w:val="002F6EB7"/>
    <w:rsid w:val="00301144"/>
    <w:rsid w:val="003017C2"/>
    <w:rsid w:val="00304548"/>
    <w:rsid w:val="003102CB"/>
    <w:rsid w:val="00312BFF"/>
    <w:rsid w:val="003148B7"/>
    <w:rsid w:val="003152F3"/>
    <w:rsid w:val="003158C3"/>
    <w:rsid w:val="003172EA"/>
    <w:rsid w:val="0032559C"/>
    <w:rsid w:val="00326BA8"/>
    <w:rsid w:val="003274CD"/>
    <w:rsid w:val="003274EA"/>
    <w:rsid w:val="00327CB9"/>
    <w:rsid w:val="003303AD"/>
    <w:rsid w:val="00332738"/>
    <w:rsid w:val="003339AE"/>
    <w:rsid w:val="0033561E"/>
    <w:rsid w:val="00340049"/>
    <w:rsid w:val="0034581D"/>
    <w:rsid w:val="0035119D"/>
    <w:rsid w:val="00351B11"/>
    <w:rsid w:val="003537D5"/>
    <w:rsid w:val="00353BD1"/>
    <w:rsid w:val="00355F92"/>
    <w:rsid w:val="00365631"/>
    <w:rsid w:val="0036764B"/>
    <w:rsid w:val="00367F9F"/>
    <w:rsid w:val="00370923"/>
    <w:rsid w:val="00374200"/>
    <w:rsid w:val="00380599"/>
    <w:rsid w:val="00382528"/>
    <w:rsid w:val="00382FCA"/>
    <w:rsid w:val="00383353"/>
    <w:rsid w:val="0038608F"/>
    <w:rsid w:val="003917C4"/>
    <w:rsid w:val="00391C5D"/>
    <w:rsid w:val="00392055"/>
    <w:rsid w:val="00397146"/>
    <w:rsid w:val="0039715A"/>
    <w:rsid w:val="00397E5F"/>
    <w:rsid w:val="003A04C9"/>
    <w:rsid w:val="003A0ED7"/>
    <w:rsid w:val="003A3EA0"/>
    <w:rsid w:val="003A4F01"/>
    <w:rsid w:val="003A55E8"/>
    <w:rsid w:val="003A6877"/>
    <w:rsid w:val="003B1D38"/>
    <w:rsid w:val="003B4F12"/>
    <w:rsid w:val="003B5095"/>
    <w:rsid w:val="003B54BF"/>
    <w:rsid w:val="003C0016"/>
    <w:rsid w:val="003C7A53"/>
    <w:rsid w:val="003D0357"/>
    <w:rsid w:val="003D0E5A"/>
    <w:rsid w:val="003D1687"/>
    <w:rsid w:val="003D20CA"/>
    <w:rsid w:val="003D323B"/>
    <w:rsid w:val="003D3426"/>
    <w:rsid w:val="003D3503"/>
    <w:rsid w:val="003D4001"/>
    <w:rsid w:val="003D4D45"/>
    <w:rsid w:val="003D6B49"/>
    <w:rsid w:val="003D7C30"/>
    <w:rsid w:val="003E1952"/>
    <w:rsid w:val="003E59C0"/>
    <w:rsid w:val="003E6142"/>
    <w:rsid w:val="003F20E4"/>
    <w:rsid w:val="003F2CC2"/>
    <w:rsid w:val="003F3155"/>
    <w:rsid w:val="003F3DFA"/>
    <w:rsid w:val="003F49E2"/>
    <w:rsid w:val="003F5E24"/>
    <w:rsid w:val="00403846"/>
    <w:rsid w:val="00406B4E"/>
    <w:rsid w:val="004112E0"/>
    <w:rsid w:val="00411F12"/>
    <w:rsid w:val="00421909"/>
    <w:rsid w:val="0042299A"/>
    <w:rsid w:val="00423F31"/>
    <w:rsid w:val="00425D68"/>
    <w:rsid w:val="004268A3"/>
    <w:rsid w:val="00427E1C"/>
    <w:rsid w:val="00431899"/>
    <w:rsid w:val="0043266D"/>
    <w:rsid w:val="00433FB8"/>
    <w:rsid w:val="0043539B"/>
    <w:rsid w:val="00436799"/>
    <w:rsid w:val="0044007C"/>
    <w:rsid w:val="00440BBB"/>
    <w:rsid w:val="00442DD7"/>
    <w:rsid w:val="00443641"/>
    <w:rsid w:val="004451F3"/>
    <w:rsid w:val="00445D68"/>
    <w:rsid w:val="00445EEE"/>
    <w:rsid w:val="00446510"/>
    <w:rsid w:val="00450AE6"/>
    <w:rsid w:val="004529E8"/>
    <w:rsid w:val="004534EC"/>
    <w:rsid w:val="00457BF4"/>
    <w:rsid w:val="00461847"/>
    <w:rsid w:val="0046470E"/>
    <w:rsid w:val="00467703"/>
    <w:rsid w:val="00472165"/>
    <w:rsid w:val="00475767"/>
    <w:rsid w:val="004765A5"/>
    <w:rsid w:val="00481035"/>
    <w:rsid w:val="0048370F"/>
    <w:rsid w:val="00483D09"/>
    <w:rsid w:val="00484EE4"/>
    <w:rsid w:val="00486804"/>
    <w:rsid w:val="00486F33"/>
    <w:rsid w:val="0048733F"/>
    <w:rsid w:val="00492774"/>
    <w:rsid w:val="00493E6B"/>
    <w:rsid w:val="004967CA"/>
    <w:rsid w:val="004969AE"/>
    <w:rsid w:val="004976DD"/>
    <w:rsid w:val="004A320C"/>
    <w:rsid w:val="004A4080"/>
    <w:rsid w:val="004A497F"/>
    <w:rsid w:val="004A5FBC"/>
    <w:rsid w:val="004A7E79"/>
    <w:rsid w:val="004B3775"/>
    <w:rsid w:val="004B7C8C"/>
    <w:rsid w:val="004C0BE3"/>
    <w:rsid w:val="004C20AC"/>
    <w:rsid w:val="004C256C"/>
    <w:rsid w:val="004C5B28"/>
    <w:rsid w:val="004C741E"/>
    <w:rsid w:val="004D1988"/>
    <w:rsid w:val="004D392E"/>
    <w:rsid w:val="004D4636"/>
    <w:rsid w:val="004D4F80"/>
    <w:rsid w:val="004D5417"/>
    <w:rsid w:val="004D7C2E"/>
    <w:rsid w:val="004E058F"/>
    <w:rsid w:val="004E3B87"/>
    <w:rsid w:val="004E70E7"/>
    <w:rsid w:val="004F0F76"/>
    <w:rsid w:val="004F24FE"/>
    <w:rsid w:val="004F32EF"/>
    <w:rsid w:val="004F5C44"/>
    <w:rsid w:val="004F6004"/>
    <w:rsid w:val="004F6246"/>
    <w:rsid w:val="004F7214"/>
    <w:rsid w:val="00502B0E"/>
    <w:rsid w:val="00505CE6"/>
    <w:rsid w:val="00507EBB"/>
    <w:rsid w:val="00510921"/>
    <w:rsid w:val="00510AD3"/>
    <w:rsid w:val="00513348"/>
    <w:rsid w:val="00520E32"/>
    <w:rsid w:val="005210C5"/>
    <w:rsid w:val="00526673"/>
    <w:rsid w:val="00527A56"/>
    <w:rsid w:val="00530D9F"/>
    <w:rsid w:val="00530F2F"/>
    <w:rsid w:val="005325C9"/>
    <w:rsid w:val="00533B5D"/>
    <w:rsid w:val="00534134"/>
    <w:rsid w:val="00536406"/>
    <w:rsid w:val="00541F3B"/>
    <w:rsid w:val="00541FC8"/>
    <w:rsid w:val="0054735A"/>
    <w:rsid w:val="00547A93"/>
    <w:rsid w:val="005506BA"/>
    <w:rsid w:val="00551B40"/>
    <w:rsid w:val="00551EDF"/>
    <w:rsid w:val="00552C05"/>
    <w:rsid w:val="005575C1"/>
    <w:rsid w:val="005601D3"/>
    <w:rsid w:val="005630EB"/>
    <w:rsid w:val="0056366D"/>
    <w:rsid w:val="00564D5B"/>
    <w:rsid w:val="0056634D"/>
    <w:rsid w:val="005718C0"/>
    <w:rsid w:val="00571D77"/>
    <w:rsid w:val="005748BC"/>
    <w:rsid w:val="00574B8C"/>
    <w:rsid w:val="005752E5"/>
    <w:rsid w:val="0057674E"/>
    <w:rsid w:val="00576968"/>
    <w:rsid w:val="00576CFF"/>
    <w:rsid w:val="00577B45"/>
    <w:rsid w:val="00580B87"/>
    <w:rsid w:val="005908E3"/>
    <w:rsid w:val="00590C05"/>
    <w:rsid w:val="005970EA"/>
    <w:rsid w:val="005972B7"/>
    <w:rsid w:val="0059765A"/>
    <w:rsid w:val="00597D96"/>
    <w:rsid w:val="005A11DA"/>
    <w:rsid w:val="005A15AD"/>
    <w:rsid w:val="005A1BCD"/>
    <w:rsid w:val="005A41E1"/>
    <w:rsid w:val="005A4FC6"/>
    <w:rsid w:val="005A6C78"/>
    <w:rsid w:val="005B4BB4"/>
    <w:rsid w:val="005C08E7"/>
    <w:rsid w:val="005C2FB6"/>
    <w:rsid w:val="005C37F0"/>
    <w:rsid w:val="005C5F4F"/>
    <w:rsid w:val="005D038C"/>
    <w:rsid w:val="005D243A"/>
    <w:rsid w:val="005D4CBB"/>
    <w:rsid w:val="005D4CC5"/>
    <w:rsid w:val="005D6632"/>
    <w:rsid w:val="005E14E4"/>
    <w:rsid w:val="005E279E"/>
    <w:rsid w:val="005E43C3"/>
    <w:rsid w:val="005E45E3"/>
    <w:rsid w:val="005E4636"/>
    <w:rsid w:val="005E4DE1"/>
    <w:rsid w:val="005E7B31"/>
    <w:rsid w:val="005E7CF7"/>
    <w:rsid w:val="005F2C68"/>
    <w:rsid w:val="005F2D18"/>
    <w:rsid w:val="005F44FB"/>
    <w:rsid w:val="005F54D1"/>
    <w:rsid w:val="005F6C75"/>
    <w:rsid w:val="00600359"/>
    <w:rsid w:val="006034CB"/>
    <w:rsid w:val="00603A17"/>
    <w:rsid w:val="006043DF"/>
    <w:rsid w:val="006106F7"/>
    <w:rsid w:val="00613836"/>
    <w:rsid w:val="006139E2"/>
    <w:rsid w:val="0062211A"/>
    <w:rsid w:val="00623BA1"/>
    <w:rsid w:val="00630B8B"/>
    <w:rsid w:val="00630EB3"/>
    <w:rsid w:val="00633281"/>
    <w:rsid w:val="00634334"/>
    <w:rsid w:val="00634609"/>
    <w:rsid w:val="006346BC"/>
    <w:rsid w:val="00634EF9"/>
    <w:rsid w:val="0063639B"/>
    <w:rsid w:val="00641274"/>
    <w:rsid w:val="00644305"/>
    <w:rsid w:val="006460E2"/>
    <w:rsid w:val="00647435"/>
    <w:rsid w:val="00651314"/>
    <w:rsid w:val="006529F4"/>
    <w:rsid w:val="00652B45"/>
    <w:rsid w:val="00652D4B"/>
    <w:rsid w:val="006541C6"/>
    <w:rsid w:val="006558F1"/>
    <w:rsid w:val="00655CC0"/>
    <w:rsid w:val="00661236"/>
    <w:rsid w:val="00662AD4"/>
    <w:rsid w:val="00663554"/>
    <w:rsid w:val="00663D37"/>
    <w:rsid w:val="006643BF"/>
    <w:rsid w:val="00664A24"/>
    <w:rsid w:val="0066652A"/>
    <w:rsid w:val="00671C7E"/>
    <w:rsid w:val="00671CAD"/>
    <w:rsid w:val="00672C7A"/>
    <w:rsid w:val="0067337B"/>
    <w:rsid w:val="00675827"/>
    <w:rsid w:val="00675ACF"/>
    <w:rsid w:val="0068028B"/>
    <w:rsid w:val="00681881"/>
    <w:rsid w:val="00681D1E"/>
    <w:rsid w:val="00682167"/>
    <w:rsid w:val="0068294F"/>
    <w:rsid w:val="00683810"/>
    <w:rsid w:val="00685221"/>
    <w:rsid w:val="00686305"/>
    <w:rsid w:val="00686BB8"/>
    <w:rsid w:val="00686BFA"/>
    <w:rsid w:val="00686E76"/>
    <w:rsid w:val="00692A2E"/>
    <w:rsid w:val="00696CD5"/>
    <w:rsid w:val="006A0B6F"/>
    <w:rsid w:val="006A562D"/>
    <w:rsid w:val="006A7385"/>
    <w:rsid w:val="006B09A0"/>
    <w:rsid w:val="006B34E2"/>
    <w:rsid w:val="006C2637"/>
    <w:rsid w:val="006C42AF"/>
    <w:rsid w:val="006C43E0"/>
    <w:rsid w:val="006C4DD1"/>
    <w:rsid w:val="006C503E"/>
    <w:rsid w:val="006C590E"/>
    <w:rsid w:val="006C7B43"/>
    <w:rsid w:val="006C7C32"/>
    <w:rsid w:val="006D2D55"/>
    <w:rsid w:val="006D321E"/>
    <w:rsid w:val="006D48A2"/>
    <w:rsid w:val="006D51A3"/>
    <w:rsid w:val="006D6C88"/>
    <w:rsid w:val="006D6D36"/>
    <w:rsid w:val="006D7DDD"/>
    <w:rsid w:val="006E0051"/>
    <w:rsid w:val="006E0C94"/>
    <w:rsid w:val="006E1BFA"/>
    <w:rsid w:val="006E4EFF"/>
    <w:rsid w:val="006E546D"/>
    <w:rsid w:val="006E6B2C"/>
    <w:rsid w:val="006F1811"/>
    <w:rsid w:val="006F2D9B"/>
    <w:rsid w:val="00702D97"/>
    <w:rsid w:val="00702D9D"/>
    <w:rsid w:val="00707201"/>
    <w:rsid w:val="007112DC"/>
    <w:rsid w:val="00711D8E"/>
    <w:rsid w:val="00712672"/>
    <w:rsid w:val="00712C9E"/>
    <w:rsid w:val="00713A97"/>
    <w:rsid w:val="00717092"/>
    <w:rsid w:val="00717A0C"/>
    <w:rsid w:val="007201A5"/>
    <w:rsid w:val="00720E68"/>
    <w:rsid w:val="00723448"/>
    <w:rsid w:val="00724397"/>
    <w:rsid w:val="00724538"/>
    <w:rsid w:val="007245F6"/>
    <w:rsid w:val="007278C6"/>
    <w:rsid w:val="0073296B"/>
    <w:rsid w:val="00732A48"/>
    <w:rsid w:val="00734E3F"/>
    <w:rsid w:val="00736066"/>
    <w:rsid w:val="00736985"/>
    <w:rsid w:val="00740648"/>
    <w:rsid w:val="00742935"/>
    <w:rsid w:val="0074384E"/>
    <w:rsid w:val="00745263"/>
    <w:rsid w:val="007461A5"/>
    <w:rsid w:val="0075027F"/>
    <w:rsid w:val="00751256"/>
    <w:rsid w:val="00752B6F"/>
    <w:rsid w:val="0075630C"/>
    <w:rsid w:val="0075714D"/>
    <w:rsid w:val="00757A43"/>
    <w:rsid w:val="00760C71"/>
    <w:rsid w:val="007616C0"/>
    <w:rsid w:val="00762F25"/>
    <w:rsid w:val="00763E60"/>
    <w:rsid w:val="007676BC"/>
    <w:rsid w:val="00767959"/>
    <w:rsid w:val="00775C21"/>
    <w:rsid w:val="007760F7"/>
    <w:rsid w:val="0078166C"/>
    <w:rsid w:val="00781A73"/>
    <w:rsid w:val="0078277D"/>
    <w:rsid w:val="00786A3C"/>
    <w:rsid w:val="00787017"/>
    <w:rsid w:val="00790E4D"/>
    <w:rsid w:val="00792052"/>
    <w:rsid w:val="00792D1A"/>
    <w:rsid w:val="007954A0"/>
    <w:rsid w:val="007960D8"/>
    <w:rsid w:val="00796216"/>
    <w:rsid w:val="007A0BB4"/>
    <w:rsid w:val="007A0D73"/>
    <w:rsid w:val="007A2F54"/>
    <w:rsid w:val="007A65F1"/>
    <w:rsid w:val="007A7ECD"/>
    <w:rsid w:val="007B1727"/>
    <w:rsid w:val="007B3539"/>
    <w:rsid w:val="007B591F"/>
    <w:rsid w:val="007B5E6F"/>
    <w:rsid w:val="007B6200"/>
    <w:rsid w:val="007B7282"/>
    <w:rsid w:val="007D134E"/>
    <w:rsid w:val="007D2B59"/>
    <w:rsid w:val="007D3071"/>
    <w:rsid w:val="007D4AEB"/>
    <w:rsid w:val="007D51E9"/>
    <w:rsid w:val="007D5F66"/>
    <w:rsid w:val="007D63E4"/>
    <w:rsid w:val="007D7108"/>
    <w:rsid w:val="007D7893"/>
    <w:rsid w:val="007D7F45"/>
    <w:rsid w:val="007E5375"/>
    <w:rsid w:val="007E5DD6"/>
    <w:rsid w:val="007E7C2C"/>
    <w:rsid w:val="007F008A"/>
    <w:rsid w:val="007F4569"/>
    <w:rsid w:val="0080108B"/>
    <w:rsid w:val="00801B9F"/>
    <w:rsid w:val="00802097"/>
    <w:rsid w:val="00802117"/>
    <w:rsid w:val="008067C8"/>
    <w:rsid w:val="008078E6"/>
    <w:rsid w:val="0081276B"/>
    <w:rsid w:val="00814728"/>
    <w:rsid w:val="00815930"/>
    <w:rsid w:val="00821C98"/>
    <w:rsid w:val="0082552A"/>
    <w:rsid w:val="008279EE"/>
    <w:rsid w:val="00830EB6"/>
    <w:rsid w:val="0083472D"/>
    <w:rsid w:val="00834B32"/>
    <w:rsid w:val="00844607"/>
    <w:rsid w:val="00844FEA"/>
    <w:rsid w:val="00846CF1"/>
    <w:rsid w:val="00846D51"/>
    <w:rsid w:val="00847436"/>
    <w:rsid w:val="00851BC0"/>
    <w:rsid w:val="00853124"/>
    <w:rsid w:val="008534D0"/>
    <w:rsid w:val="00855FC3"/>
    <w:rsid w:val="0086066E"/>
    <w:rsid w:val="008609C8"/>
    <w:rsid w:val="008641B4"/>
    <w:rsid w:val="008701D0"/>
    <w:rsid w:val="0087159C"/>
    <w:rsid w:val="00871B31"/>
    <w:rsid w:val="00873903"/>
    <w:rsid w:val="00874F72"/>
    <w:rsid w:val="00874F7B"/>
    <w:rsid w:val="008775A8"/>
    <w:rsid w:val="0088006E"/>
    <w:rsid w:val="00880B3F"/>
    <w:rsid w:val="00881AFA"/>
    <w:rsid w:val="00882039"/>
    <w:rsid w:val="00885B9C"/>
    <w:rsid w:val="0088723A"/>
    <w:rsid w:val="00895045"/>
    <w:rsid w:val="00895E3D"/>
    <w:rsid w:val="008A07DC"/>
    <w:rsid w:val="008A5C8D"/>
    <w:rsid w:val="008B1271"/>
    <w:rsid w:val="008B189B"/>
    <w:rsid w:val="008B2DD6"/>
    <w:rsid w:val="008B65A8"/>
    <w:rsid w:val="008C361D"/>
    <w:rsid w:val="008C4754"/>
    <w:rsid w:val="008C54B0"/>
    <w:rsid w:val="008D0C65"/>
    <w:rsid w:val="008D0C73"/>
    <w:rsid w:val="008D1130"/>
    <w:rsid w:val="008D195C"/>
    <w:rsid w:val="008E1B2D"/>
    <w:rsid w:val="008E2888"/>
    <w:rsid w:val="008E2CEC"/>
    <w:rsid w:val="008E4EB9"/>
    <w:rsid w:val="008E6728"/>
    <w:rsid w:val="008F1378"/>
    <w:rsid w:val="008F16CF"/>
    <w:rsid w:val="008F1803"/>
    <w:rsid w:val="008F5F2D"/>
    <w:rsid w:val="008F6659"/>
    <w:rsid w:val="008F6F33"/>
    <w:rsid w:val="00901432"/>
    <w:rsid w:val="009015FC"/>
    <w:rsid w:val="00901BC2"/>
    <w:rsid w:val="009038E3"/>
    <w:rsid w:val="009039C0"/>
    <w:rsid w:val="00903BC5"/>
    <w:rsid w:val="00905461"/>
    <w:rsid w:val="00915A33"/>
    <w:rsid w:val="009168A3"/>
    <w:rsid w:val="00917A11"/>
    <w:rsid w:val="00917FB9"/>
    <w:rsid w:val="00923BAB"/>
    <w:rsid w:val="00927DCD"/>
    <w:rsid w:val="00927FB7"/>
    <w:rsid w:val="00931EF3"/>
    <w:rsid w:val="009352A7"/>
    <w:rsid w:val="00936625"/>
    <w:rsid w:val="00936A73"/>
    <w:rsid w:val="00940F4A"/>
    <w:rsid w:val="00941860"/>
    <w:rsid w:val="0094193D"/>
    <w:rsid w:val="00941D45"/>
    <w:rsid w:val="00941FD1"/>
    <w:rsid w:val="00946775"/>
    <w:rsid w:val="00950E97"/>
    <w:rsid w:val="0095160B"/>
    <w:rsid w:val="00951694"/>
    <w:rsid w:val="009539D9"/>
    <w:rsid w:val="00953BAA"/>
    <w:rsid w:val="00954AAD"/>
    <w:rsid w:val="00957865"/>
    <w:rsid w:val="00960BAA"/>
    <w:rsid w:val="0096102B"/>
    <w:rsid w:val="0096722F"/>
    <w:rsid w:val="00970560"/>
    <w:rsid w:val="009705B5"/>
    <w:rsid w:val="00971C7B"/>
    <w:rsid w:val="009762B4"/>
    <w:rsid w:val="009767DE"/>
    <w:rsid w:val="009804AD"/>
    <w:rsid w:val="00981F8D"/>
    <w:rsid w:val="00983349"/>
    <w:rsid w:val="00984236"/>
    <w:rsid w:val="00984A3F"/>
    <w:rsid w:val="00984C89"/>
    <w:rsid w:val="0099035D"/>
    <w:rsid w:val="0099053F"/>
    <w:rsid w:val="00991EDA"/>
    <w:rsid w:val="00994D82"/>
    <w:rsid w:val="009A1A16"/>
    <w:rsid w:val="009A233D"/>
    <w:rsid w:val="009A5610"/>
    <w:rsid w:val="009A71B2"/>
    <w:rsid w:val="009A7542"/>
    <w:rsid w:val="009B0D25"/>
    <w:rsid w:val="009B0FF8"/>
    <w:rsid w:val="009B21DB"/>
    <w:rsid w:val="009B4D3B"/>
    <w:rsid w:val="009B53C8"/>
    <w:rsid w:val="009B69CE"/>
    <w:rsid w:val="009C1C72"/>
    <w:rsid w:val="009C47A6"/>
    <w:rsid w:val="009C4B7A"/>
    <w:rsid w:val="009C6DA6"/>
    <w:rsid w:val="009D32DE"/>
    <w:rsid w:val="009D35F4"/>
    <w:rsid w:val="009D3BF1"/>
    <w:rsid w:val="009D3D91"/>
    <w:rsid w:val="009D63C6"/>
    <w:rsid w:val="009D64B5"/>
    <w:rsid w:val="009D6B94"/>
    <w:rsid w:val="009D7407"/>
    <w:rsid w:val="009D7B88"/>
    <w:rsid w:val="009E0866"/>
    <w:rsid w:val="009E1319"/>
    <w:rsid w:val="009E1BEF"/>
    <w:rsid w:val="009E6A9D"/>
    <w:rsid w:val="009F020E"/>
    <w:rsid w:val="009F154F"/>
    <w:rsid w:val="009F2AC2"/>
    <w:rsid w:val="009F6E86"/>
    <w:rsid w:val="00A00B69"/>
    <w:rsid w:val="00A12A3B"/>
    <w:rsid w:val="00A14369"/>
    <w:rsid w:val="00A17DE0"/>
    <w:rsid w:val="00A23CBE"/>
    <w:rsid w:val="00A24A62"/>
    <w:rsid w:val="00A26CCE"/>
    <w:rsid w:val="00A30ECF"/>
    <w:rsid w:val="00A31C9F"/>
    <w:rsid w:val="00A32841"/>
    <w:rsid w:val="00A34A56"/>
    <w:rsid w:val="00A34F75"/>
    <w:rsid w:val="00A406E1"/>
    <w:rsid w:val="00A4277C"/>
    <w:rsid w:val="00A4691C"/>
    <w:rsid w:val="00A514BA"/>
    <w:rsid w:val="00A51C43"/>
    <w:rsid w:val="00A53CA7"/>
    <w:rsid w:val="00A5411E"/>
    <w:rsid w:val="00A5550A"/>
    <w:rsid w:val="00A61B66"/>
    <w:rsid w:val="00A6295F"/>
    <w:rsid w:val="00A65556"/>
    <w:rsid w:val="00A700B5"/>
    <w:rsid w:val="00A733A1"/>
    <w:rsid w:val="00A73416"/>
    <w:rsid w:val="00A735D1"/>
    <w:rsid w:val="00A76378"/>
    <w:rsid w:val="00A76F9A"/>
    <w:rsid w:val="00A806D0"/>
    <w:rsid w:val="00A8369A"/>
    <w:rsid w:val="00A83702"/>
    <w:rsid w:val="00A83F21"/>
    <w:rsid w:val="00A84382"/>
    <w:rsid w:val="00A84905"/>
    <w:rsid w:val="00A91A0E"/>
    <w:rsid w:val="00A921E4"/>
    <w:rsid w:val="00A92281"/>
    <w:rsid w:val="00A92EC9"/>
    <w:rsid w:val="00A933CB"/>
    <w:rsid w:val="00A95FA0"/>
    <w:rsid w:val="00A961DD"/>
    <w:rsid w:val="00A963ED"/>
    <w:rsid w:val="00AA2B5E"/>
    <w:rsid w:val="00AA33DC"/>
    <w:rsid w:val="00AA7E75"/>
    <w:rsid w:val="00AB2438"/>
    <w:rsid w:val="00AB2517"/>
    <w:rsid w:val="00AB2743"/>
    <w:rsid w:val="00AB2A33"/>
    <w:rsid w:val="00AB36E4"/>
    <w:rsid w:val="00AB5828"/>
    <w:rsid w:val="00AB5E89"/>
    <w:rsid w:val="00AC164A"/>
    <w:rsid w:val="00AC1C37"/>
    <w:rsid w:val="00AC2296"/>
    <w:rsid w:val="00AC6239"/>
    <w:rsid w:val="00AC71A3"/>
    <w:rsid w:val="00AC7BAA"/>
    <w:rsid w:val="00AD043F"/>
    <w:rsid w:val="00AD44A1"/>
    <w:rsid w:val="00AD6A60"/>
    <w:rsid w:val="00AD6F3A"/>
    <w:rsid w:val="00AD7A5E"/>
    <w:rsid w:val="00AE494D"/>
    <w:rsid w:val="00AE661F"/>
    <w:rsid w:val="00AE7472"/>
    <w:rsid w:val="00AF1F69"/>
    <w:rsid w:val="00AF2050"/>
    <w:rsid w:val="00AF39A3"/>
    <w:rsid w:val="00AF4102"/>
    <w:rsid w:val="00AF4AD1"/>
    <w:rsid w:val="00AF513B"/>
    <w:rsid w:val="00AF5513"/>
    <w:rsid w:val="00AF6391"/>
    <w:rsid w:val="00B02F39"/>
    <w:rsid w:val="00B03471"/>
    <w:rsid w:val="00B12BAD"/>
    <w:rsid w:val="00B1529E"/>
    <w:rsid w:val="00B17288"/>
    <w:rsid w:val="00B17C27"/>
    <w:rsid w:val="00B17CCD"/>
    <w:rsid w:val="00B207A5"/>
    <w:rsid w:val="00B22D1E"/>
    <w:rsid w:val="00B25A09"/>
    <w:rsid w:val="00B264E6"/>
    <w:rsid w:val="00B26C90"/>
    <w:rsid w:val="00B3091B"/>
    <w:rsid w:val="00B30931"/>
    <w:rsid w:val="00B32196"/>
    <w:rsid w:val="00B335E2"/>
    <w:rsid w:val="00B36005"/>
    <w:rsid w:val="00B364BC"/>
    <w:rsid w:val="00B416CD"/>
    <w:rsid w:val="00B420BB"/>
    <w:rsid w:val="00B42A69"/>
    <w:rsid w:val="00B45CE6"/>
    <w:rsid w:val="00B50ADD"/>
    <w:rsid w:val="00B50B49"/>
    <w:rsid w:val="00B513CF"/>
    <w:rsid w:val="00B52475"/>
    <w:rsid w:val="00B52768"/>
    <w:rsid w:val="00B62153"/>
    <w:rsid w:val="00B62544"/>
    <w:rsid w:val="00B666D8"/>
    <w:rsid w:val="00B67513"/>
    <w:rsid w:val="00B70B09"/>
    <w:rsid w:val="00B710FC"/>
    <w:rsid w:val="00B75697"/>
    <w:rsid w:val="00B75BFF"/>
    <w:rsid w:val="00B75CBC"/>
    <w:rsid w:val="00B761CC"/>
    <w:rsid w:val="00B816CA"/>
    <w:rsid w:val="00B8181B"/>
    <w:rsid w:val="00B8722D"/>
    <w:rsid w:val="00B87C3A"/>
    <w:rsid w:val="00B90E7C"/>
    <w:rsid w:val="00B91C55"/>
    <w:rsid w:val="00B937AE"/>
    <w:rsid w:val="00BA00C7"/>
    <w:rsid w:val="00BA1D06"/>
    <w:rsid w:val="00BB17E2"/>
    <w:rsid w:val="00BB26C5"/>
    <w:rsid w:val="00BC2546"/>
    <w:rsid w:val="00BC5C1B"/>
    <w:rsid w:val="00BC5E36"/>
    <w:rsid w:val="00BD2309"/>
    <w:rsid w:val="00BD5163"/>
    <w:rsid w:val="00BD53A0"/>
    <w:rsid w:val="00BD5438"/>
    <w:rsid w:val="00BD7CB0"/>
    <w:rsid w:val="00BD7D46"/>
    <w:rsid w:val="00BE2647"/>
    <w:rsid w:val="00BE519C"/>
    <w:rsid w:val="00BE66CE"/>
    <w:rsid w:val="00BF1FF1"/>
    <w:rsid w:val="00BF4DE6"/>
    <w:rsid w:val="00BF4E04"/>
    <w:rsid w:val="00BF522E"/>
    <w:rsid w:val="00BF5393"/>
    <w:rsid w:val="00BF5653"/>
    <w:rsid w:val="00BF57B7"/>
    <w:rsid w:val="00C00784"/>
    <w:rsid w:val="00C00C86"/>
    <w:rsid w:val="00C0118D"/>
    <w:rsid w:val="00C01890"/>
    <w:rsid w:val="00C046B9"/>
    <w:rsid w:val="00C057B4"/>
    <w:rsid w:val="00C07876"/>
    <w:rsid w:val="00C10F84"/>
    <w:rsid w:val="00C13B88"/>
    <w:rsid w:val="00C13E36"/>
    <w:rsid w:val="00C17949"/>
    <w:rsid w:val="00C21FBD"/>
    <w:rsid w:val="00C22C58"/>
    <w:rsid w:val="00C2313F"/>
    <w:rsid w:val="00C23CF1"/>
    <w:rsid w:val="00C24D33"/>
    <w:rsid w:val="00C309BF"/>
    <w:rsid w:val="00C3107F"/>
    <w:rsid w:val="00C32606"/>
    <w:rsid w:val="00C40DAD"/>
    <w:rsid w:val="00C415F0"/>
    <w:rsid w:val="00C42CDE"/>
    <w:rsid w:val="00C42F4E"/>
    <w:rsid w:val="00C43C70"/>
    <w:rsid w:val="00C4598C"/>
    <w:rsid w:val="00C46B0C"/>
    <w:rsid w:val="00C526BF"/>
    <w:rsid w:val="00C535B8"/>
    <w:rsid w:val="00C53EB6"/>
    <w:rsid w:val="00C557BD"/>
    <w:rsid w:val="00C56B3D"/>
    <w:rsid w:val="00C613FB"/>
    <w:rsid w:val="00C665E9"/>
    <w:rsid w:val="00C669B4"/>
    <w:rsid w:val="00C70348"/>
    <w:rsid w:val="00C7397A"/>
    <w:rsid w:val="00C74B44"/>
    <w:rsid w:val="00C759CF"/>
    <w:rsid w:val="00C77944"/>
    <w:rsid w:val="00C83B14"/>
    <w:rsid w:val="00C8485A"/>
    <w:rsid w:val="00C84F38"/>
    <w:rsid w:val="00C86D7A"/>
    <w:rsid w:val="00C947B9"/>
    <w:rsid w:val="00C961A8"/>
    <w:rsid w:val="00CA1ADF"/>
    <w:rsid w:val="00CA1E41"/>
    <w:rsid w:val="00CA37B1"/>
    <w:rsid w:val="00CA4985"/>
    <w:rsid w:val="00CA6857"/>
    <w:rsid w:val="00CA6E20"/>
    <w:rsid w:val="00CA72AB"/>
    <w:rsid w:val="00CB086A"/>
    <w:rsid w:val="00CB13EE"/>
    <w:rsid w:val="00CB1959"/>
    <w:rsid w:val="00CB1C9C"/>
    <w:rsid w:val="00CB2C8E"/>
    <w:rsid w:val="00CB3E40"/>
    <w:rsid w:val="00CB6E45"/>
    <w:rsid w:val="00CB720E"/>
    <w:rsid w:val="00CB7BD7"/>
    <w:rsid w:val="00CC1A2A"/>
    <w:rsid w:val="00CC211A"/>
    <w:rsid w:val="00CD0650"/>
    <w:rsid w:val="00CD2AB2"/>
    <w:rsid w:val="00CD42FD"/>
    <w:rsid w:val="00CD6258"/>
    <w:rsid w:val="00CE274C"/>
    <w:rsid w:val="00CE2A3F"/>
    <w:rsid w:val="00CE2C38"/>
    <w:rsid w:val="00CE424D"/>
    <w:rsid w:val="00CF07D1"/>
    <w:rsid w:val="00CF09DB"/>
    <w:rsid w:val="00CF0A17"/>
    <w:rsid w:val="00CF14AA"/>
    <w:rsid w:val="00CF2EE5"/>
    <w:rsid w:val="00CF3050"/>
    <w:rsid w:val="00CF504F"/>
    <w:rsid w:val="00D00531"/>
    <w:rsid w:val="00D008D1"/>
    <w:rsid w:val="00D00F83"/>
    <w:rsid w:val="00D01DA4"/>
    <w:rsid w:val="00D0296C"/>
    <w:rsid w:val="00D03E30"/>
    <w:rsid w:val="00D0496A"/>
    <w:rsid w:val="00D11714"/>
    <w:rsid w:val="00D1383B"/>
    <w:rsid w:val="00D156B1"/>
    <w:rsid w:val="00D1660D"/>
    <w:rsid w:val="00D1751F"/>
    <w:rsid w:val="00D17C53"/>
    <w:rsid w:val="00D209B6"/>
    <w:rsid w:val="00D226AC"/>
    <w:rsid w:val="00D23B76"/>
    <w:rsid w:val="00D245A0"/>
    <w:rsid w:val="00D245FC"/>
    <w:rsid w:val="00D27486"/>
    <w:rsid w:val="00D27C2D"/>
    <w:rsid w:val="00D319DF"/>
    <w:rsid w:val="00D32F5E"/>
    <w:rsid w:val="00D377F2"/>
    <w:rsid w:val="00D42AE9"/>
    <w:rsid w:val="00D4487F"/>
    <w:rsid w:val="00D45B37"/>
    <w:rsid w:val="00D50513"/>
    <w:rsid w:val="00D554BC"/>
    <w:rsid w:val="00D60213"/>
    <w:rsid w:val="00D62521"/>
    <w:rsid w:val="00D65C39"/>
    <w:rsid w:val="00D66B96"/>
    <w:rsid w:val="00D71EE0"/>
    <w:rsid w:val="00D737C6"/>
    <w:rsid w:val="00D73985"/>
    <w:rsid w:val="00D7402D"/>
    <w:rsid w:val="00D75F4B"/>
    <w:rsid w:val="00D76E1A"/>
    <w:rsid w:val="00D77D8D"/>
    <w:rsid w:val="00D77F1B"/>
    <w:rsid w:val="00D80667"/>
    <w:rsid w:val="00D80FBD"/>
    <w:rsid w:val="00D86837"/>
    <w:rsid w:val="00D86FC0"/>
    <w:rsid w:val="00D911BA"/>
    <w:rsid w:val="00D917C4"/>
    <w:rsid w:val="00D917EF"/>
    <w:rsid w:val="00D9360C"/>
    <w:rsid w:val="00D94495"/>
    <w:rsid w:val="00D971EA"/>
    <w:rsid w:val="00D976A8"/>
    <w:rsid w:val="00DA5EFE"/>
    <w:rsid w:val="00DA5F2C"/>
    <w:rsid w:val="00DA7273"/>
    <w:rsid w:val="00DB033E"/>
    <w:rsid w:val="00DB0758"/>
    <w:rsid w:val="00DB220D"/>
    <w:rsid w:val="00DB35A3"/>
    <w:rsid w:val="00DB463C"/>
    <w:rsid w:val="00DB5D37"/>
    <w:rsid w:val="00DB6D69"/>
    <w:rsid w:val="00DB79DF"/>
    <w:rsid w:val="00DC15B9"/>
    <w:rsid w:val="00DC300C"/>
    <w:rsid w:val="00DC430B"/>
    <w:rsid w:val="00DC6D28"/>
    <w:rsid w:val="00DD0C62"/>
    <w:rsid w:val="00DD2E90"/>
    <w:rsid w:val="00DD4755"/>
    <w:rsid w:val="00DD65FA"/>
    <w:rsid w:val="00DD6F1F"/>
    <w:rsid w:val="00DE18C7"/>
    <w:rsid w:val="00DE3F35"/>
    <w:rsid w:val="00DE4B95"/>
    <w:rsid w:val="00DE4EDE"/>
    <w:rsid w:val="00DE5DDA"/>
    <w:rsid w:val="00DE7892"/>
    <w:rsid w:val="00DE7DB0"/>
    <w:rsid w:val="00DF5E66"/>
    <w:rsid w:val="00E011B1"/>
    <w:rsid w:val="00E05B73"/>
    <w:rsid w:val="00E068EF"/>
    <w:rsid w:val="00E1391D"/>
    <w:rsid w:val="00E13D5F"/>
    <w:rsid w:val="00E13DB4"/>
    <w:rsid w:val="00E17FDD"/>
    <w:rsid w:val="00E2062B"/>
    <w:rsid w:val="00E20692"/>
    <w:rsid w:val="00E20BA6"/>
    <w:rsid w:val="00E222F1"/>
    <w:rsid w:val="00E24DAC"/>
    <w:rsid w:val="00E2628F"/>
    <w:rsid w:val="00E26C25"/>
    <w:rsid w:val="00E304A7"/>
    <w:rsid w:val="00E31CE4"/>
    <w:rsid w:val="00E32FBC"/>
    <w:rsid w:val="00E357B7"/>
    <w:rsid w:val="00E3741B"/>
    <w:rsid w:val="00E37B71"/>
    <w:rsid w:val="00E47102"/>
    <w:rsid w:val="00E5059F"/>
    <w:rsid w:val="00E50A61"/>
    <w:rsid w:val="00E50DEB"/>
    <w:rsid w:val="00E5204E"/>
    <w:rsid w:val="00E52F80"/>
    <w:rsid w:val="00E53800"/>
    <w:rsid w:val="00E54E8E"/>
    <w:rsid w:val="00E6081F"/>
    <w:rsid w:val="00E620D2"/>
    <w:rsid w:val="00E628E2"/>
    <w:rsid w:val="00E6686E"/>
    <w:rsid w:val="00E6702A"/>
    <w:rsid w:val="00E6799D"/>
    <w:rsid w:val="00E70856"/>
    <w:rsid w:val="00E70D14"/>
    <w:rsid w:val="00E71628"/>
    <w:rsid w:val="00E7311C"/>
    <w:rsid w:val="00E80DD7"/>
    <w:rsid w:val="00E83AD1"/>
    <w:rsid w:val="00E83E0F"/>
    <w:rsid w:val="00E840FD"/>
    <w:rsid w:val="00E84791"/>
    <w:rsid w:val="00E868DD"/>
    <w:rsid w:val="00E90CE7"/>
    <w:rsid w:val="00E90CFD"/>
    <w:rsid w:val="00E92272"/>
    <w:rsid w:val="00E92624"/>
    <w:rsid w:val="00E92D14"/>
    <w:rsid w:val="00E92FD7"/>
    <w:rsid w:val="00E943E5"/>
    <w:rsid w:val="00E96A5C"/>
    <w:rsid w:val="00E96E78"/>
    <w:rsid w:val="00E97184"/>
    <w:rsid w:val="00EA04B2"/>
    <w:rsid w:val="00EA0FD4"/>
    <w:rsid w:val="00EA1ED5"/>
    <w:rsid w:val="00EA20F3"/>
    <w:rsid w:val="00EA3B19"/>
    <w:rsid w:val="00EA43E3"/>
    <w:rsid w:val="00EA463A"/>
    <w:rsid w:val="00EA50E7"/>
    <w:rsid w:val="00EA6A2A"/>
    <w:rsid w:val="00EA7560"/>
    <w:rsid w:val="00EB296F"/>
    <w:rsid w:val="00EB2D29"/>
    <w:rsid w:val="00EB772A"/>
    <w:rsid w:val="00EC483B"/>
    <w:rsid w:val="00EC52D1"/>
    <w:rsid w:val="00EC770A"/>
    <w:rsid w:val="00ED0502"/>
    <w:rsid w:val="00ED15AD"/>
    <w:rsid w:val="00ED1F50"/>
    <w:rsid w:val="00ED3D60"/>
    <w:rsid w:val="00ED43D1"/>
    <w:rsid w:val="00ED4935"/>
    <w:rsid w:val="00ED56C5"/>
    <w:rsid w:val="00EE460F"/>
    <w:rsid w:val="00EE4EE1"/>
    <w:rsid w:val="00EF4574"/>
    <w:rsid w:val="00EF4BB0"/>
    <w:rsid w:val="00EF6C9D"/>
    <w:rsid w:val="00EF7731"/>
    <w:rsid w:val="00EF7EC7"/>
    <w:rsid w:val="00F0219E"/>
    <w:rsid w:val="00F1464F"/>
    <w:rsid w:val="00F15D60"/>
    <w:rsid w:val="00F1624C"/>
    <w:rsid w:val="00F166A0"/>
    <w:rsid w:val="00F20987"/>
    <w:rsid w:val="00F229D2"/>
    <w:rsid w:val="00F22DE8"/>
    <w:rsid w:val="00F2510C"/>
    <w:rsid w:val="00F2677B"/>
    <w:rsid w:val="00F2684E"/>
    <w:rsid w:val="00F318F4"/>
    <w:rsid w:val="00F3237A"/>
    <w:rsid w:val="00F32FB2"/>
    <w:rsid w:val="00F33502"/>
    <w:rsid w:val="00F33736"/>
    <w:rsid w:val="00F33F85"/>
    <w:rsid w:val="00F40681"/>
    <w:rsid w:val="00F41899"/>
    <w:rsid w:val="00F42138"/>
    <w:rsid w:val="00F42393"/>
    <w:rsid w:val="00F42702"/>
    <w:rsid w:val="00F43006"/>
    <w:rsid w:val="00F445A1"/>
    <w:rsid w:val="00F44EBB"/>
    <w:rsid w:val="00F467A1"/>
    <w:rsid w:val="00F506C5"/>
    <w:rsid w:val="00F5143D"/>
    <w:rsid w:val="00F54B50"/>
    <w:rsid w:val="00F54FBA"/>
    <w:rsid w:val="00F57A27"/>
    <w:rsid w:val="00F62A7B"/>
    <w:rsid w:val="00F638B4"/>
    <w:rsid w:val="00F64E28"/>
    <w:rsid w:val="00F657F8"/>
    <w:rsid w:val="00F706CA"/>
    <w:rsid w:val="00F713C3"/>
    <w:rsid w:val="00F729EF"/>
    <w:rsid w:val="00F75D04"/>
    <w:rsid w:val="00F77CAE"/>
    <w:rsid w:val="00F80DAF"/>
    <w:rsid w:val="00F83617"/>
    <w:rsid w:val="00F87C54"/>
    <w:rsid w:val="00F9097F"/>
    <w:rsid w:val="00F9158B"/>
    <w:rsid w:val="00F91A8B"/>
    <w:rsid w:val="00F91FD1"/>
    <w:rsid w:val="00F92906"/>
    <w:rsid w:val="00F93235"/>
    <w:rsid w:val="00F947CD"/>
    <w:rsid w:val="00F96BB9"/>
    <w:rsid w:val="00FA192E"/>
    <w:rsid w:val="00FA22D7"/>
    <w:rsid w:val="00FB1D22"/>
    <w:rsid w:val="00FB3CF2"/>
    <w:rsid w:val="00FB4D70"/>
    <w:rsid w:val="00FB4EFA"/>
    <w:rsid w:val="00FC0105"/>
    <w:rsid w:val="00FC16FB"/>
    <w:rsid w:val="00FC4C17"/>
    <w:rsid w:val="00FC4C3C"/>
    <w:rsid w:val="00FC5F34"/>
    <w:rsid w:val="00FC7059"/>
    <w:rsid w:val="00FD028A"/>
    <w:rsid w:val="00FD08F6"/>
    <w:rsid w:val="00FD0F33"/>
    <w:rsid w:val="00FD0FBF"/>
    <w:rsid w:val="00FD5520"/>
    <w:rsid w:val="00FE4BC1"/>
    <w:rsid w:val="00FE6D51"/>
    <w:rsid w:val="00FF5F10"/>
    <w:rsid w:val="10CC03C0"/>
    <w:rsid w:val="1681216E"/>
    <w:rsid w:val="1C06C1B4"/>
    <w:rsid w:val="1DD4CB9A"/>
    <w:rsid w:val="20279F6F"/>
    <w:rsid w:val="20DDF1E1"/>
    <w:rsid w:val="2C2EB831"/>
    <w:rsid w:val="41F37F2C"/>
    <w:rsid w:val="4B692CBA"/>
    <w:rsid w:val="4BE861EC"/>
    <w:rsid w:val="51483D97"/>
    <w:rsid w:val="521F7A44"/>
    <w:rsid w:val="57910A21"/>
    <w:rsid w:val="5AC8136B"/>
    <w:rsid w:val="5E274589"/>
    <w:rsid w:val="620B50D2"/>
    <w:rsid w:val="6AA00CF8"/>
    <w:rsid w:val="73A628C7"/>
    <w:rsid w:val="754913DC"/>
    <w:rsid w:val="77B3AB1A"/>
    <w:rsid w:val="78808E74"/>
    <w:rsid w:val="7ACF7F1A"/>
    <w:rsid w:val="7CF46D0C"/>
    <w:rsid w:val="7D6856DE"/>
    <w:rsid w:val="7E89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715F"/>
  <w15:docId w15:val="{92084B1C-2884-4532-8034-C4D067BB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03"/>
    <w:pPr>
      <w:suppressAutoHyphens/>
      <w:spacing w:before="180" w:after="60" w:line="280" w:lineRule="atLeast"/>
    </w:pPr>
    <w:rPr>
      <w:rFonts w:ascii="Calibri" w:hAnsi="Calibri" w:cs="Calibri"/>
      <w:sz w:val="20"/>
      <w:szCs w:val="20"/>
    </w:r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Normal"/>
    <w:next w:val="Normal"/>
    <w:link w:val="Heading2Char"/>
    <w:uiPriority w:val="9"/>
    <w:unhideWhenUsed/>
    <w:qFormat/>
    <w:rsid w:val="00ED3D60"/>
    <w:pPr>
      <w:spacing w:after="120"/>
      <w:outlineLvl w:val="1"/>
    </w:pPr>
    <w:rPr>
      <w:b/>
      <w:sz w:val="24"/>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38ABA7"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25716F"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ED3D60"/>
    <w:rPr>
      <w:rFonts w:ascii="Calibri" w:hAnsi="Calibri" w:cs="Calibri"/>
      <w:b/>
      <w:sz w:val="24"/>
      <w:szCs w:val="20"/>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umberedList1"/>
    <w:link w:val="Bullet1Char"/>
    <w:qFormat/>
    <w:rsid w:val="00294862"/>
    <w:pPr>
      <w:numPr>
        <w:numId w:val="10"/>
      </w:numPr>
      <w:ind w:left="992" w:hanging="425"/>
      <w:contextualSpacing/>
    </w:pPr>
  </w:style>
  <w:style w:type="paragraph" w:customStyle="1" w:styleId="Bullet2">
    <w:name w:val="Bullet 2"/>
    <w:basedOn w:val="Bullet1"/>
    <w:qFormat/>
    <w:rsid w:val="008F1378"/>
    <w:pPr>
      <w:numPr>
        <w:ilvl w:val="0"/>
        <w:numId w:val="3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Heading1"/>
    <w:qFormat/>
    <w:rsid w:val="00571D77"/>
    <w:pPr>
      <w:keepNext w:val="0"/>
      <w:numPr>
        <w:ilvl w:val="1"/>
        <w:numId w:val="43"/>
      </w:numPr>
      <w:spacing w:before="120" w:line="240" w:lineRule="atLeast"/>
      <w:contextualSpacing w:val="0"/>
    </w:pPr>
    <w:rPr>
      <w:rFonts w:ascii="Calibri" w:hAnsi="Calibri" w:cs="Calibri"/>
      <w:sz w:val="20"/>
    </w:rPr>
  </w:style>
  <w:style w:type="paragraph" w:customStyle="1" w:styleId="NumberedList2">
    <w:name w:val="Numbered List 2"/>
    <w:basedOn w:val="ListParagraph"/>
    <w:qFormat/>
    <w:rsid w:val="00CB7BD7"/>
    <w:pPr>
      <w:spacing w:before="120" w:after="120" w:line="240" w:lineRule="atLeast"/>
      <w:ind w:left="0"/>
      <w:contextualSpacing w:val="0"/>
    </w:pPr>
  </w:style>
  <w:style w:type="paragraph" w:customStyle="1" w:styleId="NumberedList3">
    <w:name w:val="Numbered List 3"/>
    <w:basedOn w:val="ListParagraph"/>
    <w:qFormat/>
    <w:rsid w:val="00CB7BD7"/>
    <w:pPr>
      <w:spacing w:before="120" w:after="120" w:line="240" w:lineRule="atLeast"/>
      <w:ind w:left="0"/>
      <w:contextualSpacing w:val="0"/>
    </w:pPr>
  </w:style>
  <w:style w:type="paragraph" w:customStyle="1" w:styleId="Heading1Numbered">
    <w:name w:val="Heading 1 Numbered"/>
    <w:basedOn w:val="Boxed1Heading"/>
    <w:next w:val="Normal"/>
    <w:qFormat/>
    <w:rsid w:val="008775A8"/>
    <w:pPr>
      <w:numPr>
        <w:numId w:val="43"/>
      </w:numPr>
    </w:pPr>
  </w:style>
  <w:style w:type="paragraph" w:customStyle="1" w:styleId="Heading2Numbered">
    <w:name w:val="Heading 2 Numbered"/>
    <w:basedOn w:val="Heading2"/>
    <w:next w:val="Normal"/>
    <w:qFormat/>
    <w:rsid w:val="00021B85"/>
    <w:pPr>
      <w:numPr>
        <w:ilvl w:val="1"/>
        <w:numId w:val="7"/>
      </w:numPr>
    </w:pPr>
    <w:rPr>
      <w:bCs/>
    </w:rPr>
  </w:style>
  <w:style w:type="paragraph" w:customStyle="1" w:styleId="Heading3Numbered">
    <w:name w:val="Heading 3 Numbered"/>
    <w:basedOn w:val="Heading3"/>
    <w:next w:val="Normal"/>
    <w:qFormat/>
    <w:rsid w:val="00021B85"/>
    <w:pPr>
      <w:numPr>
        <w:ilvl w:val="2"/>
        <w:numId w:val="7"/>
      </w:numPr>
    </w:p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64CCC9" w:themeColor="accent1"/>
      </w:pBdr>
    </w:pPr>
    <w:rPr>
      <w:sz w:val="24"/>
    </w:rPr>
  </w:style>
  <w:style w:type="table" w:styleId="TableGrid">
    <w:name w:val="Table Grid"/>
    <w:basedOn w:val="TableNormal"/>
    <w:uiPriority w:val="3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E304A7"/>
    <w:rPr>
      <w:rFonts w:ascii="Calibri" w:hAnsi="Calibri" w:cs="MuseoSans-500"/>
      <w:color w:val="auto"/>
      <w:sz w:val="20"/>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38ABA7"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25716F"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25716F"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link w:val="Boxed1TextChar"/>
    <w:qFormat/>
    <w:rsid w:val="00D27486"/>
    <w:pPr>
      <w:pBdr>
        <w:top w:val="single" w:sz="4" w:space="14" w:color="E9E9F6" w:themeColor="accent2" w:themeTint="33"/>
        <w:left w:val="single" w:sz="4" w:space="14" w:color="E9E9F6" w:themeColor="accent2" w:themeTint="33"/>
        <w:bottom w:val="single" w:sz="4" w:space="14" w:color="E9E9F6" w:themeColor="accent2" w:themeTint="33"/>
        <w:right w:val="single" w:sz="4" w:space="14" w:color="E9E9F6" w:themeColor="accent2" w:themeTint="33"/>
      </w:pBdr>
      <w:shd w:val="clear" w:color="auto" w:fill="E9E9F6" w:themeFill="accent2" w:themeFillTint="33"/>
      <w:ind w:left="284" w:right="284"/>
    </w:pPr>
  </w:style>
  <w:style w:type="paragraph" w:customStyle="1" w:styleId="Boxed1Heading">
    <w:name w:val="Boxed 1 Heading"/>
    <w:basedOn w:val="Normal"/>
    <w:link w:val="Boxed1HeadingChar"/>
    <w:qFormat/>
    <w:rsid w:val="0048370F"/>
    <w:pPr>
      <w:pBdr>
        <w:top w:val="single" w:sz="4" w:space="14" w:color="F0F0F7"/>
        <w:left w:val="single" w:sz="4" w:space="14" w:color="F0F0F7"/>
        <w:bottom w:val="single" w:sz="4" w:space="14" w:color="F0F0F7"/>
        <w:right w:val="single" w:sz="4" w:space="14" w:color="F0F0F7"/>
      </w:pBdr>
      <w:shd w:val="clear" w:color="auto" w:fill="F0F0F7"/>
      <w:spacing w:before="0" w:after="0" w:line="240" w:lineRule="auto"/>
      <w:ind w:right="284"/>
    </w:pPr>
    <w:rPr>
      <w:b/>
      <w:sz w:val="24"/>
    </w:rPr>
  </w:style>
  <w:style w:type="paragraph" w:customStyle="1" w:styleId="Boxed2Text">
    <w:name w:val="Boxed 2 Text"/>
    <w:basedOn w:val="Boxed1Text"/>
    <w:qFormat/>
    <w:rsid w:val="00D27486"/>
    <w:pPr>
      <w:pBdr>
        <w:top w:val="single" w:sz="4" w:space="14" w:color="BFBFE4" w:themeColor="accent2" w:themeTint="99"/>
        <w:left w:val="single" w:sz="4" w:space="14" w:color="BFBFE4" w:themeColor="accent2" w:themeTint="99"/>
        <w:bottom w:val="single" w:sz="4" w:space="14" w:color="BFBFE4" w:themeColor="accent2" w:themeTint="99"/>
        <w:right w:val="single" w:sz="4" w:space="14" w:color="BFBFE4" w:themeColor="accent2" w:themeTint="99"/>
      </w:pBdr>
      <w:shd w:val="clear" w:color="auto" w:fill="BFBFE4" w:themeFill="accent2" w:themeFillTint="99"/>
    </w:pPr>
  </w:style>
  <w:style w:type="paragraph" w:customStyle="1" w:styleId="Boxed2Heading">
    <w:name w:val="Boxed 2 Heading"/>
    <w:basedOn w:val="Boxed2Text"/>
    <w:qFormat/>
    <w:rsid w:val="00D27486"/>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E5DD6"/>
    <w:pPr>
      <w:ind w:left="720"/>
      <w:contextualSpacing/>
    </w:pPr>
  </w:style>
  <w:style w:type="paragraph" w:styleId="BalloonText">
    <w:name w:val="Balloon Text"/>
    <w:basedOn w:val="Normal"/>
    <w:link w:val="BalloonTextChar"/>
    <w:uiPriority w:val="99"/>
    <w:semiHidden/>
    <w:unhideWhenUsed/>
    <w:rsid w:val="007E5DD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DD6"/>
    <w:rPr>
      <w:rFonts w:ascii="Segoe UI" w:hAnsi="Segoe UI" w:cs="Segoe UI"/>
      <w:sz w:val="18"/>
      <w:szCs w:val="18"/>
    </w:rPr>
  </w:style>
  <w:style w:type="paragraph" w:customStyle="1" w:styleId="TableText-Small">
    <w:name w:val="Table Text - Small"/>
    <w:basedOn w:val="Normal"/>
    <w:qFormat/>
    <w:rsid w:val="00234A1E"/>
    <w:pPr>
      <w:spacing w:before="60" w:line="240" w:lineRule="auto"/>
    </w:pPr>
    <w:rPr>
      <w:sz w:val="18"/>
    </w:rPr>
  </w:style>
  <w:style w:type="character" w:customStyle="1" w:styleId="Bullet1Char">
    <w:name w:val="Bullet 1 Char"/>
    <w:basedOn w:val="DefaultParagraphFont"/>
    <w:link w:val="Bullet1"/>
    <w:rsid w:val="00294862"/>
    <w:rPr>
      <w:rFonts w:ascii="Calibri" w:eastAsiaTheme="majorEastAsia" w:hAnsi="Calibri" w:cs="Calibri"/>
      <w:bCs/>
      <w:color w:val="1C1C1C" w:themeColor="text2"/>
      <w:sz w:val="20"/>
      <w:szCs w:val="28"/>
    </w:rPr>
  </w:style>
  <w:style w:type="character" w:styleId="CommentReference">
    <w:name w:val="annotation reference"/>
    <w:basedOn w:val="DefaultParagraphFont"/>
    <w:uiPriority w:val="99"/>
    <w:semiHidden/>
    <w:unhideWhenUsed/>
    <w:rsid w:val="004967CA"/>
    <w:rPr>
      <w:sz w:val="16"/>
      <w:szCs w:val="16"/>
    </w:rPr>
  </w:style>
  <w:style w:type="paragraph" w:styleId="CommentText">
    <w:name w:val="annotation text"/>
    <w:basedOn w:val="Normal"/>
    <w:link w:val="CommentTextChar"/>
    <w:uiPriority w:val="99"/>
    <w:unhideWhenUsed/>
    <w:rsid w:val="004967CA"/>
    <w:pPr>
      <w:suppressAutoHyphens w:val="0"/>
      <w:spacing w:before="0" w:after="160" w:line="240" w:lineRule="auto"/>
    </w:pPr>
  </w:style>
  <w:style w:type="character" w:customStyle="1" w:styleId="CommentTextChar">
    <w:name w:val="Comment Text Char"/>
    <w:basedOn w:val="DefaultParagraphFont"/>
    <w:link w:val="CommentText"/>
    <w:uiPriority w:val="99"/>
    <w:rsid w:val="004967CA"/>
    <w:rPr>
      <w:rFonts w:ascii="Calibri" w:hAnsi="Calibri" w:cs="Calibri"/>
      <w:sz w:val="20"/>
      <w:szCs w:val="20"/>
    </w:rPr>
  </w:style>
  <w:style w:type="paragraph" w:customStyle="1" w:styleId="TableText-Normal">
    <w:name w:val="Table Text - Normal"/>
    <w:basedOn w:val="BodyText"/>
    <w:qFormat/>
    <w:rsid w:val="004967CA"/>
    <w:pPr>
      <w:suppressAutoHyphens w:val="0"/>
      <w:spacing w:before="40" w:after="40" w:line="220" w:lineRule="atLeast"/>
      <w:ind w:left="130" w:right="96"/>
    </w:pPr>
    <w:rPr>
      <w:rFonts w:eastAsia="Cambria" w:cs="Times New Roman"/>
      <w:szCs w:val="28"/>
    </w:rPr>
  </w:style>
  <w:style w:type="paragraph" w:styleId="BodyText">
    <w:name w:val="Body Text"/>
    <w:basedOn w:val="Normal"/>
    <w:link w:val="BodyTextChar"/>
    <w:uiPriority w:val="99"/>
    <w:semiHidden/>
    <w:unhideWhenUsed/>
    <w:rsid w:val="004967CA"/>
    <w:pPr>
      <w:spacing w:after="120"/>
    </w:pPr>
  </w:style>
  <w:style w:type="character" w:customStyle="1" w:styleId="BodyTextChar">
    <w:name w:val="Body Text Char"/>
    <w:basedOn w:val="DefaultParagraphFont"/>
    <w:link w:val="BodyText"/>
    <w:uiPriority w:val="1"/>
    <w:semiHidden/>
    <w:rsid w:val="004967CA"/>
  </w:style>
  <w:style w:type="paragraph" w:customStyle="1" w:styleId="TableText-NormalIndented">
    <w:name w:val="Table Text - Normal Indented"/>
    <w:basedOn w:val="TableText-Normal"/>
    <w:qFormat/>
    <w:rsid w:val="004967CA"/>
    <w:pPr>
      <w:spacing w:after="60"/>
      <w:ind w:left="720"/>
    </w:pPr>
    <w:rPr>
      <w:szCs w:val="20"/>
    </w:rPr>
  </w:style>
  <w:style w:type="character" w:customStyle="1" w:styleId="Boxed1TextChar">
    <w:name w:val="Boxed 1 Text Char"/>
    <w:basedOn w:val="DefaultParagraphFont"/>
    <w:link w:val="Boxed1Text"/>
    <w:rsid w:val="006D2D55"/>
    <w:rPr>
      <w:shd w:val="clear" w:color="auto" w:fill="E9E9F6" w:themeFill="accent2" w:themeFillTint="33"/>
    </w:rPr>
  </w:style>
  <w:style w:type="character" w:customStyle="1" w:styleId="Boxed1HeadingChar">
    <w:name w:val="Boxed 1 Heading Char"/>
    <w:basedOn w:val="Boxed1TextChar"/>
    <w:link w:val="Boxed1Heading"/>
    <w:rsid w:val="0048370F"/>
    <w:rPr>
      <w:rFonts w:ascii="Calibri" w:hAnsi="Calibri" w:cs="Calibri"/>
      <w:b/>
      <w:sz w:val="24"/>
      <w:szCs w:val="20"/>
      <w:shd w:val="clear" w:color="auto" w:fill="F0F0F7"/>
    </w:rPr>
  </w:style>
  <w:style w:type="paragraph" w:styleId="CommentSubject">
    <w:name w:val="annotation subject"/>
    <w:basedOn w:val="CommentText"/>
    <w:next w:val="CommentText"/>
    <w:link w:val="CommentSubjectChar"/>
    <w:uiPriority w:val="99"/>
    <w:semiHidden/>
    <w:unhideWhenUsed/>
    <w:rsid w:val="003B54BF"/>
    <w:pPr>
      <w:suppressAutoHyphens/>
      <w:spacing w:before="180" w:after="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B54BF"/>
    <w:rPr>
      <w:rFonts w:ascii="Calibri" w:hAnsi="Calibri" w:cs="Calibri"/>
      <w:b/>
      <w:bCs/>
      <w:sz w:val="20"/>
      <w:szCs w:val="20"/>
    </w:rPr>
  </w:style>
  <w:style w:type="paragraph" w:styleId="Revision">
    <w:name w:val="Revision"/>
    <w:hidden/>
    <w:uiPriority w:val="99"/>
    <w:semiHidden/>
    <w:rsid w:val="00941860"/>
    <w:pPr>
      <w:spacing w:after="0" w:line="240" w:lineRule="auto"/>
    </w:pPr>
  </w:style>
  <w:style w:type="paragraph" w:customStyle="1" w:styleId="Simpletableheading">
    <w:name w:val="Simple table heading"/>
    <w:next w:val="Normal"/>
    <w:uiPriority w:val="1"/>
    <w:rsid w:val="00194AE7"/>
    <w:pPr>
      <w:spacing w:after="0" w:line="240" w:lineRule="atLeast"/>
    </w:pPr>
    <w:rPr>
      <w:rFonts w:ascii="Arial" w:eastAsia="Times New Roman" w:hAnsi="Arial" w:cs="Times New Roman"/>
      <w:b/>
      <w:color w:val="37424A"/>
      <w:szCs w:val="24"/>
    </w:rPr>
  </w:style>
  <w:style w:type="character" w:styleId="FollowedHyperlink">
    <w:name w:val="FollowedHyperlink"/>
    <w:basedOn w:val="DefaultParagraphFont"/>
    <w:uiPriority w:val="99"/>
    <w:semiHidden/>
    <w:unhideWhenUsed/>
    <w:rsid w:val="00A5550A"/>
    <w:rPr>
      <w:color w:val="7030A0"/>
      <w:u w:val="single"/>
    </w:rPr>
  </w:style>
  <w:style w:type="character" w:styleId="UnresolvedMention">
    <w:name w:val="Unresolved Mention"/>
    <w:basedOn w:val="DefaultParagraphFont"/>
    <w:uiPriority w:val="99"/>
    <w:semiHidden/>
    <w:unhideWhenUsed/>
    <w:rsid w:val="000E33A1"/>
    <w:rPr>
      <w:color w:val="605E5C"/>
      <w:shd w:val="clear" w:color="auto" w:fill="E1DFDD"/>
    </w:rPr>
  </w:style>
  <w:style w:type="paragraph" w:customStyle="1" w:styleId="ExampleText">
    <w:name w:val="Example Text"/>
    <w:basedOn w:val="Normal"/>
    <w:rsid w:val="00E943E5"/>
    <w:pPr>
      <w:suppressAutoHyphens w:val="0"/>
      <w:spacing w:before="0" w:after="240" w:line="240" w:lineRule="exact"/>
    </w:pPr>
    <w:rPr>
      <w:rFonts w:ascii="Book Antiqua" w:eastAsia="Times New Roman" w:hAnsi="Book Antiqua" w:cs="Times New Roman"/>
      <w:i/>
      <w:color w:val="FF0000"/>
      <w:sz w:val="19"/>
      <w:lang w:eastAsia="en-AU"/>
    </w:rPr>
  </w:style>
  <w:style w:type="paragraph" w:customStyle="1" w:styleId="CBMSReport">
    <w:name w:val="CBMS Report"/>
    <w:basedOn w:val="NumberedList2"/>
    <w:qFormat/>
    <w:rsid w:val="000A5F6F"/>
    <w:pPr>
      <w:ind w:left="993"/>
    </w:pPr>
    <w:rPr>
      <w:i/>
      <w:iCs/>
      <w:color w:val="0070C0"/>
    </w:rPr>
  </w:style>
  <w:style w:type="paragraph" w:customStyle="1" w:styleId="Indent1">
    <w:name w:val="Indent 1"/>
    <w:basedOn w:val="NumberedList3"/>
    <w:qFormat/>
    <w:rsid w:val="006A0B6F"/>
    <w:pPr>
      <w:ind w:left="426"/>
    </w:pPr>
  </w:style>
  <w:style w:type="character" w:customStyle="1" w:styleId="CrossReference">
    <w:name w:val="Cross Reference"/>
    <w:basedOn w:val="Hyperlink"/>
    <w:uiPriority w:val="1"/>
    <w:qFormat/>
    <w:rsid w:val="00140A23"/>
    <w:rPr>
      <w:rFonts w:ascii="Calibri" w:hAnsi="Calibri" w:cs="MuseoSans-500"/>
      <w:color w:val="auto"/>
      <w:sz w:val="20"/>
      <w:u w:val="single" w:color="0070C0"/>
    </w:rPr>
  </w:style>
  <w:style w:type="character" w:customStyle="1" w:styleId="normaltextrun">
    <w:name w:val="normaltextrun"/>
    <w:basedOn w:val="DefaultParagraphFont"/>
    <w:rsid w:val="009168A3"/>
  </w:style>
  <w:style w:type="character" w:customStyle="1" w:styleId="eop">
    <w:name w:val="eop"/>
    <w:basedOn w:val="DefaultParagraphFont"/>
    <w:rsid w:val="009168A3"/>
  </w:style>
  <w:style w:type="character" w:customStyle="1" w:styleId="findhit">
    <w:name w:val="findhit"/>
    <w:basedOn w:val="DefaultParagraphFont"/>
    <w:rsid w:val="005F2D18"/>
  </w:style>
  <w:style w:type="paragraph" w:customStyle="1" w:styleId="TableParagraph">
    <w:name w:val="Table Paragraph"/>
    <w:basedOn w:val="Normal"/>
    <w:uiPriority w:val="1"/>
    <w:qFormat/>
    <w:rsid w:val="0003672D"/>
    <w:pPr>
      <w:widowControl w:val="0"/>
      <w:suppressAutoHyphens w:val="0"/>
      <w:autoSpaceDE w:val="0"/>
      <w:autoSpaceDN w:val="0"/>
      <w:spacing w:before="0" w:after="0" w:line="240" w:lineRule="auto"/>
      <w:ind w:left="107"/>
    </w:pPr>
    <w:rPr>
      <w:rFonts w:eastAsia="Calibri"/>
      <w:sz w:val="22"/>
      <w:szCs w:val="22"/>
      <w:lang w:val="en-US"/>
    </w:rPr>
  </w:style>
  <w:style w:type="paragraph" w:customStyle="1" w:styleId="Lettered">
    <w:name w:val="Lettered"/>
    <w:basedOn w:val="Normal"/>
    <w:qFormat/>
    <w:rsid w:val="004A497F"/>
    <w:pPr>
      <w:numPr>
        <w:ilvl w:val="1"/>
        <w:numId w:val="46"/>
      </w:numPr>
    </w:pPr>
  </w:style>
  <w:style w:type="paragraph" w:customStyle="1" w:styleId="BulletforContacts">
    <w:name w:val="Bullet for Contacts"/>
    <w:basedOn w:val="Bullet1"/>
    <w:qFormat/>
    <w:rsid w:val="004C0BE3"/>
    <w:pPr>
      <w:tabs>
        <w:tab w:val="center" w:pos="4253"/>
        <w:tab w:val="right" w:pos="9639"/>
      </w:tabs>
      <w:ind w:left="1440" w:hanging="360"/>
    </w:pPr>
  </w:style>
  <w:style w:type="paragraph" w:customStyle="1" w:styleId="CBMSReportQAChecklist">
    <w:name w:val="CBMS Report QA Checklist"/>
    <w:basedOn w:val="CBMSReport"/>
    <w:qFormat/>
    <w:rsid w:val="008F1803"/>
    <w:pPr>
      <w:spacing w:before="60" w:after="100"/>
      <w:ind w:left="919"/>
    </w:pPr>
    <w:rPr>
      <w:sz w:val="22"/>
    </w:rPr>
  </w:style>
  <w:style w:type="paragraph" w:customStyle="1" w:styleId="TableParagraph-Indent">
    <w:name w:val="Table Paragraph - Indent"/>
    <w:basedOn w:val="TableParagraph"/>
    <w:qFormat/>
    <w:rsid w:val="008F5F2D"/>
    <w:pPr>
      <w:spacing w:before="80" w:after="80"/>
      <w:ind w:left="318"/>
    </w:pPr>
    <w:rPr>
      <w:lang w:val="en-AU"/>
    </w:rPr>
  </w:style>
  <w:style w:type="character" w:customStyle="1" w:styleId="ui-provider">
    <w:name w:val="ui-provider"/>
    <w:basedOn w:val="DefaultParagraphFont"/>
    <w:rsid w:val="007616C0"/>
  </w:style>
  <w:style w:type="paragraph" w:customStyle="1" w:styleId="BulletforNumberofBooks">
    <w:name w:val="Bullet for Number of Books"/>
    <w:basedOn w:val="Bullet2"/>
    <w:qFormat/>
    <w:rsid w:val="008D0C65"/>
    <w:pPr>
      <w:ind w:left="555" w:hanging="425"/>
      <w:outlineLvl w:val="9"/>
    </w:pPr>
  </w:style>
  <w:style w:type="character" w:customStyle="1" w:styleId="ArialBlackBlue">
    <w:name w:val="Arial Black Blue"/>
    <w:uiPriority w:val="1"/>
    <w:semiHidden/>
    <w:qFormat/>
    <w:rsid w:val="00923BAB"/>
    <w:rPr>
      <w:rFonts w:ascii="Arial Black" w:hAnsi="Arial Black"/>
      <w:color w:val="005A77"/>
    </w:rPr>
  </w:style>
  <w:style w:type="paragraph" w:customStyle="1" w:styleId="TableParagraph-Question">
    <w:name w:val="Table Paragraph - Question"/>
    <w:basedOn w:val="TableParagraph"/>
    <w:qFormat/>
    <w:rsid w:val="0003672D"/>
    <w:pPr>
      <w:spacing w:before="23" w:line="257" w:lineRule="exact"/>
      <w:ind w:left="259"/>
    </w:pPr>
    <w:rPr>
      <w:b/>
      <w:lang w:val="en-AU"/>
    </w:rPr>
  </w:style>
  <w:style w:type="paragraph" w:customStyle="1" w:styleId="TableParagraph-Bullet1">
    <w:name w:val="Table Paragraph - Bullet 1"/>
    <w:basedOn w:val="TableParagraph"/>
    <w:qFormat/>
    <w:rsid w:val="0003672D"/>
    <w:pPr>
      <w:numPr>
        <w:numId w:val="75"/>
      </w:numPr>
      <w:tabs>
        <w:tab w:val="left" w:pos="619"/>
      </w:tabs>
      <w:spacing w:line="308" w:lineRule="exact"/>
    </w:pPr>
    <w:rPr>
      <w:lang w:val="en-AU"/>
    </w:rPr>
  </w:style>
  <w:style w:type="paragraph" w:customStyle="1" w:styleId="TableParagraph-Numbered1">
    <w:name w:val="Table Paragraph - Numbered 1"/>
    <w:basedOn w:val="Bullet1"/>
    <w:qFormat/>
    <w:rsid w:val="008F5F2D"/>
    <w:pPr>
      <w:numPr>
        <w:ilvl w:val="0"/>
        <w:numId w:val="85"/>
      </w:numPr>
      <w:spacing w:before="40" w:after="40" w:line="240" w:lineRule="auto"/>
      <w:ind w:left="714" w:hanging="357"/>
      <w:outlineLvl w:val="9"/>
    </w:pPr>
    <w:rPr>
      <w:sz w:val="22"/>
      <w:szCs w:val="22"/>
    </w:rPr>
  </w:style>
  <w:style w:type="paragraph" w:customStyle="1" w:styleId="TableParagraph-Bullet2">
    <w:name w:val="Table Paragraph - Bullet 2"/>
    <w:basedOn w:val="TableParagraph"/>
    <w:qFormat/>
    <w:rsid w:val="008F5F2D"/>
    <w:pPr>
      <w:numPr>
        <w:ilvl w:val="1"/>
        <w:numId w:val="75"/>
      </w:numPr>
    </w:pPr>
    <w:rPr>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808">
      <w:bodyDiv w:val="1"/>
      <w:marLeft w:val="0"/>
      <w:marRight w:val="0"/>
      <w:marTop w:val="0"/>
      <w:marBottom w:val="0"/>
      <w:divBdr>
        <w:top w:val="none" w:sz="0" w:space="0" w:color="auto"/>
        <w:left w:val="none" w:sz="0" w:space="0" w:color="auto"/>
        <w:bottom w:val="none" w:sz="0" w:space="0" w:color="auto"/>
        <w:right w:val="none" w:sz="0" w:space="0" w:color="auto"/>
      </w:divBdr>
    </w:div>
    <w:div w:id="264465556">
      <w:bodyDiv w:val="1"/>
      <w:marLeft w:val="0"/>
      <w:marRight w:val="0"/>
      <w:marTop w:val="0"/>
      <w:marBottom w:val="0"/>
      <w:divBdr>
        <w:top w:val="none" w:sz="0" w:space="0" w:color="auto"/>
        <w:left w:val="none" w:sz="0" w:space="0" w:color="auto"/>
        <w:bottom w:val="none" w:sz="0" w:space="0" w:color="auto"/>
        <w:right w:val="none" w:sz="0" w:space="0" w:color="auto"/>
      </w:divBdr>
    </w:div>
    <w:div w:id="577325501">
      <w:bodyDiv w:val="1"/>
      <w:marLeft w:val="0"/>
      <w:marRight w:val="0"/>
      <w:marTop w:val="0"/>
      <w:marBottom w:val="0"/>
      <w:divBdr>
        <w:top w:val="none" w:sz="0" w:space="0" w:color="auto"/>
        <w:left w:val="none" w:sz="0" w:space="0" w:color="auto"/>
        <w:bottom w:val="none" w:sz="0" w:space="0" w:color="auto"/>
        <w:right w:val="none" w:sz="0" w:space="0" w:color="auto"/>
      </w:divBdr>
      <w:divsChild>
        <w:div w:id="18698489">
          <w:marLeft w:val="0"/>
          <w:marRight w:val="0"/>
          <w:marTop w:val="0"/>
          <w:marBottom w:val="0"/>
          <w:divBdr>
            <w:top w:val="none" w:sz="0" w:space="0" w:color="auto"/>
            <w:left w:val="none" w:sz="0" w:space="0" w:color="auto"/>
            <w:bottom w:val="none" w:sz="0" w:space="0" w:color="auto"/>
            <w:right w:val="none" w:sz="0" w:space="0" w:color="auto"/>
          </w:divBdr>
          <w:divsChild>
            <w:div w:id="2045984405">
              <w:marLeft w:val="0"/>
              <w:marRight w:val="0"/>
              <w:marTop w:val="0"/>
              <w:marBottom w:val="0"/>
              <w:divBdr>
                <w:top w:val="none" w:sz="0" w:space="0" w:color="auto"/>
                <w:left w:val="none" w:sz="0" w:space="0" w:color="auto"/>
                <w:bottom w:val="none" w:sz="0" w:space="0" w:color="auto"/>
                <w:right w:val="none" w:sz="0" w:space="0" w:color="auto"/>
              </w:divBdr>
            </w:div>
          </w:divsChild>
        </w:div>
        <w:div w:id="48461033">
          <w:marLeft w:val="0"/>
          <w:marRight w:val="0"/>
          <w:marTop w:val="0"/>
          <w:marBottom w:val="0"/>
          <w:divBdr>
            <w:top w:val="none" w:sz="0" w:space="0" w:color="auto"/>
            <w:left w:val="none" w:sz="0" w:space="0" w:color="auto"/>
            <w:bottom w:val="none" w:sz="0" w:space="0" w:color="auto"/>
            <w:right w:val="none" w:sz="0" w:space="0" w:color="auto"/>
          </w:divBdr>
          <w:divsChild>
            <w:div w:id="1205483033">
              <w:marLeft w:val="0"/>
              <w:marRight w:val="0"/>
              <w:marTop w:val="0"/>
              <w:marBottom w:val="0"/>
              <w:divBdr>
                <w:top w:val="none" w:sz="0" w:space="0" w:color="auto"/>
                <w:left w:val="none" w:sz="0" w:space="0" w:color="auto"/>
                <w:bottom w:val="none" w:sz="0" w:space="0" w:color="auto"/>
                <w:right w:val="none" w:sz="0" w:space="0" w:color="auto"/>
              </w:divBdr>
            </w:div>
          </w:divsChild>
        </w:div>
        <w:div w:id="357395883">
          <w:marLeft w:val="0"/>
          <w:marRight w:val="0"/>
          <w:marTop w:val="0"/>
          <w:marBottom w:val="0"/>
          <w:divBdr>
            <w:top w:val="none" w:sz="0" w:space="0" w:color="auto"/>
            <w:left w:val="none" w:sz="0" w:space="0" w:color="auto"/>
            <w:bottom w:val="none" w:sz="0" w:space="0" w:color="auto"/>
            <w:right w:val="none" w:sz="0" w:space="0" w:color="auto"/>
          </w:divBdr>
          <w:divsChild>
            <w:div w:id="961615087">
              <w:marLeft w:val="0"/>
              <w:marRight w:val="0"/>
              <w:marTop w:val="0"/>
              <w:marBottom w:val="0"/>
              <w:divBdr>
                <w:top w:val="none" w:sz="0" w:space="0" w:color="auto"/>
                <w:left w:val="none" w:sz="0" w:space="0" w:color="auto"/>
                <w:bottom w:val="none" w:sz="0" w:space="0" w:color="auto"/>
                <w:right w:val="none" w:sz="0" w:space="0" w:color="auto"/>
              </w:divBdr>
            </w:div>
          </w:divsChild>
        </w:div>
        <w:div w:id="361789572">
          <w:marLeft w:val="0"/>
          <w:marRight w:val="0"/>
          <w:marTop w:val="0"/>
          <w:marBottom w:val="0"/>
          <w:divBdr>
            <w:top w:val="none" w:sz="0" w:space="0" w:color="auto"/>
            <w:left w:val="none" w:sz="0" w:space="0" w:color="auto"/>
            <w:bottom w:val="none" w:sz="0" w:space="0" w:color="auto"/>
            <w:right w:val="none" w:sz="0" w:space="0" w:color="auto"/>
          </w:divBdr>
          <w:divsChild>
            <w:div w:id="1589342866">
              <w:marLeft w:val="0"/>
              <w:marRight w:val="0"/>
              <w:marTop w:val="0"/>
              <w:marBottom w:val="0"/>
              <w:divBdr>
                <w:top w:val="none" w:sz="0" w:space="0" w:color="auto"/>
                <w:left w:val="none" w:sz="0" w:space="0" w:color="auto"/>
                <w:bottom w:val="none" w:sz="0" w:space="0" w:color="auto"/>
                <w:right w:val="none" w:sz="0" w:space="0" w:color="auto"/>
              </w:divBdr>
            </w:div>
            <w:div w:id="2058165814">
              <w:marLeft w:val="0"/>
              <w:marRight w:val="0"/>
              <w:marTop w:val="0"/>
              <w:marBottom w:val="0"/>
              <w:divBdr>
                <w:top w:val="none" w:sz="0" w:space="0" w:color="auto"/>
                <w:left w:val="none" w:sz="0" w:space="0" w:color="auto"/>
                <w:bottom w:val="none" w:sz="0" w:space="0" w:color="auto"/>
                <w:right w:val="none" w:sz="0" w:space="0" w:color="auto"/>
              </w:divBdr>
            </w:div>
          </w:divsChild>
        </w:div>
        <w:div w:id="446390655">
          <w:marLeft w:val="0"/>
          <w:marRight w:val="0"/>
          <w:marTop w:val="0"/>
          <w:marBottom w:val="0"/>
          <w:divBdr>
            <w:top w:val="none" w:sz="0" w:space="0" w:color="auto"/>
            <w:left w:val="none" w:sz="0" w:space="0" w:color="auto"/>
            <w:bottom w:val="none" w:sz="0" w:space="0" w:color="auto"/>
            <w:right w:val="none" w:sz="0" w:space="0" w:color="auto"/>
          </w:divBdr>
          <w:divsChild>
            <w:div w:id="176625773">
              <w:marLeft w:val="0"/>
              <w:marRight w:val="0"/>
              <w:marTop w:val="0"/>
              <w:marBottom w:val="0"/>
              <w:divBdr>
                <w:top w:val="none" w:sz="0" w:space="0" w:color="auto"/>
                <w:left w:val="none" w:sz="0" w:space="0" w:color="auto"/>
                <w:bottom w:val="none" w:sz="0" w:space="0" w:color="auto"/>
                <w:right w:val="none" w:sz="0" w:space="0" w:color="auto"/>
              </w:divBdr>
            </w:div>
          </w:divsChild>
        </w:div>
        <w:div w:id="501435334">
          <w:marLeft w:val="0"/>
          <w:marRight w:val="0"/>
          <w:marTop w:val="0"/>
          <w:marBottom w:val="0"/>
          <w:divBdr>
            <w:top w:val="none" w:sz="0" w:space="0" w:color="auto"/>
            <w:left w:val="none" w:sz="0" w:space="0" w:color="auto"/>
            <w:bottom w:val="none" w:sz="0" w:space="0" w:color="auto"/>
            <w:right w:val="none" w:sz="0" w:space="0" w:color="auto"/>
          </w:divBdr>
          <w:divsChild>
            <w:div w:id="117795631">
              <w:marLeft w:val="0"/>
              <w:marRight w:val="0"/>
              <w:marTop w:val="0"/>
              <w:marBottom w:val="0"/>
              <w:divBdr>
                <w:top w:val="none" w:sz="0" w:space="0" w:color="auto"/>
                <w:left w:val="none" w:sz="0" w:space="0" w:color="auto"/>
                <w:bottom w:val="none" w:sz="0" w:space="0" w:color="auto"/>
                <w:right w:val="none" w:sz="0" w:space="0" w:color="auto"/>
              </w:divBdr>
            </w:div>
            <w:div w:id="201210015">
              <w:marLeft w:val="0"/>
              <w:marRight w:val="0"/>
              <w:marTop w:val="0"/>
              <w:marBottom w:val="0"/>
              <w:divBdr>
                <w:top w:val="none" w:sz="0" w:space="0" w:color="auto"/>
                <w:left w:val="none" w:sz="0" w:space="0" w:color="auto"/>
                <w:bottom w:val="none" w:sz="0" w:space="0" w:color="auto"/>
                <w:right w:val="none" w:sz="0" w:space="0" w:color="auto"/>
              </w:divBdr>
            </w:div>
            <w:div w:id="510417797">
              <w:marLeft w:val="0"/>
              <w:marRight w:val="0"/>
              <w:marTop w:val="0"/>
              <w:marBottom w:val="0"/>
              <w:divBdr>
                <w:top w:val="none" w:sz="0" w:space="0" w:color="auto"/>
                <w:left w:val="none" w:sz="0" w:space="0" w:color="auto"/>
                <w:bottom w:val="none" w:sz="0" w:space="0" w:color="auto"/>
                <w:right w:val="none" w:sz="0" w:space="0" w:color="auto"/>
              </w:divBdr>
            </w:div>
            <w:div w:id="1409573014">
              <w:marLeft w:val="0"/>
              <w:marRight w:val="0"/>
              <w:marTop w:val="0"/>
              <w:marBottom w:val="0"/>
              <w:divBdr>
                <w:top w:val="none" w:sz="0" w:space="0" w:color="auto"/>
                <w:left w:val="none" w:sz="0" w:space="0" w:color="auto"/>
                <w:bottom w:val="none" w:sz="0" w:space="0" w:color="auto"/>
                <w:right w:val="none" w:sz="0" w:space="0" w:color="auto"/>
              </w:divBdr>
            </w:div>
          </w:divsChild>
        </w:div>
        <w:div w:id="1034886669">
          <w:marLeft w:val="0"/>
          <w:marRight w:val="0"/>
          <w:marTop w:val="0"/>
          <w:marBottom w:val="0"/>
          <w:divBdr>
            <w:top w:val="none" w:sz="0" w:space="0" w:color="auto"/>
            <w:left w:val="none" w:sz="0" w:space="0" w:color="auto"/>
            <w:bottom w:val="none" w:sz="0" w:space="0" w:color="auto"/>
            <w:right w:val="none" w:sz="0" w:space="0" w:color="auto"/>
          </w:divBdr>
          <w:divsChild>
            <w:div w:id="48498340">
              <w:marLeft w:val="0"/>
              <w:marRight w:val="0"/>
              <w:marTop w:val="0"/>
              <w:marBottom w:val="0"/>
              <w:divBdr>
                <w:top w:val="none" w:sz="0" w:space="0" w:color="auto"/>
                <w:left w:val="none" w:sz="0" w:space="0" w:color="auto"/>
                <w:bottom w:val="none" w:sz="0" w:space="0" w:color="auto"/>
                <w:right w:val="none" w:sz="0" w:space="0" w:color="auto"/>
              </w:divBdr>
            </w:div>
            <w:div w:id="610284155">
              <w:marLeft w:val="0"/>
              <w:marRight w:val="0"/>
              <w:marTop w:val="0"/>
              <w:marBottom w:val="0"/>
              <w:divBdr>
                <w:top w:val="none" w:sz="0" w:space="0" w:color="auto"/>
                <w:left w:val="none" w:sz="0" w:space="0" w:color="auto"/>
                <w:bottom w:val="none" w:sz="0" w:space="0" w:color="auto"/>
                <w:right w:val="none" w:sz="0" w:space="0" w:color="auto"/>
              </w:divBdr>
            </w:div>
            <w:div w:id="1341666305">
              <w:marLeft w:val="0"/>
              <w:marRight w:val="0"/>
              <w:marTop w:val="0"/>
              <w:marBottom w:val="0"/>
              <w:divBdr>
                <w:top w:val="none" w:sz="0" w:space="0" w:color="auto"/>
                <w:left w:val="none" w:sz="0" w:space="0" w:color="auto"/>
                <w:bottom w:val="none" w:sz="0" w:space="0" w:color="auto"/>
                <w:right w:val="none" w:sz="0" w:space="0" w:color="auto"/>
              </w:divBdr>
            </w:div>
            <w:div w:id="1907373311">
              <w:marLeft w:val="0"/>
              <w:marRight w:val="0"/>
              <w:marTop w:val="0"/>
              <w:marBottom w:val="0"/>
              <w:divBdr>
                <w:top w:val="none" w:sz="0" w:space="0" w:color="auto"/>
                <w:left w:val="none" w:sz="0" w:space="0" w:color="auto"/>
                <w:bottom w:val="none" w:sz="0" w:space="0" w:color="auto"/>
                <w:right w:val="none" w:sz="0" w:space="0" w:color="auto"/>
              </w:divBdr>
            </w:div>
          </w:divsChild>
        </w:div>
        <w:div w:id="1073967561">
          <w:marLeft w:val="0"/>
          <w:marRight w:val="0"/>
          <w:marTop w:val="0"/>
          <w:marBottom w:val="0"/>
          <w:divBdr>
            <w:top w:val="none" w:sz="0" w:space="0" w:color="auto"/>
            <w:left w:val="none" w:sz="0" w:space="0" w:color="auto"/>
            <w:bottom w:val="none" w:sz="0" w:space="0" w:color="auto"/>
            <w:right w:val="none" w:sz="0" w:space="0" w:color="auto"/>
          </w:divBdr>
          <w:divsChild>
            <w:div w:id="1487937987">
              <w:marLeft w:val="0"/>
              <w:marRight w:val="0"/>
              <w:marTop w:val="0"/>
              <w:marBottom w:val="0"/>
              <w:divBdr>
                <w:top w:val="none" w:sz="0" w:space="0" w:color="auto"/>
                <w:left w:val="none" w:sz="0" w:space="0" w:color="auto"/>
                <w:bottom w:val="none" w:sz="0" w:space="0" w:color="auto"/>
                <w:right w:val="none" w:sz="0" w:space="0" w:color="auto"/>
              </w:divBdr>
            </w:div>
          </w:divsChild>
        </w:div>
        <w:div w:id="1389038199">
          <w:marLeft w:val="0"/>
          <w:marRight w:val="0"/>
          <w:marTop w:val="0"/>
          <w:marBottom w:val="0"/>
          <w:divBdr>
            <w:top w:val="none" w:sz="0" w:space="0" w:color="auto"/>
            <w:left w:val="none" w:sz="0" w:space="0" w:color="auto"/>
            <w:bottom w:val="none" w:sz="0" w:space="0" w:color="auto"/>
            <w:right w:val="none" w:sz="0" w:space="0" w:color="auto"/>
          </w:divBdr>
          <w:divsChild>
            <w:div w:id="940114510">
              <w:marLeft w:val="0"/>
              <w:marRight w:val="0"/>
              <w:marTop w:val="0"/>
              <w:marBottom w:val="0"/>
              <w:divBdr>
                <w:top w:val="none" w:sz="0" w:space="0" w:color="auto"/>
                <w:left w:val="none" w:sz="0" w:space="0" w:color="auto"/>
                <w:bottom w:val="none" w:sz="0" w:space="0" w:color="auto"/>
                <w:right w:val="none" w:sz="0" w:space="0" w:color="auto"/>
              </w:divBdr>
            </w:div>
            <w:div w:id="1072696340">
              <w:marLeft w:val="0"/>
              <w:marRight w:val="0"/>
              <w:marTop w:val="0"/>
              <w:marBottom w:val="0"/>
              <w:divBdr>
                <w:top w:val="none" w:sz="0" w:space="0" w:color="auto"/>
                <w:left w:val="none" w:sz="0" w:space="0" w:color="auto"/>
                <w:bottom w:val="none" w:sz="0" w:space="0" w:color="auto"/>
                <w:right w:val="none" w:sz="0" w:space="0" w:color="auto"/>
              </w:divBdr>
            </w:div>
            <w:div w:id="1620718401">
              <w:marLeft w:val="0"/>
              <w:marRight w:val="0"/>
              <w:marTop w:val="0"/>
              <w:marBottom w:val="0"/>
              <w:divBdr>
                <w:top w:val="none" w:sz="0" w:space="0" w:color="auto"/>
                <w:left w:val="none" w:sz="0" w:space="0" w:color="auto"/>
                <w:bottom w:val="none" w:sz="0" w:space="0" w:color="auto"/>
                <w:right w:val="none" w:sz="0" w:space="0" w:color="auto"/>
              </w:divBdr>
            </w:div>
            <w:div w:id="1697459692">
              <w:marLeft w:val="0"/>
              <w:marRight w:val="0"/>
              <w:marTop w:val="0"/>
              <w:marBottom w:val="0"/>
              <w:divBdr>
                <w:top w:val="none" w:sz="0" w:space="0" w:color="auto"/>
                <w:left w:val="none" w:sz="0" w:space="0" w:color="auto"/>
                <w:bottom w:val="none" w:sz="0" w:space="0" w:color="auto"/>
                <w:right w:val="none" w:sz="0" w:space="0" w:color="auto"/>
              </w:divBdr>
            </w:div>
          </w:divsChild>
        </w:div>
        <w:div w:id="1749886994">
          <w:marLeft w:val="0"/>
          <w:marRight w:val="0"/>
          <w:marTop w:val="0"/>
          <w:marBottom w:val="0"/>
          <w:divBdr>
            <w:top w:val="none" w:sz="0" w:space="0" w:color="auto"/>
            <w:left w:val="none" w:sz="0" w:space="0" w:color="auto"/>
            <w:bottom w:val="none" w:sz="0" w:space="0" w:color="auto"/>
            <w:right w:val="none" w:sz="0" w:space="0" w:color="auto"/>
          </w:divBdr>
          <w:divsChild>
            <w:div w:id="274751607">
              <w:marLeft w:val="0"/>
              <w:marRight w:val="0"/>
              <w:marTop w:val="0"/>
              <w:marBottom w:val="0"/>
              <w:divBdr>
                <w:top w:val="none" w:sz="0" w:space="0" w:color="auto"/>
                <w:left w:val="none" w:sz="0" w:space="0" w:color="auto"/>
                <w:bottom w:val="none" w:sz="0" w:space="0" w:color="auto"/>
                <w:right w:val="none" w:sz="0" w:space="0" w:color="auto"/>
              </w:divBdr>
            </w:div>
            <w:div w:id="358630078">
              <w:marLeft w:val="0"/>
              <w:marRight w:val="0"/>
              <w:marTop w:val="0"/>
              <w:marBottom w:val="0"/>
              <w:divBdr>
                <w:top w:val="none" w:sz="0" w:space="0" w:color="auto"/>
                <w:left w:val="none" w:sz="0" w:space="0" w:color="auto"/>
                <w:bottom w:val="none" w:sz="0" w:space="0" w:color="auto"/>
                <w:right w:val="none" w:sz="0" w:space="0" w:color="auto"/>
              </w:divBdr>
            </w:div>
            <w:div w:id="654837804">
              <w:marLeft w:val="0"/>
              <w:marRight w:val="0"/>
              <w:marTop w:val="0"/>
              <w:marBottom w:val="0"/>
              <w:divBdr>
                <w:top w:val="none" w:sz="0" w:space="0" w:color="auto"/>
                <w:left w:val="none" w:sz="0" w:space="0" w:color="auto"/>
                <w:bottom w:val="none" w:sz="0" w:space="0" w:color="auto"/>
                <w:right w:val="none" w:sz="0" w:space="0" w:color="auto"/>
              </w:divBdr>
            </w:div>
            <w:div w:id="1293756491">
              <w:marLeft w:val="0"/>
              <w:marRight w:val="0"/>
              <w:marTop w:val="0"/>
              <w:marBottom w:val="0"/>
              <w:divBdr>
                <w:top w:val="none" w:sz="0" w:space="0" w:color="auto"/>
                <w:left w:val="none" w:sz="0" w:space="0" w:color="auto"/>
                <w:bottom w:val="none" w:sz="0" w:space="0" w:color="auto"/>
                <w:right w:val="none" w:sz="0" w:space="0" w:color="auto"/>
              </w:divBdr>
            </w:div>
            <w:div w:id="1945187067">
              <w:marLeft w:val="0"/>
              <w:marRight w:val="0"/>
              <w:marTop w:val="0"/>
              <w:marBottom w:val="0"/>
              <w:divBdr>
                <w:top w:val="none" w:sz="0" w:space="0" w:color="auto"/>
                <w:left w:val="none" w:sz="0" w:space="0" w:color="auto"/>
                <w:bottom w:val="none" w:sz="0" w:space="0" w:color="auto"/>
                <w:right w:val="none" w:sz="0" w:space="0" w:color="auto"/>
              </w:divBdr>
            </w:div>
          </w:divsChild>
        </w:div>
        <w:div w:id="1758095411">
          <w:marLeft w:val="0"/>
          <w:marRight w:val="0"/>
          <w:marTop w:val="0"/>
          <w:marBottom w:val="0"/>
          <w:divBdr>
            <w:top w:val="none" w:sz="0" w:space="0" w:color="auto"/>
            <w:left w:val="none" w:sz="0" w:space="0" w:color="auto"/>
            <w:bottom w:val="none" w:sz="0" w:space="0" w:color="auto"/>
            <w:right w:val="none" w:sz="0" w:space="0" w:color="auto"/>
          </w:divBdr>
          <w:divsChild>
            <w:div w:id="144011411">
              <w:marLeft w:val="0"/>
              <w:marRight w:val="0"/>
              <w:marTop w:val="0"/>
              <w:marBottom w:val="0"/>
              <w:divBdr>
                <w:top w:val="none" w:sz="0" w:space="0" w:color="auto"/>
                <w:left w:val="none" w:sz="0" w:space="0" w:color="auto"/>
                <w:bottom w:val="none" w:sz="0" w:space="0" w:color="auto"/>
                <w:right w:val="none" w:sz="0" w:space="0" w:color="auto"/>
              </w:divBdr>
            </w:div>
          </w:divsChild>
        </w:div>
        <w:div w:id="1803770257">
          <w:marLeft w:val="0"/>
          <w:marRight w:val="0"/>
          <w:marTop w:val="0"/>
          <w:marBottom w:val="0"/>
          <w:divBdr>
            <w:top w:val="none" w:sz="0" w:space="0" w:color="auto"/>
            <w:left w:val="none" w:sz="0" w:space="0" w:color="auto"/>
            <w:bottom w:val="none" w:sz="0" w:space="0" w:color="auto"/>
            <w:right w:val="none" w:sz="0" w:space="0" w:color="auto"/>
          </w:divBdr>
          <w:divsChild>
            <w:div w:id="733237893">
              <w:marLeft w:val="0"/>
              <w:marRight w:val="0"/>
              <w:marTop w:val="0"/>
              <w:marBottom w:val="0"/>
              <w:divBdr>
                <w:top w:val="none" w:sz="0" w:space="0" w:color="auto"/>
                <w:left w:val="none" w:sz="0" w:space="0" w:color="auto"/>
                <w:bottom w:val="none" w:sz="0" w:space="0" w:color="auto"/>
                <w:right w:val="none" w:sz="0" w:space="0" w:color="auto"/>
              </w:divBdr>
            </w:div>
            <w:div w:id="998921753">
              <w:marLeft w:val="0"/>
              <w:marRight w:val="0"/>
              <w:marTop w:val="0"/>
              <w:marBottom w:val="0"/>
              <w:divBdr>
                <w:top w:val="none" w:sz="0" w:space="0" w:color="auto"/>
                <w:left w:val="none" w:sz="0" w:space="0" w:color="auto"/>
                <w:bottom w:val="none" w:sz="0" w:space="0" w:color="auto"/>
                <w:right w:val="none" w:sz="0" w:space="0" w:color="auto"/>
              </w:divBdr>
            </w:div>
            <w:div w:id="16258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110">
      <w:bodyDiv w:val="1"/>
      <w:marLeft w:val="0"/>
      <w:marRight w:val="0"/>
      <w:marTop w:val="0"/>
      <w:marBottom w:val="0"/>
      <w:divBdr>
        <w:top w:val="none" w:sz="0" w:space="0" w:color="auto"/>
        <w:left w:val="none" w:sz="0" w:space="0" w:color="auto"/>
        <w:bottom w:val="none" w:sz="0" w:space="0" w:color="auto"/>
        <w:right w:val="none" w:sz="0" w:space="0" w:color="auto"/>
      </w:divBdr>
    </w:div>
    <w:div w:id="806705746">
      <w:bodyDiv w:val="1"/>
      <w:marLeft w:val="0"/>
      <w:marRight w:val="0"/>
      <w:marTop w:val="0"/>
      <w:marBottom w:val="0"/>
      <w:divBdr>
        <w:top w:val="none" w:sz="0" w:space="0" w:color="auto"/>
        <w:left w:val="none" w:sz="0" w:space="0" w:color="auto"/>
        <w:bottom w:val="none" w:sz="0" w:space="0" w:color="auto"/>
        <w:right w:val="none" w:sz="0" w:space="0" w:color="auto"/>
      </w:divBdr>
      <w:divsChild>
        <w:div w:id="585001042">
          <w:marLeft w:val="0"/>
          <w:marRight w:val="0"/>
          <w:marTop w:val="0"/>
          <w:marBottom w:val="0"/>
          <w:divBdr>
            <w:top w:val="none" w:sz="0" w:space="0" w:color="auto"/>
            <w:left w:val="none" w:sz="0" w:space="0" w:color="auto"/>
            <w:bottom w:val="none" w:sz="0" w:space="0" w:color="auto"/>
            <w:right w:val="none" w:sz="0" w:space="0" w:color="auto"/>
          </w:divBdr>
          <w:divsChild>
            <w:div w:id="799415741">
              <w:marLeft w:val="0"/>
              <w:marRight w:val="0"/>
              <w:marTop w:val="0"/>
              <w:marBottom w:val="0"/>
              <w:divBdr>
                <w:top w:val="none" w:sz="0" w:space="0" w:color="auto"/>
                <w:left w:val="none" w:sz="0" w:space="0" w:color="auto"/>
                <w:bottom w:val="none" w:sz="0" w:space="0" w:color="auto"/>
                <w:right w:val="none" w:sz="0" w:space="0" w:color="auto"/>
              </w:divBdr>
            </w:div>
            <w:div w:id="1593471345">
              <w:marLeft w:val="0"/>
              <w:marRight w:val="0"/>
              <w:marTop w:val="0"/>
              <w:marBottom w:val="0"/>
              <w:divBdr>
                <w:top w:val="none" w:sz="0" w:space="0" w:color="auto"/>
                <w:left w:val="none" w:sz="0" w:space="0" w:color="auto"/>
                <w:bottom w:val="none" w:sz="0" w:space="0" w:color="auto"/>
                <w:right w:val="none" w:sz="0" w:space="0" w:color="auto"/>
              </w:divBdr>
            </w:div>
            <w:div w:id="1727338679">
              <w:marLeft w:val="0"/>
              <w:marRight w:val="0"/>
              <w:marTop w:val="0"/>
              <w:marBottom w:val="0"/>
              <w:divBdr>
                <w:top w:val="none" w:sz="0" w:space="0" w:color="auto"/>
                <w:left w:val="none" w:sz="0" w:space="0" w:color="auto"/>
                <w:bottom w:val="none" w:sz="0" w:space="0" w:color="auto"/>
                <w:right w:val="none" w:sz="0" w:space="0" w:color="auto"/>
              </w:divBdr>
            </w:div>
            <w:div w:id="2016836562">
              <w:marLeft w:val="0"/>
              <w:marRight w:val="0"/>
              <w:marTop w:val="0"/>
              <w:marBottom w:val="0"/>
              <w:divBdr>
                <w:top w:val="none" w:sz="0" w:space="0" w:color="auto"/>
                <w:left w:val="none" w:sz="0" w:space="0" w:color="auto"/>
                <w:bottom w:val="none" w:sz="0" w:space="0" w:color="auto"/>
                <w:right w:val="none" w:sz="0" w:space="0" w:color="auto"/>
              </w:divBdr>
            </w:div>
          </w:divsChild>
        </w:div>
        <w:div w:id="613513416">
          <w:marLeft w:val="0"/>
          <w:marRight w:val="0"/>
          <w:marTop w:val="0"/>
          <w:marBottom w:val="0"/>
          <w:divBdr>
            <w:top w:val="none" w:sz="0" w:space="0" w:color="auto"/>
            <w:left w:val="none" w:sz="0" w:space="0" w:color="auto"/>
            <w:bottom w:val="none" w:sz="0" w:space="0" w:color="auto"/>
            <w:right w:val="none" w:sz="0" w:space="0" w:color="auto"/>
          </w:divBdr>
          <w:divsChild>
            <w:div w:id="999042817">
              <w:marLeft w:val="0"/>
              <w:marRight w:val="0"/>
              <w:marTop w:val="0"/>
              <w:marBottom w:val="0"/>
              <w:divBdr>
                <w:top w:val="none" w:sz="0" w:space="0" w:color="auto"/>
                <w:left w:val="none" w:sz="0" w:space="0" w:color="auto"/>
                <w:bottom w:val="none" w:sz="0" w:space="0" w:color="auto"/>
                <w:right w:val="none" w:sz="0" w:space="0" w:color="auto"/>
              </w:divBdr>
            </w:div>
            <w:div w:id="1474061055">
              <w:marLeft w:val="0"/>
              <w:marRight w:val="0"/>
              <w:marTop w:val="0"/>
              <w:marBottom w:val="0"/>
              <w:divBdr>
                <w:top w:val="none" w:sz="0" w:space="0" w:color="auto"/>
                <w:left w:val="none" w:sz="0" w:space="0" w:color="auto"/>
                <w:bottom w:val="none" w:sz="0" w:space="0" w:color="auto"/>
                <w:right w:val="none" w:sz="0" w:space="0" w:color="auto"/>
              </w:divBdr>
            </w:div>
            <w:div w:id="1661499501">
              <w:marLeft w:val="0"/>
              <w:marRight w:val="0"/>
              <w:marTop w:val="0"/>
              <w:marBottom w:val="0"/>
              <w:divBdr>
                <w:top w:val="none" w:sz="0" w:space="0" w:color="auto"/>
                <w:left w:val="none" w:sz="0" w:space="0" w:color="auto"/>
                <w:bottom w:val="none" w:sz="0" w:space="0" w:color="auto"/>
                <w:right w:val="none" w:sz="0" w:space="0" w:color="auto"/>
              </w:divBdr>
            </w:div>
          </w:divsChild>
        </w:div>
        <w:div w:id="823007214">
          <w:marLeft w:val="0"/>
          <w:marRight w:val="0"/>
          <w:marTop w:val="0"/>
          <w:marBottom w:val="0"/>
          <w:divBdr>
            <w:top w:val="none" w:sz="0" w:space="0" w:color="auto"/>
            <w:left w:val="none" w:sz="0" w:space="0" w:color="auto"/>
            <w:bottom w:val="none" w:sz="0" w:space="0" w:color="auto"/>
            <w:right w:val="none" w:sz="0" w:space="0" w:color="auto"/>
          </w:divBdr>
          <w:divsChild>
            <w:div w:id="235286283">
              <w:marLeft w:val="0"/>
              <w:marRight w:val="0"/>
              <w:marTop w:val="0"/>
              <w:marBottom w:val="0"/>
              <w:divBdr>
                <w:top w:val="none" w:sz="0" w:space="0" w:color="auto"/>
                <w:left w:val="none" w:sz="0" w:space="0" w:color="auto"/>
                <w:bottom w:val="none" w:sz="0" w:space="0" w:color="auto"/>
                <w:right w:val="none" w:sz="0" w:space="0" w:color="auto"/>
              </w:divBdr>
            </w:div>
            <w:div w:id="939411910">
              <w:marLeft w:val="0"/>
              <w:marRight w:val="0"/>
              <w:marTop w:val="0"/>
              <w:marBottom w:val="0"/>
              <w:divBdr>
                <w:top w:val="none" w:sz="0" w:space="0" w:color="auto"/>
                <w:left w:val="none" w:sz="0" w:space="0" w:color="auto"/>
                <w:bottom w:val="none" w:sz="0" w:space="0" w:color="auto"/>
                <w:right w:val="none" w:sz="0" w:space="0" w:color="auto"/>
              </w:divBdr>
            </w:div>
            <w:div w:id="1307934583">
              <w:marLeft w:val="0"/>
              <w:marRight w:val="0"/>
              <w:marTop w:val="0"/>
              <w:marBottom w:val="0"/>
              <w:divBdr>
                <w:top w:val="none" w:sz="0" w:space="0" w:color="auto"/>
                <w:left w:val="none" w:sz="0" w:space="0" w:color="auto"/>
                <w:bottom w:val="none" w:sz="0" w:space="0" w:color="auto"/>
                <w:right w:val="none" w:sz="0" w:space="0" w:color="auto"/>
              </w:divBdr>
            </w:div>
            <w:div w:id="1517306605">
              <w:marLeft w:val="0"/>
              <w:marRight w:val="0"/>
              <w:marTop w:val="0"/>
              <w:marBottom w:val="0"/>
              <w:divBdr>
                <w:top w:val="none" w:sz="0" w:space="0" w:color="auto"/>
                <w:left w:val="none" w:sz="0" w:space="0" w:color="auto"/>
                <w:bottom w:val="none" w:sz="0" w:space="0" w:color="auto"/>
                <w:right w:val="none" w:sz="0" w:space="0" w:color="auto"/>
              </w:divBdr>
            </w:div>
          </w:divsChild>
        </w:div>
        <w:div w:id="836068419">
          <w:marLeft w:val="0"/>
          <w:marRight w:val="0"/>
          <w:marTop w:val="0"/>
          <w:marBottom w:val="0"/>
          <w:divBdr>
            <w:top w:val="none" w:sz="0" w:space="0" w:color="auto"/>
            <w:left w:val="none" w:sz="0" w:space="0" w:color="auto"/>
            <w:bottom w:val="none" w:sz="0" w:space="0" w:color="auto"/>
            <w:right w:val="none" w:sz="0" w:space="0" w:color="auto"/>
          </w:divBdr>
          <w:divsChild>
            <w:div w:id="4291711">
              <w:marLeft w:val="0"/>
              <w:marRight w:val="0"/>
              <w:marTop w:val="0"/>
              <w:marBottom w:val="0"/>
              <w:divBdr>
                <w:top w:val="none" w:sz="0" w:space="0" w:color="auto"/>
                <w:left w:val="none" w:sz="0" w:space="0" w:color="auto"/>
                <w:bottom w:val="none" w:sz="0" w:space="0" w:color="auto"/>
                <w:right w:val="none" w:sz="0" w:space="0" w:color="auto"/>
              </w:divBdr>
            </w:div>
          </w:divsChild>
        </w:div>
        <w:div w:id="855118601">
          <w:marLeft w:val="0"/>
          <w:marRight w:val="0"/>
          <w:marTop w:val="0"/>
          <w:marBottom w:val="0"/>
          <w:divBdr>
            <w:top w:val="none" w:sz="0" w:space="0" w:color="auto"/>
            <w:left w:val="none" w:sz="0" w:space="0" w:color="auto"/>
            <w:bottom w:val="none" w:sz="0" w:space="0" w:color="auto"/>
            <w:right w:val="none" w:sz="0" w:space="0" w:color="auto"/>
          </w:divBdr>
          <w:divsChild>
            <w:div w:id="1827893888">
              <w:marLeft w:val="0"/>
              <w:marRight w:val="0"/>
              <w:marTop w:val="0"/>
              <w:marBottom w:val="0"/>
              <w:divBdr>
                <w:top w:val="none" w:sz="0" w:space="0" w:color="auto"/>
                <w:left w:val="none" w:sz="0" w:space="0" w:color="auto"/>
                <w:bottom w:val="none" w:sz="0" w:space="0" w:color="auto"/>
                <w:right w:val="none" w:sz="0" w:space="0" w:color="auto"/>
              </w:divBdr>
            </w:div>
          </w:divsChild>
        </w:div>
        <w:div w:id="967391482">
          <w:marLeft w:val="0"/>
          <w:marRight w:val="0"/>
          <w:marTop w:val="0"/>
          <w:marBottom w:val="0"/>
          <w:divBdr>
            <w:top w:val="none" w:sz="0" w:space="0" w:color="auto"/>
            <w:left w:val="none" w:sz="0" w:space="0" w:color="auto"/>
            <w:bottom w:val="none" w:sz="0" w:space="0" w:color="auto"/>
            <w:right w:val="none" w:sz="0" w:space="0" w:color="auto"/>
          </w:divBdr>
          <w:divsChild>
            <w:div w:id="337388531">
              <w:marLeft w:val="0"/>
              <w:marRight w:val="0"/>
              <w:marTop w:val="0"/>
              <w:marBottom w:val="0"/>
              <w:divBdr>
                <w:top w:val="none" w:sz="0" w:space="0" w:color="auto"/>
                <w:left w:val="none" w:sz="0" w:space="0" w:color="auto"/>
                <w:bottom w:val="none" w:sz="0" w:space="0" w:color="auto"/>
                <w:right w:val="none" w:sz="0" w:space="0" w:color="auto"/>
              </w:divBdr>
            </w:div>
          </w:divsChild>
        </w:div>
        <w:div w:id="1392271558">
          <w:marLeft w:val="0"/>
          <w:marRight w:val="0"/>
          <w:marTop w:val="0"/>
          <w:marBottom w:val="0"/>
          <w:divBdr>
            <w:top w:val="none" w:sz="0" w:space="0" w:color="auto"/>
            <w:left w:val="none" w:sz="0" w:space="0" w:color="auto"/>
            <w:bottom w:val="none" w:sz="0" w:space="0" w:color="auto"/>
            <w:right w:val="none" w:sz="0" w:space="0" w:color="auto"/>
          </w:divBdr>
          <w:divsChild>
            <w:div w:id="1321620828">
              <w:marLeft w:val="0"/>
              <w:marRight w:val="0"/>
              <w:marTop w:val="0"/>
              <w:marBottom w:val="0"/>
              <w:divBdr>
                <w:top w:val="none" w:sz="0" w:space="0" w:color="auto"/>
                <w:left w:val="none" w:sz="0" w:space="0" w:color="auto"/>
                <w:bottom w:val="none" w:sz="0" w:space="0" w:color="auto"/>
                <w:right w:val="none" w:sz="0" w:space="0" w:color="auto"/>
              </w:divBdr>
            </w:div>
          </w:divsChild>
        </w:div>
        <w:div w:id="1752462359">
          <w:marLeft w:val="0"/>
          <w:marRight w:val="0"/>
          <w:marTop w:val="0"/>
          <w:marBottom w:val="0"/>
          <w:divBdr>
            <w:top w:val="none" w:sz="0" w:space="0" w:color="auto"/>
            <w:left w:val="none" w:sz="0" w:space="0" w:color="auto"/>
            <w:bottom w:val="none" w:sz="0" w:space="0" w:color="auto"/>
            <w:right w:val="none" w:sz="0" w:space="0" w:color="auto"/>
          </w:divBdr>
          <w:divsChild>
            <w:div w:id="667946201">
              <w:marLeft w:val="0"/>
              <w:marRight w:val="0"/>
              <w:marTop w:val="0"/>
              <w:marBottom w:val="0"/>
              <w:divBdr>
                <w:top w:val="none" w:sz="0" w:space="0" w:color="auto"/>
                <w:left w:val="none" w:sz="0" w:space="0" w:color="auto"/>
                <w:bottom w:val="none" w:sz="0" w:space="0" w:color="auto"/>
                <w:right w:val="none" w:sz="0" w:space="0" w:color="auto"/>
              </w:divBdr>
            </w:div>
          </w:divsChild>
        </w:div>
        <w:div w:id="1785735820">
          <w:marLeft w:val="0"/>
          <w:marRight w:val="0"/>
          <w:marTop w:val="0"/>
          <w:marBottom w:val="0"/>
          <w:divBdr>
            <w:top w:val="none" w:sz="0" w:space="0" w:color="auto"/>
            <w:left w:val="none" w:sz="0" w:space="0" w:color="auto"/>
            <w:bottom w:val="none" w:sz="0" w:space="0" w:color="auto"/>
            <w:right w:val="none" w:sz="0" w:space="0" w:color="auto"/>
          </w:divBdr>
          <w:divsChild>
            <w:div w:id="1780947372">
              <w:marLeft w:val="0"/>
              <w:marRight w:val="0"/>
              <w:marTop w:val="0"/>
              <w:marBottom w:val="0"/>
              <w:divBdr>
                <w:top w:val="none" w:sz="0" w:space="0" w:color="auto"/>
                <w:left w:val="none" w:sz="0" w:space="0" w:color="auto"/>
                <w:bottom w:val="none" w:sz="0" w:space="0" w:color="auto"/>
                <w:right w:val="none" w:sz="0" w:space="0" w:color="auto"/>
              </w:divBdr>
            </w:div>
          </w:divsChild>
        </w:div>
        <w:div w:id="1853837767">
          <w:marLeft w:val="0"/>
          <w:marRight w:val="0"/>
          <w:marTop w:val="0"/>
          <w:marBottom w:val="0"/>
          <w:divBdr>
            <w:top w:val="none" w:sz="0" w:space="0" w:color="auto"/>
            <w:left w:val="none" w:sz="0" w:space="0" w:color="auto"/>
            <w:bottom w:val="none" w:sz="0" w:space="0" w:color="auto"/>
            <w:right w:val="none" w:sz="0" w:space="0" w:color="auto"/>
          </w:divBdr>
          <w:divsChild>
            <w:div w:id="392774031">
              <w:marLeft w:val="0"/>
              <w:marRight w:val="0"/>
              <w:marTop w:val="0"/>
              <w:marBottom w:val="0"/>
              <w:divBdr>
                <w:top w:val="none" w:sz="0" w:space="0" w:color="auto"/>
                <w:left w:val="none" w:sz="0" w:space="0" w:color="auto"/>
                <w:bottom w:val="none" w:sz="0" w:space="0" w:color="auto"/>
                <w:right w:val="none" w:sz="0" w:space="0" w:color="auto"/>
              </w:divBdr>
            </w:div>
            <w:div w:id="427577856">
              <w:marLeft w:val="0"/>
              <w:marRight w:val="0"/>
              <w:marTop w:val="0"/>
              <w:marBottom w:val="0"/>
              <w:divBdr>
                <w:top w:val="none" w:sz="0" w:space="0" w:color="auto"/>
                <w:left w:val="none" w:sz="0" w:space="0" w:color="auto"/>
                <w:bottom w:val="none" w:sz="0" w:space="0" w:color="auto"/>
                <w:right w:val="none" w:sz="0" w:space="0" w:color="auto"/>
              </w:divBdr>
            </w:div>
            <w:div w:id="1265458036">
              <w:marLeft w:val="0"/>
              <w:marRight w:val="0"/>
              <w:marTop w:val="0"/>
              <w:marBottom w:val="0"/>
              <w:divBdr>
                <w:top w:val="none" w:sz="0" w:space="0" w:color="auto"/>
                <w:left w:val="none" w:sz="0" w:space="0" w:color="auto"/>
                <w:bottom w:val="none" w:sz="0" w:space="0" w:color="auto"/>
                <w:right w:val="none" w:sz="0" w:space="0" w:color="auto"/>
              </w:divBdr>
            </w:div>
            <w:div w:id="1640960696">
              <w:marLeft w:val="0"/>
              <w:marRight w:val="0"/>
              <w:marTop w:val="0"/>
              <w:marBottom w:val="0"/>
              <w:divBdr>
                <w:top w:val="none" w:sz="0" w:space="0" w:color="auto"/>
                <w:left w:val="none" w:sz="0" w:space="0" w:color="auto"/>
                <w:bottom w:val="none" w:sz="0" w:space="0" w:color="auto"/>
                <w:right w:val="none" w:sz="0" w:space="0" w:color="auto"/>
              </w:divBdr>
            </w:div>
            <w:div w:id="1898855974">
              <w:marLeft w:val="0"/>
              <w:marRight w:val="0"/>
              <w:marTop w:val="0"/>
              <w:marBottom w:val="0"/>
              <w:divBdr>
                <w:top w:val="none" w:sz="0" w:space="0" w:color="auto"/>
                <w:left w:val="none" w:sz="0" w:space="0" w:color="auto"/>
                <w:bottom w:val="none" w:sz="0" w:space="0" w:color="auto"/>
                <w:right w:val="none" w:sz="0" w:space="0" w:color="auto"/>
              </w:divBdr>
            </w:div>
          </w:divsChild>
        </w:div>
        <w:div w:id="1911844928">
          <w:marLeft w:val="0"/>
          <w:marRight w:val="0"/>
          <w:marTop w:val="0"/>
          <w:marBottom w:val="0"/>
          <w:divBdr>
            <w:top w:val="none" w:sz="0" w:space="0" w:color="auto"/>
            <w:left w:val="none" w:sz="0" w:space="0" w:color="auto"/>
            <w:bottom w:val="none" w:sz="0" w:space="0" w:color="auto"/>
            <w:right w:val="none" w:sz="0" w:space="0" w:color="auto"/>
          </w:divBdr>
          <w:divsChild>
            <w:div w:id="662011662">
              <w:marLeft w:val="0"/>
              <w:marRight w:val="0"/>
              <w:marTop w:val="0"/>
              <w:marBottom w:val="0"/>
              <w:divBdr>
                <w:top w:val="none" w:sz="0" w:space="0" w:color="auto"/>
                <w:left w:val="none" w:sz="0" w:space="0" w:color="auto"/>
                <w:bottom w:val="none" w:sz="0" w:space="0" w:color="auto"/>
                <w:right w:val="none" w:sz="0" w:space="0" w:color="auto"/>
              </w:divBdr>
            </w:div>
            <w:div w:id="810100710">
              <w:marLeft w:val="0"/>
              <w:marRight w:val="0"/>
              <w:marTop w:val="0"/>
              <w:marBottom w:val="0"/>
              <w:divBdr>
                <w:top w:val="none" w:sz="0" w:space="0" w:color="auto"/>
                <w:left w:val="none" w:sz="0" w:space="0" w:color="auto"/>
                <w:bottom w:val="none" w:sz="0" w:space="0" w:color="auto"/>
                <w:right w:val="none" w:sz="0" w:space="0" w:color="auto"/>
              </w:divBdr>
            </w:div>
          </w:divsChild>
        </w:div>
        <w:div w:id="2133287128">
          <w:marLeft w:val="0"/>
          <w:marRight w:val="0"/>
          <w:marTop w:val="0"/>
          <w:marBottom w:val="0"/>
          <w:divBdr>
            <w:top w:val="none" w:sz="0" w:space="0" w:color="auto"/>
            <w:left w:val="none" w:sz="0" w:space="0" w:color="auto"/>
            <w:bottom w:val="none" w:sz="0" w:space="0" w:color="auto"/>
            <w:right w:val="none" w:sz="0" w:space="0" w:color="auto"/>
          </w:divBdr>
          <w:divsChild>
            <w:div w:id="895512381">
              <w:marLeft w:val="0"/>
              <w:marRight w:val="0"/>
              <w:marTop w:val="0"/>
              <w:marBottom w:val="0"/>
              <w:divBdr>
                <w:top w:val="none" w:sz="0" w:space="0" w:color="auto"/>
                <w:left w:val="none" w:sz="0" w:space="0" w:color="auto"/>
                <w:bottom w:val="none" w:sz="0" w:space="0" w:color="auto"/>
                <w:right w:val="none" w:sz="0" w:space="0" w:color="auto"/>
              </w:divBdr>
            </w:div>
            <w:div w:id="1326083843">
              <w:marLeft w:val="0"/>
              <w:marRight w:val="0"/>
              <w:marTop w:val="0"/>
              <w:marBottom w:val="0"/>
              <w:divBdr>
                <w:top w:val="none" w:sz="0" w:space="0" w:color="auto"/>
                <w:left w:val="none" w:sz="0" w:space="0" w:color="auto"/>
                <w:bottom w:val="none" w:sz="0" w:space="0" w:color="auto"/>
                <w:right w:val="none" w:sz="0" w:space="0" w:color="auto"/>
              </w:divBdr>
            </w:div>
            <w:div w:id="1499735318">
              <w:marLeft w:val="0"/>
              <w:marRight w:val="0"/>
              <w:marTop w:val="0"/>
              <w:marBottom w:val="0"/>
              <w:divBdr>
                <w:top w:val="none" w:sz="0" w:space="0" w:color="auto"/>
                <w:left w:val="none" w:sz="0" w:space="0" w:color="auto"/>
                <w:bottom w:val="none" w:sz="0" w:space="0" w:color="auto"/>
                <w:right w:val="none" w:sz="0" w:space="0" w:color="auto"/>
              </w:divBdr>
            </w:div>
            <w:div w:id="16564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587">
      <w:bodyDiv w:val="1"/>
      <w:marLeft w:val="0"/>
      <w:marRight w:val="0"/>
      <w:marTop w:val="0"/>
      <w:marBottom w:val="0"/>
      <w:divBdr>
        <w:top w:val="none" w:sz="0" w:space="0" w:color="auto"/>
        <w:left w:val="none" w:sz="0" w:space="0" w:color="auto"/>
        <w:bottom w:val="none" w:sz="0" w:space="0" w:color="auto"/>
        <w:right w:val="none" w:sz="0" w:space="0" w:color="auto"/>
      </w:divBdr>
    </w:div>
    <w:div w:id="1159924032">
      <w:bodyDiv w:val="1"/>
      <w:marLeft w:val="0"/>
      <w:marRight w:val="0"/>
      <w:marTop w:val="0"/>
      <w:marBottom w:val="0"/>
      <w:divBdr>
        <w:top w:val="none" w:sz="0" w:space="0" w:color="auto"/>
        <w:left w:val="none" w:sz="0" w:space="0" w:color="auto"/>
        <w:bottom w:val="none" w:sz="0" w:space="0" w:color="auto"/>
        <w:right w:val="none" w:sz="0" w:space="0" w:color="auto"/>
      </w:divBdr>
    </w:div>
    <w:div w:id="1185897553">
      <w:bodyDiv w:val="1"/>
      <w:marLeft w:val="0"/>
      <w:marRight w:val="0"/>
      <w:marTop w:val="0"/>
      <w:marBottom w:val="0"/>
      <w:divBdr>
        <w:top w:val="none" w:sz="0" w:space="0" w:color="auto"/>
        <w:left w:val="none" w:sz="0" w:space="0" w:color="auto"/>
        <w:bottom w:val="none" w:sz="0" w:space="0" w:color="auto"/>
        <w:right w:val="none" w:sz="0" w:space="0" w:color="auto"/>
      </w:divBdr>
      <w:divsChild>
        <w:div w:id="141393213">
          <w:marLeft w:val="0"/>
          <w:marRight w:val="0"/>
          <w:marTop w:val="0"/>
          <w:marBottom w:val="0"/>
          <w:divBdr>
            <w:top w:val="none" w:sz="0" w:space="0" w:color="auto"/>
            <w:left w:val="none" w:sz="0" w:space="0" w:color="auto"/>
            <w:bottom w:val="none" w:sz="0" w:space="0" w:color="auto"/>
            <w:right w:val="none" w:sz="0" w:space="0" w:color="auto"/>
          </w:divBdr>
          <w:divsChild>
            <w:div w:id="654992221">
              <w:marLeft w:val="0"/>
              <w:marRight w:val="0"/>
              <w:marTop w:val="0"/>
              <w:marBottom w:val="0"/>
              <w:divBdr>
                <w:top w:val="none" w:sz="0" w:space="0" w:color="auto"/>
                <w:left w:val="none" w:sz="0" w:space="0" w:color="auto"/>
                <w:bottom w:val="none" w:sz="0" w:space="0" w:color="auto"/>
                <w:right w:val="none" w:sz="0" w:space="0" w:color="auto"/>
              </w:divBdr>
            </w:div>
            <w:div w:id="703675210">
              <w:marLeft w:val="0"/>
              <w:marRight w:val="0"/>
              <w:marTop w:val="0"/>
              <w:marBottom w:val="0"/>
              <w:divBdr>
                <w:top w:val="none" w:sz="0" w:space="0" w:color="auto"/>
                <w:left w:val="none" w:sz="0" w:space="0" w:color="auto"/>
                <w:bottom w:val="none" w:sz="0" w:space="0" w:color="auto"/>
                <w:right w:val="none" w:sz="0" w:space="0" w:color="auto"/>
              </w:divBdr>
            </w:div>
            <w:div w:id="931621080">
              <w:marLeft w:val="0"/>
              <w:marRight w:val="0"/>
              <w:marTop w:val="0"/>
              <w:marBottom w:val="0"/>
              <w:divBdr>
                <w:top w:val="none" w:sz="0" w:space="0" w:color="auto"/>
                <w:left w:val="none" w:sz="0" w:space="0" w:color="auto"/>
                <w:bottom w:val="none" w:sz="0" w:space="0" w:color="auto"/>
                <w:right w:val="none" w:sz="0" w:space="0" w:color="auto"/>
              </w:divBdr>
            </w:div>
            <w:div w:id="1147555044">
              <w:marLeft w:val="0"/>
              <w:marRight w:val="0"/>
              <w:marTop w:val="0"/>
              <w:marBottom w:val="0"/>
              <w:divBdr>
                <w:top w:val="none" w:sz="0" w:space="0" w:color="auto"/>
                <w:left w:val="none" w:sz="0" w:space="0" w:color="auto"/>
                <w:bottom w:val="none" w:sz="0" w:space="0" w:color="auto"/>
                <w:right w:val="none" w:sz="0" w:space="0" w:color="auto"/>
              </w:divBdr>
            </w:div>
          </w:divsChild>
        </w:div>
        <w:div w:id="360937000">
          <w:marLeft w:val="0"/>
          <w:marRight w:val="0"/>
          <w:marTop w:val="0"/>
          <w:marBottom w:val="0"/>
          <w:divBdr>
            <w:top w:val="none" w:sz="0" w:space="0" w:color="auto"/>
            <w:left w:val="none" w:sz="0" w:space="0" w:color="auto"/>
            <w:bottom w:val="none" w:sz="0" w:space="0" w:color="auto"/>
            <w:right w:val="none" w:sz="0" w:space="0" w:color="auto"/>
          </w:divBdr>
          <w:divsChild>
            <w:div w:id="54395877">
              <w:marLeft w:val="0"/>
              <w:marRight w:val="0"/>
              <w:marTop w:val="0"/>
              <w:marBottom w:val="0"/>
              <w:divBdr>
                <w:top w:val="none" w:sz="0" w:space="0" w:color="auto"/>
                <w:left w:val="none" w:sz="0" w:space="0" w:color="auto"/>
                <w:bottom w:val="none" w:sz="0" w:space="0" w:color="auto"/>
                <w:right w:val="none" w:sz="0" w:space="0" w:color="auto"/>
              </w:divBdr>
            </w:div>
            <w:div w:id="749888489">
              <w:marLeft w:val="0"/>
              <w:marRight w:val="0"/>
              <w:marTop w:val="0"/>
              <w:marBottom w:val="0"/>
              <w:divBdr>
                <w:top w:val="none" w:sz="0" w:space="0" w:color="auto"/>
                <w:left w:val="none" w:sz="0" w:space="0" w:color="auto"/>
                <w:bottom w:val="none" w:sz="0" w:space="0" w:color="auto"/>
                <w:right w:val="none" w:sz="0" w:space="0" w:color="auto"/>
              </w:divBdr>
            </w:div>
            <w:div w:id="1336421674">
              <w:marLeft w:val="0"/>
              <w:marRight w:val="0"/>
              <w:marTop w:val="0"/>
              <w:marBottom w:val="0"/>
              <w:divBdr>
                <w:top w:val="none" w:sz="0" w:space="0" w:color="auto"/>
                <w:left w:val="none" w:sz="0" w:space="0" w:color="auto"/>
                <w:bottom w:val="none" w:sz="0" w:space="0" w:color="auto"/>
                <w:right w:val="none" w:sz="0" w:space="0" w:color="auto"/>
              </w:divBdr>
            </w:div>
            <w:div w:id="1735006082">
              <w:marLeft w:val="0"/>
              <w:marRight w:val="0"/>
              <w:marTop w:val="0"/>
              <w:marBottom w:val="0"/>
              <w:divBdr>
                <w:top w:val="none" w:sz="0" w:space="0" w:color="auto"/>
                <w:left w:val="none" w:sz="0" w:space="0" w:color="auto"/>
                <w:bottom w:val="none" w:sz="0" w:space="0" w:color="auto"/>
                <w:right w:val="none" w:sz="0" w:space="0" w:color="auto"/>
              </w:divBdr>
            </w:div>
            <w:div w:id="2112620869">
              <w:marLeft w:val="0"/>
              <w:marRight w:val="0"/>
              <w:marTop w:val="0"/>
              <w:marBottom w:val="0"/>
              <w:divBdr>
                <w:top w:val="none" w:sz="0" w:space="0" w:color="auto"/>
                <w:left w:val="none" w:sz="0" w:space="0" w:color="auto"/>
                <w:bottom w:val="none" w:sz="0" w:space="0" w:color="auto"/>
                <w:right w:val="none" w:sz="0" w:space="0" w:color="auto"/>
              </w:divBdr>
            </w:div>
          </w:divsChild>
        </w:div>
        <w:div w:id="371686774">
          <w:marLeft w:val="0"/>
          <w:marRight w:val="0"/>
          <w:marTop w:val="0"/>
          <w:marBottom w:val="0"/>
          <w:divBdr>
            <w:top w:val="none" w:sz="0" w:space="0" w:color="auto"/>
            <w:left w:val="none" w:sz="0" w:space="0" w:color="auto"/>
            <w:bottom w:val="none" w:sz="0" w:space="0" w:color="auto"/>
            <w:right w:val="none" w:sz="0" w:space="0" w:color="auto"/>
          </w:divBdr>
          <w:divsChild>
            <w:div w:id="52311805">
              <w:marLeft w:val="0"/>
              <w:marRight w:val="0"/>
              <w:marTop w:val="0"/>
              <w:marBottom w:val="0"/>
              <w:divBdr>
                <w:top w:val="none" w:sz="0" w:space="0" w:color="auto"/>
                <w:left w:val="none" w:sz="0" w:space="0" w:color="auto"/>
                <w:bottom w:val="none" w:sz="0" w:space="0" w:color="auto"/>
                <w:right w:val="none" w:sz="0" w:space="0" w:color="auto"/>
              </w:divBdr>
            </w:div>
            <w:div w:id="790981476">
              <w:marLeft w:val="0"/>
              <w:marRight w:val="0"/>
              <w:marTop w:val="0"/>
              <w:marBottom w:val="0"/>
              <w:divBdr>
                <w:top w:val="none" w:sz="0" w:space="0" w:color="auto"/>
                <w:left w:val="none" w:sz="0" w:space="0" w:color="auto"/>
                <w:bottom w:val="none" w:sz="0" w:space="0" w:color="auto"/>
                <w:right w:val="none" w:sz="0" w:space="0" w:color="auto"/>
              </w:divBdr>
            </w:div>
          </w:divsChild>
        </w:div>
        <w:div w:id="537200934">
          <w:marLeft w:val="0"/>
          <w:marRight w:val="0"/>
          <w:marTop w:val="0"/>
          <w:marBottom w:val="0"/>
          <w:divBdr>
            <w:top w:val="none" w:sz="0" w:space="0" w:color="auto"/>
            <w:left w:val="none" w:sz="0" w:space="0" w:color="auto"/>
            <w:bottom w:val="none" w:sz="0" w:space="0" w:color="auto"/>
            <w:right w:val="none" w:sz="0" w:space="0" w:color="auto"/>
          </w:divBdr>
          <w:divsChild>
            <w:div w:id="326130195">
              <w:marLeft w:val="0"/>
              <w:marRight w:val="0"/>
              <w:marTop w:val="0"/>
              <w:marBottom w:val="0"/>
              <w:divBdr>
                <w:top w:val="none" w:sz="0" w:space="0" w:color="auto"/>
                <w:left w:val="none" w:sz="0" w:space="0" w:color="auto"/>
                <w:bottom w:val="none" w:sz="0" w:space="0" w:color="auto"/>
                <w:right w:val="none" w:sz="0" w:space="0" w:color="auto"/>
              </w:divBdr>
            </w:div>
            <w:div w:id="805007280">
              <w:marLeft w:val="0"/>
              <w:marRight w:val="0"/>
              <w:marTop w:val="0"/>
              <w:marBottom w:val="0"/>
              <w:divBdr>
                <w:top w:val="none" w:sz="0" w:space="0" w:color="auto"/>
                <w:left w:val="none" w:sz="0" w:space="0" w:color="auto"/>
                <w:bottom w:val="none" w:sz="0" w:space="0" w:color="auto"/>
                <w:right w:val="none" w:sz="0" w:space="0" w:color="auto"/>
              </w:divBdr>
            </w:div>
            <w:div w:id="1419525171">
              <w:marLeft w:val="0"/>
              <w:marRight w:val="0"/>
              <w:marTop w:val="0"/>
              <w:marBottom w:val="0"/>
              <w:divBdr>
                <w:top w:val="none" w:sz="0" w:space="0" w:color="auto"/>
                <w:left w:val="none" w:sz="0" w:space="0" w:color="auto"/>
                <w:bottom w:val="none" w:sz="0" w:space="0" w:color="auto"/>
                <w:right w:val="none" w:sz="0" w:space="0" w:color="auto"/>
              </w:divBdr>
            </w:div>
          </w:divsChild>
        </w:div>
        <w:div w:id="769131492">
          <w:marLeft w:val="0"/>
          <w:marRight w:val="0"/>
          <w:marTop w:val="0"/>
          <w:marBottom w:val="0"/>
          <w:divBdr>
            <w:top w:val="none" w:sz="0" w:space="0" w:color="auto"/>
            <w:left w:val="none" w:sz="0" w:space="0" w:color="auto"/>
            <w:bottom w:val="none" w:sz="0" w:space="0" w:color="auto"/>
            <w:right w:val="none" w:sz="0" w:space="0" w:color="auto"/>
          </w:divBdr>
          <w:divsChild>
            <w:div w:id="156045955">
              <w:marLeft w:val="0"/>
              <w:marRight w:val="0"/>
              <w:marTop w:val="0"/>
              <w:marBottom w:val="0"/>
              <w:divBdr>
                <w:top w:val="none" w:sz="0" w:space="0" w:color="auto"/>
                <w:left w:val="none" w:sz="0" w:space="0" w:color="auto"/>
                <w:bottom w:val="none" w:sz="0" w:space="0" w:color="auto"/>
                <w:right w:val="none" w:sz="0" w:space="0" w:color="auto"/>
              </w:divBdr>
            </w:div>
          </w:divsChild>
        </w:div>
        <w:div w:id="1185746120">
          <w:marLeft w:val="0"/>
          <w:marRight w:val="0"/>
          <w:marTop w:val="0"/>
          <w:marBottom w:val="0"/>
          <w:divBdr>
            <w:top w:val="none" w:sz="0" w:space="0" w:color="auto"/>
            <w:left w:val="none" w:sz="0" w:space="0" w:color="auto"/>
            <w:bottom w:val="none" w:sz="0" w:space="0" w:color="auto"/>
            <w:right w:val="none" w:sz="0" w:space="0" w:color="auto"/>
          </w:divBdr>
          <w:divsChild>
            <w:div w:id="1138496372">
              <w:marLeft w:val="0"/>
              <w:marRight w:val="0"/>
              <w:marTop w:val="0"/>
              <w:marBottom w:val="0"/>
              <w:divBdr>
                <w:top w:val="none" w:sz="0" w:space="0" w:color="auto"/>
                <w:left w:val="none" w:sz="0" w:space="0" w:color="auto"/>
                <w:bottom w:val="none" w:sz="0" w:space="0" w:color="auto"/>
                <w:right w:val="none" w:sz="0" w:space="0" w:color="auto"/>
              </w:divBdr>
            </w:div>
          </w:divsChild>
        </w:div>
        <w:div w:id="1186750000">
          <w:marLeft w:val="0"/>
          <w:marRight w:val="0"/>
          <w:marTop w:val="0"/>
          <w:marBottom w:val="0"/>
          <w:divBdr>
            <w:top w:val="none" w:sz="0" w:space="0" w:color="auto"/>
            <w:left w:val="none" w:sz="0" w:space="0" w:color="auto"/>
            <w:bottom w:val="none" w:sz="0" w:space="0" w:color="auto"/>
            <w:right w:val="none" w:sz="0" w:space="0" w:color="auto"/>
          </w:divBdr>
          <w:divsChild>
            <w:div w:id="1048141469">
              <w:marLeft w:val="0"/>
              <w:marRight w:val="0"/>
              <w:marTop w:val="0"/>
              <w:marBottom w:val="0"/>
              <w:divBdr>
                <w:top w:val="none" w:sz="0" w:space="0" w:color="auto"/>
                <w:left w:val="none" w:sz="0" w:space="0" w:color="auto"/>
                <w:bottom w:val="none" w:sz="0" w:space="0" w:color="auto"/>
                <w:right w:val="none" w:sz="0" w:space="0" w:color="auto"/>
              </w:divBdr>
            </w:div>
            <w:div w:id="1763993937">
              <w:marLeft w:val="0"/>
              <w:marRight w:val="0"/>
              <w:marTop w:val="0"/>
              <w:marBottom w:val="0"/>
              <w:divBdr>
                <w:top w:val="none" w:sz="0" w:space="0" w:color="auto"/>
                <w:left w:val="none" w:sz="0" w:space="0" w:color="auto"/>
                <w:bottom w:val="none" w:sz="0" w:space="0" w:color="auto"/>
                <w:right w:val="none" w:sz="0" w:space="0" w:color="auto"/>
              </w:divBdr>
            </w:div>
            <w:div w:id="1877572341">
              <w:marLeft w:val="0"/>
              <w:marRight w:val="0"/>
              <w:marTop w:val="0"/>
              <w:marBottom w:val="0"/>
              <w:divBdr>
                <w:top w:val="none" w:sz="0" w:space="0" w:color="auto"/>
                <w:left w:val="none" w:sz="0" w:space="0" w:color="auto"/>
                <w:bottom w:val="none" w:sz="0" w:space="0" w:color="auto"/>
                <w:right w:val="none" w:sz="0" w:space="0" w:color="auto"/>
              </w:divBdr>
            </w:div>
            <w:div w:id="1940600974">
              <w:marLeft w:val="0"/>
              <w:marRight w:val="0"/>
              <w:marTop w:val="0"/>
              <w:marBottom w:val="0"/>
              <w:divBdr>
                <w:top w:val="none" w:sz="0" w:space="0" w:color="auto"/>
                <w:left w:val="none" w:sz="0" w:space="0" w:color="auto"/>
                <w:bottom w:val="none" w:sz="0" w:space="0" w:color="auto"/>
                <w:right w:val="none" w:sz="0" w:space="0" w:color="auto"/>
              </w:divBdr>
            </w:div>
          </w:divsChild>
        </w:div>
        <w:div w:id="1275164791">
          <w:marLeft w:val="0"/>
          <w:marRight w:val="0"/>
          <w:marTop w:val="0"/>
          <w:marBottom w:val="0"/>
          <w:divBdr>
            <w:top w:val="none" w:sz="0" w:space="0" w:color="auto"/>
            <w:left w:val="none" w:sz="0" w:space="0" w:color="auto"/>
            <w:bottom w:val="none" w:sz="0" w:space="0" w:color="auto"/>
            <w:right w:val="none" w:sz="0" w:space="0" w:color="auto"/>
          </w:divBdr>
          <w:divsChild>
            <w:div w:id="579217388">
              <w:marLeft w:val="0"/>
              <w:marRight w:val="0"/>
              <w:marTop w:val="0"/>
              <w:marBottom w:val="0"/>
              <w:divBdr>
                <w:top w:val="none" w:sz="0" w:space="0" w:color="auto"/>
                <w:left w:val="none" w:sz="0" w:space="0" w:color="auto"/>
                <w:bottom w:val="none" w:sz="0" w:space="0" w:color="auto"/>
                <w:right w:val="none" w:sz="0" w:space="0" w:color="auto"/>
              </w:divBdr>
            </w:div>
            <w:div w:id="631254328">
              <w:marLeft w:val="0"/>
              <w:marRight w:val="0"/>
              <w:marTop w:val="0"/>
              <w:marBottom w:val="0"/>
              <w:divBdr>
                <w:top w:val="none" w:sz="0" w:space="0" w:color="auto"/>
                <w:left w:val="none" w:sz="0" w:space="0" w:color="auto"/>
                <w:bottom w:val="none" w:sz="0" w:space="0" w:color="auto"/>
                <w:right w:val="none" w:sz="0" w:space="0" w:color="auto"/>
              </w:divBdr>
            </w:div>
            <w:div w:id="1001540079">
              <w:marLeft w:val="0"/>
              <w:marRight w:val="0"/>
              <w:marTop w:val="0"/>
              <w:marBottom w:val="0"/>
              <w:divBdr>
                <w:top w:val="none" w:sz="0" w:space="0" w:color="auto"/>
                <w:left w:val="none" w:sz="0" w:space="0" w:color="auto"/>
                <w:bottom w:val="none" w:sz="0" w:space="0" w:color="auto"/>
                <w:right w:val="none" w:sz="0" w:space="0" w:color="auto"/>
              </w:divBdr>
            </w:div>
            <w:div w:id="1626155900">
              <w:marLeft w:val="0"/>
              <w:marRight w:val="0"/>
              <w:marTop w:val="0"/>
              <w:marBottom w:val="0"/>
              <w:divBdr>
                <w:top w:val="none" w:sz="0" w:space="0" w:color="auto"/>
                <w:left w:val="none" w:sz="0" w:space="0" w:color="auto"/>
                <w:bottom w:val="none" w:sz="0" w:space="0" w:color="auto"/>
                <w:right w:val="none" w:sz="0" w:space="0" w:color="auto"/>
              </w:divBdr>
            </w:div>
          </w:divsChild>
        </w:div>
        <w:div w:id="1379087064">
          <w:marLeft w:val="0"/>
          <w:marRight w:val="0"/>
          <w:marTop w:val="0"/>
          <w:marBottom w:val="0"/>
          <w:divBdr>
            <w:top w:val="none" w:sz="0" w:space="0" w:color="auto"/>
            <w:left w:val="none" w:sz="0" w:space="0" w:color="auto"/>
            <w:bottom w:val="none" w:sz="0" w:space="0" w:color="auto"/>
            <w:right w:val="none" w:sz="0" w:space="0" w:color="auto"/>
          </w:divBdr>
          <w:divsChild>
            <w:div w:id="18090270">
              <w:marLeft w:val="0"/>
              <w:marRight w:val="0"/>
              <w:marTop w:val="0"/>
              <w:marBottom w:val="0"/>
              <w:divBdr>
                <w:top w:val="none" w:sz="0" w:space="0" w:color="auto"/>
                <w:left w:val="none" w:sz="0" w:space="0" w:color="auto"/>
                <w:bottom w:val="none" w:sz="0" w:space="0" w:color="auto"/>
                <w:right w:val="none" w:sz="0" w:space="0" w:color="auto"/>
              </w:divBdr>
            </w:div>
          </w:divsChild>
        </w:div>
        <w:div w:id="1604342478">
          <w:marLeft w:val="0"/>
          <w:marRight w:val="0"/>
          <w:marTop w:val="0"/>
          <w:marBottom w:val="0"/>
          <w:divBdr>
            <w:top w:val="none" w:sz="0" w:space="0" w:color="auto"/>
            <w:left w:val="none" w:sz="0" w:space="0" w:color="auto"/>
            <w:bottom w:val="none" w:sz="0" w:space="0" w:color="auto"/>
            <w:right w:val="none" w:sz="0" w:space="0" w:color="auto"/>
          </w:divBdr>
          <w:divsChild>
            <w:div w:id="144786269">
              <w:marLeft w:val="0"/>
              <w:marRight w:val="0"/>
              <w:marTop w:val="0"/>
              <w:marBottom w:val="0"/>
              <w:divBdr>
                <w:top w:val="none" w:sz="0" w:space="0" w:color="auto"/>
                <w:left w:val="none" w:sz="0" w:space="0" w:color="auto"/>
                <w:bottom w:val="none" w:sz="0" w:space="0" w:color="auto"/>
                <w:right w:val="none" w:sz="0" w:space="0" w:color="auto"/>
              </w:divBdr>
            </w:div>
          </w:divsChild>
        </w:div>
        <w:div w:id="2111973772">
          <w:marLeft w:val="0"/>
          <w:marRight w:val="0"/>
          <w:marTop w:val="0"/>
          <w:marBottom w:val="0"/>
          <w:divBdr>
            <w:top w:val="none" w:sz="0" w:space="0" w:color="auto"/>
            <w:left w:val="none" w:sz="0" w:space="0" w:color="auto"/>
            <w:bottom w:val="none" w:sz="0" w:space="0" w:color="auto"/>
            <w:right w:val="none" w:sz="0" w:space="0" w:color="auto"/>
          </w:divBdr>
          <w:divsChild>
            <w:div w:id="1052728146">
              <w:marLeft w:val="0"/>
              <w:marRight w:val="0"/>
              <w:marTop w:val="0"/>
              <w:marBottom w:val="0"/>
              <w:divBdr>
                <w:top w:val="none" w:sz="0" w:space="0" w:color="auto"/>
                <w:left w:val="none" w:sz="0" w:space="0" w:color="auto"/>
                <w:bottom w:val="none" w:sz="0" w:space="0" w:color="auto"/>
                <w:right w:val="none" w:sz="0" w:space="0" w:color="auto"/>
              </w:divBdr>
            </w:div>
          </w:divsChild>
        </w:div>
        <w:div w:id="2133743836">
          <w:marLeft w:val="0"/>
          <w:marRight w:val="0"/>
          <w:marTop w:val="0"/>
          <w:marBottom w:val="0"/>
          <w:divBdr>
            <w:top w:val="none" w:sz="0" w:space="0" w:color="auto"/>
            <w:left w:val="none" w:sz="0" w:space="0" w:color="auto"/>
            <w:bottom w:val="none" w:sz="0" w:space="0" w:color="auto"/>
            <w:right w:val="none" w:sz="0" w:space="0" w:color="auto"/>
          </w:divBdr>
          <w:divsChild>
            <w:div w:id="6107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ropSignOffs@finance.gov.au" TargetMode="External"/><Relationship Id="rId18" Type="http://schemas.openxmlformats.org/officeDocument/2006/relationships/hyperlink" Target="https://financegovau.sharepoint.com/sites/M365_DoF_50033506/BRF1/Reporting/BdgPap/2.%20PAES/3.9%20PAES%202023-24%202.%20PSAES%20Templates%20Utilised/budget_framework@finance.gov.au" TargetMode="External"/><Relationship Id="rId26" Type="http://schemas.openxmlformats.org/officeDocument/2006/relationships/hyperlink" Target="mailto:budget-website@treasury.gov.au" TargetMode="External"/><Relationship Id="rId39" Type="http://schemas.openxmlformats.org/officeDocument/2006/relationships/hyperlink" Target="mailto:info@dta.gov.au" TargetMode="External"/><Relationship Id="rId21" Type="http://schemas.openxmlformats.org/officeDocument/2006/relationships/hyperlink" Target="https://www.data.gov.au/" TargetMode="External"/><Relationship Id="rId34" Type="http://schemas.openxmlformats.org/officeDocument/2006/relationships/hyperlink" Target="mailto:ec.sen@aph.gov.au"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ppropsignoffs@finance.gov.au" TargetMode="External"/><Relationship Id="rId29" Type="http://schemas.openxmlformats.org/officeDocument/2006/relationships/hyperlink" Target="mailto:budgetcommunications@treasur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udgetcommunications@treasury.gov.au" TargetMode="External"/><Relationship Id="rId32" Type="http://schemas.openxmlformats.org/officeDocument/2006/relationships/hyperlink" Target="mailto:economics.sen@aph.gov.au" TargetMode="External"/><Relationship Id="rId37" Type="http://schemas.openxmlformats.org/officeDocument/2006/relationships/hyperlink" Target="mailto:legcon.sen@aph.gov.au" TargetMode="External"/><Relationship Id="rId40" Type="http://schemas.openxmlformats.org/officeDocument/2006/relationships/hyperlink" Target="http://www.dta.gov.au/help-and-advice/guides-and-tools/commonwealth-library-deposit-and-free-issue-schem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nual.Appropriations@finance.gov.au" TargetMode="External"/><Relationship Id="rId23" Type="http://schemas.openxmlformats.org/officeDocument/2006/relationships/hyperlink" Target="http://www.budget.gov.au" TargetMode="External"/><Relationship Id="rId28" Type="http://schemas.openxmlformats.org/officeDocument/2006/relationships/hyperlink" Target="mailto:Budget_Framework@finance.gov.au" TargetMode="External"/><Relationship Id="rId36" Type="http://schemas.openxmlformats.org/officeDocument/2006/relationships/hyperlink" Target="mailto:fadt.sen@aph.gov.au" TargetMode="External"/><Relationship Id="rId10" Type="http://schemas.openxmlformats.org/officeDocument/2006/relationships/webSettings" Target="webSettings.xml"/><Relationship Id="rId19" Type="http://schemas.openxmlformats.org/officeDocument/2006/relationships/hyperlink" Target="mailto:budget_framework@finance.gov.au" TargetMode="External"/><Relationship Id="rId31" Type="http://schemas.openxmlformats.org/officeDocument/2006/relationships/hyperlink" Target="mailto:community.affairs.sen@aph.gov.au"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ppropSignOffs@finance.gov.au" TargetMode="External"/><Relationship Id="rId22" Type="http://schemas.openxmlformats.org/officeDocument/2006/relationships/hyperlink" Target="mailto:budget_framework@finance.gov.au" TargetMode="External"/><Relationship Id="rId27" Type="http://schemas.openxmlformats.org/officeDocument/2006/relationships/hyperlink" Target="mailto:table.docs@aph.gov.au" TargetMode="External"/><Relationship Id="rId30" Type="http://schemas.openxmlformats.org/officeDocument/2006/relationships/hyperlink" Target="mailto:budgetpublishing@treasury.gov.au" TargetMode="External"/><Relationship Id="rId35" Type="http://schemas.openxmlformats.org/officeDocument/2006/relationships/hyperlink" Target="mailto:fpa.sen@aph.gov.au" TargetMode="External"/><Relationship Id="rId43"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inancegovau.sharepoint.com/sites/M365_DoF_50033506/BRF1/Reporting/BdgPap/2.%20PAES/3.9%20PAES%202023-24%202.Used%20-%20PSAES%20Templates%20Utilised/www.data.gov.au" TargetMode="External"/><Relationship Id="rId25" Type="http://schemas.openxmlformats.org/officeDocument/2006/relationships/hyperlink" Target="mailto:creativeservices@treasury.gov.au" TargetMode="External"/><Relationship Id="rId33" Type="http://schemas.openxmlformats.org/officeDocument/2006/relationships/hyperlink" Target="mailto:eec.sen@aph.gov.au" TargetMode="External"/><Relationship Id="rId38" Type="http://schemas.openxmlformats.org/officeDocument/2006/relationships/hyperlink" Target="mailto:rrat.sen@aph.gov.au" TargetMode="External"/><Relationship Id="rId46" Type="http://schemas.openxmlformats.org/officeDocument/2006/relationships/theme" Target="theme/theme1.xml"/><Relationship Id="rId20" Type="http://schemas.openxmlformats.org/officeDocument/2006/relationships/hyperlink" Target="mailto:budgetcommunications@treasury.gov.au"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rcury.network\dfs\Templates\Templates\EM%20Templates\3.%20EM%20Attachment%20-%20Agency%20Guidance%20Template%202022.dotx" TargetMode="External"/></Relationships>
</file>

<file path=word/theme/theme1.xml><?xml version="1.0" encoding="utf-8"?>
<a:theme xmlns:a="http://schemas.openxmlformats.org/drawingml/2006/main" name="Finance 1 Blue">
  <a:themeElements>
    <a:clrScheme name="Custom 23">
      <a:dk1>
        <a:sysClr val="windowText" lastClr="000000"/>
      </a:dk1>
      <a:lt1>
        <a:sysClr val="window" lastClr="FFFFFF"/>
      </a:lt1>
      <a:dk2>
        <a:srgbClr val="1C1C1C"/>
      </a:dk2>
      <a:lt2>
        <a:srgbClr val="E2E3E2"/>
      </a:lt2>
      <a:accent1>
        <a:srgbClr val="64CCC9"/>
      </a:accent1>
      <a:accent2>
        <a:srgbClr val="9595D2"/>
      </a:accent2>
      <a:accent3>
        <a:srgbClr val="E8927C"/>
      </a:accent3>
      <a:accent4>
        <a:srgbClr val="FFD100"/>
      </a:accent4>
      <a:accent5>
        <a:srgbClr val="008675"/>
      </a:accent5>
      <a:accent6>
        <a:srgbClr val="615E9B"/>
      </a:accent6>
      <a:hlink>
        <a:srgbClr val="0070C0"/>
      </a:hlink>
      <a:folHlink>
        <a:srgbClr val="EAAA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2</Value>
      <Value>1</Value>
    </TaxCatchAll>
    <_dlc_DocId xmlns="6a7e9632-768a-49bf-85ac-c69233ab2a52">FIN33506-1566835604-280026</_dlc_DocId>
    <_dlc_DocIdUrl xmlns="6a7e9632-768a-49bf-85ac-c69233ab2a52">
      <Url>https://financegovau.sharepoint.com/sites/M365_DoF_50033506/_layouts/15/DocIdRedir.aspx?ID=FIN33506-1566835604-280026</Url>
      <Description>FIN33506-1566835604-280026</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Kim, Marina</DisplayName>
        <AccountId>211</AccountId>
        <AccountType/>
      </UserInfo>
      <UserInfo>
        <DisplayName>Holland, Natalie</DisplayName>
        <AccountId>159</AccountId>
        <AccountType/>
      </UserInfo>
      <UserInfo>
        <DisplayName>Naylor, Fiona</DisplayName>
        <AccountId>166</AccountId>
        <AccountType/>
      </UserInfo>
      <UserInfo>
        <DisplayName>Saywell, David</DisplayName>
        <AccountId>175</AccountId>
        <AccountType/>
      </UserInfo>
      <UserInfo>
        <DisplayName>Sartore, Louise</DisplayName>
        <AccountId>47</AccountId>
        <AccountType/>
      </UserInfo>
    </SharedWithUsers>
    <lcf76f155ced4ddcb4097134ff3c332f xmlns="e39afc8f-a215-4bb1-9caf-c1c5d2f63d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28" ma:contentTypeDescription="Create a new document." ma:contentTypeScope="" ma:versionID="baa09545c6f06cf17fd8bbf3a98cc2fb">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183602ebd4ff217dc17333b2be51ca2a"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FW and Capability Support|17de058c-12f7-44f2-8e7d-03ff49305e52"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AB39B-F0FE-4A40-9A8D-A579B71C35F3}">
  <ds:schemaRefs>
    <ds:schemaRef ds:uri="Microsoft.SharePoint.Taxonomy.ContentTypeSync"/>
  </ds:schemaRefs>
</ds:datastoreItem>
</file>

<file path=customXml/itemProps2.xml><?xml version="1.0" encoding="utf-8"?>
<ds:datastoreItem xmlns:ds="http://schemas.openxmlformats.org/officeDocument/2006/customXml" ds:itemID="{55AE3415-E595-4C43-AF8A-F352E4130E6A}">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e39afc8f-a215-4bb1-9caf-c1c5d2f63d8a"/>
    <ds:schemaRef ds:uri="http://www.w3.org/XML/1998/namespace"/>
    <ds:schemaRef ds:uri="http://purl.org/dc/elements/1.1/"/>
    <ds:schemaRef ds:uri="a334ba3b-e131-42d3-95f3-2728f5a41884"/>
    <ds:schemaRef ds:uri="http://schemas.microsoft.com/office/infopath/2007/PartnerControls"/>
    <ds:schemaRef ds:uri="6a7e9632-768a-49bf-85ac-c69233ab2a52"/>
  </ds:schemaRefs>
</ds:datastoreItem>
</file>

<file path=customXml/itemProps3.xml><?xml version="1.0" encoding="utf-8"?>
<ds:datastoreItem xmlns:ds="http://schemas.openxmlformats.org/officeDocument/2006/customXml" ds:itemID="{C77F26D2-3316-4BA0-AD94-7C58A9E80722}">
  <ds:schemaRefs>
    <ds:schemaRef ds:uri="http://schemas.openxmlformats.org/officeDocument/2006/bibliography"/>
  </ds:schemaRefs>
</ds:datastoreItem>
</file>

<file path=customXml/itemProps4.xml><?xml version="1.0" encoding="utf-8"?>
<ds:datastoreItem xmlns:ds="http://schemas.openxmlformats.org/officeDocument/2006/customXml" ds:itemID="{5E6F55AD-8DBE-4119-82C1-AE51C7987B7D}">
  <ds:schemaRefs>
    <ds:schemaRef ds:uri="http://schemas.microsoft.com/sharepoint/v3/contenttype/forms"/>
  </ds:schemaRefs>
</ds:datastoreItem>
</file>

<file path=customXml/itemProps5.xml><?xml version="1.0" encoding="utf-8"?>
<ds:datastoreItem xmlns:ds="http://schemas.openxmlformats.org/officeDocument/2006/customXml" ds:itemID="{EDA9CAAA-37ED-412A-8C18-0E7783813571}">
  <ds:schemaRefs>
    <ds:schemaRef ds:uri="http://schemas.microsoft.com/sharepoint/events"/>
  </ds:schemaRefs>
</ds:datastoreItem>
</file>

<file path=customXml/itemProps6.xml><?xml version="1.0" encoding="utf-8"?>
<ds:datastoreItem xmlns:ds="http://schemas.openxmlformats.org/officeDocument/2006/customXml" ds:itemID="{310DEEA5-69DA-4132-98DA-8C790E9C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EM Attachment - Agency Guidance Template 2022.dotx</Template>
  <TotalTime>303</TotalTime>
  <Pages>11</Pages>
  <Words>3442</Words>
  <Characters>19160</Characters>
  <Application>Microsoft Office Word</Application>
  <DocSecurity>0</DocSecurity>
  <Lines>447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Links>
    <vt:vector size="174" baseType="variant">
      <vt:variant>
        <vt:i4>4128894</vt:i4>
      </vt:variant>
      <vt:variant>
        <vt:i4>87</vt:i4>
      </vt:variant>
      <vt:variant>
        <vt:i4>0</vt:i4>
      </vt:variant>
      <vt:variant>
        <vt:i4>5</vt:i4>
      </vt:variant>
      <vt:variant>
        <vt:lpwstr>http://www.dta.gov.au/help-and-advice/guides-and-tools/commonwealth-library-deposit-and-free-issue-schemes</vt:lpwstr>
      </vt:variant>
      <vt:variant>
        <vt:lpwstr/>
      </vt:variant>
      <vt:variant>
        <vt:i4>4390974</vt:i4>
      </vt:variant>
      <vt:variant>
        <vt:i4>84</vt:i4>
      </vt:variant>
      <vt:variant>
        <vt:i4>0</vt:i4>
      </vt:variant>
      <vt:variant>
        <vt:i4>5</vt:i4>
      </vt:variant>
      <vt:variant>
        <vt:lpwstr>mailto:info@dta.gov.au</vt:lpwstr>
      </vt:variant>
      <vt:variant>
        <vt:lpwstr/>
      </vt:variant>
      <vt:variant>
        <vt:i4>1048616</vt:i4>
      </vt:variant>
      <vt:variant>
        <vt:i4>81</vt:i4>
      </vt:variant>
      <vt:variant>
        <vt:i4>0</vt:i4>
      </vt:variant>
      <vt:variant>
        <vt:i4>5</vt:i4>
      </vt:variant>
      <vt:variant>
        <vt:lpwstr>mailto:rrat.sen@aph.gov.au</vt:lpwstr>
      </vt:variant>
      <vt:variant>
        <vt:lpwstr/>
      </vt:variant>
      <vt:variant>
        <vt:i4>6750278</vt:i4>
      </vt:variant>
      <vt:variant>
        <vt:i4>78</vt:i4>
      </vt:variant>
      <vt:variant>
        <vt:i4>0</vt:i4>
      </vt:variant>
      <vt:variant>
        <vt:i4>5</vt:i4>
      </vt:variant>
      <vt:variant>
        <vt:lpwstr>mailto:legcon.sen@aph.gov.au</vt:lpwstr>
      </vt:variant>
      <vt:variant>
        <vt:lpwstr/>
      </vt:variant>
      <vt:variant>
        <vt:i4>65595</vt:i4>
      </vt:variant>
      <vt:variant>
        <vt:i4>75</vt:i4>
      </vt:variant>
      <vt:variant>
        <vt:i4>0</vt:i4>
      </vt:variant>
      <vt:variant>
        <vt:i4>5</vt:i4>
      </vt:variant>
      <vt:variant>
        <vt:lpwstr>mailto:fadt.sen@aph.gov.au</vt:lpwstr>
      </vt:variant>
      <vt:variant>
        <vt:lpwstr/>
      </vt:variant>
      <vt:variant>
        <vt:i4>65582</vt:i4>
      </vt:variant>
      <vt:variant>
        <vt:i4>72</vt:i4>
      </vt:variant>
      <vt:variant>
        <vt:i4>0</vt:i4>
      </vt:variant>
      <vt:variant>
        <vt:i4>5</vt:i4>
      </vt:variant>
      <vt:variant>
        <vt:lpwstr>mailto:fpa.sen@aph.gov.au</vt:lpwstr>
      </vt:variant>
      <vt:variant>
        <vt:lpwstr/>
      </vt:variant>
      <vt:variant>
        <vt:i4>6684749</vt:i4>
      </vt:variant>
      <vt:variant>
        <vt:i4>69</vt:i4>
      </vt:variant>
      <vt:variant>
        <vt:i4>0</vt:i4>
      </vt:variant>
      <vt:variant>
        <vt:i4>5</vt:i4>
      </vt:variant>
      <vt:variant>
        <vt:lpwstr>mailto:ec.sen@aph.gov.au</vt:lpwstr>
      </vt:variant>
      <vt:variant>
        <vt:lpwstr/>
      </vt:variant>
      <vt:variant>
        <vt:i4>59</vt:i4>
      </vt:variant>
      <vt:variant>
        <vt:i4>66</vt:i4>
      </vt:variant>
      <vt:variant>
        <vt:i4>0</vt:i4>
      </vt:variant>
      <vt:variant>
        <vt:i4>5</vt:i4>
      </vt:variant>
      <vt:variant>
        <vt:lpwstr>mailto:eec.sen@aph.gov.au</vt:lpwstr>
      </vt:variant>
      <vt:variant>
        <vt:lpwstr/>
      </vt:variant>
      <vt:variant>
        <vt:i4>7929949</vt:i4>
      </vt:variant>
      <vt:variant>
        <vt:i4>63</vt:i4>
      </vt:variant>
      <vt:variant>
        <vt:i4>0</vt:i4>
      </vt:variant>
      <vt:variant>
        <vt:i4>5</vt:i4>
      </vt:variant>
      <vt:variant>
        <vt:lpwstr>mailto:economics.sen@aph.gov.au</vt:lpwstr>
      </vt:variant>
      <vt:variant>
        <vt:lpwstr/>
      </vt:variant>
      <vt:variant>
        <vt:i4>7340061</vt:i4>
      </vt:variant>
      <vt:variant>
        <vt:i4>60</vt:i4>
      </vt:variant>
      <vt:variant>
        <vt:i4>0</vt:i4>
      </vt:variant>
      <vt:variant>
        <vt:i4>5</vt:i4>
      </vt:variant>
      <vt:variant>
        <vt:lpwstr>mailto:community.affairs.sen@aph.gov.au</vt:lpwstr>
      </vt:variant>
      <vt:variant>
        <vt:lpwstr/>
      </vt:variant>
      <vt:variant>
        <vt:i4>5439543</vt:i4>
      </vt:variant>
      <vt:variant>
        <vt:i4>57</vt:i4>
      </vt:variant>
      <vt:variant>
        <vt:i4>0</vt:i4>
      </vt:variant>
      <vt:variant>
        <vt:i4>5</vt:i4>
      </vt:variant>
      <vt:variant>
        <vt:lpwstr>mailto:budgetpublishing@treasury.gov.au</vt:lpwstr>
      </vt:variant>
      <vt:variant>
        <vt:lpwstr/>
      </vt:variant>
      <vt:variant>
        <vt:i4>5898292</vt:i4>
      </vt:variant>
      <vt:variant>
        <vt:i4>54</vt:i4>
      </vt:variant>
      <vt:variant>
        <vt:i4>0</vt:i4>
      </vt:variant>
      <vt:variant>
        <vt:i4>5</vt:i4>
      </vt:variant>
      <vt:variant>
        <vt:lpwstr>mailto:budgetcommunications@treasury.gov.au</vt:lpwstr>
      </vt:variant>
      <vt:variant>
        <vt:lpwstr/>
      </vt:variant>
      <vt:variant>
        <vt:i4>7667769</vt:i4>
      </vt:variant>
      <vt:variant>
        <vt:i4>51</vt:i4>
      </vt:variant>
      <vt:variant>
        <vt:i4>0</vt:i4>
      </vt:variant>
      <vt:variant>
        <vt:i4>5</vt:i4>
      </vt:variant>
      <vt:variant>
        <vt:lpwstr>mailto:Budget_Framework@finance.gov.au</vt:lpwstr>
      </vt:variant>
      <vt:variant>
        <vt:lpwstr/>
      </vt:variant>
      <vt:variant>
        <vt:i4>3932172</vt:i4>
      </vt:variant>
      <vt:variant>
        <vt:i4>48</vt:i4>
      </vt:variant>
      <vt:variant>
        <vt:i4>0</vt:i4>
      </vt:variant>
      <vt:variant>
        <vt:i4>5</vt:i4>
      </vt:variant>
      <vt:variant>
        <vt:lpwstr>mailto:table.docs@aph.gov.au</vt:lpwstr>
      </vt:variant>
      <vt:variant>
        <vt:lpwstr/>
      </vt:variant>
      <vt:variant>
        <vt:i4>6357066</vt:i4>
      </vt:variant>
      <vt:variant>
        <vt:i4>45</vt:i4>
      </vt:variant>
      <vt:variant>
        <vt:i4>0</vt:i4>
      </vt:variant>
      <vt:variant>
        <vt:i4>5</vt:i4>
      </vt:variant>
      <vt:variant>
        <vt:lpwstr>mailto:budget-website@treasury.gov.au</vt:lpwstr>
      </vt:variant>
      <vt:variant>
        <vt:lpwstr/>
      </vt:variant>
      <vt:variant>
        <vt:i4>4456489</vt:i4>
      </vt:variant>
      <vt:variant>
        <vt:i4>42</vt:i4>
      </vt:variant>
      <vt:variant>
        <vt:i4>0</vt:i4>
      </vt:variant>
      <vt:variant>
        <vt:i4>5</vt:i4>
      </vt:variant>
      <vt:variant>
        <vt:lpwstr>mailto:creativeservices@treasury.gov.au</vt:lpwstr>
      </vt:variant>
      <vt:variant>
        <vt:lpwstr/>
      </vt:variant>
      <vt:variant>
        <vt:i4>5898292</vt:i4>
      </vt:variant>
      <vt:variant>
        <vt:i4>39</vt:i4>
      </vt:variant>
      <vt:variant>
        <vt:i4>0</vt:i4>
      </vt:variant>
      <vt:variant>
        <vt:i4>5</vt:i4>
      </vt:variant>
      <vt:variant>
        <vt:lpwstr>mailto:budgetcommunications@treasury.gov.au</vt:lpwstr>
      </vt:variant>
      <vt:variant>
        <vt:lpwstr/>
      </vt:variant>
      <vt:variant>
        <vt:i4>5374022</vt:i4>
      </vt:variant>
      <vt:variant>
        <vt:i4>36</vt:i4>
      </vt:variant>
      <vt:variant>
        <vt:i4>0</vt:i4>
      </vt:variant>
      <vt:variant>
        <vt:i4>5</vt:i4>
      </vt:variant>
      <vt:variant>
        <vt:lpwstr>http://www.budget.gov.au/</vt:lpwstr>
      </vt:variant>
      <vt:variant>
        <vt:lpwstr/>
      </vt:variant>
      <vt:variant>
        <vt:i4>2228243</vt:i4>
      </vt:variant>
      <vt:variant>
        <vt:i4>33</vt:i4>
      </vt:variant>
      <vt:variant>
        <vt:i4>0</vt:i4>
      </vt:variant>
      <vt:variant>
        <vt:i4>5</vt:i4>
      </vt:variant>
      <vt:variant>
        <vt:lpwstr>mailto:annual.appropriations@finance.gov.au</vt:lpwstr>
      </vt:variant>
      <vt:variant>
        <vt:lpwstr/>
      </vt:variant>
      <vt:variant>
        <vt:i4>7667769</vt:i4>
      </vt:variant>
      <vt:variant>
        <vt:i4>30</vt:i4>
      </vt:variant>
      <vt:variant>
        <vt:i4>0</vt:i4>
      </vt:variant>
      <vt:variant>
        <vt:i4>5</vt:i4>
      </vt:variant>
      <vt:variant>
        <vt:lpwstr>mailto:budget_framework@finance.gov.au</vt:lpwstr>
      </vt:variant>
      <vt:variant>
        <vt:lpwstr/>
      </vt:variant>
      <vt:variant>
        <vt:i4>1507402</vt:i4>
      </vt:variant>
      <vt:variant>
        <vt:i4>27</vt:i4>
      </vt:variant>
      <vt:variant>
        <vt:i4>0</vt:i4>
      </vt:variant>
      <vt:variant>
        <vt:i4>5</vt:i4>
      </vt:variant>
      <vt:variant>
        <vt:lpwstr>https://www.data.gov.au/</vt:lpwstr>
      </vt:variant>
      <vt:variant>
        <vt:lpwstr/>
      </vt:variant>
      <vt:variant>
        <vt:i4>5898292</vt:i4>
      </vt:variant>
      <vt:variant>
        <vt:i4>24</vt:i4>
      </vt:variant>
      <vt:variant>
        <vt:i4>0</vt:i4>
      </vt:variant>
      <vt:variant>
        <vt:i4>5</vt:i4>
      </vt:variant>
      <vt:variant>
        <vt:lpwstr>mailto:budgetcommunications@treasury.gov.au</vt:lpwstr>
      </vt:variant>
      <vt:variant>
        <vt:lpwstr/>
      </vt:variant>
      <vt:variant>
        <vt:i4>7667769</vt:i4>
      </vt:variant>
      <vt:variant>
        <vt:i4>21</vt:i4>
      </vt:variant>
      <vt:variant>
        <vt:i4>0</vt:i4>
      </vt:variant>
      <vt:variant>
        <vt:i4>5</vt:i4>
      </vt:variant>
      <vt:variant>
        <vt:lpwstr>mailto:budget_framework@finance.gov.au</vt:lpwstr>
      </vt:variant>
      <vt:variant>
        <vt:lpwstr/>
      </vt:variant>
      <vt:variant>
        <vt:i4>6422646</vt:i4>
      </vt:variant>
      <vt:variant>
        <vt:i4>18</vt:i4>
      </vt:variant>
      <vt:variant>
        <vt:i4>0</vt:i4>
      </vt:variant>
      <vt:variant>
        <vt:i4>5</vt:i4>
      </vt:variant>
      <vt:variant>
        <vt:lpwstr>https://financegovau.sharepoint.com/sites/M365_DoF_50033506/BRF1/Reporting/BdgPap/2. PAES/3.9 PAES 2023-24 2. PSAES Templates Utilised/budget_framework@finance.gov.au</vt:lpwstr>
      </vt:variant>
      <vt:variant>
        <vt:lpwstr/>
      </vt:variant>
      <vt:variant>
        <vt:i4>5177366</vt:i4>
      </vt:variant>
      <vt:variant>
        <vt:i4>15</vt:i4>
      </vt:variant>
      <vt:variant>
        <vt:i4>0</vt:i4>
      </vt:variant>
      <vt:variant>
        <vt:i4>5</vt:i4>
      </vt:variant>
      <vt:variant>
        <vt:lpwstr>https://financegovau.sharepoint.com/sites/M365_DoF_50033506/BRF1/Reporting/BdgPap/2. PAES/3.9 PAES 2023-24 2.Used - PSAES Templates Utilised/www.data.gov.au</vt:lpwstr>
      </vt:variant>
      <vt:variant>
        <vt:lpwstr/>
      </vt:variant>
      <vt:variant>
        <vt:i4>3145817</vt:i4>
      </vt:variant>
      <vt:variant>
        <vt:i4>9</vt:i4>
      </vt:variant>
      <vt:variant>
        <vt:i4>0</vt:i4>
      </vt:variant>
      <vt:variant>
        <vt:i4>5</vt:i4>
      </vt:variant>
      <vt:variant>
        <vt:lpwstr>mailto:appropsignoffs@finance.gov.au</vt:lpwstr>
      </vt:variant>
      <vt:variant>
        <vt:lpwstr/>
      </vt:variant>
      <vt:variant>
        <vt:i4>2228243</vt:i4>
      </vt:variant>
      <vt:variant>
        <vt:i4>6</vt:i4>
      </vt:variant>
      <vt:variant>
        <vt:i4>0</vt:i4>
      </vt:variant>
      <vt:variant>
        <vt:i4>5</vt:i4>
      </vt:variant>
      <vt:variant>
        <vt:lpwstr>mailto:Annual.Appropriations@finance.gov.au</vt:lpwstr>
      </vt:variant>
      <vt:variant>
        <vt:lpwstr/>
      </vt:variant>
      <vt:variant>
        <vt:i4>8126482</vt:i4>
      </vt:variant>
      <vt:variant>
        <vt:i4>3</vt:i4>
      </vt:variant>
      <vt:variant>
        <vt:i4>0</vt:i4>
      </vt:variant>
      <vt:variant>
        <vt:i4>5</vt:i4>
      </vt:variant>
      <vt:variant>
        <vt:lpwstr>../AppropSignOffs@finance.gov.au</vt:lpwstr>
      </vt:variant>
      <vt:variant>
        <vt:lpwstr/>
      </vt:variant>
      <vt:variant>
        <vt:i4>3145817</vt:i4>
      </vt:variant>
      <vt:variant>
        <vt:i4>0</vt:i4>
      </vt:variant>
      <vt:variant>
        <vt:i4>0</vt:i4>
      </vt:variant>
      <vt:variant>
        <vt:i4>5</vt:i4>
      </vt:variant>
      <vt:variant>
        <vt:lpwstr>mailto:AppropSignOffs@finance.gov.au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Key information changes and deadlines for 2022-23 AEs Bills and PAES</dc:title>
  <dc:subject/>
  <dc:creator>Department of Finance</dc:creator>
  <cp:keywords>[SEC=OFFICIAL]</cp:keywords>
  <dc:description/>
  <cp:lastModifiedBy>Truong, Minh</cp:lastModifiedBy>
  <cp:revision>156</cp:revision>
  <cp:lastPrinted>2023-03-24T20:25:00Z</cp:lastPrinted>
  <dcterms:created xsi:type="dcterms:W3CDTF">2023-03-13T20:43:00Z</dcterms:created>
  <dcterms:modified xsi:type="dcterms:W3CDTF">2023-03-29T03:56:00Z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_dlc_DocIdItemGuid">
    <vt:lpwstr>0c153495-c4de-4c36-9bd6-d49e2d110df4</vt:lpwstr>
  </property>
  <property fmtid="{D5CDD505-2E9C-101B-9397-08002B2CF9AE}" pid="4" name="KnowledgeTopics">
    <vt:lpwstr/>
  </property>
  <property fmtid="{D5CDD505-2E9C-101B-9397-08002B2CF9AE}" pid="5" name="DocumentType">
    <vt:lpwstr/>
  </property>
  <property fmtid="{D5CDD505-2E9C-101B-9397-08002B2CF9AE}" pid="6" name="ResponsibleArea">
    <vt:lpwstr/>
  </property>
  <property fmtid="{D5CDD505-2E9C-101B-9397-08002B2CF9AE}" pid="7" name="TaxKeyword">
    <vt:lpwstr>34;#[SEC=OFFICIAL]|07351cc0-de73-4913-be2f-56f124cbf8bb</vt:lpwstr>
  </property>
  <property fmtid="{D5CDD505-2E9C-101B-9397-08002B2CF9AE}" pid="8" name="AbtEntity">
    <vt:lpwstr>2;#Department of Finance|fd660e8f-8f31-49bd-92a3-d31d4da31afe</vt:lpwstr>
  </property>
  <property fmtid="{D5CDD505-2E9C-101B-9397-08002B2CF9AE}" pid="9" name="Function and Activity">
    <vt:lpwstr/>
  </property>
  <property fmtid="{D5CDD505-2E9C-101B-9397-08002B2CF9AE}" pid="10" name="OrgUnit">
    <vt:lpwstr>1;#Accounting FW and Capability Support|17de058c-12f7-44f2-8e7d-03ff49305e52</vt:lpwstr>
  </property>
  <property fmtid="{D5CDD505-2E9C-101B-9397-08002B2CF9AE}" pid="11" name="InitiatingEntity">
    <vt:lpwstr>2;#Department of Finance|fd660e8f-8f31-49bd-92a3-d31d4da31afe</vt:lpwstr>
  </property>
  <property fmtid="{D5CDD505-2E9C-101B-9397-08002B2CF9AE}" pid="12" name="EmReceivedByName">
    <vt:lpwstr/>
  </property>
  <property fmtid="{D5CDD505-2E9C-101B-9397-08002B2CF9AE}" pid="13" name="Order">
    <vt:r8>27737100</vt:r8>
  </property>
  <property fmtid="{D5CDD505-2E9C-101B-9397-08002B2CF9AE}" pid="14" name="EmCon">
    <vt:lpwstr/>
  </property>
  <property fmtid="{D5CDD505-2E9C-101B-9397-08002B2CF9AE}" pid="15" name="EmFromSMTPAddress">
    <vt:lpwstr/>
  </property>
  <property fmtid="{D5CDD505-2E9C-101B-9397-08002B2CF9AE}" pid="16" name="EmCompanies">
    <vt:lpwstr/>
  </property>
  <property fmtid="{D5CDD505-2E9C-101B-9397-08002B2CF9AE}" pid="17" name="EmSubject">
    <vt:lpwstr/>
  </property>
  <property fmtid="{D5CDD505-2E9C-101B-9397-08002B2CF9AE}" pid="18" name="EmAttachCount">
    <vt:lpwstr/>
  </property>
  <property fmtid="{D5CDD505-2E9C-101B-9397-08002B2CF9AE}" pid="19" name="EmToAddress">
    <vt:lpwstr/>
  </property>
  <property fmtid="{D5CDD505-2E9C-101B-9397-08002B2CF9AE}" pid="20" name="EmReceivedOnBehalfOfNam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bool>false</vt:bool>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BCCSMTPAddress">
    <vt:lpwstr/>
  </property>
  <property fmtid="{D5CDD505-2E9C-101B-9397-08002B2CF9AE}" pid="31" name="About Entity">
    <vt:lpwstr>1;#Department of Finance|fd660e8f-8f31-49bd-92a3-d31d4da31afe</vt:lpwstr>
  </property>
  <property fmtid="{D5CDD505-2E9C-101B-9397-08002B2CF9AE}" pid="32" name="EmTo">
    <vt:lpwstr/>
  </property>
  <property fmtid="{D5CDD505-2E9C-101B-9397-08002B2CF9AE}" pid="33" name="EmFrom">
    <vt:lpwstr/>
  </property>
  <property fmtid="{D5CDD505-2E9C-101B-9397-08002B2CF9AE}" pid="34" name="EmAttachmentNames">
    <vt:lpwstr/>
  </property>
  <property fmtid="{D5CDD505-2E9C-101B-9397-08002B2CF9AE}" pid="35" name="EmToSMTPAddress">
    <vt:lpwstr/>
  </property>
  <property fmtid="{D5CDD505-2E9C-101B-9397-08002B2CF9AE}" pid="36" name="EmSentOnBehalfOfName">
    <vt:lpwstr/>
  </property>
  <property fmtid="{D5CDD505-2E9C-101B-9397-08002B2CF9AE}" pid="37" name="Initiating Entity">
    <vt:lpwstr>1;#Department of Finance|fd660e8f-8f31-49bd-92a3-d31d4da31afe</vt:lpwstr>
  </property>
  <property fmtid="{D5CDD505-2E9C-101B-9397-08002B2CF9AE}" pid="38" name="EmCCSMTPAddress">
    <vt:lpwstr/>
  </property>
  <property fmtid="{D5CDD505-2E9C-101B-9397-08002B2CF9AE}" pid="39" name="Organisation Unit">
    <vt:lpwstr>2;#Accounting FW and Capability Support|17de058c-12f7-44f2-8e7d-03ff49305e52</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MediaServiceImageTags">
    <vt:lpwstr/>
  </property>
  <property fmtid="{D5CDD505-2E9C-101B-9397-08002B2CF9AE}" pid="44" name="PM_ProtectiveMarkingImage_Header">
    <vt:lpwstr>C:\Program Files\Common Files\janusNET Shared\janusSEAL\Images\DocumentSlashBlue.png</vt:lpwstr>
  </property>
  <property fmtid="{D5CDD505-2E9C-101B-9397-08002B2CF9AE}" pid="45" name="PM_Caveats_Count">
    <vt:lpwstr>0</vt:lpwstr>
  </property>
  <property fmtid="{D5CDD505-2E9C-101B-9397-08002B2CF9AE}" pid="46" name="PM_DisplayValueSecClassificationWithQualifier">
    <vt:lpwstr>OFFICIAL</vt:lpwstr>
  </property>
  <property fmtid="{D5CDD505-2E9C-101B-9397-08002B2CF9AE}" pid="47" name="PM_Qualifier">
    <vt:lpwstr/>
  </property>
  <property fmtid="{D5CDD505-2E9C-101B-9397-08002B2CF9AE}" pid="48" name="PM_SecurityClassification">
    <vt:lpwstr>OFFICIAL</vt:lpwstr>
  </property>
  <property fmtid="{D5CDD505-2E9C-101B-9397-08002B2CF9AE}" pid="49" name="PM_InsertionValue">
    <vt:lpwstr>OFFICIAL</vt:lpwstr>
  </property>
  <property fmtid="{D5CDD505-2E9C-101B-9397-08002B2CF9AE}" pid="50" name="PM_Originating_FileId">
    <vt:lpwstr>AFD2068437AF4A5E972DFB90EB7E2E62</vt:lpwstr>
  </property>
  <property fmtid="{D5CDD505-2E9C-101B-9397-08002B2CF9AE}" pid="51" name="PM_ProtectiveMarkingValue_Footer">
    <vt:lpwstr>OFFICIAL</vt:lpwstr>
  </property>
  <property fmtid="{D5CDD505-2E9C-101B-9397-08002B2CF9AE}" pid="52" name="PM_Originator_Hash_SHA1">
    <vt:lpwstr>C4E8576B6510B1FB5DEF9BBC04AB3A64E004CBD8</vt:lpwstr>
  </property>
  <property fmtid="{D5CDD505-2E9C-101B-9397-08002B2CF9AE}" pid="53" name="PM_ProtectiveMarkingValue_Header">
    <vt:lpwstr>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OFFICIAL</vt:lpwstr>
  </property>
  <property fmtid="{D5CDD505-2E9C-101B-9397-08002B2CF9AE}" pid="60" name="PMUuid">
    <vt:lpwstr>v=2022.2;d=gov.au;g=46DD6D7C-8107-577B-BC6E-F348953B2E44</vt:lpwstr>
  </property>
  <property fmtid="{D5CDD505-2E9C-101B-9397-08002B2CF9AE}" pid="61" name="PM_Hash_Version">
    <vt:lpwstr>2022.1</vt:lpwstr>
  </property>
  <property fmtid="{D5CDD505-2E9C-101B-9397-08002B2CF9AE}" pid="62" name="PM_OriginatorUserAccountName_SHA256">
    <vt:lpwstr>3F9C3930C95A80FE14E5E569A96906FECB80D374DD6F0E6814A1821B290CD60B</vt:lpwstr>
  </property>
  <property fmtid="{D5CDD505-2E9C-101B-9397-08002B2CF9AE}" pid="63" name="PM_OriginatorDomainName_SHA256">
    <vt:lpwstr>325440F6CA31C4C3BCE4433552DC42928CAAD3E2731ABE35FDE729ECEB763AF0</vt:lpwstr>
  </property>
  <property fmtid="{D5CDD505-2E9C-101B-9397-08002B2CF9AE}" pid="64" name="MSIP_Label_87d6481e-ccdd-4ab6-8b26-05a0df5699e7_Name">
    <vt:lpwstr>OFFICIAL</vt:lpwstr>
  </property>
  <property fmtid="{D5CDD505-2E9C-101B-9397-08002B2CF9AE}" pid="65" name="MSIP_Label_87d6481e-ccdd-4ab6-8b26-05a0df5699e7_SiteId">
    <vt:lpwstr>08954cee-4782-4ff6-9ad5-1997dccef4b0</vt:lpwstr>
  </property>
  <property fmtid="{D5CDD505-2E9C-101B-9397-08002B2CF9AE}" pid="66" name="MSIP_Label_87d6481e-ccdd-4ab6-8b26-05a0df5699e7_Enabled">
    <vt:lpwstr>true</vt:lpwstr>
  </property>
  <property fmtid="{D5CDD505-2E9C-101B-9397-08002B2CF9AE}" pid="67" name="PM_SecurityClassification_Prev">
    <vt:lpwstr>OFFICIAL</vt:lpwstr>
  </property>
  <property fmtid="{D5CDD505-2E9C-101B-9397-08002B2CF9AE}" pid="68" name="PM_Qualifier_Prev">
    <vt:lpwstr/>
  </property>
  <property fmtid="{D5CDD505-2E9C-101B-9397-08002B2CF9AE}" pid="69" name="MSIP_Label_87d6481e-ccdd-4ab6-8b26-05a0df5699e7_SetDate">
    <vt:lpwstr>2023-03-16T00:54:05Z</vt:lpwstr>
  </property>
  <property fmtid="{D5CDD505-2E9C-101B-9397-08002B2CF9AE}" pid="70" name="PM_OriginationTimeStamp">
    <vt:lpwstr>2023-03-16T00:54:05Z</vt:lpwstr>
  </property>
  <property fmtid="{D5CDD505-2E9C-101B-9397-08002B2CF9AE}" pid="71" name="PM_Hash_Salt_Prev">
    <vt:lpwstr>4CEF457D1434B4F6143E3561CA543482</vt:lpwstr>
  </property>
  <property fmtid="{D5CDD505-2E9C-101B-9397-08002B2CF9AE}" pid="72" name="PM_Hash_Salt">
    <vt:lpwstr>1DE60F774F7565949704578886BDA876</vt:lpwstr>
  </property>
  <property fmtid="{D5CDD505-2E9C-101B-9397-08002B2CF9AE}" pid="73" name="PM_Hash_SHA1">
    <vt:lpwstr>BF44EC07D06F91163BB821636A7240B89342D9CC</vt:lpwstr>
  </property>
  <property fmtid="{D5CDD505-2E9C-101B-9397-08002B2CF9AE}" pid="74" name="PMHMAC">
    <vt:lpwstr>v=2022.1;a=SHA256;h=A4B9352A8BEB01F00EE10542ED4793DA3576306B72490FE7E4EA8C80449749E5</vt:lpwstr>
  </property>
  <property fmtid="{D5CDD505-2E9C-101B-9397-08002B2CF9AE}" pid="75" name="MSIP_Label_87d6481e-ccdd-4ab6-8b26-05a0df5699e7_Method">
    <vt:lpwstr>Privileged</vt:lpwstr>
  </property>
  <property fmtid="{D5CDD505-2E9C-101B-9397-08002B2CF9AE}" pid="76" name="MSIP_Label_87d6481e-ccdd-4ab6-8b26-05a0df5699e7_ContentBits">
    <vt:lpwstr>0</vt:lpwstr>
  </property>
  <property fmtid="{D5CDD505-2E9C-101B-9397-08002B2CF9AE}" pid="77" name="MSIP_Label_87d6481e-ccdd-4ab6-8b26-05a0df5699e7_ActionId">
    <vt:lpwstr>30d555dd353741439a3bb5dcfee74968</vt:lpwstr>
  </property>
</Properties>
</file>