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39650" w14:textId="77777777" w:rsidR="000C2A48" w:rsidRDefault="000C2A48" w:rsidP="000C2A48"/>
    <w:p w14:paraId="149A4EE9" w14:textId="77777777" w:rsidR="005E5CB9" w:rsidRDefault="005E5CB9" w:rsidP="00DB6D69">
      <w:pPr>
        <w:pStyle w:val="Title"/>
        <w:rPr>
          <w:rFonts w:ascii="Calibri" w:hAnsi="Calibri"/>
          <w:b/>
          <w:color w:val="000000" w:themeColor="text1"/>
          <w:szCs w:val="40"/>
        </w:rPr>
      </w:pPr>
    </w:p>
    <w:p w14:paraId="7ED1FDEF" w14:textId="77777777" w:rsidR="00C94C43" w:rsidRPr="00E02371" w:rsidRDefault="00D3094F" w:rsidP="00010AE9">
      <w:pPr>
        <w:pStyle w:val="Title"/>
        <w:rPr>
          <w:b/>
          <w:color w:val="000000" w:themeColor="text1"/>
          <w:szCs w:val="40"/>
        </w:rPr>
      </w:pPr>
      <w:bookmarkStart w:id="0" w:name="_Toc45285618"/>
      <w:bookmarkStart w:id="1" w:name="_Toc58243242"/>
      <w:bookmarkStart w:id="2" w:name="_Toc124171196"/>
      <w:r>
        <w:rPr>
          <w:rFonts w:ascii="Calibri" w:hAnsi="Calibri"/>
          <w:b/>
          <w:color w:val="000000" w:themeColor="text1"/>
          <w:szCs w:val="40"/>
        </w:rPr>
        <w:t>C</w:t>
      </w:r>
      <w:r w:rsidR="006847E8">
        <w:rPr>
          <w:rFonts w:ascii="Calibri" w:hAnsi="Calibri"/>
          <w:b/>
          <w:color w:val="000000" w:themeColor="text1"/>
          <w:szCs w:val="40"/>
        </w:rPr>
        <w:t>lassifying</w:t>
      </w:r>
      <w:r w:rsidR="00010AE9">
        <w:rPr>
          <w:rFonts w:ascii="Calibri" w:hAnsi="Calibri"/>
          <w:b/>
          <w:color w:val="000000" w:themeColor="text1"/>
          <w:szCs w:val="40"/>
        </w:rPr>
        <w:t xml:space="preserve"> </w:t>
      </w:r>
      <w:r w:rsidR="00B52621">
        <w:rPr>
          <w:rFonts w:ascii="Calibri" w:hAnsi="Calibri"/>
          <w:b/>
          <w:color w:val="000000" w:themeColor="text1"/>
          <w:szCs w:val="40"/>
        </w:rPr>
        <w:t>Australian Government</w:t>
      </w:r>
      <w:r w:rsidR="00DA528A">
        <w:rPr>
          <w:rFonts w:ascii="Calibri" w:hAnsi="Calibri"/>
          <w:b/>
          <w:color w:val="000000" w:themeColor="text1"/>
          <w:szCs w:val="40"/>
        </w:rPr>
        <w:t xml:space="preserve"> payments</w:t>
      </w:r>
      <w:r w:rsidR="006C67A1">
        <w:rPr>
          <w:rFonts w:ascii="Calibri" w:hAnsi="Calibri"/>
          <w:b/>
          <w:color w:val="000000" w:themeColor="text1"/>
          <w:szCs w:val="40"/>
        </w:rPr>
        <w:br/>
      </w:r>
      <w:r w:rsidR="006847E8">
        <w:rPr>
          <w:rFonts w:ascii="Calibri" w:hAnsi="Calibri"/>
          <w:b/>
          <w:color w:val="000000" w:themeColor="text1"/>
          <w:szCs w:val="40"/>
        </w:rPr>
        <w:t>to other levels of government</w:t>
      </w:r>
      <w:bookmarkEnd w:id="0"/>
      <w:bookmarkEnd w:id="1"/>
      <w:bookmarkEnd w:id="2"/>
      <w:r w:rsidR="00010AE9" w:rsidDel="00010AE9">
        <w:rPr>
          <w:rFonts w:ascii="Calibri" w:hAnsi="Calibri"/>
          <w:b/>
          <w:color w:val="000000" w:themeColor="text1"/>
          <w:szCs w:val="40"/>
        </w:rPr>
        <w:t xml:space="preserve"> </w:t>
      </w:r>
    </w:p>
    <w:p w14:paraId="5907A9FE" w14:textId="77777777" w:rsidR="00C94C43" w:rsidRDefault="00C94C43" w:rsidP="00C94C43">
      <w:pPr>
        <w:jc w:val="right"/>
        <w:rPr>
          <w:sz w:val="34"/>
          <w:szCs w:val="34"/>
        </w:rPr>
      </w:pPr>
      <w:r w:rsidRPr="00C94C43">
        <w:rPr>
          <w:sz w:val="34"/>
          <w:szCs w:val="34"/>
        </w:rPr>
        <w:t xml:space="preserve">Resource Management Guide No. </w:t>
      </w:r>
      <w:r w:rsidRPr="00F57D4B">
        <w:rPr>
          <w:sz w:val="34"/>
          <w:szCs w:val="34"/>
        </w:rPr>
        <w:t>419</w:t>
      </w:r>
    </w:p>
    <w:p w14:paraId="16114BF8" w14:textId="77777777" w:rsidR="00C94C43" w:rsidRDefault="00C94C43" w:rsidP="00F57D4B">
      <w:pPr>
        <w:rPr>
          <w:highlight w:val="yellow"/>
        </w:rPr>
      </w:pPr>
    </w:p>
    <w:p w14:paraId="309C22A4" w14:textId="77777777" w:rsidR="00D3094F" w:rsidRDefault="00D3094F" w:rsidP="00F57D4B"/>
    <w:p w14:paraId="70E9B43C" w14:textId="0A6C7A21" w:rsidR="00C94C43" w:rsidRPr="00F57D4B" w:rsidRDefault="000F7841" w:rsidP="00F57D4B">
      <w:pPr>
        <w:rPr>
          <w:color w:val="000000" w:themeColor="text1"/>
          <w:sz w:val="34"/>
          <w:szCs w:val="34"/>
        </w:rPr>
      </w:pPr>
      <w:r>
        <w:t xml:space="preserve">February </w:t>
      </w:r>
      <w:r w:rsidR="005A4A0C">
        <w:t>2023</w:t>
      </w:r>
      <w:r w:rsidR="00C94C43">
        <w:rPr>
          <w:rFonts w:ascii="Calibri" w:hAnsi="Calibri"/>
          <w:b/>
          <w:color w:val="000000" w:themeColor="text1"/>
          <w:szCs w:val="40"/>
        </w:rPr>
        <w:tab/>
      </w:r>
    </w:p>
    <w:p w14:paraId="50B446A6" w14:textId="77777777" w:rsidR="005E5CB9" w:rsidRDefault="00D50CFB" w:rsidP="007F290F">
      <w:pPr>
        <w:pStyle w:val="Title"/>
      </w:pPr>
      <w:r>
        <w:rPr>
          <w:rFonts w:ascii="Calibri" w:hAnsi="Calibri"/>
          <w:b/>
          <w:color w:val="000000" w:themeColor="text1"/>
          <w:szCs w:val="40"/>
        </w:rPr>
        <w:lastRenderedPageBreak/>
        <w:tab/>
      </w:r>
      <w:r>
        <w:rPr>
          <w:rFonts w:ascii="Calibri" w:hAnsi="Calibri"/>
          <w:b/>
          <w:color w:val="000000" w:themeColor="text1"/>
          <w:szCs w:val="40"/>
        </w:rPr>
        <w:tab/>
      </w:r>
      <w:r>
        <w:rPr>
          <w:rFonts w:ascii="Calibri" w:hAnsi="Calibri"/>
          <w:b/>
          <w:color w:val="000000" w:themeColor="text1"/>
          <w:szCs w:val="40"/>
        </w:rPr>
        <w:tab/>
      </w:r>
      <w:r>
        <w:rPr>
          <w:rFonts w:ascii="Calibri" w:hAnsi="Calibri"/>
          <w:b/>
          <w:color w:val="000000" w:themeColor="text1"/>
          <w:szCs w:val="40"/>
        </w:rPr>
        <w:tab/>
      </w:r>
      <w:r>
        <w:rPr>
          <w:rFonts w:ascii="Calibri" w:hAnsi="Calibri"/>
          <w:b/>
          <w:color w:val="000000" w:themeColor="text1"/>
          <w:szCs w:val="40"/>
        </w:rPr>
        <w:tab/>
      </w:r>
      <w:r>
        <w:rPr>
          <w:rFonts w:ascii="Calibri" w:hAnsi="Calibri"/>
          <w:b/>
          <w:color w:val="000000" w:themeColor="text1"/>
          <w:szCs w:val="40"/>
        </w:rPr>
        <w:tab/>
      </w:r>
      <w:r>
        <w:rPr>
          <w:rFonts w:ascii="Calibri" w:hAnsi="Calibri"/>
          <w:b/>
          <w:color w:val="000000" w:themeColor="text1"/>
          <w:szCs w:val="40"/>
        </w:rPr>
        <w:tab/>
      </w:r>
      <w:r>
        <w:rPr>
          <w:rFonts w:ascii="Calibri" w:hAnsi="Calibri"/>
          <w:b/>
          <w:color w:val="000000" w:themeColor="text1"/>
          <w:szCs w:val="40"/>
        </w:rPr>
        <w:tab/>
      </w:r>
    </w:p>
    <w:p w14:paraId="2F073B07" w14:textId="77777777" w:rsidR="005E5CB9" w:rsidRPr="00BF4386" w:rsidRDefault="005E5CB9" w:rsidP="005E5CB9">
      <w:r w:rsidRPr="00BF4386">
        <w:t>© Commonwealth of Australia 20</w:t>
      </w:r>
      <w:r w:rsidR="0063105A">
        <w:t>20</w:t>
      </w:r>
    </w:p>
    <w:p w14:paraId="43704486" w14:textId="77777777" w:rsidR="005E5CB9" w:rsidRPr="00BF4386" w:rsidRDefault="005E5CB9" w:rsidP="005E5CB9">
      <w:r w:rsidRPr="00BF4386">
        <w:t xml:space="preserve">ISBN: </w:t>
      </w:r>
      <w:r w:rsidR="007C6E5C" w:rsidRPr="00E46CFA">
        <w:t>978</w:t>
      </w:r>
      <w:r w:rsidR="009A08BD" w:rsidRPr="00E46CFA">
        <w:t>-</w:t>
      </w:r>
      <w:r w:rsidR="007C6E5C" w:rsidRPr="00E46CFA">
        <w:t>1</w:t>
      </w:r>
      <w:r w:rsidR="009A08BD" w:rsidRPr="00E46CFA">
        <w:t>-</w:t>
      </w:r>
      <w:r w:rsidR="007C6E5C" w:rsidRPr="00E46CFA">
        <w:t>925205</w:t>
      </w:r>
      <w:r w:rsidR="009A08BD" w:rsidRPr="00E46CFA">
        <w:t>-</w:t>
      </w:r>
      <w:r w:rsidR="007C6E5C" w:rsidRPr="00E46CFA">
        <w:t>51</w:t>
      </w:r>
      <w:r w:rsidR="009A08BD" w:rsidRPr="00E46CFA">
        <w:t>-</w:t>
      </w:r>
      <w:r w:rsidR="007C6E5C" w:rsidRPr="00E46CFA">
        <w:t>0</w:t>
      </w:r>
      <w:r w:rsidR="009A08BD" w:rsidRPr="00BF4386">
        <w:t xml:space="preserve"> (Online)</w:t>
      </w:r>
    </w:p>
    <w:p w14:paraId="45019F5F" w14:textId="77777777" w:rsidR="005E5CB9" w:rsidRPr="00BF4386" w:rsidRDefault="005E5CB9" w:rsidP="005E5CB9">
      <w:r w:rsidRPr="00BF4386">
        <w:t>With the exception of the Commonwealth Coat of Arms and where otherwise noted, all material presented in this document is provided under a Creative Commons Attribution 3.0 Australia (</w:t>
      </w:r>
      <w:hyperlink r:id="rId8" w:history="1">
        <w:r w:rsidRPr="00BF4386">
          <w:rPr>
            <w:rStyle w:val="Hyperlink"/>
          </w:rPr>
          <w:t>http://creativecommons.org/licenses/by/3.0/au</w:t>
        </w:r>
      </w:hyperlink>
      <w:r w:rsidRPr="00BF4386">
        <w:t>) licence.</w:t>
      </w:r>
    </w:p>
    <w:p w14:paraId="6A4BDF6B" w14:textId="77777777" w:rsidR="005E5CB9" w:rsidRPr="00BF4386" w:rsidRDefault="005E5CB9" w:rsidP="005E5CB9">
      <w:r w:rsidRPr="00BF4386">
        <w:rPr>
          <w:noProof/>
          <w:lang w:eastAsia="en-AU"/>
        </w:rPr>
        <w:drawing>
          <wp:inline distT="0" distB="0" distL="0" distR="0" wp14:anchorId="34298753" wp14:editId="383954FE">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7BC6F8E3" w14:textId="77777777" w:rsidR="005E5CB9" w:rsidRPr="00BF4386" w:rsidRDefault="005E5CB9" w:rsidP="005E5CB9">
      <w:pPr>
        <w:rPr>
          <w:rFonts w:eastAsia="Times New Roman"/>
          <w:szCs w:val="24"/>
        </w:rPr>
      </w:pPr>
      <w:r w:rsidRPr="00BF4386">
        <w:rPr>
          <w:rFonts w:eastAsia="Times New Roman"/>
          <w:szCs w:val="24"/>
        </w:rPr>
        <w:t>The details of the relevant licence conditions are available on the Creative Commons website (accessible using the links provided) as is the full legal code for the CC BY 3 AU licence.</w:t>
      </w:r>
    </w:p>
    <w:p w14:paraId="1B4727AF" w14:textId="77777777" w:rsidR="005E5CB9" w:rsidRPr="00BF4386" w:rsidRDefault="005E5CB9" w:rsidP="005E5CB9">
      <w:pPr>
        <w:spacing w:before="240"/>
        <w:rPr>
          <w:rFonts w:eastAsia="Times New Roman"/>
          <w:b/>
          <w:szCs w:val="24"/>
        </w:rPr>
      </w:pPr>
      <w:r w:rsidRPr="00BF4386">
        <w:rPr>
          <w:rFonts w:eastAsia="Times New Roman"/>
          <w:b/>
          <w:szCs w:val="24"/>
        </w:rPr>
        <w:t>Use of the Coat of Arms</w:t>
      </w:r>
    </w:p>
    <w:p w14:paraId="13CA2AEF" w14:textId="77777777" w:rsidR="005E5CB9" w:rsidRPr="00BF4386" w:rsidRDefault="005E5CB9" w:rsidP="005E5CB9">
      <w:pPr>
        <w:rPr>
          <w:rFonts w:eastAsia="Times New Roman"/>
          <w:szCs w:val="24"/>
        </w:rPr>
      </w:pPr>
      <w:r w:rsidRPr="00BF4386">
        <w:rPr>
          <w:rFonts w:eastAsia="Times New Roman"/>
          <w:szCs w:val="24"/>
        </w:rPr>
        <w:t xml:space="preserve">The terms under which the Coat of Arms can be used are detailed on the following website: </w:t>
      </w:r>
      <w:hyperlink r:id="rId10" w:history="1">
        <w:r w:rsidRPr="00BF4386">
          <w:rPr>
            <w:rStyle w:val="Hyperlink"/>
            <w:rFonts w:cstheme="minorBidi"/>
          </w:rPr>
          <w:t>www.dpmc.gov.au/government/its-honour</w:t>
        </w:r>
      </w:hyperlink>
      <w:r w:rsidRPr="00BF4386">
        <w:rPr>
          <w:rFonts w:eastAsia="Times New Roman"/>
          <w:szCs w:val="24"/>
        </w:rPr>
        <w:t>.</w:t>
      </w:r>
    </w:p>
    <w:p w14:paraId="4DDDDBCE" w14:textId="77777777" w:rsidR="005E5CB9" w:rsidRPr="00BF4386" w:rsidRDefault="005E5CB9" w:rsidP="005E5CB9">
      <w:pPr>
        <w:spacing w:before="240"/>
        <w:rPr>
          <w:rFonts w:eastAsia="Times New Roman"/>
          <w:b/>
          <w:szCs w:val="24"/>
        </w:rPr>
      </w:pPr>
      <w:r w:rsidRPr="00BF4386">
        <w:rPr>
          <w:rFonts w:eastAsia="Times New Roman"/>
          <w:b/>
          <w:szCs w:val="24"/>
        </w:rPr>
        <w:t>Contact us</w:t>
      </w:r>
    </w:p>
    <w:p w14:paraId="53464487" w14:textId="77777777" w:rsidR="005E5CB9" w:rsidRPr="00BF4386" w:rsidRDefault="005E5CB9" w:rsidP="005E5CB9">
      <w:r w:rsidRPr="00BF4386">
        <w:rPr>
          <w:rFonts w:eastAsia="Times New Roman"/>
          <w:szCs w:val="24"/>
        </w:rPr>
        <w:t xml:space="preserve">Please direct questions or comments about the </w:t>
      </w:r>
      <w:r w:rsidR="009A08BD" w:rsidRPr="00BF4386">
        <w:rPr>
          <w:rFonts w:eastAsia="Times New Roman"/>
          <w:szCs w:val="24"/>
        </w:rPr>
        <w:t>guide</w:t>
      </w:r>
      <w:r w:rsidRPr="00BF4386">
        <w:rPr>
          <w:rFonts w:eastAsia="Times New Roman"/>
          <w:szCs w:val="24"/>
        </w:rPr>
        <w:t xml:space="preserve"> to:</w:t>
      </w:r>
      <w:r w:rsidRPr="00BF4386">
        <w:t xml:space="preserve"> </w:t>
      </w:r>
    </w:p>
    <w:p w14:paraId="49BFCEF3" w14:textId="77777777" w:rsidR="005E5CB9" w:rsidRPr="00BF4386" w:rsidRDefault="00E11ABD" w:rsidP="005E5CB9">
      <w:pPr>
        <w:spacing w:before="0" w:after="0" w:line="240" w:lineRule="auto"/>
        <w:rPr>
          <w:color w:val="000000" w:themeColor="text1"/>
        </w:rPr>
      </w:pPr>
      <w:r>
        <w:rPr>
          <w:color w:val="000000" w:themeColor="text1"/>
        </w:rPr>
        <w:t>Estimates and Reporting Branch</w:t>
      </w:r>
    </w:p>
    <w:p w14:paraId="5E732D4C" w14:textId="77777777" w:rsidR="005E5CB9" w:rsidRPr="00BF4386" w:rsidRDefault="005E5CB9" w:rsidP="005E5CB9">
      <w:pPr>
        <w:spacing w:before="0" w:after="0" w:line="240" w:lineRule="auto"/>
        <w:rPr>
          <w:color w:val="000000" w:themeColor="text1"/>
        </w:rPr>
      </w:pPr>
      <w:r w:rsidRPr="00BF4386">
        <w:rPr>
          <w:color w:val="000000" w:themeColor="text1"/>
        </w:rPr>
        <w:t xml:space="preserve">Governance and </w:t>
      </w:r>
      <w:r w:rsidR="007C6E5C" w:rsidRPr="00BF4386">
        <w:rPr>
          <w:color w:val="000000" w:themeColor="text1"/>
        </w:rPr>
        <w:t>Resource Management</w:t>
      </w:r>
      <w:r w:rsidRPr="00BF4386">
        <w:rPr>
          <w:color w:val="000000" w:themeColor="text1"/>
        </w:rPr>
        <w:t xml:space="preserve"> </w:t>
      </w:r>
    </w:p>
    <w:p w14:paraId="039DA178" w14:textId="77777777" w:rsidR="005E5CB9" w:rsidRPr="00BF4386" w:rsidRDefault="005E5CB9" w:rsidP="005E5CB9">
      <w:pPr>
        <w:spacing w:before="0" w:after="0" w:line="240" w:lineRule="auto"/>
        <w:rPr>
          <w:color w:val="000000" w:themeColor="text1"/>
        </w:rPr>
      </w:pPr>
      <w:r w:rsidRPr="00BF4386">
        <w:rPr>
          <w:color w:val="000000" w:themeColor="text1"/>
        </w:rPr>
        <w:t>Department of Finance</w:t>
      </w:r>
    </w:p>
    <w:p w14:paraId="51481870" w14:textId="77777777" w:rsidR="005E5CB9" w:rsidRPr="00BF4386" w:rsidRDefault="005E5CB9" w:rsidP="005E5CB9">
      <w:pPr>
        <w:spacing w:before="0" w:after="0" w:line="240" w:lineRule="auto"/>
        <w:rPr>
          <w:color w:val="000000" w:themeColor="text1"/>
        </w:rPr>
      </w:pPr>
      <w:r w:rsidRPr="00BF4386">
        <w:rPr>
          <w:color w:val="000000" w:themeColor="text1"/>
        </w:rPr>
        <w:t>1 Canberra Avenue</w:t>
      </w:r>
    </w:p>
    <w:p w14:paraId="55DE6218" w14:textId="77777777" w:rsidR="005E5CB9" w:rsidRPr="00BF4386" w:rsidRDefault="005E5CB9" w:rsidP="009A08BD">
      <w:pPr>
        <w:spacing w:before="0" w:after="120" w:line="240" w:lineRule="auto"/>
        <w:rPr>
          <w:color w:val="000000" w:themeColor="text1"/>
        </w:rPr>
      </w:pPr>
      <w:r w:rsidRPr="00BF4386">
        <w:rPr>
          <w:color w:val="000000" w:themeColor="text1"/>
        </w:rPr>
        <w:t>Forrest ACT 2603</w:t>
      </w:r>
    </w:p>
    <w:p w14:paraId="4F6611A7" w14:textId="77777777" w:rsidR="005E5CB9" w:rsidRPr="00BF4386" w:rsidRDefault="005E5CB9" w:rsidP="009A08BD">
      <w:pPr>
        <w:spacing w:before="0" w:after="120" w:line="240" w:lineRule="auto"/>
        <w:rPr>
          <w:color w:val="000000" w:themeColor="text1"/>
        </w:rPr>
      </w:pPr>
      <w:r w:rsidRPr="00BF4386">
        <w:rPr>
          <w:color w:val="000000" w:themeColor="text1"/>
        </w:rPr>
        <w:t xml:space="preserve">Email: </w:t>
      </w:r>
      <w:hyperlink r:id="rId11" w:history="1">
        <w:r w:rsidRPr="00BF4386">
          <w:rPr>
            <w:rStyle w:val="Hyperlink"/>
            <w:rFonts w:eastAsia="Times New Roman"/>
            <w:color w:val="000000" w:themeColor="text1"/>
            <w:szCs w:val="24"/>
          </w:rPr>
          <w:t>pmra@finance.gov.au</w:t>
        </w:r>
      </w:hyperlink>
    </w:p>
    <w:p w14:paraId="19C012D4" w14:textId="77777777" w:rsidR="00BF4386" w:rsidRDefault="005E5CB9" w:rsidP="00396E11">
      <w:pPr>
        <w:spacing w:before="0" w:after="120" w:line="240" w:lineRule="auto"/>
        <w:rPr>
          <w:rFonts w:ascii="Arial" w:hAnsi="Arial" w:cs="Arial"/>
          <w:color w:val="000000" w:themeColor="text1"/>
          <w:sz w:val="42"/>
          <w:szCs w:val="42"/>
        </w:rPr>
      </w:pPr>
      <w:r w:rsidRPr="00BF4386">
        <w:rPr>
          <w:color w:val="000000" w:themeColor="text1"/>
        </w:rPr>
        <w:t>Internet:</w:t>
      </w:r>
      <w:r w:rsidRPr="00BF4386">
        <w:rPr>
          <w:color w:val="000000" w:themeColor="text1"/>
          <w:lang w:val="en-US"/>
        </w:rPr>
        <w:t xml:space="preserve"> </w:t>
      </w:r>
      <w:hyperlink r:id="rId12" w:history="1">
        <w:r w:rsidR="00E11ABD" w:rsidRPr="005B436B">
          <w:rPr>
            <w:rStyle w:val="Hyperlink"/>
            <w:rFonts w:cstheme="minorHAnsi"/>
          </w:rPr>
          <w:t>www.finance.gov.au</w:t>
        </w:r>
      </w:hyperlink>
      <w:r w:rsidR="00E11ABD">
        <w:rPr>
          <w:rStyle w:val="Hyperlink"/>
          <w:rFonts w:cstheme="minorHAnsi"/>
          <w:color w:val="000000" w:themeColor="text1"/>
        </w:rPr>
        <w:t xml:space="preserve"> </w:t>
      </w:r>
    </w:p>
    <w:p w14:paraId="789F1CB7" w14:textId="77777777" w:rsidR="00C94C43" w:rsidRDefault="00C94C43">
      <w:pPr>
        <w:suppressAutoHyphens w:val="0"/>
        <w:spacing w:before="0" w:after="120" w:line="440" w:lineRule="atLeast"/>
        <w:rPr>
          <w:rFonts w:ascii="Arial" w:hAnsi="Arial" w:cs="Arial"/>
          <w:color w:val="92C5C5" w:themeColor="accent2"/>
          <w:sz w:val="42"/>
          <w:szCs w:val="42"/>
        </w:rPr>
      </w:pPr>
      <w:r>
        <w:rPr>
          <w:rFonts w:ascii="Arial" w:hAnsi="Arial" w:cs="Arial"/>
          <w:color w:val="92C5C5" w:themeColor="accent2"/>
          <w:sz w:val="42"/>
          <w:szCs w:val="42"/>
        </w:rPr>
        <w:br w:type="page"/>
      </w:r>
    </w:p>
    <w:p w14:paraId="0B1D802F" w14:textId="77777777" w:rsidR="00396E11" w:rsidRDefault="00396E11" w:rsidP="00396E11">
      <w:pPr>
        <w:spacing w:before="0" w:after="120" w:line="240" w:lineRule="auto"/>
        <w:rPr>
          <w:rFonts w:ascii="Arial" w:hAnsi="Arial" w:cs="Arial"/>
          <w:color w:val="92C5C5" w:themeColor="accent2"/>
          <w:sz w:val="42"/>
          <w:szCs w:val="42"/>
        </w:rPr>
      </w:pPr>
      <w:r w:rsidRPr="00E60A81">
        <w:rPr>
          <w:rFonts w:ascii="Arial" w:hAnsi="Arial" w:cs="Arial"/>
          <w:color w:val="92C5C5" w:themeColor="accent2"/>
          <w:sz w:val="42"/>
          <w:szCs w:val="42"/>
        </w:rPr>
        <w:t>Contents</w:t>
      </w:r>
    </w:p>
    <w:p w14:paraId="05CB4D8A" w14:textId="77777777" w:rsidR="005437F9" w:rsidRDefault="005437F9" w:rsidP="00742346">
      <w:pPr>
        <w:pStyle w:val="TOC1"/>
      </w:pPr>
    </w:p>
    <w:p w14:paraId="6932EC42" w14:textId="2B5F1B89" w:rsidR="005B638E" w:rsidRDefault="00396E11">
      <w:pPr>
        <w:pStyle w:val="TOC1"/>
        <w:rPr>
          <w:rFonts w:eastAsiaTheme="minorEastAsia"/>
          <w:b w:val="0"/>
          <w:noProof/>
          <w:sz w:val="22"/>
          <w:lang w:eastAsia="en-AU"/>
        </w:rPr>
      </w:pPr>
      <w:r>
        <w:rPr>
          <w:caps/>
          <w:sz w:val="20"/>
        </w:rPr>
        <w:fldChar w:fldCharType="begin"/>
      </w:r>
      <w:r>
        <w:rPr>
          <w:caps/>
          <w:sz w:val="20"/>
        </w:rPr>
        <w:instrText xml:space="preserve"> TOC \o "1-3" \h \z \u </w:instrText>
      </w:r>
      <w:r>
        <w:rPr>
          <w:caps/>
          <w:sz w:val="20"/>
        </w:rPr>
        <w:fldChar w:fldCharType="separate"/>
      </w:r>
      <w:hyperlink w:anchor="_Toc124171196" w:history="1">
        <w:r w:rsidR="005B638E" w:rsidRPr="004757A3">
          <w:rPr>
            <w:rStyle w:val="Hyperlink"/>
            <w:rFonts w:ascii="Calibri" w:hAnsi="Calibri"/>
            <w:noProof/>
          </w:rPr>
          <w:t>Classifying Australian Government payments to other levels of government</w:t>
        </w:r>
        <w:r w:rsidR="005B638E">
          <w:rPr>
            <w:noProof/>
            <w:webHidden/>
          </w:rPr>
          <w:tab/>
        </w:r>
        <w:r w:rsidR="005B638E">
          <w:rPr>
            <w:noProof/>
            <w:webHidden/>
          </w:rPr>
          <w:fldChar w:fldCharType="begin"/>
        </w:r>
        <w:r w:rsidR="005B638E">
          <w:rPr>
            <w:noProof/>
            <w:webHidden/>
          </w:rPr>
          <w:instrText xml:space="preserve"> PAGEREF _Toc124171196 \h </w:instrText>
        </w:r>
        <w:r w:rsidR="005B638E">
          <w:rPr>
            <w:noProof/>
            <w:webHidden/>
          </w:rPr>
        </w:r>
        <w:r w:rsidR="005B638E">
          <w:rPr>
            <w:noProof/>
            <w:webHidden/>
          </w:rPr>
          <w:fldChar w:fldCharType="separate"/>
        </w:r>
        <w:r w:rsidR="005B638E">
          <w:rPr>
            <w:noProof/>
            <w:webHidden/>
          </w:rPr>
          <w:t>1</w:t>
        </w:r>
        <w:r w:rsidR="005B638E">
          <w:rPr>
            <w:noProof/>
            <w:webHidden/>
          </w:rPr>
          <w:fldChar w:fldCharType="end"/>
        </w:r>
      </w:hyperlink>
    </w:p>
    <w:p w14:paraId="619E9AB5" w14:textId="5AA401D6" w:rsidR="005B638E" w:rsidRDefault="004A7C72">
      <w:pPr>
        <w:pStyle w:val="TOC1"/>
        <w:rPr>
          <w:rFonts w:eastAsiaTheme="minorEastAsia"/>
          <w:b w:val="0"/>
          <w:noProof/>
          <w:sz w:val="22"/>
          <w:lang w:eastAsia="en-AU"/>
        </w:rPr>
      </w:pPr>
      <w:hyperlink w:anchor="_Toc124171197" w:history="1">
        <w:r w:rsidR="005B638E" w:rsidRPr="004757A3">
          <w:rPr>
            <w:rStyle w:val="Hyperlink"/>
            <w:noProof/>
          </w:rPr>
          <w:t>Audience</w:t>
        </w:r>
        <w:r w:rsidR="005B638E">
          <w:rPr>
            <w:noProof/>
            <w:webHidden/>
          </w:rPr>
          <w:tab/>
        </w:r>
        <w:r w:rsidR="005B638E">
          <w:rPr>
            <w:noProof/>
            <w:webHidden/>
          </w:rPr>
          <w:fldChar w:fldCharType="begin"/>
        </w:r>
        <w:r w:rsidR="005B638E">
          <w:rPr>
            <w:noProof/>
            <w:webHidden/>
          </w:rPr>
          <w:instrText xml:space="preserve"> PAGEREF _Toc124171197 \h </w:instrText>
        </w:r>
        <w:r w:rsidR="005B638E">
          <w:rPr>
            <w:noProof/>
            <w:webHidden/>
          </w:rPr>
        </w:r>
        <w:r w:rsidR="005B638E">
          <w:rPr>
            <w:noProof/>
            <w:webHidden/>
          </w:rPr>
          <w:fldChar w:fldCharType="separate"/>
        </w:r>
        <w:r w:rsidR="005B638E">
          <w:rPr>
            <w:noProof/>
            <w:webHidden/>
          </w:rPr>
          <w:t>4</w:t>
        </w:r>
        <w:r w:rsidR="005B638E">
          <w:rPr>
            <w:noProof/>
            <w:webHidden/>
          </w:rPr>
          <w:fldChar w:fldCharType="end"/>
        </w:r>
      </w:hyperlink>
    </w:p>
    <w:p w14:paraId="1CA1FFD3" w14:textId="77163E8A" w:rsidR="005B638E" w:rsidRDefault="004A7C72">
      <w:pPr>
        <w:pStyle w:val="TOC1"/>
        <w:rPr>
          <w:rFonts w:eastAsiaTheme="minorEastAsia"/>
          <w:b w:val="0"/>
          <w:noProof/>
          <w:sz w:val="22"/>
          <w:lang w:eastAsia="en-AU"/>
        </w:rPr>
      </w:pPr>
      <w:hyperlink w:anchor="_Toc124171198" w:history="1">
        <w:r w:rsidR="005B638E" w:rsidRPr="004757A3">
          <w:rPr>
            <w:rStyle w:val="Hyperlink"/>
            <w:noProof/>
          </w:rPr>
          <w:t>Key points</w:t>
        </w:r>
        <w:r w:rsidR="005B638E">
          <w:rPr>
            <w:noProof/>
            <w:webHidden/>
          </w:rPr>
          <w:tab/>
        </w:r>
        <w:r w:rsidR="005B638E">
          <w:rPr>
            <w:noProof/>
            <w:webHidden/>
          </w:rPr>
          <w:fldChar w:fldCharType="begin"/>
        </w:r>
        <w:r w:rsidR="005B638E">
          <w:rPr>
            <w:noProof/>
            <w:webHidden/>
          </w:rPr>
          <w:instrText xml:space="preserve"> PAGEREF _Toc124171198 \h </w:instrText>
        </w:r>
        <w:r w:rsidR="005B638E">
          <w:rPr>
            <w:noProof/>
            <w:webHidden/>
          </w:rPr>
        </w:r>
        <w:r w:rsidR="005B638E">
          <w:rPr>
            <w:noProof/>
            <w:webHidden/>
          </w:rPr>
          <w:fldChar w:fldCharType="separate"/>
        </w:r>
        <w:r w:rsidR="005B638E">
          <w:rPr>
            <w:noProof/>
            <w:webHidden/>
          </w:rPr>
          <w:t>4</w:t>
        </w:r>
        <w:r w:rsidR="005B638E">
          <w:rPr>
            <w:noProof/>
            <w:webHidden/>
          </w:rPr>
          <w:fldChar w:fldCharType="end"/>
        </w:r>
      </w:hyperlink>
    </w:p>
    <w:p w14:paraId="0DE014FA" w14:textId="028E4364" w:rsidR="005B638E" w:rsidRDefault="004A7C72">
      <w:pPr>
        <w:pStyle w:val="TOC1"/>
        <w:rPr>
          <w:rFonts w:eastAsiaTheme="minorEastAsia"/>
          <w:b w:val="0"/>
          <w:noProof/>
          <w:sz w:val="22"/>
          <w:lang w:eastAsia="en-AU"/>
        </w:rPr>
      </w:pPr>
      <w:hyperlink w:anchor="_Toc124171199" w:history="1">
        <w:r w:rsidR="005B638E" w:rsidRPr="004757A3">
          <w:rPr>
            <w:rStyle w:val="Hyperlink"/>
            <w:noProof/>
          </w:rPr>
          <w:t>Resources</w:t>
        </w:r>
        <w:r w:rsidR="005B638E">
          <w:rPr>
            <w:noProof/>
            <w:webHidden/>
          </w:rPr>
          <w:tab/>
        </w:r>
        <w:r w:rsidR="005B638E">
          <w:rPr>
            <w:noProof/>
            <w:webHidden/>
          </w:rPr>
          <w:fldChar w:fldCharType="begin"/>
        </w:r>
        <w:r w:rsidR="005B638E">
          <w:rPr>
            <w:noProof/>
            <w:webHidden/>
          </w:rPr>
          <w:instrText xml:space="preserve"> PAGEREF _Toc124171199 \h </w:instrText>
        </w:r>
        <w:r w:rsidR="005B638E">
          <w:rPr>
            <w:noProof/>
            <w:webHidden/>
          </w:rPr>
        </w:r>
        <w:r w:rsidR="005B638E">
          <w:rPr>
            <w:noProof/>
            <w:webHidden/>
          </w:rPr>
          <w:fldChar w:fldCharType="separate"/>
        </w:r>
        <w:r w:rsidR="005B638E">
          <w:rPr>
            <w:noProof/>
            <w:webHidden/>
          </w:rPr>
          <w:t>4</w:t>
        </w:r>
        <w:r w:rsidR="005B638E">
          <w:rPr>
            <w:noProof/>
            <w:webHidden/>
          </w:rPr>
          <w:fldChar w:fldCharType="end"/>
        </w:r>
      </w:hyperlink>
    </w:p>
    <w:p w14:paraId="68916DB2" w14:textId="6639A2F5" w:rsidR="005B638E" w:rsidRDefault="004A7C72">
      <w:pPr>
        <w:pStyle w:val="TOC1"/>
        <w:rPr>
          <w:rFonts w:eastAsiaTheme="minorEastAsia"/>
          <w:b w:val="0"/>
          <w:noProof/>
          <w:sz w:val="22"/>
          <w:lang w:eastAsia="en-AU"/>
        </w:rPr>
      </w:pPr>
      <w:hyperlink w:anchor="_Toc124171200" w:history="1">
        <w:r w:rsidR="005B638E" w:rsidRPr="004757A3">
          <w:rPr>
            <w:rStyle w:val="Hyperlink"/>
            <w:noProof/>
          </w:rPr>
          <w:t>Introduction</w:t>
        </w:r>
        <w:r w:rsidR="005B638E">
          <w:rPr>
            <w:noProof/>
            <w:webHidden/>
          </w:rPr>
          <w:tab/>
        </w:r>
        <w:r w:rsidR="005B638E">
          <w:rPr>
            <w:noProof/>
            <w:webHidden/>
          </w:rPr>
          <w:fldChar w:fldCharType="begin"/>
        </w:r>
        <w:r w:rsidR="005B638E">
          <w:rPr>
            <w:noProof/>
            <w:webHidden/>
          </w:rPr>
          <w:instrText xml:space="preserve"> PAGEREF _Toc124171200 \h </w:instrText>
        </w:r>
        <w:r w:rsidR="005B638E">
          <w:rPr>
            <w:noProof/>
            <w:webHidden/>
          </w:rPr>
        </w:r>
        <w:r w:rsidR="005B638E">
          <w:rPr>
            <w:noProof/>
            <w:webHidden/>
          </w:rPr>
          <w:fldChar w:fldCharType="separate"/>
        </w:r>
        <w:r w:rsidR="005B638E">
          <w:rPr>
            <w:noProof/>
            <w:webHidden/>
          </w:rPr>
          <w:t>5</w:t>
        </w:r>
        <w:r w:rsidR="005B638E">
          <w:rPr>
            <w:noProof/>
            <w:webHidden/>
          </w:rPr>
          <w:fldChar w:fldCharType="end"/>
        </w:r>
      </w:hyperlink>
    </w:p>
    <w:p w14:paraId="2E2A2C51" w14:textId="1D3703DC" w:rsidR="005B638E" w:rsidRDefault="004A7C72">
      <w:pPr>
        <w:pStyle w:val="TOC1"/>
        <w:rPr>
          <w:rFonts w:eastAsiaTheme="minorEastAsia"/>
          <w:b w:val="0"/>
          <w:noProof/>
          <w:sz w:val="22"/>
          <w:lang w:eastAsia="en-AU"/>
        </w:rPr>
      </w:pPr>
      <w:hyperlink w:anchor="_Toc124171201" w:history="1">
        <w:r w:rsidR="005B638E" w:rsidRPr="004757A3">
          <w:rPr>
            <w:rStyle w:val="Hyperlink"/>
            <w:noProof/>
          </w:rPr>
          <w:t>Part 1 – Legislative framework</w:t>
        </w:r>
        <w:r w:rsidR="005B638E">
          <w:rPr>
            <w:noProof/>
            <w:webHidden/>
          </w:rPr>
          <w:tab/>
        </w:r>
        <w:r w:rsidR="005B638E">
          <w:rPr>
            <w:noProof/>
            <w:webHidden/>
          </w:rPr>
          <w:fldChar w:fldCharType="begin"/>
        </w:r>
        <w:r w:rsidR="005B638E">
          <w:rPr>
            <w:noProof/>
            <w:webHidden/>
          </w:rPr>
          <w:instrText xml:space="preserve"> PAGEREF _Toc124171201 \h </w:instrText>
        </w:r>
        <w:r w:rsidR="005B638E">
          <w:rPr>
            <w:noProof/>
            <w:webHidden/>
          </w:rPr>
        </w:r>
        <w:r w:rsidR="005B638E">
          <w:rPr>
            <w:noProof/>
            <w:webHidden/>
          </w:rPr>
          <w:fldChar w:fldCharType="separate"/>
        </w:r>
        <w:r w:rsidR="005B638E">
          <w:rPr>
            <w:noProof/>
            <w:webHidden/>
          </w:rPr>
          <w:t>5</w:t>
        </w:r>
        <w:r w:rsidR="005B638E">
          <w:rPr>
            <w:noProof/>
            <w:webHidden/>
          </w:rPr>
          <w:fldChar w:fldCharType="end"/>
        </w:r>
      </w:hyperlink>
    </w:p>
    <w:p w14:paraId="22F2F36C" w14:textId="11EC9454" w:rsidR="005B638E" w:rsidRDefault="004A7C72">
      <w:pPr>
        <w:pStyle w:val="TOC1"/>
        <w:rPr>
          <w:rFonts w:eastAsiaTheme="minorEastAsia"/>
          <w:b w:val="0"/>
          <w:noProof/>
          <w:sz w:val="22"/>
          <w:lang w:eastAsia="en-AU"/>
        </w:rPr>
      </w:pPr>
      <w:hyperlink w:anchor="_Toc124171202" w:history="1">
        <w:r w:rsidR="005B638E" w:rsidRPr="004757A3">
          <w:rPr>
            <w:rStyle w:val="Hyperlink"/>
            <w:noProof/>
          </w:rPr>
          <w:t>Part 2 – The federal financial relations framework</w:t>
        </w:r>
        <w:r w:rsidR="005B638E">
          <w:rPr>
            <w:noProof/>
            <w:webHidden/>
          </w:rPr>
          <w:tab/>
        </w:r>
        <w:r w:rsidR="005B638E">
          <w:rPr>
            <w:noProof/>
            <w:webHidden/>
          </w:rPr>
          <w:fldChar w:fldCharType="begin"/>
        </w:r>
        <w:r w:rsidR="005B638E">
          <w:rPr>
            <w:noProof/>
            <w:webHidden/>
          </w:rPr>
          <w:instrText xml:space="preserve"> PAGEREF _Toc124171202 \h </w:instrText>
        </w:r>
        <w:r w:rsidR="005B638E">
          <w:rPr>
            <w:noProof/>
            <w:webHidden/>
          </w:rPr>
        </w:r>
        <w:r w:rsidR="005B638E">
          <w:rPr>
            <w:noProof/>
            <w:webHidden/>
          </w:rPr>
          <w:fldChar w:fldCharType="separate"/>
        </w:r>
        <w:r w:rsidR="005B638E">
          <w:rPr>
            <w:noProof/>
            <w:webHidden/>
          </w:rPr>
          <w:t>5</w:t>
        </w:r>
        <w:r w:rsidR="005B638E">
          <w:rPr>
            <w:noProof/>
            <w:webHidden/>
          </w:rPr>
          <w:fldChar w:fldCharType="end"/>
        </w:r>
      </w:hyperlink>
    </w:p>
    <w:p w14:paraId="5D714176" w14:textId="6B2587DB" w:rsidR="005B638E" w:rsidRDefault="004A7C72">
      <w:pPr>
        <w:pStyle w:val="TOC2"/>
        <w:rPr>
          <w:rFonts w:eastAsiaTheme="minorEastAsia"/>
          <w:noProof/>
          <w:lang w:eastAsia="en-AU"/>
        </w:rPr>
      </w:pPr>
      <w:hyperlink w:anchor="_Toc124171203" w:history="1">
        <w:r w:rsidR="005B638E" w:rsidRPr="004757A3">
          <w:rPr>
            <w:rStyle w:val="Hyperlink"/>
            <w:noProof/>
          </w:rPr>
          <w:t>Roles and responsibilities under the FFR</w:t>
        </w:r>
        <w:r w:rsidR="005B638E">
          <w:rPr>
            <w:noProof/>
            <w:webHidden/>
          </w:rPr>
          <w:tab/>
        </w:r>
        <w:r w:rsidR="005B638E">
          <w:rPr>
            <w:noProof/>
            <w:webHidden/>
          </w:rPr>
          <w:fldChar w:fldCharType="begin"/>
        </w:r>
        <w:r w:rsidR="005B638E">
          <w:rPr>
            <w:noProof/>
            <w:webHidden/>
          </w:rPr>
          <w:instrText xml:space="preserve"> PAGEREF _Toc124171203 \h </w:instrText>
        </w:r>
        <w:r w:rsidR="005B638E">
          <w:rPr>
            <w:noProof/>
            <w:webHidden/>
          </w:rPr>
        </w:r>
        <w:r w:rsidR="005B638E">
          <w:rPr>
            <w:noProof/>
            <w:webHidden/>
          </w:rPr>
          <w:fldChar w:fldCharType="separate"/>
        </w:r>
        <w:r w:rsidR="005B638E">
          <w:rPr>
            <w:noProof/>
            <w:webHidden/>
          </w:rPr>
          <w:t>6</w:t>
        </w:r>
        <w:r w:rsidR="005B638E">
          <w:rPr>
            <w:noProof/>
            <w:webHidden/>
          </w:rPr>
          <w:fldChar w:fldCharType="end"/>
        </w:r>
      </w:hyperlink>
    </w:p>
    <w:p w14:paraId="5CE933CB" w14:textId="0BE9C405" w:rsidR="005B638E" w:rsidRDefault="004A7C72">
      <w:pPr>
        <w:pStyle w:val="TOC1"/>
        <w:rPr>
          <w:rFonts w:eastAsiaTheme="minorEastAsia"/>
          <w:b w:val="0"/>
          <w:noProof/>
          <w:sz w:val="22"/>
          <w:lang w:eastAsia="en-AU"/>
        </w:rPr>
      </w:pPr>
      <w:hyperlink w:anchor="_Toc124171204" w:history="1">
        <w:r w:rsidR="005B638E" w:rsidRPr="004757A3">
          <w:rPr>
            <w:rStyle w:val="Hyperlink"/>
            <w:noProof/>
          </w:rPr>
          <w:t>Part 3 – Commonwealth own-purpose expenses</w:t>
        </w:r>
        <w:r w:rsidR="005B638E">
          <w:rPr>
            <w:noProof/>
            <w:webHidden/>
          </w:rPr>
          <w:tab/>
        </w:r>
        <w:r w:rsidR="005B638E">
          <w:rPr>
            <w:noProof/>
            <w:webHidden/>
          </w:rPr>
          <w:fldChar w:fldCharType="begin"/>
        </w:r>
        <w:r w:rsidR="005B638E">
          <w:rPr>
            <w:noProof/>
            <w:webHidden/>
          </w:rPr>
          <w:instrText xml:space="preserve"> PAGEREF _Toc124171204 \h </w:instrText>
        </w:r>
        <w:r w:rsidR="005B638E">
          <w:rPr>
            <w:noProof/>
            <w:webHidden/>
          </w:rPr>
        </w:r>
        <w:r w:rsidR="005B638E">
          <w:rPr>
            <w:noProof/>
            <w:webHidden/>
          </w:rPr>
          <w:fldChar w:fldCharType="separate"/>
        </w:r>
        <w:r w:rsidR="005B638E">
          <w:rPr>
            <w:noProof/>
            <w:webHidden/>
          </w:rPr>
          <w:t>6</w:t>
        </w:r>
        <w:r w:rsidR="005B638E">
          <w:rPr>
            <w:noProof/>
            <w:webHidden/>
          </w:rPr>
          <w:fldChar w:fldCharType="end"/>
        </w:r>
      </w:hyperlink>
    </w:p>
    <w:p w14:paraId="7974CA1C" w14:textId="2BF04D7E" w:rsidR="005B638E" w:rsidRDefault="004A7C72">
      <w:pPr>
        <w:pStyle w:val="TOC1"/>
        <w:rPr>
          <w:rFonts w:eastAsiaTheme="minorEastAsia"/>
          <w:b w:val="0"/>
          <w:noProof/>
          <w:sz w:val="22"/>
          <w:lang w:eastAsia="en-AU"/>
        </w:rPr>
      </w:pPr>
      <w:hyperlink w:anchor="_Toc124171205" w:history="1">
        <w:r w:rsidR="005B638E" w:rsidRPr="004757A3">
          <w:rPr>
            <w:rStyle w:val="Hyperlink"/>
            <w:noProof/>
          </w:rPr>
          <w:t>Part 4 – Classification criteria and process</w:t>
        </w:r>
        <w:r w:rsidR="005B638E">
          <w:rPr>
            <w:noProof/>
            <w:webHidden/>
          </w:rPr>
          <w:tab/>
        </w:r>
        <w:r w:rsidR="005B638E">
          <w:rPr>
            <w:noProof/>
            <w:webHidden/>
          </w:rPr>
          <w:fldChar w:fldCharType="begin"/>
        </w:r>
        <w:r w:rsidR="005B638E">
          <w:rPr>
            <w:noProof/>
            <w:webHidden/>
          </w:rPr>
          <w:instrText xml:space="preserve"> PAGEREF _Toc124171205 \h </w:instrText>
        </w:r>
        <w:r w:rsidR="005B638E">
          <w:rPr>
            <w:noProof/>
            <w:webHidden/>
          </w:rPr>
        </w:r>
        <w:r w:rsidR="005B638E">
          <w:rPr>
            <w:noProof/>
            <w:webHidden/>
          </w:rPr>
          <w:fldChar w:fldCharType="separate"/>
        </w:r>
        <w:r w:rsidR="005B638E">
          <w:rPr>
            <w:noProof/>
            <w:webHidden/>
          </w:rPr>
          <w:t>7</w:t>
        </w:r>
        <w:r w:rsidR="005B638E">
          <w:rPr>
            <w:noProof/>
            <w:webHidden/>
          </w:rPr>
          <w:fldChar w:fldCharType="end"/>
        </w:r>
      </w:hyperlink>
    </w:p>
    <w:p w14:paraId="107A8C6F" w14:textId="017B268A" w:rsidR="005B638E" w:rsidRDefault="004A7C72">
      <w:pPr>
        <w:pStyle w:val="TOC2"/>
        <w:rPr>
          <w:rFonts w:eastAsiaTheme="minorEastAsia"/>
          <w:noProof/>
          <w:lang w:eastAsia="en-AU"/>
        </w:rPr>
      </w:pPr>
      <w:hyperlink w:anchor="_Toc124171206" w:history="1">
        <w:r w:rsidR="005B638E" w:rsidRPr="004757A3">
          <w:rPr>
            <w:rStyle w:val="Hyperlink"/>
            <w:noProof/>
          </w:rPr>
          <w:t>Classification process</w:t>
        </w:r>
        <w:r w:rsidR="005B638E">
          <w:rPr>
            <w:noProof/>
            <w:webHidden/>
          </w:rPr>
          <w:tab/>
        </w:r>
        <w:r w:rsidR="005B638E">
          <w:rPr>
            <w:noProof/>
            <w:webHidden/>
          </w:rPr>
          <w:fldChar w:fldCharType="begin"/>
        </w:r>
        <w:r w:rsidR="005B638E">
          <w:rPr>
            <w:noProof/>
            <w:webHidden/>
          </w:rPr>
          <w:instrText xml:space="preserve"> PAGEREF _Toc124171206 \h </w:instrText>
        </w:r>
        <w:r w:rsidR="005B638E">
          <w:rPr>
            <w:noProof/>
            <w:webHidden/>
          </w:rPr>
        </w:r>
        <w:r w:rsidR="005B638E">
          <w:rPr>
            <w:noProof/>
            <w:webHidden/>
          </w:rPr>
          <w:fldChar w:fldCharType="separate"/>
        </w:r>
        <w:r w:rsidR="005B638E">
          <w:rPr>
            <w:noProof/>
            <w:webHidden/>
          </w:rPr>
          <w:t>8</w:t>
        </w:r>
        <w:r w:rsidR="005B638E">
          <w:rPr>
            <w:noProof/>
            <w:webHidden/>
          </w:rPr>
          <w:fldChar w:fldCharType="end"/>
        </w:r>
      </w:hyperlink>
    </w:p>
    <w:p w14:paraId="486A4655" w14:textId="19139CB1" w:rsidR="005B638E" w:rsidRDefault="004A7C72">
      <w:pPr>
        <w:pStyle w:val="TOC2"/>
        <w:rPr>
          <w:rFonts w:eastAsiaTheme="minorEastAsia"/>
          <w:noProof/>
          <w:lang w:eastAsia="en-AU"/>
        </w:rPr>
      </w:pPr>
      <w:hyperlink w:anchor="_Toc124171207" w:history="1">
        <w:r w:rsidR="005B638E" w:rsidRPr="004757A3">
          <w:rPr>
            <w:rStyle w:val="Hyperlink"/>
            <w:noProof/>
          </w:rPr>
          <w:t>Illustrative examples</w:t>
        </w:r>
        <w:r w:rsidR="005B638E">
          <w:rPr>
            <w:noProof/>
            <w:webHidden/>
          </w:rPr>
          <w:tab/>
        </w:r>
        <w:r w:rsidR="005B638E">
          <w:rPr>
            <w:noProof/>
            <w:webHidden/>
          </w:rPr>
          <w:fldChar w:fldCharType="begin"/>
        </w:r>
        <w:r w:rsidR="005B638E">
          <w:rPr>
            <w:noProof/>
            <w:webHidden/>
          </w:rPr>
          <w:instrText xml:space="preserve"> PAGEREF _Toc124171207 \h </w:instrText>
        </w:r>
        <w:r w:rsidR="005B638E">
          <w:rPr>
            <w:noProof/>
            <w:webHidden/>
          </w:rPr>
        </w:r>
        <w:r w:rsidR="005B638E">
          <w:rPr>
            <w:noProof/>
            <w:webHidden/>
          </w:rPr>
          <w:fldChar w:fldCharType="separate"/>
        </w:r>
        <w:r w:rsidR="005B638E">
          <w:rPr>
            <w:noProof/>
            <w:webHidden/>
          </w:rPr>
          <w:t>8</w:t>
        </w:r>
        <w:r w:rsidR="005B638E">
          <w:rPr>
            <w:noProof/>
            <w:webHidden/>
          </w:rPr>
          <w:fldChar w:fldCharType="end"/>
        </w:r>
      </w:hyperlink>
    </w:p>
    <w:p w14:paraId="3018F3B6" w14:textId="24479631" w:rsidR="005B638E" w:rsidRDefault="004A7C72">
      <w:pPr>
        <w:pStyle w:val="TOC1"/>
        <w:rPr>
          <w:rFonts w:eastAsiaTheme="minorEastAsia"/>
          <w:b w:val="0"/>
          <w:noProof/>
          <w:sz w:val="22"/>
          <w:lang w:eastAsia="en-AU"/>
        </w:rPr>
      </w:pPr>
      <w:hyperlink w:anchor="_Toc124171208" w:history="1">
        <w:r w:rsidR="005B638E" w:rsidRPr="004757A3">
          <w:rPr>
            <w:rStyle w:val="Hyperlink"/>
            <w:noProof/>
          </w:rPr>
          <w:t>Part 5 – The different responsibilities between Department of Finance and Department of the Treasury in managing Payments to other levels of Australian Government</w:t>
        </w:r>
        <w:r w:rsidR="005B638E">
          <w:rPr>
            <w:noProof/>
            <w:webHidden/>
          </w:rPr>
          <w:tab/>
        </w:r>
        <w:r w:rsidR="005B638E">
          <w:rPr>
            <w:noProof/>
            <w:webHidden/>
          </w:rPr>
          <w:fldChar w:fldCharType="begin"/>
        </w:r>
        <w:r w:rsidR="005B638E">
          <w:rPr>
            <w:noProof/>
            <w:webHidden/>
          </w:rPr>
          <w:instrText xml:space="preserve"> PAGEREF _Toc124171208 \h </w:instrText>
        </w:r>
        <w:r w:rsidR="005B638E">
          <w:rPr>
            <w:noProof/>
            <w:webHidden/>
          </w:rPr>
        </w:r>
        <w:r w:rsidR="005B638E">
          <w:rPr>
            <w:noProof/>
            <w:webHidden/>
          </w:rPr>
          <w:fldChar w:fldCharType="separate"/>
        </w:r>
        <w:r w:rsidR="005B638E">
          <w:rPr>
            <w:noProof/>
            <w:webHidden/>
          </w:rPr>
          <w:t>10</w:t>
        </w:r>
        <w:r w:rsidR="005B638E">
          <w:rPr>
            <w:noProof/>
            <w:webHidden/>
          </w:rPr>
          <w:fldChar w:fldCharType="end"/>
        </w:r>
      </w:hyperlink>
    </w:p>
    <w:p w14:paraId="484A55DF" w14:textId="208F4DE1" w:rsidR="005B638E" w:rsidRDefault="004A7C72">
      <w:pPr>
        <w:pStyle w:val="TOC1"/>
        <w:rPr>
          <w:rFonts w:eastAsiaTheme="minorEastAsia"/>
          <w:b w:val="0"/>
          <w:noProof/>
          <w:sz w:val="22"/>
          <w:lang w:eastAsia="en-AU"/>
        </w:rPr>
      </w:pPr>
      <w:hyperlink w:anchor="_Toc124171209" w:history="1">
        <w:r w:rsidR="005B638E" w:rsidRPr="004757A3">
          <w:rPr>
            <w:rStyle w:val="Hyperlink"/>
            <w:noProof/>
          </w:rPr>
          <w:t>Part 6 – Payment Classification Process</w:t>
        </w:r>
        <w:r w:rsidR="005B638E">
          <w:rPr>
            <w:noProof/>
            <w:webHidden/>
          </w:rPr>
          <w:tab/>
        </w:r>
        <w:r w:rsidR="005B638E">
          <w:rPr>
            <w:noProof/>
            <w:webHidden/>
          </w:rPr>
          <w:fldChar w:fldCharType="begin"/>
        </w:r>
        <w:r w:rsidR="005B638E">
          <w:rPr>
            <w:noProof/>
            <w:webHidden/>
          </w:rPr>
          <w:instrText xml:space="preserve"> PAGEREF _Toc124171209 \h </w:instrText>
        </w:r>
        <w:r w:rsidR="005B638E">
          <w:rPr>
            <w:noProof/>
            <w:webHidden/>
          </w:rPr>
        </w:r>
        <w:r w:rsidR="005B638E">
          <w:rPr>
            <w:noProof/>
            <w:webHidden/>
          </w:rPr>
          <w:fldChar w:fldCharType="separate"/>
        </w:r>
        <w:r w:rsidR="005B638E">
          <w:rPr>
            <w:noProof/>
            <w:webHidden/>
          </w:rPr>
          <w:t>11</w:t>
        </w:r>
        <w:r w:rsidR="005B638E">
          <w:rPr>
            <w:noProof/>
            <w:webHidden/>
          </w:rPr>
          <w:fldChar w:fldCharType="end"/>
        </w:r>
      </w:hyperlink>
    </w:p>
    <w:p w14:paraId="66CD3429" w14:textId="2CA11D4F" w:rsidR="005B638E" w:rsidRDefault="004A7C72">
      <w:pPr>
        <w:pStyle w:val="TOC1"/>
        <w:rPr>
          <w:rFonts w:eastAsiaTheme="minorEastAsia"/>
          <w:b w:val="0"/>
          <w:noProof/>
          <w:sz w:val="22"/>
          <w:lang w:eastAsia="en-AU"/>
        </w:rPr>
      </w:pPr>
      <w:hyperlink w:anchor="_Toc124171210" w:history="1">
        <w:r w:rsidR="005B638E" w:rsidRPr="004757A3">
          <w:rPr>
            <w:rStyle w:val="Hyperlink"/>
            <w:noProof/>
          </w:rPr>
          <w:t xml:space="preserve">Part 7 – </w:t>
        </w:r>
        <w:r w:rsidR="00FD70AA">
          <w:rPr>
            <w:rStyle w:val="Hyperlink"/>
            <w:noProof/>
          </w:rPr>
          <w:t>Process</w:t>
        </w:r>
        <w:r w:rsidR="005B638E" w:rsidRPr="004757A3">
          <w:rPr>
            <w:rStyle w:val="Hyperlink"/>
            <w:noProof/>
          </w:rPr>
          <w:t xml:space="preserve"> to establish an SPP in Central Budget Management System and publication</w:t>
        </w:r>
        <w:r w:rsidR="005B638E">
          <w:rPr>
            <w:noProof/>
            <w:webHidden/>
          </w:rPr>
          <w:tab/>
        </w:r>
        <w:r w:rsidR="005B638E">
          <w:rPr>
            <w:noProof/>
            <w:webHidden/>
          </w:rPr>
          <w:fldChar w:fldCharType="begin"/>
        </w:r>
        <w:r w:rsidR="005B638E">
          <w:rPr>
            <w:noProof/>
            <w:webHidden/>
          </w:rPr>
          <w:instrText xml:space="preserve"> PAGEREF _Toc124171210 \h </w:instrText>
        </w:r>
        <w:r w:rsidR="005B638E">
          <w:rPr>
            <w:noProof/>
            <w:webHidden/>
          </w:rPr>
        </w:r>
        <w:r w:rsidR="005B638E">
          <w:rPr>
            <w:noProof/>
            <w:webHidden/>
          </w:rPr>
          <w:fldChar w:fldCharType="separate"/>
        </w:r>
        <w:r w:rsidR="005B638E">
          <w:rPr>
            <w:noProof/>
            <w:webHidden/>
          </w:rPr>
          <w:t>12</w:t>
        </w:r>
        <w:r w:rsidR="005B638E">
          <w:rPr>
            <w:noProof/>
            <w:webHidden/>
          </w:rPr>
          <w:fldChar w:fldCharType="end"/>
        </w:r>
      </w:hyperlink>
    </w:p>
    <w:p w14:paraId="6956F52A" w14:textId="00D0F5F4" w:rsidR="005B638E" w:rsidRDefault="004A7C72">
      <w:pPr>
        <w:pStyle w:val="TOC1"/>
        <w:rPr>
          <w:rFonts w:eastAsiaTheme="minorEastAsia"/>
          <w:b w:val="0"/>
          <w:noProof/>
          <w:sz w:val="22"/>
          <w:lang w:eastAsia="en-AU"/>
        </w:rPr>
      </w:pPr>
      <w:hyperlink w:anchor="_Toc124171211" w:history="1">
        <w:r w:rsidR="005B638E" w:rsidRPr="004757A3">
          <w:rPr>
            <w:rStyle w:val="Hyperlink"/>
            <w:noProof/>
          </w:rPr>
          <w:t>Part 8 – Managing and reporting of estimates in the system (relevant to payments to other levels of Government)</w:t>
        </w:r>
        <w:r w:rsidR="005B638E">
          <w:rPr>
            <w:noProof/>
            <w:webHidden/>
          </w:rPr>
          <w:tab/>
        </w:r>
        <w:r w:rsidR="005B638E">
          <w:rPr>
            <w:noProof/>
            <w:webHidden/>
          </w:rPr>
          <w:fldChar w:fldCharType="begin"/>
        </w:r>
        <w:r w:rsidR="005B638E">
          <w:rPr>
            <w:noProof/>
            <w:webHidden/>
          </w:rPr>
          <w:instrText xml:space="preserve"> PAGEREF _Toc124171211 \h </w:instrText>
        </w:r>
        <w:r w:rsidR="005B638E">
          <w:rPr>
            <w:noProof/>
            <w:webHidden/>
          </w:rPr>
        </w:r>
        <w:r w:rsidR="005B638E">
          <w:rPr>
            <w:noProof/>
            <w:webHidden/>
          </w:rPr>
          <w:fldChar w:fldCharType="separate"/>
        </w:r>
        <w:r w:rsidR="005B638E">
          <w:rPr>
            <w:noProof/>
            <w:webHidden/>
          </w:rPr>
          <w:t>13</w:t>
        </w:r>
        <w:r w:rsidR="005B638E">
          <w:rPr>
            <w:noProof/>
            <w:webHidden/>
          </w:rPr>
          <w:fldChar w:fldCharType="end"/>
        </w:r>
      </w:hyperlink>
    </w:p>
    <w:p w14:paraId="48083828" w14:textId="06DCB180" w:rsidR="005B638E" w:rsidRDefault="004A7C72">
      <w:pPr>
        <w:pStyle w:val="TOC1"/>
        <w:rPr>
          <w:rFonts w:eastAsiaTheme="minorEastAsia"/>
          <w:b w:val="0"/>
          <w:noProof/>
          <w:sz w:val="22"/>
          <w:lang w:eastAsia="en-AU"/>
        </w:rPr>
      </w:pPr>
      <w:hyperlink w:anchor="_Toc124171212" w:history="1">
        <w:r w:rsidR="005B638E" w:rsidRPr="004757A3">
          <w:rPr>
            <w:rStyle w:val="Hyperlink"/>
            <w:noProof/>
          </w:rPr>
          <w:t>Part 9 – Appropriations linked to other level of Government Payments</w:t>
        </w:r>
        <w:r w:rsidR="005B638E">
          <w:rPr>
            <w:noProof/>
            <w:webHidden/>
          </w:rPr>
          <w:tab/>
        </w:r>
        <w:r w:rsidR="005B638E">
          <w:rPr>
            <w:noProof/>
            <w:webHidden/>
          </w:rPr>
          <w:fldChar w:fldCharType="begin"/>
        </w:r>
        <w:r w:rsidR="005B638E">
          <w:rPr>
            <w:noProof/>
            <w:webHidden/>
          </w:rPr>
          <w:instrText xml:space="preserve"> PAGEREF _Toc124171212 \h </w:instrText>
        </w:r>
        <w:r w:rsidR="005B638E">
          <w:rPr>
            <w:noProof/>
            <w:webHidden/>
          </w:rPr>
        </w:r>
        <w:r w:rsidR="005B638E">
          <w:rPr>
            <w:noProof/>
            <w:webHidden/>
          </w:rPr>
          <w:fldChar w:fldCharType="separate"/>
        </w:r>
        <w:r w:rsidR="005B638E">
          <w:rPr>
            <w:noProof/>
            <w:webHidden/>
          </w:rPr>
          <w:t>14</w:t>
        </w:r>
        <w:r w:rsidR="005B638E">
          <w:rPr>
            <w:noProof/>
            <w:webHidden/>
          </w:rPr>
          <w:fldChar w:fldCharType="end"/>
        </w:r>
      </w:hyperlink>
    </w:p>
    <w:p w14:paraId="52FEE856" w14:textId="4F28BEF7" w:rsidR="00AF592F" w:rsidRDefault="00396E11" w:rsidP="00742346">
      <w:pPr>
        <w:pStyle w:val="TOC1"/>
        <w:rPr>
          <w:noProof/>
          <w:lang w:eastAsia="en-AU"/>
        </w:rPr>
      </w:pPr>
      <w:r>
        <w:rPr>
          <w:rFonts w:ascii="Calibri" w:hAnsi="Calibri"/>
          <w:bCs/>
          <w:caps/>
          <w:sz w:val="20"/>
          <w:szCs w:val="24"/>
        </w:rPr>
        <w:fldChar w:fldCharType="end"/>
      </w:r>
      <w:r w:rsidR="00742346">
        <w:rPr>
          <w:noProof/>
          <w:lang w:eastAsia="en-AU"/>
        </w:rPr>
        <w:t xml:space="preserve"> </w:t>
      </w:r>
    </w:p>
    <w:p w14:paraId="182417AB" w14:textId="77777777" w:rsidR="00396E11" w:rsidRDefault="00396E11" w:rsidP="00396E11"/>
    <w:p w14:paraId="3BACA83B" w14:textId="77777777" w:rsidR="00A1004E" w:rsidRDefault="00A1004E" w:rsidP="0046056E">
      <w:pPr>
        <w:pStyle w:val="Heading1"/>
      </w:pPr>
      <w:bookmarkStart w:id="3" w:name="_Toc462156017"/>
      <w:bookmarkStart w:id="4" w:name="_Toc462158389"/>
      <w:bookmarkStart w:id="5" w:name="_Toc462158444"/>
      <w:bookmarkStart w:id="6" w:name="_Toc462158497"/>
      <w:bookmarkStart w:id="7" w:name="_Toc462158567"/>
      <w:bookmarkStart w:id="8" w:name="_Toc462158687"/>
      <w:bookmarkStart w:id="9" w:name="Audience"/>
    </w:p>
    <w:p w14:paraId="69BEA03F" w14:textId="77777777" w:rsidR="00A1004E" w:rsidRPr="00A1004E" w:rsidRDefault="00A1004E" w:rsidP="008D6A42"/>
    <w:p w14:paraId="51166F4C" w14:textId="77777777" w:rsidR="00C979C7" w:rsidRDefault="00C979C7" w:rsidP="0046056E">
      <w:pPr>
        <w:pStyle w:val="Heading1"/>
      </w:pPr>
    </w:p>
    <w:p w14:paraId="64B88B5A" w14:textId="77777777" w:rsidR="00396E11" w:rsidRPr="00D2728F" w:rsidRDefault="00396E11" w:rsidP="0046056E">
      <w:pPr>
        <w:pStyle w:val="Heading1"/>
      </w:pPr>
      <w:bookmarkStart w:id="10" w:name="_Toc124171197"/>
      <w:r w:rsidRPr="00D2728F">
        <w:t>Audience</w:t>
      </w:r>
      <w:bookmarkEnd w:id="3"/>
      <w:bookmarkEnd w:id="4"/>
      <w:bookmarkEnd w:id="5"/>
      <w:bookmarkEnd w:id="6"/>
      <w:bookmarkEnd w:id="7"/>
      <w:bookmarkEnd w:id="8"/>
      <w:bookmarkEnd w:id="10"/>
    </w:p>
    <w:bookmarkEnd w:id="9"/>
    <w:p w14:paraId="16C6E63F" w14:textId="77777777" w:rsidR="00CB52E2" w:rsidRPr="007F290F" w:rsidRDefault="005E5CB9" w:rsidP="00CB52E2">
      <w:r w:rsidRPr="007F290F">
        <w:t xml:space="preserve">This guide </w:t>
      </w:r>
      <w:r w:rsidR="00CB52E2" w:rsidRPr="007F290F">
        <w:rPr>
          <w:rFonts w:ascii="Arial" w:hAnsi="Arial" w:cs="Arial"/>
        </w:rPr>
        <w:t xml:space="preserve">applies to all relevant officials, particularly chief financial officers and finance teams, in Commonwealth entities </w:t>
      </w:r>
      <w:r w:rsidR="00CB52E2" w:rsidRPr="007F290F">
        <w:t>that have responsibility for</w:t>
      </w:r>
      <w:r w:rsidR="00D50CFB" w:rsidRPr="007F290F">
        <w:t xml:space="preserve"> classifying </w:t>
      </w:r>
      <w:r w:rsidR="00430AE7" w:rsidRPr="007F290F">
        <w:t xml:space="preserve">Australian Government </w:t>
      </w:r>
      <w:r w:rsidR="00D50CFB" w:rsidRPr="007F290F">
        <w:t>payments to other levels of gover</w:t>
      </w:r>
      <w:r w:rsidR="00430AE7" w:rsidRPr="007F290F">
        <w:t>nment.</w:t>
      </w:r>
    </w:p>
    <w:p w14:paraId="677BBD9A" w14:textId="77777777" w:rsidR="00A01C53" w:rsidRDefault="00CB52E2" w:rsidP="00CB52E2">
      <w:r>
        <w:t>For ease of reference and presentation, the RMG uses</w:t>
      </w:r>
      <w:r w:rsidR="00A01C53">
        <w:t>:</w:t>
      </w:r>
    </w:p>
    <w:p w14:paraId="11259810" w14:textId="77777777" w:rsidR="00CB52E2" w:rsidRDefault="00CB52E2" w:rsidP="007F290F">
      <w:pPr>
        <w:pStyle w:val="Bullet1"/>
      </w:pPr>
      <w:r w:rsidRPr="00A01C53">
        <w:t>‘entities’</w:t>
      </w:r>
      <w:r>
        <w:t xml:space="preserve"> to mean Commonwealth entities, as defined by the </w:t>
      </w:r>
      <w:hyperlink r:id="rId13" w:tgtFrame="_blank" w:history="1">
        <w:r w:rsidRPr="00BB3A20">
          <w:rPr>
            <w:rStyle w:val="Hyperlink"/>
            <w:rFonts w:cstheme="minorHAnsi"/>
          </w:rPr>
          <w:t>Public Governance, Performance and Accountability Act 2013</w:t>
        </w:r>
      </w:hyperlink>
      <w:r>
        <w:t xml:space="preserve"> (PGPA Act)</w:t>
      </w:r>
    </w:p>
    <w:p w14:paraId="6A474C7E" w14:textId="77777777" w:rsidR="008F1416" w:rsidRDefault="00A01C53" w:rsidP="007F290F">
      <w:pPr>
        <w:pStyle w:val="Bullet1"/>
      </w:pPr>
      <w:r>
        <w:t>‘states’ to mean Australian states and territories</w:t>
      </w:r>
    </w:p>
    <w:p w14:paraId="4C4E5DD5" w14:textId="77777777" w:rsidR="00A01C53" w:rsidRDefault="008F1416" w:rsidP="007F290F">
      <w:pPr>
        <w:pStyle w:val="Bullet1"/>
      </w:pPr>
      <w:r>
        <w:t>‘other levels of government’ to include both state and local governments.</w:t>
      </w:r>
    </w:p>
    <w:p w14:paraId="757288F8" w14:textId="77777777" w:rsidR="00396E11" w:rsidRDefault="00396E11" w:rsidP="00396E11">
      <w:pPr>
        <w:pStyle w:val="Heading1"/>
      </w:pPr>
      <w:bookmarkStart w:id="11" w:name="_Toc390678609"/>
      <w:bookmarkStart w:id="12" w:name="_Toc390678658"/>
      <w:bookmarkStart w:id="13" w:name="_Toc462156018"/>
      <w:bookmarkStart w:id="14" w:name="_Toc462158390"/>
      <w:bookmarkStart w:id="15" w:name="_Toc462158445"/>
      <w:bookmarkStart w:id="16" w:name="_Toc462158498"/>
      <w:bookmarkStart w:id="17" w:name="_Toc462158568"/>
      <w:bookmarkStart w:id="18" w:name="_Toc462158688"/>
      <w:bookmarkStart w:id="19" w:name="_Toc124171198"/>
      <w:r>
        <w:t>Key points</w:t>
      </w:r>
      <w:bookmarkEnd w:id="11"/>
      <w:bookmarkEnd w:id="12"/>
      <w:bookmarkEnd w:id="13"/>
      <w:bookmarkEnd w:id="14"/>
      <w:bookmarkEnd w:id="15"/>
      <w:bookmarkEnd w:id="16"/>
      <w:bookmarkEnd w:id="17"/>
      <w:bookmarkEnd w:id="18"/>
      <w:bookmarkEnd w:id="19"/>
    </w:p>
    <w:p w14:paraId="45FD9512" w14:textId="77777777" w:rsidR="00454E0B" w:rsidRPr="0063105A" w:rsidRDefault="00454E0B" w:rsidP="007F290F">
      <w:pPr>
        <w:spacing w:after="120"/>
      </w:pPr>
      <w:r w:rsidRPr="0063105A">
        <w:t>This guide:</w:t>
      </w:r>
    </w:p>
    <w:p w14:paraId="2C4C9A7F" w14:textId="77777777" w:rsidR="00EE698A" w:rsidRPr="0063105A" w:rsidRDefault="00EE698A" w:rsidP="00EE698A">
      <w:pPr>
        <w:pStyle w:val="Bullet1"/>
      </w:pPr>
      <w:r w:rsidRPr="0063105A">
        <w:t>provides advice on the types of payments that are within scope of the federal financial relations</w:t>
      </w:r>
      <w:r w:rsidR="001857B0" w:rsidRPr="0063105A">
        <w:t xml:space="preserve"> (FFR)</w:t>
      </w:r>
      <w:r w:rsidRPr="0063105A">
        <w:t xml:space="preserve"> framework, and the payment classification process undertaken by the Department of Finance (Finance)</w:t>
      </w:r>
    </w:p>
    <w:p w14:paraId="11CFD481" w14:textId="77777777" w:rsidR="00C5645D" w:rsidRPr="0063105A" w:rsidRDefault="00C5645D" w:rsidP="007E3E5E">
      <w:pPr>
        <w:pStyle w:val="Bullet1"/>
        <w:jc w:val="both"/>
      </w:pPr>
      <w:r w:rsidRPr="0063105A">
        <w:t>provides guidance on the classification of payments to other levels of government for specific purposes as distinct from Commonwealth own-purpose expenses (COPEs) that may involve payments to other levels of government</w:t>
      </w:r>
    </w:p>
    <w:p w14:paraId="6D180E96" w14:textId="2FB5CE32" w:rsidR="00454E0B" w:rsidRPr="0063105A" w:rsidRDefault="00454E0B" w:rsidP="007F290F">
      <w:pPr>
        <w:pStyle w:val="Bullet1"/>
      </w:pPr>
      <w:r w:rsidRPr="0063105A">
        <w:t xml:space="preserve">replaces </w:t>
      </w:r>
      <w:r w:rsidR="00992B17">
        <w:rPr>
          <w:i/>
        </w:rPr>
        <w:t>C</w:t>
      </w:r>
      <w:r w:rsidRPr="0063105A">
        <w:rPr>
          <w:i/>
        </w:rPr>
        <w:t>lassifying payments to other levels of government for specific purposes and Commonwealth own-purpose expenses (RMG 419),</w:t>
      </w:r>
      <w:r w:rsidRPr="0063105A">
        <w:t xml:space="preserve"> dated </w:t>
      </w:r>
      <w:r w:rsidR="005A4A0C">
        <w:t>December 2020</w:t>
      </w:r>
      <w:r w:rsidRPr="0063105A">
        <w:t>.</w:t>
      </w:r>
    </w:p>
    <w:p w14:paraId="4EF47366" w14:textId="77777777" w:rsidR="00396E11" w:rsidRPr="00C5547B" w:rsidRDefault="00396E11" w:rsidP="00396E11">
      <w:pPr>
        <w:pStyle w:val="Heading1"/>
      </w:pPr>
      <w:bookmarkStart w:id="20" w:name="_Toc390678610"/>
      <w:bookmarkStart w:id="21" w:name="_Toc390678659"/>
      <w:bookmarkStart w:id="22" w:name="_Toc462156019"/>
      <w:bookmarkStart w:id="23" w:name="_Toc462158391"/>
      <w:bookmarkStart w:id="24" w:name="_Toc462158446"/>
      <w:bookmarkStart w:id="25" w:name="_Toc462158499"/>
      <w:bookmarkStart w:id="26" w:name="_Toc462158569"/>
      <w:bookmarkStart w:id="27" w:name="_Toc462158689"/>
      <w:bookmarkStart w:id="28" w:name="_Toc124171199"/>
      <w:r>
        <w:t>Resources</w:t>
      </w:r>
      <w:bookmarkEnd w:id="20"/>
      <w:bookmarkEnd w:id="21"/>
      <w:bookmarkEnd w:id="22"/>
      <w:bookmarkEnd w:id="23"/>
      <w:bookmarkEnd w:id="24"/>
      <w:bookmarkEnd w:id="25"/>
      <w:bookmarkEnd w:id="26"/>
      <w:bookmarkEnd w:id="27"/>
      <w:bookmarkEnd w:id="28"/>
    </w:p>
    <w:p w14:paraId="12FBE0E8" w14:textId="77777777" w:rsidR="00E83191" w:rsidRDefault="005E5CB9" w:rsidP="00703E4C">
      <w:pPr>
        <w:spacing w:after="120" w:line="260" w:lineRule="exact"/>
        <w:jc w:val="both"/>
        <w:rPr>
          <w:rFonts w:eastAsia="Times New Roman"/>
          <w:szCs w:val="24"/>
        </w:rPr>
      </w:pPr>
      <w:bookmarkStart w:id="29" w:name="_Toc462156020"/>
      <w:bookmarkStart w:id="30" w:name="_Toc462158392"/>
      <w:bookmarkStart w:id="31" w:name="_Toc462158447"/>
      <w:bookmarkStart w:id="32" w:name="_Toc462158500"/>
      <w:bookmarkStart w:id="33" w:name="_Toc462158570"/>
      <w:bookmarkStart w:id="34" w:name="_Toc462158690"/>
      <w:r w:rsidRPr="00C5547B">
        <w:rPr>
          <w:rFonts w:eastAsia="Times New Roman"/>
          <w:szCs w:val="24"/>
        </w:rPr>
        <w:t xml:space="preserve">This guide is available on the Finance website at </w:t>
      </w:r>
      <w:hyperlink r:id="rId14" w:history="1">
        <w:r w:rsidRPr="00247026">
          <w:rPr>
            <w:rStyle w:val="Hyperlink"/>
            <w:rFonts w:eastAsia="Times New Roman"/>
            <w:szCs w:val="24"/>
          </w:rPr>
          <w:t>www.finance.gov.au</w:t>
        </w:r>
      </w:hyperlink>
      <w:r w:rsidRPr="00C5547B">
        <w:rPr>
          <w:rFonts w:eastAsia="Times New Roman"/>
          <w:szCs w:val="24"/>
        </w:rPr>
        <w:t>.</w:t>
      </w:r>
    </w:p>
    <w:p w14:paraId="63EFD761" w14:textId="77777777" w:rsidR="001A4AC7" w:rsidRPr="00757219" w:rsidRDefault="001A4AC7" w:rsidP="001A4AC7">
      <w:pPr>
        <w:spacing w:after="120"/>
        <w:rPr>
          <w:i/>
        </w:rPr>
      </w:pPr>
      <w:r w:rsidRPr="00C5547B">
        <w:t>Other relevant publications include:</w:t>
      </w:r>
    </w:p>
    <w:p w14:paraId="03269FCD" w14:textId="697A1AFF" w:rsidR="009845F0" w:rsidRPr="007F290F" w:rsidRDefault="00433EDB" w:rsidP="001A4AC7">
      <w:pPr>
        <w:pStyle w:val="Bullet1"/>
        <w:rPr>
          <w:rStyle w:val="Hyperlink"/>
          <w:rFonts w:eastAsia="Times New Roman"/>
          <w:szCs w:val="24"/>
        </w:rPr>
      </w:pPr>
      <w:r w:rsidRPr="007F290F">
        <w:rPr>
          <w:rStyle w:val="Hyperlink"/>
          <w:rFonts w:eastAsia="Times New Roman"/>
          <w:szCs w:val="24"/>
        </w:rPr>
        <w:fldChar w:fldCharType="begin"/>
      </w:r>
      <w:r w:rsidR="0011414B">
        <w:rPr>
          <w:rStyle w:val="Hyperlink"/>
          <w:rFonts w:eastAsia="Times New Roman"/>
          <w:szCs w:val="24"/>
        </w:rPr>
        <w:instrText>HYPERLINK "https://federalfinancialrelations.gov.au/federation-funding-agreements-framework"</w:instrText>
      </w:r>
      <w:r w:rsidRPr="007F290F">
        <w:rPr>
          <w:rStyle w:val="Hyperlink"/>
          <w:rFonts w:eastAsia="Times New Roman"/>
          <w:szCs w:val="24"/>
        </w:rPr>
        <w:fldChar w:fldCharType="separate"/>
      </w:r>
      <w:r w:rsidRPr="007F290F">
        <w:rPr>
          <w:rStyle w:val="Hyperlink"/>
          <w:rFonts w:eastAsia="Times New Roman"/>
          <w:szCs w:val="24"/>
        </w:rPr>
        <w:t>A Short Guide to payments that fall within the federal financial relations framework</w:t>
      </w:r>
      <w:r w:rsidR="006C67A1" w:rsidRPr="007F290F">
        <w:rPr>
          <w:rStyle w:val="Hyperlink"/>
          <w:rFonts w:eastAsia="Times New Roman"/>
          <w:i w:val="0"/>
          <w:szCs w:val="24"/>
          <w:u w:val="none"/>
        </w:rPr>
        <w:t>.</w:t>
      </w:r>
    </w:p>
    <w:p w14:paraId="7BCD1CBD" w14:textId="77777777" w:rsidR="004D54F3" w:rsidRDefault="00433EDB" w:rsidP="007F290F">
      <w:r w:rsidRPr="007F290F">
        <w:rPr>
          <w:rStyle w:val="Hyperlink"/>
          <w:rFonts w:eastAsia="Times New Roman"/>
          <w:szCs w:val="24"/>
        </w:rPr>
        <w:fldChar w:fldCharType="end"/>
      </w:r>
      <w:r w:rsidR="004D54F3" w:rsidRPr="004D54F3">
        <w:t xml:space="preserve"> </w:t>
      </w:r>
      <w:r w:rsidR="004D54F3">
        <w:t>For more information</w:t>
      </w:r>
      <w:r w:rsidR="006C67A1">
        <w:t>,</w:t>
      </w:r>
      <w:r w:rsidR="004D54F3">
        <w:t xml:space="preserve"> see the websites for:</w:t>
      </w:r>
    </w:p>
    <w:p w14:paraId="06D47162" w14:textId="2D288413" w:rsidR="004D54F3" w:rsidRPr="007F290F" w:rsidRDefault="004A7C72">
      <w:pPr>
        <w:pStyle w:val="Bullet1"/>
        <w:rPr>
          <w:rStyle w:val="Hyperlink"/>
          <w:rFonts w:cstheme="minorBidi"/>
          <w:i w:val="0"/>
          <w:u w:val="none"/>
        </w:rPr>
      </w:pPr>
      <w:hyperlink r:id="rId15" w:history="1">
        <w:r w:rsidR="004D54F3" w:rsidRPr="00391201">
          <w:rPr>
            <w:rStyle w:val="Hyperlink"/>
            <w:rFonts w:eastAsia="Times New Roman"/>
            <w:szCs w:val="24"/>
          </w:rPr>
          <w:t xml:space="preserve">Council </w:t>
        </w:r>
        <w:r w:rsidR="00992B17" w:rsidRPr="00391201">
          <w:rPr>
            <w:rStyle w:val="Hyperlink"/>
            <w:rFonts w:eastAsia="Times New Roman"/>
            <w:szCs w:val="24"/>
          </w:rPr>
          <w:t>o</w:t>
        </w:r>
        <w:r w:rsidR="00992B17">
          <w:rPr>
            <w:rStyle w:val="Hyperlink"/>
            <w:rFonts w:eastAsia="Times New Roman"/>
            <w:szCs w:val="24"/>
          </w:rPr>
          <w:t>n</w:t>
        </w:r>
        <w:r w:rsidR="00992B17" w:rsidRPr="00391201">
          <w:rPr>
            <w:rStyle w:val="Hyperlink"/>
            <w:rFonts w:eastAsia="Times New Roman"/>
            <w:szCs w:val="24"/>
          </w:rPr>
          <w:t xml:space="preserve"> </w:t>
        </w:r>
        <w:r w:rsidR="004D54F3" w:rsidRPr="00391201">
          <w:rPr>
            <w:rStyle w:val="Hyperlink"/>
            <w:rFonts w:eastAsia="Times New Roman"/>
            <w:szCs w:val="24"/>
          </w:rPr>
          <w:t>Federal Financial Relations</w:t>
        </w:r>
      </w:hyperlink>
    </w:p>
    <w:p w14:paraId="1F0E643E" w14:textId="0C6AA83E" w:rsidR="004D54F3" w:rsidRDefault="004A7C72">
      <w:pPr>
        <w:pStyle w:val="Bullet1"/>
      </w:pPr>
      <w:hyperlink r:id="rId16" w:history="1">
        <w:r w:rsidR="004D54F3" w:rsidRPr="00821C9B">
          <w:rPr>
            <w:rStyle w:val="Hyperlink"/>
            <w:rFonts w:eastAsia="Times New Roman"/>
            <w:szCs w:val="24"/>
          </w:rPr>
          <w:t>Intergovernmental Agreement on Federal Financial Relations</w:t>
        </w:r>
      </w:hyperlink>
      <w:r w:rsidR="004D54F3" w:rsidRPr="005C3270">
        <w:rPr>
          <w:rStyle w:val="Hyperlink"/>
          <w:rFonts w:eastAsia="Times New Roman"/>
          <w:i w:val="0"/>
          <w:szCs w:val="24"/>
          <w:u w:val="none"/>
        </w:rPr>
        <w:t>.</w:t>
      </w:r>
    </w:p>
    <w:p w14:paraId="06285560" w14:textId="77777777" w:rsidR="004D54F3" w:rsidRDefault="004D54F3">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545FF5DA" w14:textId="77777777" w:rsidR="005557E7" w:rsidRDefault="005557E7" w:rsidP="00E80D50">
      <w:pPr>
        <w:pStyle w:val="Heading1"/>
        <w:shd w:val="clear" w:color="auto" w:fill="BDDCDF" w:themeFill="accent1"/>
      </w:pPr>
      <w:bookmarkStart w:id="35" w:name="_Toc124171200"/>
      <w:r>
        <w:t>Introduction</w:t>
      </w:r>
      <w:bookmarkEnd w:id="35"/>
    </w:p>
    <w:p w14:paraId="00678BF5" w14:textId="77777777" w:rsidR="00430AE7" w:rsidRDefault="00430AE7" w:rsidP="00A94E12">
      <w:pPr>
        <w:pStyle w:val="NumberedList1"/>
      </w:pPr>
      <w:bookmarkStart w:id="36" w:name="_Ref124156470"/>
      <w:r>
        <w:rPr>
          <w:rFonts w:ascii="Arial" w:hAnsi="Arial" w:cs="Arial"/>
          <w:color w:val="0C0C0C"/>
          <w:shd w:val="clear" w:color="auto" w:fill="FEFEFE"/>
        </w:rPr>
        <w:t>Australia has three levels of government that work together to provide us with the services we need. Each level of government has its own responsibilities, although in some cases these responsibilities are shared.</w:t>
      </w:r>
      <w:bookmarkEnd w:id="36"/>
    </w:p>
    <w:p w14:paraId="1F70EEBA" w14:textId="77777777" w:rsidR="009F7530" w:rsidRPr="002B26FC" w:rsidRDefault="00435104" w:rsidP="009432F1">
      <w:pPr>
        <w:pStyle w:val="NumberedList1"/>
      </w:pPr>
      <w:r>
        <w:t xml:space="preserve">Correctly classifying </w:t>
      </w:r>
      <w:r w:rsidR="00B52621">
        <w:t>Australian Government</w:t>
      </w:r>
      <w:r w:rsidR="0078133B">
        <w:t xml:space="preserve"> </w:t>
      </w:r>
      <w:r>
        <w:t xml:space="preserve">payments is important as it </w:t>
      </w:r>
      <w:r w:rsidR="00686E08">
        <w:t xml:space="preserve">assists to </w:t>
      </w:r>
      <w:r w:rsidR="00C5645D" w:rsidRPr="002B26FC">
        <w:t>determine</w:t>
      </w:r>
      <w:r w:rsidR="009F7530" w:rsidRPr="002B26FC">
        <w:t>:</w:t>
      </w:r>
    </w:p>
    <w:p w14:paraId="4A831C4E" w14:textId="77777777" w:rsidR="009F7530" w:rsidRDefault="00C5645D" w:rsidP="009432F1">
      <w:pPr>
        <w:pStyle w:val="Bullet1"/>
      </w:pPr>
      <w:r>
        <w:t xml:space="preserve">how </w:t>
      </w:r>
      <w:r w:rsidR="002B26FC">
        <w:t xml:space="preserve">each payment is reported in </w:t>
      </w:r>
      <w:r w:rsidR="009F7530">
        <w:t>Budget papers</w:t>
      </w:r>
    </w:p>
    <w:p w14:paraId="22E1B02F" w14:textId="72C512CF" w:rsidR="002B26FC" w:rsidRPr="00054802" w:rsidRDefault="00054802">
      <w:pPr>
        <w:pStyle w:val="Bullet1"/>
        <w:rPr>
          <w:u w:color="0070C0"/>
        </w:rPr>
      </w:pPr>
      <w:r>
        <w:t>whether payments are subject to</w:t>
      </w:r>
      <w:r w:rsidR="0063105A">
        <w:t xml:space="preserve"> the</w:t>
      </w:r>
      <w:r>
        <w:t xml:space="preserve"> </w:t>
      </w:r>
      <w:hyperlink r:id="rId17" w:history="1">
        <w:r w:rsidRPr="00590C93">
          <w:rPr>
            <w:rStyle w:val="Hyperlink"/>
            <w:rFonts w:eastAsia="Times New Roman"/>
            <w:i w:val="0"/>
            <w:szCs w:val="24"/>
          </w:rPr>
          <w:t>federal financial relations (FFR) framework</w:t>
        </w:r>
      </w:hyperlink>
      <w:r>
        <w:t xml:space="preserve"> or the </w:t>
      </w:r>
      <w:hyperlink r:id="rId18" w:history="1">
        <w:r w:rsidRPr="001857B0">
          <w:rPr>
            <w:rStyle w:val="Hyperlink"/>
            <w:rFonts w:eastAsia="Times New Roman"/>
            <w:szCs w:val="24"/>
          </w:rPr>
          <w:t>Commonwealth Grant Rules and Guidelines</w:t>
        </w:r>
      </w:hyperlink>
      <w:r w:rsidRPr="00524889">
        <w:rPr>
          <w:rStyle w:val="Hyperlink"/>
          <w:rFonts w:eastAsia="Times New Roman"/>
          <w:szCs w:val="24"/>
          <w:u w:val="none"/>
        </w:rPr>
        <w:t xml:space="preserve"> </w:t>
      </w:r>
      <w:r w:rsidRPr="00524889">
        <w:t>(</w:t>
      </w:r>
      <w:r>
        <w:t>CGRGs).</w:t>
      </w:r>
    </w:p>
    <w:p w14:paraId="4730B85E" w14:textId="77777777" w:rsidR="00F57D4B" w:rsidRPr="00391201" w:rsidRDefault="00F57D4B" w:rsidP="00F57D4B">
      <w:pPr>
        <w:pStyle w:val="Heading1"/>
        <w:shd w:val="clear" w:color="auto" w:fill="BDDCDF" w:themeFill="accent1"/>
      </w:pPr>
      <w:bookmarkStart w:id="37" w:name="_Toc124171201"/>
      <w:r>
        <w:t xml:space="preserve">Part 1 – </w:t>
      </w:r>
      <w:r w:rsidRPr="00391201">
        <w:t>Legislative framework</w:t>
      </w:r>
      <w:bookmarkEnd w:id="37"/>
    </w:p>
    <w:p w14:paraId="331DB7F4" w14:textId="77777777" w:rsidR="00287110" w:rsidRPr="00433A2A" w:rsidRDefault="00A01C53" w:rsidP="009432F1">
      <w:pPr>
        <w:pStyle w:val="NumberedList1"/>
      </w:pPr>
      <w:r>
        <w:t>Financial relations betwe</w:t>
      </w:r>
      <w:r w:rsidR="00287E9E">
        <w:t>en the Australian Government</w:t>
      </w:r>
      <w:r>
        <w:t xml:space="preserve"> and the states are governed by the provisions of</w:t>
      </w:r>
      <w:r w:rsidR="001B384D">
        <w:t xml:space="preserve"> the</w:t>
      </w:r>
      <w:r w:rsidR="00287110">
        <w:t>:</w:t>
      </w:r>
    </w:p>
    <w:p w14:paraId="1626E243" w14:textId="554A6A44" w:rsidR="00287110" w:rsidRPr="007F290F" w:rsidRDefault="004A7C72" w:rsidP="009432F1">
      <w:pPr>
        <w:pStyle w:val="Bullet1"/>
      </w:pPr>
      <w:hyperlink r:id="rId19" w:tooltip="Intergovernmental Agreement on   Federal Financial Relations (external linnk)" w:history="1">
        <w:r w:rsidR="00054802" w:rsidRPr="00361D60">
          <w:rPr>
            <w:rStyle w:val="Hyperlink"/>
            <w:rFonts w:eastAsia="Times New Roman"/>
            <w:szCs w:val="24"/>
          </w:rPr>
          <w:t>Intergovernmental Agreement on Federal Financial Relations</w:t>
        </w:r>
        <w:r w:rsidR="00054802" w:rsidRPr="00590C93">
          <w:rPr>
            <w:rStyle w:val="Hyperlink"/>
            <w:rFonts w:eastAsia="Times New Roman"/>
            <w:i w:val="0"/>
            <w:szCs w:val="24"/>
            <w:u w:val="none"/>
          </w:rPr>
          <w:t xml:space="preserve"> (IGA FFR)</w:t>
        </w:r>
      </w:hyperlink>
      <w:r w:rsidR="001B384D">
        <w:t xml:space="preserve"> </w:t>
      </w:r>
      <w:r w:rsidR="00433A2A">
        <w:rPr>
          <w:rStyle w:val="Hyperlink"/>
          <w:rFonts w:eastAsia="Times New Roman"/>
          <w:i w:val="0"/>
          <w:szCs w:val="24"/>
          <w:u w:val="none"/>
        </w:rPr>
        <w:t xml:space="preserve">which </w:t>
      </w:r>
      <w:r w:rsidR="00433A2A" w:rsidRPr="00361D60">
        <w:t>recognises that the states have primary responsibility for many are</w:t>
      </w:r>
      <w:r w:rsidR="00433A2A">
        <w:t xml:space="preserve">as of service delivery, with coordinated action </w:t>
      </w:r>
      <w:r w:rsidR="00433A2A" w:rsidRPr="00361D60">
        <w:t>to address Australia’s</w:t>
      </w:r>
      <w:r w:rsidR="00433A2A">
        <w:t xml:space="preserve"> economic and social challenges</w:t>
      </w:r>
      <w:r w:rsidR="00054802">
        <w:t xml:space="preserve">. The IGA FFR is </w:t>
      </w:r>
      <w:r w:rsidR="00054802" w:rsidRPr="007F290F">
        <w:t>a living document, with detailed arrangements set out in schedules which can be updated as necess</w:t>
      </w:r>
      <w:r w:rsidR="00054802">
        <w:t xml:space="preserve">ary, with the agreement of </w:t>
      </w:r>
      <w:r w:rsidR="00CE4D49">
        <w:t>the</w:t>
      </w:r>
      <w:r w:rsidR="00CB086D">
        <w:t xml:space="preserve"> National Cabinet</w:t>
      </w:r>
    </w:p>
    <w:p w14:paraId="6CC2D6EA" w14:textId="77777777" w:rsidR="00AE66E1" w:rsidRDefault="004A7C72" w:rsidP="009432F1">
      <w:pPr>
        <w:pStyle w:val="Bullet1"/>
      </w:pPr>
      <w:hyperlink r:id="rId20" w:history="1">
        <w:r w:rsidR="005D00F6" w:rsidRPr="00590C93">
          <w:rPr>
            <w:rStyle w:val="Hyperlink"/>
            <w:rFonts w:eastAsia="Times New Roman"/>
            <w:szCs w:val="24"/>
          </w:rPr>
          <w:t>Federal Financial Relations Act 2009</w:t>
        </w:r>
        <w:r w:rsidR="005D00F6" w:rsidRPr="00590C93">
          <w:rPr>
            <w:rStyle w:val="Hyperlink"/>
            <w:rFonts w:eastAsia="Times New Roman"/>
            <w:szCs w:val="24"/>
            <w:u w:val="none"/>
          </w:rPr>
          <w:t xml:space="preserve"> </w:t>
        </w:r>
      </w:hyperlink>
      <w:r w:rsidR="005D00F6" w:rsidRPr="00433A2A">
        <w:rPr>
          <w:rStyle w:val="Hyperlink"/>
          <w:rFonts w:eastAsia="Times New Roman"/>
          <w:i w:val="0"/>
          <w:szCs w:val="24"/>
          <w:u w:val="none"/>
        </w:rPr>
        <w:t>(FFR Ac</w:t>
      </w:r>
      <w:r w:rsidR="005D00F6">
        <w:rPr>
          <w:rStyle w:val="Hyperlink"/>
          <w:rFonts w:eastAsia="Times New Roman"/>
          <w:i w:val="0"/>
          <w:szCs w:val="24"/>
          <w:u w:val="none"/>
        </w:rPr>
        <w:t>t)</w:t>
      </w:r>
      <w:r w:rsidR="00A94E12">
        <w:rPr>
          <w:rStyle w:val="Hyperlink"/>
          <w:rFonts w:eastAsia="Times New Roman"/>
          <w:i w:val="0"/>
          <w:szCs w:val="24"/>
          <w:u w:val="none"/>
        </w:rPr>
        <w:t xml:space="preserve"> </w:t>
      </w:r>
      <w:r w:rsidR="00287110" w:rsidRPr="00433A2A">
        <w:rPr>
          <w:rStyle w:val="Hyperlink"/>
          <w:rFonts w:eastAsia="Times New Roman"/>
          <w:i w:val="0"/>
          <w:szCs w:val="24"/>
          <w:u w:val="none"/>
        </w:rPr>
        <w:t xml:space="preserve">which </w:t>
      </w:r>
      <w:r w:rsidR="00287110">
        <w:t>provides a standing ap</w:t>
      </w:r>
      <w:r w:rsidR="00A94E12">
        <w:t>propriation for the Australian Government</w:t>
      </w:r>
      <w:r w:rsidR="00287110">
        <w:t xml:space="preserve"> to provide financial support for the delivery of services by the states through nation</w:t>
      </w:r>
      <w:r w:rsidR="00A94E12">
        <w:t>al specific purpose payments</w:t>
      </w:r>
      <w:r w:rsidR="00287110">
        <w:t xml:space="preserve"> and for the Treasurer to de</w:t>
      </w:r>
      <w:r w:rsidR="00A94E12">
        <w:t xml:space="preserve">termine </w:t>
      </w:r>
      <w:r w:rsidR="008F1416">
        <w:t>Goods and Services Tax (</w:t>
      </w:r>
      <w:r w:rsidR="00287110" w:rsidRPr="00524889">
        <w:t>GST</w:t>
      </w:r>
      <w:r w:rsidR="008F1416">
        <w:t>)</w:t>
      </w:r>
      <w:r w:rsidR="00287110">
        <w:t xml:space="preserve"> payments to the s</w:t>
      </w:r>
      <w:r w:rsidR="00AE66E1">
        <w:t>tates</w:t>
      </w:r>
    </w:p>
    <w:p w14:paraId="09BBC027" w14:textId="77777777" w:rsidR="00A01C53" w:rsidRDefault="004A7C72" w:rsidP="009432F1">
      <w:pPr>
        <w:pStyle w:val="Bullet1"/>
      </w:pPr>
      <w:hyperlink r:id="rId21" w:history="1">
        <w:r w:rsidR="00A01C53" w:rsidRPr="009432F1">
          <w:rPr>
            <w:rStyle w:val="Hyperlink"/>
            <w:rFonts w:eastAsia="Times New Roman"/>
            <w:szCs w:val="24"/>
          </w:rPr>
          <w:t>COAG Reform Fund Act 2008</w:t>
        </w:r>
      </w:hyperlink>
      <w:r w:rsidR="00287110" w:rsidRPr="00433A2A">
        <w:rPr>
          <w:rStyle w:val="Emphasis"/>
          <w:rFonts w:ascii="Verdana" w:hAnsi="Verdana"/>
          <w:color w:val="000000"/>
        </w:rPr>
        <w:t xml:space="preserve"> </w:t>
      </w:r>
      <w:r w:rsidR="00287110" w:rsidRPr="00433A2A">
        <w:rPr>
          <w:rStyle w:val="Hyperlink"/>
          <w:rFonts w:eastAsia="Times New Roman"/>
          <w:i w:val="0"/>
          <w:szCs w:val="24"/>
          <w:u w:val="none"/>
        </w:rPr>
        <w:t>which</w:t>
      </w:r>
      <w:r w:rsidR="00287110">
        <w:t xml:space="preserve"> establishes the COAG Reform Fund for the purpose of making grants of financial assistance to the s</w:t>
      </w:r>
      <w:r w:rsidR="00AE66E1">
        <w:t>tates</w:t>
      </w:r>
      <w:r w:rsidR="00B45058">
        <w:t>,</w:t>
      </w:r>
      <w:r w:rsidR="00AE66E1">
        <w:t xml:space="preserve"> and </w:t>
      </w:r>
      <w:r w:rsidR="00287110">
        <w:t xml:space="preserve">specifies that the </w:t>
      </w:r>
      <w:r w:rsidR="00B45058">
        <w:t>terms a</w:t>
      </w:r>
      <w:r w:rsidR="00287110">
        <w:t>nd conditions on which financial assistance is granted are to be set out in written agr</w:t>
      </w:r>
      <w:r w:rsidR="00287E9E">
        <w:t>eements between the Australian Government</w:t>
      </w:r>
      <w:r w:rsidR="00287110">
        <w:t xml:space="preserve"> and the states.</w:t>
      </w:r>
    </w:p>
    <w:p w14:paraId="02C75670" w14:textId="77777777" w:rsidR="00A01C53" w:rsidRDefault="00A01C53" w:rsidP="009432F1">
      <w:pPr>
        <w:pStyle w:val="Heading1"/>
        <w:shd w:val="clear" w:color="auto" w:fill="BDDCDF" w:themeFill="accent1"/>
      </w:pPr>
      <w:bookmarkStart w:id="38" w:name="_Toc124171202"/>
      <w:r>
        <w:t xml:space="preserve">Part 2 – </w:t>
      </w:r>
      <w:r w:rsidR="00F8277D">
        <w:t>The f</w:t>
      </w:r>
      <w:r>
        <w:t>ederal financial relations</w:t>
      </w:r>
      <w:r w:rsidRPr="00361D60">
        <w:t xml:space="preserve"> framework</w:t>
      </w:r>
      <w:bookmarkEnd w:id="38"/>
    </w:p>
    <w:p w14:paraId="344BB7FE" w14:textId="652D2C39" w:rsidR="00054802" w:rsidRPr="00A94E12" w:rsidRDefault="00054802" w:rsidP="00054802">
      <w:pPr>
        <w:pStyle w:val="NumberedList1"/>
      </w:pPr>
      <w:r w:rsidRPr="00D50CFB">
        <w:t>T</w:t>
      </w:r>
      <w:r>
        <w:t>he</w:t>
      </w:r>
      <w:r w:rsidRPr="00590C93">
        <w:rPr>
          <w:rStyle w:val="Hyperlink"/>
          <w:rFonts w:eastAsia="Times New Roman"/>
          <w:i w:val="0"/>
          <w:szCs w:val="24"/>
          <w:u w:val="none"/>
        </w:rPr>
        <w:t xml:space="preserve"> </w:t>
      </w:r>
      <w:hyperlink r:id="rId22" w:history="1">
        <w:r w:rsidRPr="00590C93">
          <w:rPr>
            <w:rStyle w:val="Hyperlink"/>
            <w:rFonts w:eastAsia="Times New Roman"/>
            <w:i w:val="0"/>
            <w:szCs w:val="24"/>
          </w:rPr>
          <w:t>F</w:t>
        </w:r>
        <w:r w:rsidR="001C0C1F">
          <w:rPr>
            <w:rStyle w:val="Hyperlink"/>
            <w:rFonts w:eastAsia="Times New Roman"/>
            <w:i w:val="0"/>
            <w:szCs w:val="24"/>
          </w:rPr>
          <w:t xml:space="preserve">ederal </w:t>
        </w:r>
        <w:r w:rsidR="00A25D12">
          <w:rPr>
            <w:rStyle w:val="Hyperlink"/>
            <w:rFonts w:eastAsia="Times New Roman"/>
            <w:i w:val="0"/>
            <w:szCs w:val="24"/>
          </w:rPr>
          <w:t>Financial Relations</w:t>
        </w:r>
        <w:r w:rsidR="001C0C1F">
          <w:rPr>
            <w:rStyle w:val="Hyperlink"/>
            <w:rFonts w:eastAsia="Times New Roman"/>
            <w:i w:val="0"/>
            <w:szCs w:val="24"/>
          </w:rPr>
          <w:t xml:space="preserve"> (FF</w:t>
        </w:r>
        <w:r w:rsidR="00A25D12">
          <w:rPr>
            <w:rStyle w:val="Hyperlink"/>
            <w:rFonts w:eastAsia="Times New Roman"/>
            <w:i w:val="0"/>
            <w:szCs w:val="24"/>
          </w:rPr>
          <w:t>R</w:t>
        </w:r>
        <w:r w:rsidR="001C0C1F">
          <w:rPr>
            <w:rStyle w:val="Hyperlink"/>
            <w:rFonts w:eastAsia="Times New Roman"/>
            <w:i w:val="0"/>
            <w:szCs w:val="24"/>
          </w:rPr>
          <w:t xml:space="preserve">) </w:t>
        </w:r>
        <w:r w:rsidRPr="00590C93">
          <w:rPr>
            <w:rStyle w:val="Hyperlink"/>
            <w:rFonts w:eastAsia="Times New Roman"/>
            <w:i w:val="0"/>
            <w:szCs w:val="24"/>
          </w:rPr>
          <w:t>framework</w:t>
        </w:r>
      </w:hyperlink>
      <w:r w:rsidRPr="00D50CFB">
        <w:t xml:space="preserve"> centralises </w:t>
      </w:r>
      <w:r>
        <w:t xml:space="preserve">Australian Government </w:t>
      </w:r>
      <w:r w:rsidRPr="00D50CFB">
        <w:t>payments to and th</w:t>
      </w:r>
      <w:r>
        <w:t xml:space="preserve">rough the states </w:t>
      </w:r>
      <w:r w:rsidRPr="00D50CFB">
        <w:t>for general and specific purposes</w:t>
      </w:r>
      <w:r>
        <w:t xml:space="preserve"> for</w:t>
      </w:r>
      <w:r w:rsidRPr="00361D60">
        <w:t>:</w:t>
      </w:r>
      <w:r>
        <w:t xml:space="preserve"> </w:t>
      </w:r>
    </w:p>
    <w:p w14:paraId="57DE52AE" w14:textId="77777777" w:rsidR="00054802" w:rsidRPr="00D50CFB" w:rsidRDefault="00054802" w:rsidP="00054802">
      <w:pPr>
        <w:pStyle w:val="Bullet1"/>
      </w:pPr>
      <w:r w:rsidRPr="00361D60">
        <w:t xml:space="preserve">general revenue assistance </w:t>
      </w:r>
      <w:r>
        <w:t xml:space="preserve">– </w:t>
      </w:r>
      <w:r w:rsidRPr="00524889">
        <w:t>primarily through GST</w:t>
      </w:r>
      <w:r w:rsidR="008F1416">
        <w:t xml:space="preserve"> </w:t>
      </w:r>
      <w:r w:rsidRPr="00524889">
        <w:t>distribution, which has no conditions on how states use the funding</w:t>
      </w:r>
    </w:p>
    <w:p w14:paraId="0716D207" w14:textId="77777777" w:rsidR="00054802" w:rsidRDefault="00054802" w:rsidP="007F290F">
      <w:pPr>
        <w:pStyle w:val="Bullet1"/>
      </w:pPr>
      <w:r w:rsidRPr="00361D60">
        <w:t>a rang</w:t>
      </w:r>
      <w:r w:rsidRPr="00D50CFB">
        <w:t xml:space="preserve">e of specific-purpose payments </w:t>
      </w:r>
      <w:r>
        <w:t xml:space="preserve">– </w:t>
      </w:r>
      <w:r w:rsidRPr="00361D60">
        <w:t>to be spent on particular sectors or projects.</w:t>
      </w:r>
    </w:p>
    <w:p w14:paraId="118410D7" w14:textId="77777777" w:rsidR="003E38EB" w:rsidRDefault="00116ED1" w:rsidP="00B45058">
      <w:pPr>
        <w:pStyle w:val="NumberedList1"/>
      </w:pPr>
      <w:r w:rsidRPr="00D50CFB">
        <w:t xml:space="preserve">The </w:t>
      </w:r>
      <w:r>
        <w:t xml:space="preserve">FFR framework </w:t>
      </w:r>
      <w:r w:rsidRPr="00361D60">
        <w:t>provides ongoing financial support for the delivery of</w:t>
      </w:r>
      <w:r>
        <w:t xml:space="preserve"> services by the states through general revenue assistance, including GST payments and other general revenue assistance, to be used by the states according to their own budget priorities and payments for specific purposes. </w:t>
      </w:r>
    </w:p>
    <w:p w14:paraId="1286C7B9" w14:textId="77777777" w:rsidR="00B45058" w:rsidRDefault="00116ED1" w:rsidP="009432F1">
      <w:pPr>
        <w:pStyle w:val="NumberedList1"/>
      </w:pPr>
      <w:r w:rsidRPr="00D50CFB">
        <w:t xml:space="preserve">The </w:t>
      </w:r>
      <w:r>
        <w:t>FFR framework</w:t>
      </w:r>
      <w:r w:rsidR="00D1229F">
        <w:t xml:space="preserve"> </w:t>
      </w:r>
      <w:r w:rsidRPr="00D50CFB">
        <w:t>incl</w:t>
      </w:r>
      <w:r>
        <w:t xml:space="preserve">udes payments to or through </w:t>
      </w:r>
      <w:r w:rsidR="00B45058">
        <w:t>state governments</w:t>
      </w:r>
      <w:r w:rsidR="00D1229F">
        <w:t xml:space="preserve"> but </w:t>
      </w:r>
      <w:r w:rsidR="00D1229F" w:rsidRPr="00361D60">
        <w:t>excludes</w:t>
      </w:r>
      <w:r w:rsidR="00D1229F">
        <w:t xml:space="preserve"> </w:t>
      </w:r>
      <w:r w:rsidR="00D1229F" w:rsidRPr="00524889">
        <w:t>Commonwealth own-purpose expense</w:t>
      </w:r>
      <w:r w:rsidR="00D1229F">
        <w:t>s (</w:t>
      </w:r>
      <w:r w:rsidR="00D1229F" w:rsidRPr="00361D60">
        <w:t>COPEs</w:t>
      </w:r>
      <w:r w:rsidR="00D1229F">
        <w:t xml:space="preserve">) and </w:t>
      </w:r>
      <w:r w:rsidR="00D1229F" w:rsidRPr="00361D60">
        <w:t>payment</w:t>
      </w:r>
      <w:r w:rsidR="00D1229F">
        <w:t xml:space="preserve">s direct to local governments – which are generally subject to the </w:t>
      </w:r>
      <w:hyperlink r:id="rId23" w:history="1">
        <w:r w:rsidR="00D1229F" w:rsidRPr="00B45058">
          <w:rPr>
            <w:rStyle w:val="Hyperlink"/>
            <w:rFonts w:eastAsia="Times New Roman"/>
            <w:i w:val="0"/>
            <w:szCs w:val="24"/>
          </w:rPr>
          <w:t>CGRGs</w:t>
        </w:r>
      </w:hyperlink>
      <w:r w:rsidR="00D1229F">
        <w:t>.</w:t>
      </w:r>
    </w:p>
    <w:p w14:paraId="57A8BFD9" w14:textId="77777777" w:rsidR="00116ED1" w:rsidRDefault="00287E9E" w:rsidP="009432F1">
      <w:pPr>
        <w:pStyle w:val="Heading2"/>
      </w:pPr>
      <w:bookmarkStart w:id="39" w:name="_Toc124171203"/>
      <w:r>
        <w:t>R</w:t>
      </w:r>
      <w:r w:rsidR="003E38EB">
        <w:t>oles and r</w:t>
      </w:r>
      <w:r w:rsidR="00116ED1">
        <w:t>esponsibilities</w:t>
      </w:r>
      <w:r>
        <w:t xml:space="preserve"> under the F</w:t>
      </w:r>
      <w:r w:rsidR="0063105A">
        <w:t>F</w:t>
      </w:r>
      <w:r>
        <w:t>R</w:t>
      </w:r>
      <w:bookmarkEnd w:id="39"/>
    </w:p>
    <w:p w14:paraId="7FD4D825" w14:textId="42041006" w:rsidR="00116ED1" w:rsidRDefault="00F57D4B" w:rsidP="009432F1">
      <w:pPr>
        <w:pStyle w:val="NumberedList1"/>
      </w:pPr>
      <w:r>
        <w:t xml:space="preserve">Under the FFR framework the Treasurer is accountable for payments to the states, including through the </w:t>
      </w:r>
      <w:r w:rsidRPr="00361D60">
        <w:t>COAG</w:t>
      </w:r>
      <w:r>
        <w:t xml:space="preserve"> Reform Fund. </w:t>
      </w:r>
      <w:r w:rsidR="003F000F">
        <w:t xml:space="preserve">Department of the </w:t>
      </w:r>
      <w:r w:rsidR="00116ED1">
        <w:t>Treasury</w:t>
      </w:r>
      <w:r w:rsidR="00D1229F">
        <w:t xml:space="preserve"> (Treasury)</w:t>
      </w:r>
      <w:r w:rsidR="00116ED1">
        <w:t xml:space="preserve">, in consultation with portfolio entities, is responsible for the administration of estimates and payments under the FFR framework, which are reported in </w:t>
      </w:r>
      <w:hyperlink r:id="rId24" w:history="1">
        <w:r w:rsidR="00116ED1" w:rsidRPr="00D1229F">
          <w:rPr>
            <w:rStyle w:val="Hyperlink"/>
            <w:rFonts w:eastAsia="Times New Roman"/>
            <w:i w:val="0"/>
            <w:szCs w:val="24"/>
          </w:rPr>
          <w:t xml:space="preserve">Budget Paper No. 3, </w:t>
        </w:r>
        <w:r w:rsidR="00116ED1" w:rsidRPr="009D6A17">
          <w:rPr>
            <w:rStyle w:val="Hyperlink"/>
            <w:rFonts w:eastAsia="Times New Roman"/>
            <w:szCs w:val="24"/>
          </w:rPr>
          <w:t>Federal Financial Relations</w:t>
        </w:r>
      </w:hyperlink>
      <w:r w:rsidR="00054802" w:rsidRPr="007F290F">
        <w:rPr>
          <w:rStyle w:val="Hyperlink"/>
          <w:rFonts w:eastAsia="Times New Roman"/>
          <w:i w:val="0"/>
          <w:szCs w:val="24"/>
          <w:u w:val="none"/>
        </w:rPr>
        <w:t xml:space="preserve"> (Budget Paper No. 3)</w:t>
      </w:r>
      <w:r w:rsidRPr="00054802">
        <w:rPr>
          <w:rStyle w:val="Hyperlink"/>
          <w:rFonts w:eastAsia="Times New Roman"/>
          <w:i w:val="0"/>
          <w:szCs w:val="24"/>
          <w:u w:val="none"/>
        </w:rPr>
        <w:t>.</w:t>
      </w:r>
    </w:p>
    <w:p w14:paraId="23750E5C" w14:textId="77777777" w:rsidR="00116ED1" w:rsidRDefault="00F57D4B" w:rsidP="009432F1">
      <w:pPr>
        <w:pStyle w:val="NumberedList1"/>
      </w:pPr>
      <w:r>
        <w:t>T</w:t>
      </w:r>
      <w:r w:rsidR="00116ED1">
        <w:t>he r</w:t>
      </w:r>
      <w:r w:rsidR="00435104">
        <w:t>elevant</w:t>
      </w:r>
      <w:r w:rsidR="00116ED1">
        <w:t xml:space="preserve"> minister and entity remain responsible for ensuring that all necessary policy and budget authority exists, and the day-to-day administration of agreements, including requirements for all relevant legislative approvals to be in place</w:t>
      </w:r>
      <w:r w:rsidR="00CF74AB">
        <w:t>.</w:t>
      </w:r>
    </w:p>
    <w:p w14:paraId="5CB4B045" w14:textId="338F30A6" w:rsidR="00516AF7" w:rsidRDefault="003E38EB" w:rsidP="009432F1">
      <w:pPr>
        <w:pStyle w:val="NumberedList1"/>
      </w:pPr>
      <w:r>
        <w:t xml:space="preserve">Under the FFR framework, </w:t>
      </w:r>
      <w:r w:rsidR="00116ED1">
        <w:t>Finance is responsible for the classification</w:t>
      </w:r>
      <w:r>
        <w:t xml:space="preserve"> in Budget papers</w:t>
      </w:r>
      <w:r w:rsidR="00116ED1">
        <w:t xml:space="preserve"> of</w:t>
      </w:r>
      <w:r>
        <w:t xml:space="preserve"> Australian Government</w:t>
      </w:r>
      <w:r w:rsidR="00116ED1">
        <w:t xml:space="preserve"> expense</w:t>
      </w:r>
      <w:r>
        <w:t xml:space="preserve"> payments to </w:t>
      </w:r>
      <w:r w:rsidR="002C34BB">
        <w:t>other governments</w:t>
      </w:r>
      <w:r>
        <w:t>, which include</w:t>
      </w:r>
      <w:r w:rsidR="00516AF7">
        <w:t>:</w:t>
      </w:r>
    </w:p>
    <w:p w14:paraId="1ADB2089" w14:textId="77777777" w:rsidR="00516AF7" w:rsidRDefault="00516AF7" w:rsidP="00516AF7">
      <w:pPr>
        <w:pStyle w:val="Bullet1"/>
      </w:pPr>
      <w:r>
        <w:t>payments made ‘to’ states, including:</w:t>
      </w:r>
    </w:p>
    <w:p w14:paraId="637BD699" w14:textId="77777777" w:rsidR="00036900" w:rsidRPr="009432F1" w:rsidRDefault="004A7C72" w:rsidP="00246F0C">
      <w:pPr>
        <w:pStyle w:val="Bullet2"/>
        <w:numPr>
          <w:ilvl w:val="0"/>
          <w:numId w:val="58"/>
        </w:numPr>
        <w:ind w:left="1418" w:hanging="425"/>
      </w:pPr>
      <w:hyperlink r:id="rId25" w:history="1">
        <w:r w:rsidR="00516AF7" w:rsidRPr="00036900">
          <w:rPr>
            <w:rStyle w:val="Hyperlink"/>
            <w:rFonts w:eastAsia="Times New Roman"/>
            <w:i w:val="0"/>
            <w:szCs w:val="24"/>
          </w:rPr>
          <w:t>national specific purpose payments</w:t>
        </w:r>
      </w:hyperlink>
      <w:r w:rsidR="00516AF7">
        <w:t xml:space="preserve"> (</w:t>
      </w:r>
      <w:r w:rsidR="00516AF7" w:rsidRPr="00D50CFB">
        <w:t>NSPP)</w:t>
      </w:r>
      <w:r w:rsidR="00516AF7" w:rsidRPr="00361D60">
        <w:t xml:space="preserve"> </w:t>
      </w:r>
      <w:r w:rsidR="00036900" w:rsidRPr="00361D60">
        <w:t xml:space="preserve">which are </w:t>
      </w:r>
      <w:r w:rsidR="00036900">
        <w:t xml:space="preserve">a </w:t>
      </w:r>
      <w:r w:rsidR="00036900" w:rsidRPr="00361D60">
        <w:t xml:space="preserve">funding mechanism </w:t>
      </w:r>
      <w:r w:rsidR="00036900" w:rsidRPr="002C34BB">
        <w:t>through w</w:t>
      </w:r>
      <w:r w:rsidR="00287E9E" w:rsidRPr="002C34BB">
        <w:t>hich the Australian Government</w:t>
      </w:r>
      <w:r w:rsidR="00036900" w:rsidRPr="002C34BB">
        <w:t xml:space="preserve"> supports state efforts in delivering services in key sectors </w:t>
      </w:r>
      <w:r w:rsidR="00036900" w:rsidRPr="002C34BB">
        <w:rPr>
          <w:rFonts w:ascii="Arial" w:hAnsi="Arial" w:cs="Arial"/>
          <w:lang w:eastAsia="en-AU"/>
        </w:rPr>
        <w:t>(</w:t>
      </w:r>
      <w:r w:rsidR="002C34BB">
        <w:rPr>
          <w:rFonts w:ascii="Arial" w:hAnsi="Arial" w:cs="Arial"/>
          <w:lang w:eastAsia="en-AU"/>
        </w:rPr>
        <w:t>e.g.</w:t>
      </w:r>
      <w:r w:rsidR="00036900" w:rsidRPr="002C34BB">
        <w:rPr>
          <w:rFonts w:ascii="Arial" w:hAnsi="Arial" w:cs="Arial"/>
          <w:lang w:eastAsia="en-AU"/>
        </w:rPr>
        <w:t xml:space="preserve"> health, schools, skill</w:t>
      </w:r>
      <w:r w:rsidR="002C34BB">
        <w:rPr>
          <w:rFonts w:ascii="Arial" w:hAnsi="Arial" w:cs="Arial"/>
          <w:lang w:eastAsia="en-AU"/>
        </w:rPr>
        <w:t xml:space="preserve">s </w:t>
      </w:r>
      <w:r w:rsidR="00036900" w:rsidRPr="002C34BB">
        <w:rPr>
          <w:rFonts w:ascii="Arial" w:hAnsi="Arial" w:cs="Arial"/>
          <w:lang w:eastAsia="en-AU"/>
        </w:rPr>
        <w:t>and training, disability services and affordable housing)</w:t>
      </w:r>
    </w:p>
    <w:p w14:paraId="20E49994" w14:textId="77777777" w:rsidR="00516AF7" w:rsidRDefault="004A7C72" w:rsidP="00246F0C">
      <w:pPr>
        <w:pStyle w:val="Bullet2"/>
        <w:numPr>
          <w:ilvl w:val="0"/>
          <w:numId w:val="58"/>
        </w:numPr>
        <w:ind w:left="1418" w:hanging="425"/>
      </w:pPr>
      <w:hyperlink r:id="rId26" w:history="1">
        <w:r w:rsidR="00516AF7" w:rsidRPr="00036900">
          <w:rPr>
            <w:rStyle w:val="Hyperlink"/>
            <w:rFonts w:eastAsia="Times New Roman"/>
            <w:i w:val="0"/>
            <w:szCs w:val="24"/>
          </w:rPr>
          <w:t>national partnership payments</w:t>
        </w:r>
      </w:hyperlink>
      <w:r w:rsidR="00516AF7" w:rsidRPr="00036900">
        <w:rPr>
          <w:rStyle w:val="Hyperlink"/>
          <w:rFonts w:eastAsia="Times New Roman"/>
          <w:szCs w:val="24"/>
          <w:u w:val="none"/>
        </w:rPr>
        <w:t xml:space="preserve"> </w:t>
      </w:r>
      <w:r w:rsidR="00516AF7" w:rsidRPr="00036900">
        <w:rPr>
          <w:rStyle w:val="Hyperlink"/>
          <w:rFonts w:eastAsia="Times New Roman"/>
          <w:i w:val="0"/>
          <w:szCs w:val="24"/>
          <w:u w:val="none"/>
        </w:rPr>
        <w:t>(</w:t>
      </w:r>
      <w:r w:rsidR="00516AF7">
        <w:t>NP payments) which support the delivery of specified outputs or projects, to facilitate reforms or to reward the states for nationally signification reforms</w:t>
      </w:r>
    </w:p>
    <w:p w14:paraId="7CE48F1D" w14:textId="0035AAC4" w:rsidR="00516AF7" w:rsidRDefault="00516AF7" w:rsidP="00C13547">
      <w:pPr>
        <w:pStyle w:val="Bullet1"/>
      </w:pPr>
      <w:r>
        <w:t xml:space="preserve">payments that are made ‘through’ the states </w:t>
      </w:r>
      <w:r w:rsidR="005300A6">
        <w:t>where they have less influence on how the funds are spent</w:t>
      </w:r>
      <w:r w:rsidR="00686E08">
        <w:t xml:space="preserve"> and </w:t>
      </w:r>
      <w:r>
        <w:t>to bodies that fall within the state go</w:t>
      </w:r>
      <w:r w:rsidR="00036900">
        <w:t xml:space="preserve">vernment </w:t>
      </w:r>
      <w:r w:rsidR="00686E08">
        <w:t xml:space="preserve">responsibilities </w:t>
      </w:r>
      <w:r w:rsidR="00036900">
        <w:t>(e</w:t>
      </w:r>
      <w:r w:rsidR="002C34BB">
        <w:t>.</w:t>
      </w:r>
      <w:r w:rsidR="00036900">
        <w:t>g</w:t>
      </w:r>
      <w:r w:rsidR="002C34BB">
        <w:t>.</w:t>
      </w:r>
      <w:r>
        <w:t xml:space="preserve"> </w:t>
      </w:r>
      <w:r w:rsidR="007F290F">
        <w:t>non-government schools</w:t>
      </w:r>
      <w:r w:rsidR="00036900">
        <w:t>)</w:t>
      </w:r>
      <w:r w:rsidR="00C13547">
        <w:t xml:space="preserve">.  </w:t>
      </w:r>
      <w:r w:rsidR="00C13547" w:rsidRPr="00C13547">
        <w:t>Payments ‘through’ the states are also often national partnership payments (as defined in FFR Act)</w:t>
      </w:r>
    </w:p>
    <w:p w14:paraId="67534F42" w14:textId="77777777" w:rsidR="00516AF7" w:rsidRDefault="00516AF7" w:rsidP="009432F1">
      <w:pPr>
        <w:pStyle w:val="Bullet1"/>
      </w:pPr>
      <w:r>
        <w:t>payme</w:t>
      </w:r>
      <w:r w:rsidR="00032C45">
        <w:t xml:space="preserve">nts made </w:t>
      </w:r>
      <w:r w:rsidR="005300A6">
        <w:t xml:space="preserve">direct to local government. </w:t>
      </w:r>
    </w:p>
    <w:p w14:paraId="02147D68" w14:textId="77777777" w:rsidR="004D54F3" w:rsidRPr="007F290F" w:rsidRDefault="00E13D60" w:rsidP="007F290F">
      <w:pPr>
        <w:pStyle w:val="NumberedList1"/>
        <w:rPr>
          <w:rStyle w:val="Hyperlink"/>
          <w:rFonts w:cstheme="minorBidi"/>
          <w:i w:val="0"/>
          <w:u w:val="none"/>
        </w:rPr>
      </w:pPr>
      <w:r>
        <w:t>For more information on</w:t>
      </w:r>
      <w:r w:rsidR="0029249C">
        <w:t xml:space="preserve"> the </w:t>
      </w:r>
      <w:r>
        <w:t>F</w:t>
      </w:r>
      <w:r w:rsidR="00E11ABD">
        <w:t>F</w:t>
      </w:r>
      <w:r>
        <w:t xml:space="preserve">R </w:t>
      </w:r>
      <w:r w:rsidR="00D1229F">
        <w:t>framework</w:t>
      </w:r>
      <w:r w:rsidR="004D54F3">
        <w:t xml:space="preserve"> </w:t>
      </w:r>
      <w:r w:rsidR="004D54F3" w:rsidRPr="00391201">
        <w:t>and associated arrangements for agreements an</w:t>
      </w:r>
      <w:r w:rsidR="004D54F3">
        <w:t>d payments</w:t>
      </w:r>
      <w:r w:rsidR="00D1229F">
        <w:t xml:space="preserve">, </w:t>
      </w:r>
      <w:r w:rsidR="0029249C" w:rsidRPr="00E46CFA">
        <w:rPr>
          <w:rStyle w:val="Hyperlink"/>
          <w:rFonts w:eastAsia="Times New Roman"/>
          <w:i w:val="0"/>
          <w:szCs w:val="24"/>
          <w:u w:val="none"/>
        </w:rPr>
        <w:t>see</w:t>
      </w:r>
      <w:r w:rsidR="004D54F3">
        <w:rPr>
          <w:rStyle w:val="Hyperlink"/>
          <w:rFonts w:eastAsia="Times New Roman"/>
          <w:i w:val="0"/>
          <w:szCs w:val="24"/>
          <w:u w:val="none"/>
        </w:rPr>
        <w:t>:</w:t>
      </w:r>
    </w:p>
    <w:p w14:paraId="369DB1E3" w14:textId="4C52C2CD" w:rsidR="003B31FE" w:rsidRPr="006C67A1" w:rsidRDefault="003B31FE">
      <w:pPr>
        <w:pStyle w:val="Bullet1"/>
        <w:rPr>
          <w:rStyle w:val="Hyperlink"/>
          <w:rFonts w:cstheme="minorBidi"/>
          <w:shd w:val="clear" w:color="auto" w:fill="FFFFFF"/>
        </w:rPr>
      </w:pPr>
      <w:r>
        <w:rPr>
          <w:rStyle w:val="Hyperlink"/>
          <w:rFonts w:eastAsia="Times New Roman"/>
          <w:szCs w:val="24"/>
        </w:rPr>
        <w:fldChar w:fldCharType="begin"/>
      </w:r>
      <w:r>
        <w:rPr>
          <w:rStyle w:val="Hyperlink"/>
          <w:rFonts w:eastAsia="Times New Roman"/>
          <w:szCs w:val="24"/>
        </w:rPr>
        <w:instrText>HYPERLINK "https://federalfinancialrelations.gov.au/"</w:instrText>
      </w:r>
      <w:r>
        <w:rPr>
          <w:rStyle w:val="Hyperlink"/>
          <w:rFonts w:eastAsia="Times New Roman"/>
          <w:szCs w:val="24"/>
        </w:rPr>
        <w:fldChar w:fldCharType="separate"/>
      </w:r>
      <w:r>
        <w:rPr>
          <w:rStyle w:val="Hyperlink"/>
          <w:rFonts w:eastAsia="Times New Roman"/>
          <w:szCs w:val="24"/>
        </w:rPr>
        <w:t>Federal Financial Relations website</w:t>
      </w:r>
    </w:p>
    <w:p w14:paraId="2E4FEB9B" w14:textId="01E65D89" w:rsidR="00D1229F" w:rsidRDefault="003B31FE" w:rsidP="009432F1">
      <w:pPr>
        <w:pStyle w:val="Bullet1"/>
      </w:pPr>
      <w:r>
        <w:rPr>
          <w:rStyle w:val="Hyperlink"/>
          <w:rFonts w:eastAsia="Times New Roman"/>
          <w:szCs w:val="24"/>
        </w:rPr>
        <w:fldChar w:fldCharType="end"/>
      </w:r>
      <w:hyperlink r:id="rId27" w:history="1">
        <w:r w:rsidR="00C142B2" w:rsidRPr="00747E15">
          <w:rPr>
            <w:rStyle w:val="Hyperlink"/>
            <w:rFonts w:cstheme="minorBidi"/>
          </w:rPr>
          <w:t>Guide to drafting new agreements</w:t>
        </w:r>
      </w:hyperlink>
    </w:p>
    <w:p w14:paraId="4B0E70C0" w14:textId="77777777" w:rsidR="0029249C" w:rsidRDefault="0029249C" w:rsidP="009432F1">
      <w:pPr>
        <w:pStyle w:val="Bullet1"/>
      </w:pPr>
      <w:r>
        <w:t>email Treasury at</w:t>
      </w:r>
      <w:r w:rsidRPr="0029249C" w:rsidDel="00D1229F">
        <w:t xml:space="preserve"> </w:t>
      </w:r>
      <w:hyperlink r:id="rId28" w:history="1">
        <w:r w:rsidRPr="0029249C" w:rsidDel="00D1229F">
          <w:rPr>
            <w:rStyle w:val="Hyperlink"/>
            <w:rFonts w:eastAsia="Times New Roman" w:cstheme="minorBidi"/>
            <w:szCs w:val="24"/>
          </w:rPr>
          <w:t>State.Payments@treasury.gov.au</w:t>
        </w:r>
      </w:hyperlink>
      <w:r w:rsidRPr="0029249C" w:rsidDel="00D1229F">
        <w:t>.</w:t>
      </w:r>
    </w:p>
    <w:p w14:paraId="109A0A2E" w14:textId="77777777" w:rsidR="00E56DE5" w:rsidRDefault="00E56DE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40" w:name="_Toc124171204"/>
      <w:r>
        <w:br w:type="page"/>
      </w:r>
    </w:p>
    <w:p w14:paraId="04084E9E" w14:textId="2F70AC98" w:rsidR="00032C45" w:rsidRDefault="007C22A7">
      <w:pPr>
        <w:pStyle w:val="Heading1"/>
        <w:shd w:val="clear" w:color="auto" w:fill="BDDCDF" w:themeFill="accent1"/>
      </w:pPr>
      <w:r>
        <w:t xml:space="preserve">Part 3 – </w:t>
      </w:r>
      <w:bookmarkStart w:id="41" w:name="_Toc464562404"/>
      <w:r w:rsidR="00032C45" w:rsidRPr="00524889">
        <w:t>Commonwealth own</w:t>
      </w:r>
      <w:r w:rsidR="00032C45" w:rsidRPr="00A94E12">
        <w:t>-</w:t>
      </w:r>
      <w:r w:rsidR="00032C45" w:rsidRPr="00524889">
        <w:t>purpose expense</w:t>
      </w:r>
      <w:r w:rsidR="00032C45">
        <w:t>s</w:t>
      </w:r>
      <w:bookmarkEnd w:id="40"/>
      <w:r w:rsidR="00032C45" w:rsidRPr="00A94E12">
        <w:t xml:space="preserve"> </w:t>
      </w:r>
    </w:p>
    <w:bookmarkEnd w:id="41"/>
    <w:p w14:paraId="4DBCC735" w14:textId="77777777" w:rsidR="00532B52" w:rsidRDefault="00435104" w:rsidP="009432F1">
      <w:pPr>
        <w:pStyle w:val="NumberedList1"/>
      </w:pPr>
      <w:r>
        <w:t>Payments to states and dire</w:t>
      </w:r>
      <w:r w:rsidR="002C34BB">
        <w:t>ct to local government entities</w:t>
      </w:r>
      <w:r>
        <w:t xml:space="preserve"> that are classified as a COPE are excluded from the FFR framework. </w:t>
      </w:r>
      <w:r w:rsidR="00532B52">
        <w:t>A COPE</w:t>
      </w:r>
      <w:r w:rsidR="00532B52" w:rsidRPr="00524889">
        <w:t xml:space="preserve"> is an expense made by the Australian Government in the conduct of its own </w:t>
      </w:r>
      <w:hyperlink r:id="rId29" w:history="1">
        <w:r w:rsidR="00532B52" w:rsidRPr="00435104">
          <w:rPr>
            <w:rStyle w:val="Hyperlink"/>
            <w:rFonts w:eastAsia="Times New Roman"/>
            <w:i w:val="0"/>
            <w:szCs w:val="24"/>
          </w:rPr>
          <w:t>general government sector</w:t>
        </w:r>
      </w:hyperlink>
      <w:r w:rsidR="00532B52" w:rsidRPr="00524889">
        <w:t xml:space="preserve"> activities, and includes expenses for the purchase of goods and services and transfer payments.</w:t>
      </w:r>
      <w:r w:rsidR="00532B52">
        <w:t xml:space="preserve"> These include: </w:t>
      </w:r>
    </w:p>
    <w:p w14:paraId="6B19AEE9" w14:textId="2DEF72D2" w:rsidR="00532B52" w:rsidRDefault="00287E9E" w:rsidP="009D6A17">
      <w:pPr>
        <w:pStyle w:val="Bullet1"/>
        <w:numPr>
          <w:ilvl w:val="0"/>
          <w:numId w:val="82"/>
        </w:numPr>
        <w:ind w:left="851" w:hanging="284"/>
      </w:pPr>
      <w:r>
        <w:t>arrangements where the Australian Government</w:t>
      </w:r>
      <w:r w:rsidR="00532B52">
        <w:t xml:space="preserve"> is purchasing specific services from state government bodies</w:t>
      </w:r>
    </w:p>
    <w:p w14:paraId="53581A2D" w14:textId="77777777" w:rsidR="00532B52" w:rsidRDefault="00532B52" w:rsidP="00532B52">
      <w:pPr>
        <w:pStyle w:val="Bullet1"/>
      </w:pPr>
      <w:r>
        <w:t>competitive grants programs that can be applied for on the same terms and conditions as government and non-government sectors (even where all applications except one are from state or local government entities, the funding will still be classified as a COPE).</w:t>
      </w:r>
    </w:p>
    <w:p w14:paraId="75F12229" w14:textId="77777777" w:rsidR="00532B52" w:rsidRPr="0046056E" w:rsidRDefault="00532B52">
      <w:pPr>
        <w:pStyle w:val="NumberedList1"/>
      </w:pPr>
      <w:r>
        <w:t>COPEs may be pai</w:t>
      </w:r>
      <w:r w:rsidR="00703D49">
        <w:t xml:space="preserve">d to other levels of government </w:t>
      </w:r>
      <w:r>
        <w:t xml:space="preserve">in which case the payments are: </w:t>
      </w:r>
    </w:p>
    <w:p w14:paraId="3EB87BBA" w14:textId="77777777" w:rsidR="00532B52" w:rsidRDefault="00532B52" w:rsidP="00532B52">
      <w:pPr>
        <w:pStyle w:val="Bullet1"/>
      </w:pPr>
      <w:r>
        <w:t>made and reported by the re</w:t>
      </w:r>
      <w:r w:rsidR="008616DD">
        <w:t xml:space="preserve">sponsible </w:t>
      </w:r>
      <w:r>
        <w:t>entity</w:t>
      </w:r>
    </w:p>
    <w:p w14:paraId="466F59B9" w14:textId="3D14D914" w:rsidR="00532B52" w:rsidRDefault="00532B52" w:rsidP="00532B52">
      <w:pPr>
        <w:pStyle w:val="Bullet1"/>
      </w:pPr>
      <w:r>
        <w:t xml:space="preserve">not reported in </w:t>
      </w:r>
      <w:hyperlink r:id="rId30" w:history="1">
        <w:r w:rsidR="00D07639" w:rsidRPr="00475C42">
          <w:rPr>
            <w:rStyle w:val="Hyperlink"/>
            <w:rFonts w:eastAsia="Times New Roman"/>
            <w:i w:val="0"/>
            <w:szCs w:val="24"/>
          </w:rPr>
          <w:t>Budget Paper No. 3</w:t>
        </w:r>
      </w:hyperlink>
    </w:p>
    <w:p w14:paraId="38D1EF2A" w14:textId="5DE424B3" w:rsidR="00532B52" w:rsidRDefault="00532B52" w:rsidP="009432F1">
      <w:pPr>
        <w:pStyle w:val="Bullet1"/>
      </w:pPr>
      <w:r>
        <w:t xml:space="preserve">may be subject to the </w:t>
      </w:r>
      <w:r w:rsidR="00BB069D" w:rsidRPr="008D6A42">
        <w:t>CGRGs</w:t>
      </w:r>
      <w:r>
        <w:t>.</w:t>
      </w:r>
    </w:p>
    <w:p w14:paraId="68D0F9BE" w14:textId="77777777" w:rsidR="009147E7" w:rsidRDefault="00445BDF">
      <w:pPr>
        <w:pStyle w:val="Heading1"/>
        <w:shd w:val="clear" w:color="auto" w:fill="BDDCDF" w:themeFill="accent1"/>
      </w:pPr>
      <w:bookmarkStart w:id="42" w:name="_Part_4_–"/>
      <w:bookmarkStart w:id="43" w:name="_Toc124171205"/>
      <w:bookmarkEnd w:id="42"/>
      <w:r>
        <w:t xml:space="preserve">Part 4 – </w:t>
      </w:r>
      <w:r w:rsidR="006C67A1">
        <w:t>C</w:t>
      </w:r>
      <w:r w:rsidR="0064053A">
        <w:t>lassification</w:t>
      </w:r>
      <w:r w:rsidR="00BB097A">
        <w:t xml:space="preserve"> c</w:t>
      </w:r>
      <w:r w:rsidR="003D227F">
        <w:t>riteria</w:t>
      </w:r>
      <w:r w:rsidR="00BB097A">
        <w:t xml:space="preserve"> and process</w:t>
      </w:r>
      <w:bookmarkEnd w:id="43"/>
    </w:p>
    <w:p w14:paraId="3409E5E9" w14:textId="77777777" w:rsidR="00E75C22" w:rsidRDefault="009869FB" w:rsidP="009432F1">
      <w:pPr>
        <w:pStyle w:val="NumberedList1"/>
      </w:pPr>
      <w:r w:rsidRPr="00A94E12">
        <w:t>T</w:t>
      </w:r>
      <w:r w:rsidR="002F523D">
        <w:t xml:space="preserve">wo </w:t>
      </w:r>
      <w:r w:rsidR="00CE4D49">
        <w:t>criteria</w:t>
      </w:r>
      <w:r w:rsidR="00CE4D49" w:rsidRPr="00A94E12">
        <w:t xml:space="preserve"> </w:t>
      </w:r>
      <w:r w:rsidRPr="00A94E12">
        <w:t>determin</w:t>
      </w:r>
      <w:r w:rsidR="008616DD">
        <w:t>e</w:t>
      </w:r>
      <w:r w:rsidRPr="00A94E12">
        <w:t xml:space="preserve"> </w:t>
      </w:r>
      <w:r w:rsidR="0064053A">
        <w:t>whether a</w:t>
      </w:r>
      <w:r w:rsidR="006C67A1">
        <w:t>n</w:t>
      </w:r>
      <w:r w:rsidR="006C67A1" w:rsidRPr="006C67A1">
        <w:t xml:space="preserve"> </w:t>
      </w:r>
      <w:r w:rsidR="006C67A1">
        <w:t xml:space="preserve">Australian Government payment </w:t>
      </w:r>
      <w:r w:rsidRPr="00A94E12">
        <w:t xml:space="preserve">to other levels of government </w:t>
      </w:r>
      <w:r w:rsidR="006C67A1">
        <w:t>is a payment for</w:t>
      </w:r>
      <w:r w:rsidR="008616DD">
        <w:t xml:space="preserve"> </w:t>
      </w:r>
      <w:r w:rsidR="0064053A">
        <w:t>s</w:t>
      </w:r>
      <w:r w:rsidR="00445BDF" w:rsidRPr="009432F1">
        <w:t>pecific purposes</w:t>
      </w:r>
      <w:r w:rsidR="00445BDF">
        <w:t xml:space="preserve"> or </w:t>
      </w:r>
      <w:r w:rsidR="0064053A">
        <w:t xml:space="preserve">a </w:t>
      </w:r>
      <w:r>
        <w:t>COPE</w:t>
      </w:r>
      <w:r w:rsidR="002F523D">
        <w:t xml:space="preserve">. </w:t>
      </w:r>
      <w:r w:rsidR="00144BAF">
        <w:t xml:space="preserve">If the payment is contestable the payment is classified as a COPE and the second criterion is not applied. </w:t>
      </w:r>
    </w:p>
    <w:p w14:paraId="7AC5E718" w14:textId="77777777" w:rsidR="006C3281" w:rsidRPr="00AD0FD5" w:rsidRDefault="006C67A1" w:rsidP="007F290F">
      <w:pPr>
        <w:pStyle w:val="Bullet1"/>
        <w:numPr>
          <w:ilvl w:val="0"/>
          <w:numId w:val="0"/>
        </w:numPr>
        <w:ind w:left="852" w:hanging="284"/>
      </w:pPr>
      <w:r>
        <w:rPr>
          <w:b/>
        </w:rPr>
        <w:t>1)</w:t>
      </w:r>
      <w:r w:rsidR="002F523D" w:rsidRPr="009432F1">
        <w:rPr>
          <w:b/>
        </w:rPr>
        <w:t xml:space="preserve"> </w:t>
      </w:r>
      <w:r w:rsidR="0047778E" w:rsidRPr="0047778E">
        <w:rPr>
          <w:b/>
        </w:rPr>
        <w:t>C</w:t>
      </w:r>
      <w:r w:rsidR="00E75C22" w:rsidRPr="00AD0FD5">
        <w:rPr>
          <w:b/>
        </w:rPr>
        <w:t>ontestability</w:t>
      </w:r>
      <w:r w:rsidR="00445BDF" w:rsidRPr="00AD0FD5">
        <w:rPr>
          <w:b/>
        </w:rPr>
        <w:t xml:space="preserve"> of the payment</w:t>
      </w:r>
      <w:r w:rsidR="002F523D" w:rsidRPr="009432F1">
        <w:rPr>
          <w:b/>
        </w:rPr>
        <w:t>(</w:t>
      </w:r>
      <w:r w:rsidR="006C3281" w:rsidRPr="00AD0FD5">
        <w:rPr>
          <w:b/>
        </w:rPr>
        <w:t>s</w:t>
      </w:r>
      <w:r w:rsidR="002F523D" w:rsidRPr="009432F1">
        <w:rPr>
          <w:b/>
        </w:rPr>
        <w:t>)</w:t>
      </w:r>
      <w:r w:rsidR="00AD0FD5">
        <w:t xml:space="preserve"> – w</w:t>
      </w:r>
      <w:r w:rsidR="008616DD" w:rsidRPr="00AD0FD5">
        <w:t xml:space="preserve">hether the funding </w:t>
      </w:r>
      <w:r w:rsidR="002F523D" w:rsidRPr="00AD0FD5">
        <w:t xml:space="preserve">is </w:t>
      </w:r>
      <w:r w:rsidR="00AE66E1" w:rsidRPr="00AD0FD5">
        <w:t>available to all sectors of the economy</w:t>
      </w:r>
      <w:r w:rsidR="006C3281" w:rsidRPr="00AD0FD5">
        <w:t>. Where the:</w:t>
      </w:r>
    </w:p>
    <w:p w14:paraId="153F808D" w14:textId="77777777" w:rsidR="006C3281" w:rsidRDefault="00287E9E" w:rsidP="00246F0C">
      <w:pPr>
        <w:pStyle w:val="Bullet2"/>
        <w:numPr>
          <w:ilvl w:val="0"/>
          <w:numId w:val="59"/>
        </w:numPr>
        <w:ind w:left="1276" w:hanging="425"/>
      </w:pPr>
      <w:r>
        <w:t>allocation of Australian Government</w:t>
      </w:r>
      <w:r w:rsidR="006C3281">
        <w:t xml:space="preserve"> funding is open to all sectors of the economy</w:t>
      </w:r>
      <w:r w:rsidR="000574DB">
        <w:t xml:space="preserve"> that can provide the required goods and services</w:t>
      </w:r>
      <w:r w:rsidR="006C3281">
        <w:t>, including all levels of government, this expenditure is a COPE (including fee-for-service type arrangements)</w:t>
      </w:r>
    </w:p>
    <w:p w14:paraId="40336C60" w14:textId="77777777" w:rsidR="00AE66E1" w:rsidRDefault="006C3281" w:rsidP="00246F0C">
      <w:pPr>
        <w:pStyle w:val="Bullet2"/>
        <w:numPr>
          <w:ilvl w:val="0"/>
          <w:numId w:val="59"/>
        </w:numPr>
        <w:ind w:left="1276" w:hanging="425"/>
      </w:pPr>
      <w:r w:rsidRPr="00D50CFB">
        <w:t>funding is not open and is re</w:t>
      </w:r>
      <w:r w:rsidRPr="00361D60">
        <w:t xml:space="preserve">stricted to other levels of government or particular bodies in areas of state government responsibility </w:t>
      </w:r>
      <w:r>
        <w:t>(e</w:t>
      </w:r>
      <w:r w:rsidR="00A63226">
        <w:t>.</w:t>
      </w:r>
      <w:r>
        <w:t>g</w:t>
      </w:r>
      <w:r w:rsidR="00A63226">
        <w:t>.</w:t>
      </w:r>
      <w:r>
        <w:t xml:space="preserve"> </w:t>
      </w:r>
      <w:r w:rsidRPr="00361D60">
        <w:t>public hospitals, schools and local councils</w:t>
      </w:r>
      <w:r>
        <w:t>)</w:t>
      </w:r>
      <w:r w:rsidRPr="00361D60">
        <w:t>, it may be classified as payments to</w:t>
      </w:r>
      <w:r w:rsidR="008F1416">
        <w:t>,</w:t>
      </w:r>
      <w:r w:rsidRPr="00361D60">
        <w:t xml:space="preserve"> or through</w:t>
      </w:r>
      <w:r w:rsidR="008F1416">
        <w:t>,</w:t>
      </w:r>
      <w:r w:rsidRPr="00361D60">
        <w:t xml:space="preserve"> the </w:t>
      </w:r>
      <w:r>
        <w:t>s</w:t>
      </w:r>
      <w:r w:rsidRPr="00361D60">
        <w:t>ta</w:t>
      </w:r>
      <w:r>
        <w:t>tes or direct local government</w:t>
      </w:r>
    </w:p>
    <w:p w14:paraId="7321E9DD" w14:textId="16A459EA" w:rsidR="001C679D" w:rsidRPr="00F878F4" w:rsidRDefault="002F523D" w:rsidP="00281400">
      <w:pPr>
        <w:pStyle w:val="Bullet1"/>
        <w:numPr>
          <w:ilvl w:val="0"/>
          <w:numId w:val="0"/>
        </w:numPr>
        <w:ind w:left="852" w:hanging="284"/>
      </w:pPr>
      <w:r w:rsidRPr="009432F1">
        <w:rPr>
          <w:b/>
        </w:rPr>
        <w:t>2</w:t>
      </w:r>
      <w:r w:rsidR="006C67A1">
        <w:rPr>
          <w:b/>
        </w:rPr>
        <w:t>)</w:t>
      </w:r>
      <w:r w:rsidRPr="009432F1">
        <w:rPr>
          <w:b/>
        </w:rPr>
        <w:t xml:space="preserve"> </w:t>
      </w:r>
      <w:r w:rsidR="008616DD" w:rsidRPr="007C3057">
        <w:rPr>
          <w:b/>
        </w:rPr>
        <w:t>The n</w:t>
      </w:r>
      <w:r w:rsidR="00E75C22" w:rsidRPr="007C3057">
        <w:rPr>
          <w:b/>
        </w:rPr>
        <w:t>ature of the transaction</w:t>
      </w:r>
      <w:r w:rsidRPr="009432F1">
        <w:rPr>
          <w:b/>
        </w:rPr>
        <w:t>(</w:t>
      </w:r>
      <w:r w:rsidR="00E75C22" w:rsidRPr="007C3057">
        <w:rPr>
          <w:b/>
        </w:rPr>
        <w:t>s</w:t>
      </w:r>
      <w:r w:rsidRPr="009432F1">
        <w:rPr>
          <w:b/>
        </w:rPr>
        <w:t>)</w:t>
      </w:r>
      <w:r w:rsidR="007C3057" w:rsidRPr="007C3057">
        <w:rPr>
          <w:bCs/>
          <w:iCs/>
        </w:rPr>
        <w:t xml:space="preserve"> </w:t>
      </w:r>
      <w:r w:rsidR="007C3057" w:rsidRPr="007C3057">
        <w:t>–</w:t>
      </w:r>
      <w:r w:rsidR="007C3057">
        <w:rPr>
          <w:b/>
          <w:bCs/>
          <w:iCs/>
        </w:rPr>
        <w:t xml:space="preserve"> </w:t>
      </w:r>
      <w:r w:rsidR="00E46288">
        <w:rPr>
          <w:bCs/>
          <w:iCs/>
        </w:rPr>
        <w:t>the</w:t>
      </w:r>
      <w:r w:rsidR="007C3057">
        <w:rPr>
          <w:bCs/>
          <w:iCs/>
        </w:rPr>
        <w:t xml:space="preserve"> </w:t>
      </w:r>
      <w:r w:rsidR="00AE66E1" w:rsidRPr="007C3057">
        <w:t>level of</w:t>
      </w:r>
      <w:r w:rsidR="007C3057">
        <w:t xml:space="preserve"> government</w:t>
      </w:r>
      <w:r w:rsidR="00E46288">
        <w:t xml:space="preserve"> with</w:t>
      </w:r>
      <w:r w:rsidR="007C3057">
        <w:t xml:space="preserve"> responsibility for the activity influence</w:t>
      </w:r>
      <w:r w:rsidR="00E46288">
        <w:t>s</w:t>
      </w:r>
      <w:r w:rsidR="007C3057" w:rsidRPr="00AD0FD5">
        <w:t xml:space="preserve"> classification as a COPE</w:t>
      </w:r>
      <w:r w:rsidR="00E75C22" w:rsidRPr="007C3057">
        <w:t>.</w:t>
      </w:r>
      <w:r w:rsidR="00E46288">
        <w:t xml:space="preserve"> A payment</w:t>
      </w:r>
      <w:r w:rsidR="006C3281" w:rsidRPr="007C3057">
        <w:t xml:space="preserve"> to other governments, or sectors regulated by other governments through legislation, for an activity under their responsibility will not typically be considered a COPE.</w:t>
      </w:r>
      <w:r w:rsidR="001C679D" w:rsidRPr="00F878F4">
        <w:t xml:space="preserve">A ‘payment through the states’ classification would be </w:t>
      </w:r>
      <w:r w:rsidR="001C679D">
        <w:t>used where</w:t>
      </w:r>
      <w:r w:rsidR="001C679D" w:rsidRPr="00F878F4">
        <w:t xml:space="preserve">: </w:t>
      </w:r>
    </w:p>
    <w:p w14:paraId="7715BB2B" w14:textId="77777777" w:rsidR="001C679D" w:rsidRPr="00F878F4" w:rsidRDefault="001C679D" w:rsidP="00281400">
      <w:pPr>
        <w:pStyle w:val="Bullet2"/>
        <w:numPr>
          <w:ilvl w:val="0"/>
          <w:numId w:val="59"/>
        </w:numPr>
        <w:ind w:left="1276" w:hanging="425"/>
      </w:pPr>
      <w:r w:rsidRPr="00F878F4">
        <w:t xml:space="preserve">the </w:t>
      </w:r>
      <w:r w:rsidR="00144BAF">
        <w:t xml:space="preserve">payment is for a specific purpose but </w:t>
      </w:r>
      <w:r w:rsidRPr="00F878F4">
        <w:t>the st</w:t>
      </w:r>
      <w:r w:rsidR="00A63226">
        <w:t>ates pass on the funding to non</w:t>
      </w:r>
      <w:r w:rsidR="00A63226">
        <w:noBreakHyphen/>
      </w:r>
      <w:r w:rsidRPr="00F878F4">
        <w:t>government entities (i</w:t>
      </w:r>
      <w:r w:rsidR="00A63226">
        <w:t>.</w:t>
      </w:r>
      <w:r w:rsidRPr="00F878F4">
        <w:t>e</w:t>
      </w:r>
      <w:r w:rsidR="00A63226">
        <w:t>.</w:t>
      </w:r>
      <w:r w:rsidRPr="00F878F4">
        <w:t xml:space="preserve"> states act as agents) such a</w:t>
      </w:r>
      <w:r w:rsidR="00A63226">
        <w:t>s payments for non</w:t>
      </w:r>
      <w:r w:rsidR="00A63226">
        <w:noBreakHyphen/>
      </w:r>
      <w:r w:rsidRPr="00F878F4">
        <w:t>government schools</w:t>
      </w:r>
    </w:p>
    <w:p w14:paraId="17BA5271" w14:textId="77777777" w:rsidR="001C679D" w:rsidRPr="00F878F4" w:rsidRDefault="001C679D" w:rsidP="00281400">
      <w:pPr>
        <w:pStyle w:val="Bullet2"/>
        <w:numPr>
          <w:ilvl w:val="0"/>
          <w:numId w:val="59"/>
        </w:numPr>
        <w:ind w:left="1276" w:hanging="425"/>
      </w:pPr>
      <w:r w:rsidRPr="00F878F4">
        <w:t>indirect Local Governments Assistance payments where the states have little impact on how the resources are used</w:t>
      </w:r>
    </w:p>
    <w:p w14:paraId="61F9693A" w14:textId="77777777" w:rsidR="001C679D" w:rsidRDefault="00F95083" w:rsidP="00281400">
      <w:pPr>
        <w:pStyle w:val="Bullet2"/>
        <w:numPr>
          <w:ilvl w:val="0"/>
          <w:numId w:val="59"/>
        </w:numPr>
        <w:ind w:left="1276" w:hanging="425"/>
      </w:pPr>
      <w:r>
        <w:t>programs</w:t>
      </w:r>
      <w:r w:rsidR="00F06A97" w:rsidRPr="00F878F4">
        <w:t xml:space="preserve"> </w:t>
      </w:r>
      <w:r w:rsidR="001C679D" w:rsidRPr="00F878F4">
        <w:t xml:space="preserve">are jointly administered by the Australian Government and states. </w:t>
      </w:r>
    </w:p>
    <w:p w14:paraId="3846CE68" w14:textId="48DE7606" w:rsidR="0029249C" w:rsidRDefault="0029249C" w:rsidP="009432F1">
      <w:pPr>
        <w:pStyle w:val="NumberedList1"/>
      </w:pPr>
      <w:r>
        <w:t>For e</w:t>
      </w:r>
      <w:r w:rsidDel="001A4AC7">
        <w:t>n</w:t>
      </w:r>
      <w:r w:rsidR="009432F1">
        <w:t>quiries regarding Commonwealth-s</w:t>
      </w:r>
      <w:r w:rsidDel="001A4AC7">
        <w:t>tate expenditure policy</w:t>
      </w:r>
      <w:r>
        <w:t>,</w:t>
      </w:r>
      <w:r w:rsidDel="001A4AC7">
        <w:t xml:space="preserve"> </w:t>
      </w:r>
      <w:r>
        <w:t xml:space="preserve">email </w:t>
      </w:r>
      <w:r w:rsidDel="001A4AC7">
        <w:t>the relevant Agency Advice Units</w:t>
      </w:r>
      <w:r w:rsidR="006A23D2">
        <w:t xml:space="preserve"> (AAUs)</w:t>
      </w:r>
      <w:r w:rsidDel="001A4AC7">
        <w:t xml:space="preserve">. </w:t>
      </w:r>
    </w:p>
    <w:p w14:paraId="0F693AAF" w14:textId="77777777" w:rsidR="003D227F" w:rsidRDefault="003D227F" w:rsidP="003D227F">
      <w:pPr>
        <w:pStyle w:val="Heading2"/>
      </w:pPr>
      <w:bookmarkStart w:id="44" w:name="_Toc124171206"/>
      <w:r>
        <w:t>Classification process</w:t>
      </w:r>
      <w:bookmarkEnd w:id="44"/>
    </w:p>
    <w:p w14:paraId="52FD0950" w14:textId="77777777" w:rsidR="00AD0FD5" w:rsidRPr="009432F1" w:rsidRDefault="007C3057" w:rsidP="009432F1">
      <w:pPr>
        <w:pStyle w:val="NumberedList1"/>
      </w:pPr>
      <w:bookmarkStart w:id="45" w:name="_Toc308092705"/>
      <w:bookmarkEnd w:id="29"/>
      <w:bookmarkEnd w:id="30"/>
      <w:bookmarkEnd w:id="31"/>
      <w:bookmarkEnd w:id="32"/>
      <w:bookmarkEnd w:id="33"/>
      <w:bookmarkEnd w:id="34"/>
      <w:r>
        <w:t>Figure 1 shows the</w:t>
      </w:r>
      <w:r w:rsidR="008407C1">
        <w:t xml:space="preserve"> process for classifying Australian Government payments to other levels of government (</w:t>
      </w:r>
      <w:r w:rsidR="008407C1" w:rsidRPr="009F7521">
        <w:t>including state government entities, authorities</w:t>
      </w:r>
      <w:r w:rsidR="008407C1">
        <w:t>, state</w:t>
      </w:r>
      <w:r w:rsidR="008407C1">
        <w:noBreakHyphen/>
        <w:t>owned corporations, local councils</w:t>
      </w:r>
      <w:r w:rsidR="002C72F6">
        <w:t>,</w:t>
      </w:r>
      <w:r w:rsidR="008407C1">
        <w:t xml:space="preserve"> etc).</w:t>
      </w:r>
    </w:p>
    <w:p w14:paraId="505B35AD" w14:textId="77777777" w:rsidR="006A5B46" w:rsidRPr="009432F1" w:rsidRDefault="007C3057" w:rsidP="009432F1">
      <w:pPr>
        <w:pStyle w:val="NumberedList1"/>
        <w:numPr>
          <w:ilvl w:val="0"/>
          <w:numId w:val="0"/>
        </w:numPr>
        <w:rPr>
          <w:rFonts w:ascii="Arial" w:eastAsia="MS Gothic" w:hAnsi="Arial" w:cs="Times New Roman"/>
          <w:b/>
          <w:bCs/>
          <w:iCs/>
          <w:color w:val="005A77"/>
          <w:spacing w:val="-6"/>
          <w:shd w:val="clear" w:color="auto" w:fill="auto"/>
          <w:lang w:val="en-US"/>
        </w:rPr>
      </w:pPr>
      <w:r w:rsidRPr="009432F1">
        <w:rPr>
          <w:rFonts w:ascii="Arial" w:eastAsia="MS Gothic" w:hAnsi="Arial" w:cs="Times New Roman"/>
          <w:b/>
          <w:bCs/>
          <w:iCs/>
          <w:color w:val="005A77"/>
          <w:spacing w:val="-6"/>
          <w:shd w:val="clear" w:color="auto" w:fill="auto"/>
          <w:lang w:val="en-US"/>
        </w:rPr>
        <w:t xml:space="preserve">Figure 1: </w:t>
      </w:r>
      <w:r w:rsidR="006C67A1">
        <w:rPr>
          <w:rFonts w:ascii="Arial" w:eastAsia="MS Gothic" w:hAnsi="Arial" w:cs="Times New Roman"/>
          <w:b/>
          <w:bCs/>
          <w:iCs/>
          <w:color w:val="005A77"/>
          <w:spacing w:val="-6"/>
          <w:shd w:val="clear" w:color="auto" w:fill="auto"/>
          <w:lang w:val="en-US"/>
        </w:rPr>
        <w:t>C</w:t>
      </w:r>
      <w:r w:rsidRPr="009432F1">
        <w:rPr>
          <w:rFonts w:ascii="Arial" w:eastAsia="MS Gothic" w:hAnsi="Arial" w:cs="Times New Roman"/>
          <w:b/>
          <w:bCs/>
          <w:iCs/>
          <w:color w:val="005A77"/>
          <w:spacing w:val="-6"/>
          <w:shd w:val="clear" w:color="auto" w:fill="auto"/>
          <w:lang w:val="en-US"/>
        </w:rPr>
        <w:t>lassify</w:t>
      </w:r>
      <w:r w:rsidR="00E46288" w:rsidRPr="009432F1">
        <w:rPr>
          <w:rFonts w:ascii="Arial" w:eastAsia="MS Gothic" w:hAnsi="Arial" w:cs="Times New Roman"/>
          <w:b/>
          <w:bCs/>
          <w:iCs/>
          <w:color w:val="005A77"/>
          <w:spacing w:val="-6"/>
          <w:shd w:val="clear" w:color="auto" w:fill="auto"/>
          <w:lang w:val="en-US"/>
        </w:rPr>
        <w:t>ing</w:t>
      </w:r>
      <w:r w:rsidRPr="009432F1">
        <w:rPr>
          <w:rFonts w:ascii="Arial" w:eastAsia="MS Gothic" w:hAnsi="Arial" w:cs="Times New Roman"/>
          <w:b/>
          <w:bCs/>
          <w:iCs/>
          <w:color w:val="005A77"/>
          <w:spacing w:val="-6"/>
          <w:shd w:val="clear" w:color="auto" w:fill="auto"/>
          <w:lang w:val="en-US"/>
        </w:rPr>
        <w:t xml:space="preserve"> </w:t>
      </w:r>
      <w:r w:rsidR="006A5B46" w:rsidRPr="009432F1">
        <w:rPr>
          <w:rFonts w:ascii="Arial" w:eastAsia="MS Gothic" w:hAnsi="Arial" w:cs="Times New Roman"/>
          <w:b/>
          <w:bCs/>
          <w:iCs/>
          <w:color w:val="005A77"/>
          <w:spacing w:val="-6"/>
          <w:shd w:val="clear" w:color="auto" w:fill="auto"/>
          <w:lang w:val="en-US"/>
        </w:rPr>
        <w:t>Australian Government payments to other levels of government</w:t>
      </w:r>
    </w:p>
    <w:p w14:paraId="5627121A" w14:textId="77777777" w:rsidR="00AD0FD5" w:rsidRDefault="001C679D" w:rsidP="009432F1">
      <w:pPr>
        <w:pStyle w:val="NumberedList1"/>
        <w:numPr>
          <w:ilvl w:val="0"/>
          <w:numId w:val="0"/>
        </w:numPr>
        <w:ind w:left="426" w:hanging="426"/>
      </w:pPr>
      <w:r>
        <w:rPr>
          <w:noProof/>
          <w:shd w:val="clear" w:color="auto" w:fill="auto"/>
          <w:lang w:eastAsia="en-AU"/>
        </w:rPr>
        <mc:AlternateContent>
          <mc:Choice Requires="wps">
            <w:drawing>
              <wp:anchor distT="0" distB="0" distL="114300" distR="114300" simplePos="0" relativeHeight="251747328" behindDoc="0" locked="0" layoutInCell="1" allowOverlap="1" wp14:anchorId="0A7E65F3" wp14:editId="2E19CE4E">
                <wp:simplePos x="0" y="0"/>
                <wp:positionH relativeFrom="column">
                  <wp:posOffset>604520</wp:posOffset>
                </wp:positionH>
                <wp:positionV relativeFrom="paragraph">
                  <wp:posOffset>2359024</wp:posOffset>
                </wp:positionV>
                <wp:extent cx="590550" cy="352425"/>
                <wp:effectExtent l="0" t="0" r="0" b="9525"/>
                <wp:wrapNone/>
                <wp:docPr id="122" name="Text Box 122"/>
                <wp:cNvGraphicFramePr/>
                <a:graphic xmlns:a="http://schemas.openxmlformats.org/drawingml/2006/main">
                  <a:graphicData uri="http://schemas.microsoft.com/office/word/2010/wordprocessingShape">
                    <wps:wsp>
                      <wps:cNvSpPr txBox="1"/>
                      <wps:spPr>
                        <a:xfrm flipH="1">
                          <a:off x="0" y="0"/>
                          <a:ext cx="590550" cy="352425"/>
                        </a:xfrm>
                        <a:prstGeom prst="rect">
                          <a:avLst/>
                        </a:prstGeom>
                        <a:solidFill>
                          <a:schemeClr val="bg1"/>
                        </a:solidFill>
                        <a:ln w="6350">
                          <a:noFill/>
                        </a:ln>
                      </wps:spPr>
                      <wps:txbx>
                        <w:txbxContent>
                          <w:p w14:paraId="70094B2F" w14:textId="77777777" w:rsidR="004B1A67" w:rsidRPr="009432F1" w:rsidRDefault="004B1A67" w:rsidP="009432F1">
                            <w:pPr>
                              <w:spacing w:before="120" w:line="20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2F964A5A" w14:textId="77777777" w:rsidR="004B1A67" w:rsidRDefault="004B1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7E65F3" id="_x0000_t202" coordsize="21600,21600" o:spt="202" path="m,l,21600r21600,l21600,xe">
                <v:stroke joinstyle="miter"/>
                <v:path gradientshapeok="t" o:connecttype="rect"/>
              </v:shapetype>
              <v:shape id="Text Box 122" o:spid="_x0000_s1026" type="#_x0000_t202" style="position:absolute;left:0;text-align:left;margin-left:47.6pt;margin-top:185.75pt;width:46.5pt;height:27.7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" fillcolor="white [3212]" stroked="f" strokeweight=".5pt">
                <v:textbox>
                  <w:txbxContent>
                    <w:p w14:paraId="70094B2F" w14:textId="77777777" w:rsidR="004B1A67" w:rsidRPr="009432F1" w:rsidRDefault="004B1A67" w:rsidP="009432F1">
                      <w:pPr>
                        <w:spacing w:before="120" w:line="20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p w14:paraId="2F964A5A" w14:textId="77777777" w:rsidR="004B1A67" w:rsidRDefault="004B1A67"/>
                  </w:txbxContent>
                </v:textbox>
              </v:shape>
            </w:pict>
          </mc:Fallback>
        </mc:AlternateContent>
      </w:r>
      <w:r>
        <w:rPr>
          <w:noProof/>
          <w:lang w:eastAsia="en-AU"/>
        </w:rPr>
        <mc:AlternateContent>
          <mc:Choice Requires="wps">
            <w:drawing>
              <wp:anchor distT="0" distB="0" distL="114300" distR="114300" simplePos="0" relativeHeight="251746304" behindDoc="0" locked="0" layoutInCell="1" allowOverlap="1" wp14:anchorId="2F0C5490" wp14:editId="0714E412">
                <wp:simplePos x="0" y="0"/>
                <wp:positionH relativeFrom="column">
                  <wp:posOffset>604520</wp:posOffset>
                </wp:positionH>
                <wp:positionV relativeFrom="paragraph">
                  <wp:posOffset>1025525</wp:posOffset>
                </wp:positionV>
                <wp:extent cx="504825" cy="352425"/>
                <wp:effectExtent l="0" t="0" r="9525" b="9525"/>
                <wp:wrapNone/>
                <wp:docPr id="121" name="Text Box 121"/>
                <wp:cNvGraphicFramePr/>
                <a:graphic xmlns:a="http://schemas.openxmlformats.org/drawingml/2006/main">
                  <a:graphicData uri="http://schemas.microsoft.com/office/word/2010/wordprocessingShape">
                    <wps:wsp>
                      <wps:cNvSpPr txBox="1"/>
                      <wps:spPr>
                        <a:xfrm>
                          <a:off x="0" y="0"/>
                          <a:ext cx="504825" cy="352425"/>
                        </a:xfrm>
                        <a:prstGeom prst="rect">
                          <a:avLst/>
                        </a:prstGeom>
                        <a:solidFill>
                          <a:schemeClr val="bg1"/>
                        </a:solidFill>
                        <a:ln w="6350">
                          <a:noFill/>
                        </a:ln>
                      </wps:spPr>
                      <wps:txbx>
                        <w:txbxContent>
                          <w:p w14:paraId="63EAB382" w14:textId="77777777" w:rsidR="004B1A67" w:rsidRPr="009432F1" w:rsidRDefault="004B1A67" w:rsidP="009432F1">
                            <w:pPr>
                              <w:spacing w:before="120" w:line="20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3DF57731" w14:textId="77777777" w:rsidR="004B1A67" w:rsidRDefault="004B1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0C5490" id="Text Box 121" o:spid="_x0000_s1027" type="#_x0000_t202" style="position:absolute;left:0;text-align:left;margin-left:47.6pt;margin-top:80.75pt;width:39.75pt;height:2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8+LgIAAFo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" fillcolor="white [3212]" stroked="f" strokeweight=".5pt">
                <v:textbox>
                  <w:txbxContent>
                    <w:p w14:paraId="63EAB382" w14:textId="77777777" w:rsidR="004B1A67" w:rsidRPr="009432F1" w:rsidRDefault="004B1A67" w:rsidP="009432F1">
                      <w:pPr>
                        <w:spacing w:before="120" w:line="20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3DF57731" w14:textId="77777777" w:rsidR="004B1A67" w:rsidRDefault="004B1A67"/>
                  </w:txbxContent>
                </v:textbox>
              </v:shape>
            </w:pict>
          </mc:Fallback>
        </mc:AlternateContent>
      </w:r>
      <w:r>
        <w:rPr>
          <w:noProof/>
          <w:lang w:eastAsia="en-AU"/>
        </w:rPr>
        <mc:AlternateContent>
          <mc:Choice Requires="wps">
            <w:drawing>
              <wp:anchor distT="0" distB="0" distL="114300" distR="114300" simplePos="0" relativeHeight="251745280" behindDoc="0" locked="0" layoutInCell="1" allowOverlap="1" wp14:anchorId="477E2C27" wp14:editId="4E70B50D">
                <wp:simplePos x="0" y="0"/>
                <wp:positionH relativeFrom="column">
                  <wp:posOffset>4133850</wp:posOffset>
                </wp:positionH>
                <wp:positionV relativeFrom="paragraph">
                  <wp:posOffset>1390015</wp:posOffset>
                </wp:positionV>
                <wp:extent cx="1495425" cy="914400"/>
                <wp:effectExtent l="0" t="0" r="9525" b="0"/>
                <wp:wrapNone/>
                <wp:docPr id="120" name="Text Box 120"/>
                <wp:cNvGraphicFramePr/>
                <a:graphic xmlns:a="http://schemas.openxmlformats.org/drawingml/2006/main">
                  <a:graphicData uri="http://schemas.microsoft.com/office/word/2010/wordprocessingShape">
                    <wps:wsp>
                      <wps:cNvSpPr txBox="1"/>
                      <wps:spPr>
                        <a:xfrm>
                          <a:off x="0" y="0"/>
                          <a:ext cx="1495425" cy="914400"/>
                        </a:xfrm>
                        <a:prstGeom prst="rect">
                          <a:avLst/>
                        </a:prstGeom>
                        <a:solidFill>
                          <a:srgbClr val="BDE9E8"/>
                        </a:solidFill>
                        <a:ln w="6350">
                          <a:noFill/>
                        </a:ln>
                      </wps:spPr>
                      <wps:txbx>
                        <w:txbxContent>
                          <w:p w14:paraId="15B31FA5" w14:textId="77777777" w:rsidR="004B1A67" w:rsidRPr="00846613" w:rsidRDefault="004B1A67" w:rsidP="009432F1">
                            <w:pPr>
                              <w:shd w:val="clear" w:color="auto" w:fill="BDE9E8"/>
                              <w:jc w:val="center"/>
                              <w:rPr>
                                <w:b/>
                              </w:rPr>
                            </w:pPr>
                            <w:r>
                              <w:rPr>
                                <w:b/>
                              </w:rPr>
                              <w:t xml:space="preserve">Payment is a </w:t>
                            </w:r>
                            <w:r w:rsidRPr="00846613">
                              <w:rPr>
                                <w:b/>
                              </w:rPr>
                              <w:t>COPE</w:t>
                            </w:r>
                          </w:p>
                          <w:p w14:paraId="13D1B956" w14:textId="77777777" w:rsidR="004B1A67" w:rsidRDefault="004B1A67" w:rsidP="009432F1">
                            <w:pPr>
                              <w:shd w:val="clear" w:color="auto" w:fill="BDE9E8"/>
                              <w:jc w:val="center"/>
                            </w:pPr>
                            <w:r>
                              <w:t xml:space="preserve">(e.g. other grants or </w:t>
                            </w:r>
                            <w:r>
                              <w:br/>
                              <w:t>fees for services)</w:t>
                            </w:r>
                          </w:p>
                          <w:p w14:paraId="6FBFDB27" w14:textId="77777777" w:rsidR="004B1A67" w:rsidRDefault="004B1A67" w:rsidP="009432F1">
                            <w:pPr>
                              <w:shd w:val="clear" w:color="auto" w:fill="BDE9E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E2C27" id="Text Box 120" o:spid="_x0000_s1028" type="#_x0000_t202" style="position:absolute;left:0;text-align:left;margin-left:325.5pt;margin-top:109.45pt;width:117.75pt;height:1in;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" fillcolor="#bde9e8" stroked="f" strokeweight=".5pt">
                <v:textbox>
                  <w:txbxContent>
                    <w:p w14:paraId="15B31FA5" w14:textId="77777777" w:rsidR="004B1A67" w:rsidRPr="00846613" w:rsidRDefault="004B1A67" w:rsidP="009432F1">
                      <w:pPr>
                        <w:shd w:val="clear" w:color="auto" w:fill="BDE9E8"/>
                        <w:jc w:val="center"/>
                        <w:rPr>
                          <w:b/>
                        </w:rPr>
                      </w:pPr>
                      <w:r>
                        <w:rPr>
                          <w:b/>
                        </w:rPr>
                        <w:t xml:space="preserve">Payment is a </w:t>
                      </w:r>
                      <w:r w:rsidRPr="00846613">
                        <w:rPr>
                          <w:b/>
                        </w:rPr>
                        <w:t>COPE</w:t>
                      </w:r>
                    </w:p>
                    <w:p w14:paraId="13D1B956" w14:textId="77777777" w:rsidR="004B1A67" w:rsidRDefault="004B1A67" w:rsidP="009432F1">
                      <w:pPr>
                        <w:shd w:val="clear" w:color="auto" w:fill="BDE9E8"/>
                        <w:jc w:val="center"/>
                      </w:pPr>
                      <w:r>
                        <w:t xml:space="preserve">(e.g. other grants or </w:t>
                      </w:r>
                      <w:r>
                        <w:br/>
                        <w:t>fees for services)</w:t>
                      </w:r>
                    </w:p>
                    <w:p w14:paraId="6FBFDB27" w14:textId="77777777" w:rsidR="004B1A67" w:rsidRDefault="004B1A67" w:rsidP="009432F1">
                      <w:pPr>
                        <w:shd w:val="clear" w:color="auto" w:fill="BDE9E8"/>
                      </w:pPr>
                    </w:p>
                  </w:txbxContent>
                </v:textbox>
              </v:shape>
            </w:pict>
          </mc:Fallback>
        </mc:AlternateContent>
      </w:r>
      <w:r>
        <w:rPr>
          <w:noProof/>
          <w:shd w:val="clear" w:color="auto" w:fill="auto"/>
          <w:lang w:eastAsia="en-AU"/>
        </w:rPr>
        <mc:AlternateContent>
          <mc:Choice Requires="wps">
            <w:drawing>
              <wp:anchor distT="0" distB="0" distL="114300" distR="114300" simplePos="0" relativeHeight="251742208" behindDoc="0" locked="0" layoutInCell="1" allowOverlap="1" wp14:anchorId="54DE883E" wp14:editId="781D882A">
                <wp:simplePos x="0" y="0"/>
                <wp:positionH relativeFrom="column">
                  <wp:posOffset>3319145</wp:posOffset>
                </wp:positionH>
                <wp:positionV relativeFrom="paragraph">
                  <wp:posOffset>1453515</wp:posOffset>
                </wp:positionV>
                <wp:extent cx="781050" cy="885825"/>
                <wp:effectExtent l="0" t="0" r="0" b="9525"/>
                <wp:wrapNone/>
                <wp:docPr id="115" name="Right Arrow 115"/>
                <wp:cNvGraphicFramePr/>
                <a:graphic xmlns:a="http://schemas.openxmlformats.org/drawingml/2006/main">
                  <a:graphicData uri="http://schemas.microsoft.com/office/word/2010/wordprocessingShape">
                    <wps:wsp>
                      <wps:cNvSpPr/>
                      <wps:spPr>
                        <a:xfrm>
                          <a:off x="0" y="0"/>
                          <a:ext cx="781050" cy="885825"/>
                        </a:xfrm>
                        <a:prstGeom prst="rightArrow">
                          <a:avLst/>
                        </a:prstGeom>
                        <a:solidFill>
                          <a:srgbClr val="ECB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38DD1" w14:textId="77777777" w:rsidR="004B1A67" w:rsidRPr="009432F1" w:rsidRDefault="004B1A67" w:rsidP="002370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0C247FF8" w14:textId="77777777" w:rsidR="004B1A67" w:rsidRDefault="004B1A67" w:rsidP="0023708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DE88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5" o:spid="_x0000_s1029" type="#_x0000_t13" style="position:absolute;left:0;text-align:left;margin-left:261.35pt;margin-top:114.45pt;width:61.5pt;height:6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" adj="10800" fillcolor="#ecbaa8" stroked="f" strokeweight="1pt">
                <v:textbox>
                  <w:txbxContent>
                    <w:p w14:paraId="7FC38DD1" w14:textId="77777777" w:rsidR="004B1A67" w:rsidRPr="009432F1" w:rsidRDefault="004B1A67" w:rsidP="0023708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p w14:paraId="0C247FF8" w14:textId="77777777" w:rsidR="004B1A67" w:rsidRDefault="004B1A67" w:rsidP="0023708C">
                      <w:pPr>
                        <w:jc w:val="center"/>
                      </w:pPr>
                    </w:p>
                  </w:txbxContent>
                </v:textbox>
              </v:shape>
            </w:pict>
          </mc:Fallback>
        </mc:AlternateContent>
      </w:r>
      <w:r w:rsidR="00AD0FD5">
        <w:rPr>
          <w:noProof/>
          <w:lang w:eastAsia="en-AU"/>
        </w:rPr>
        <mc:AlternateContent>
          <mc:Choice Requires="wps">
            <w:drawing>
              <wp:anchor distT="0" distB="0" distL="114300" distR="114300" simplePos="0" relativeHeight="251743232" behindDoc="0" locked="0" layoutInCell="1" allowOverlap="1" wp14:anchorId="1FFDA4B4" wp14:editId="60A4412A">
                <wp:simplePos x="0" y="0"/>
                <wp:positionH relativeFrom="column">
                  <wp:posOffset>4100195</wp:posOffset>
                </wp:positionH>
                <wp:positionV relativeFrom="paragraph">
                  <wp:posOffset>85090</wp:posOffset>
                </wp:positionV>
                <wp:extent cx="1495425" cy="914400"/>
                <wp:effectExtent l="0" t="0" r="9525" b="0"/>
                <wp:wrapNone/>
                <wp:docPr id="118" name="Text Box 118"/>
                <wp:cNvGraphicFramePr/>
                <a:graphic xmlns:a="http://schemas.openxmlformats.org/drawingml/2006/main">
                  <a:graphicData uri="http://schemas.microsoft.com/office/word/2010/wordprocessingShape">
                    <wps:wsp>
                      <wps:cNvSpPr txBox="1"/>
                      <wps:spPr>
                        <a:xfrm>
                          <a:off x="0" y="0"/>
                          <a:ext cx="1495425" cy="914400"/>
                        </a:xfrm>
                        <a:prstGeom prst="rect">
                          <a:avLst/>
                        </a:prstGeom>
                        <a:solidFill>
                          <a:srgbClr val="BDE9E8"/>
                        </a:solidFill>
                        <a:ln w="6350">
                          <a:noFill/>
                        </a:ln>
                      </wps:spPr>
                      <wps:txbx>
                        <w:txbxContent>
                          <w:p w14:paraId="1CE644D2" w14:textId="77777777" w:rsidR="004B1A67" w:rsidRPr="00846613" w:rsidRDefault="004B1A67" w:rsidP="009432F1">
                            <w:pPr>
                              <w:shd w:val="clear" w:color="auto" w:fill="BDE9E8"/>
                              <w:jc w:val="center"/>
                              <w:rPr>
                                <w:b/>
                              </w:rPr>
                            </w:pPr>
                            <w:r>
                              <w:rPr>
                                <w:b/>
                              </w:rPr>
                              <w:t xml:space="preserve">Payment is a </w:t>
                            </w:r>
                            <w:r w:rsidRPr="00846613">
                              <w:rPr>
                                <w:b/>
                              </w:rPr>
                              <w:t>COPE</w:t>
                            </w:r>
                          </w:p>
                          <w:p w14:paraId="48EAE0F7" w14:textId="77777777" w:rsidR="004B1A67" w:rsidRDefault="004B1A67" w:rsidP="009432F1">
                            <w:pPr>
                              <w:shd w:val="clear" w:color="auto" w:fill="BDE9E8"/>
                              <w:jc w:val="center"/>
                            </w:pPr>
                            <w:r>
                              <w:t xml:space="preserve">(e.g. other grants or </w:t>
                            </w:r>
                            <w:r>
                              <w:br/>
                              <w:t>fees for services)</w:t>
                            </w:r>
                          </w:p>
                          <w:p w14:paraId="75C531CE" w14:textId="77777777" w:rsidR="004B1A67" w:rsidRDefault="004B1A67" w:rsidP="009432F1">
                            <w:pPr>
                              <w:shd w:val="clear" w:color="auto" w:fill="BDE9E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DA4B4" id="Text Box 118" o:spid="_x0000_s1030" type="#_x0000_t202" style="position:absolute;left:0;text-align:left;margin-left:322.85pt;margin-top:6.7pt;width:117.75pt;height:1in;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" fillcolor="#bde9e8" stroked="f" strokeweight=".5pt">
                <v:textbox>
                  <w:txbxContent>
                    <w:p w14:paraId="1CE644D2" w14:textId="77777777" w:rsidR="004B1A67" w:rsidRPr="00846613" w:rsidRDefault="004B1A67" w:rsidP="009432F1">
                      <w:pPr>
                        <w:shd w:val="clear" w:color="auto" w:fill="BDE9E8"/>
                        <w:jc w:val="center"/>
                        <w:rPr>
                          <w:b/>
                        </w:rPr>
                      </w:pPr>
                      <w:r>
                        <w:rPr>
                          <w:b/>
                        </w:rPr>
                        <w:t xml:space="preserve">Payment is a </w:t>
                      </w:r>
                      <w:r w:rsidRPr="00846613">
                        <w:rPr>
                          <w:b/>
                        </w:rPr>
                        <w:t>COPE</w:t>
                      </w:r>
                    </w:p>
                    <w:p w14:paraId="48EAE0F7" w14:textId="77777777" w:rsidR="004B1A67" w:rsidRDefault="004B1A67" w:rsidP="009432F1">
                      <w:pPr>
                        <w:shd w:val="clear" w:color="auto" w:fill="BDE9E8"/>
                        <w:jc w:val="center"/>
                      </w:pPr>
                      <w:r>
                        <w:t xml:space="preserve">(e.g. other grants or </w:t>
                      </w:r>
                      <w:r>
                        <w:br/>
                        <w:t>fees for services)</w:t>
                      </w:r>
                    </w:p>
                    <w:p w14:paraId="75C531CE" w14:textId="77777777" w:rsidR="004B1A67" w:rsidRDefault="004B1A67" w:rsidP="009432F1">
                      <w:pPr>
                        <w:shd w:val="clear" w:color="auto" w:fill="BDE9E8"/>
                      </w:pPr>
                    </w:p>
                  </w:txbxContent>
                </v:textbox>
              </v:shape>
            </w:pict>
          </mc:Fallback>
        </mc:AlternateContent>
      </w:r>
      <w:r w:rsidR="00E57A67">
        <w:rPr>
          <w:noProof/>
          <w:shd w:val="clear" w:color="auto" w:fill="auto"/>
          <w:lang w:eastAsia="en-AU"/>
        </w:rPr>
        <mc:AlternateContent>
          <mc:Choice Requires="wps">
            <w:drawing>
              <wp:anchor distT="0" distB="0" distL="114300" distR="114300" simplePos="0" relativeHeight="251740160" behindDoc="0" locked="0" layoutInCell="1" allowOverlap="1" wp14:anchorId="1864D5CE" wp14:editId="6F6B08BD">
                <wp:simplePos x="0" y="0"/>
                <wp:positionH relativeFrom="column">
                  <wp:posOffset>3300094</wp:posOffset>
                </wp:positionH>
                <wp:positionV relativeFrom="paragraph">
                  <wp:posOffset>129540</wp:posOffset>
                </wp:positionV>
                <wp:extent cx="771525" cy="857250"/>
                <wp:effectExtent l="0" t="0" r="9525" b="0"/>
                <wp:wrapNone/>
                <wp:docPr id="114" name="Right Arrow 114"/>
                <wp:cNvGraphicFramePr/>
                <a:graphic xmlns:a="http://schemas.openxmlformats.org/drawingml/2006/main">
                  <a:graphicData uri="http://schemas.microsoft.com/office/word/2010/wordprocessingShape">
                    <wps:wsp>
                      <wps:cNvSpPr/>
                      <wps:spPr>
                        <a:xfrm>
                          <a:off x="0" y="0"/>
                          <a:ext cx="771525" cy="857250"/>
                        </a:xfrm>
                        <a:prstGeom prst="rightArrow">
                          <a:avLst/>
                        </a:prstGeom>
                        <a:solidFill>
                          <a:srgbClr val="ECB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5BDC0" w14:textId="77777777" w:rsidR="004B1A67" w:rsidRPr="009432F1" w:rsidRDefault="004B1A67" w:rsidP="009432F1">
                            <w:pPr>
                              <w:jc w:val="center"/>
                              <w:rPr>
                                <w:b/>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64D5CE" id="Right Arrow 114" o:spid="_x0000_s1031" type="#_x0000_t13" style="position:absolute;left:0;text-align:left;margin-left:259.85pt;margin-top:10.2pt;width:60.75pt;height: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" adj="10800" fillcolor="#ecbaa8" stroked="f" strokeweight="1pt">
                <v:textbox>
                  <w:txbxContent>
                    <w:p w14:paraId="14E5BDC0" w14:textId="77777777" w:rsidR="004B1A67" w:rsidRPr="009432F1" w:rsidRDefault="004B1A67" w:rsidP="009432F1">
                      <w:pPr>
                        <w:jc w:val="center"/>
                        <w:rPr>
                          <w:b/>
                        </w:rPr>
                      </w:pPr>
                      <w:r w:rsidRPr="009432F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shape>
            </w:pict>
          </mc:Fallback>
        </mc:AlternateContent>
      </w:r>
      <w:r w:rsidR="0064053A">
        <w:rPr>
          <w:noProof/>
          <w:lang w:eastAsia="en-AU"/>
        </w:rPr>
        <w:drawing>
          <wp:inline distT="0" distB="0" distL="0" distR="0" wp14:anchorId="783B30BE" wp14:editId="11C9F36B">
            <wp:extent cx="3457575" cy="3581400"/>
            <wp:effectExtent l="0" t="0" r="28575" b="19050"/>
            <wp:docPr id="113" name="Diagram 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sidR="00AD0FD5" w:rsidRPr="00AD0F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3EE4AA2" w14:textId="77777777" w:rsidR="003D227F" w:rsidRDefault="003D227F" w:rsidP="009432F1">
      <w:pPr>
        <w:pStyle w:val="Heading2"/>
      </w:pPr>
      <w:bookmarkStart w:id="46" w:name="_Toc124171207"/>
      <w:r>
        <w:t>Illustrative examples</w:t>
      </w:r>
      <w:bookmarkEnd w:id="46"/>
    </w:p>
    <w:p w14:paraId="57B204DD" w14:textId="77777777" w:rsidR="003D227F" w:rsidRDefault="003D227F" w:rsidP="009432F1">
      <w:pPr>
        <w:pStyle w:val="NumberedList1"/>
      </w:pPr>
      <w:r>
        <w:t xml:space="preserve">The following are hypothetical examples that illustrate the application of the </w:t>
      </w:r>
      <w:hyperlink w:anchor="_Part_4_–" w:history="1">
        <w:r w:rsidRPr="00391201">
          <w:rPr>
            <w:rStyle w:val="Hyperlink"/>
            <w:rFonts w:eastAsia="Times New Roman"/>
            <w:i w:val="0"/>
            <w:szCs w:val="24"/>
          </w:rPr>
          <w:t>classification criteria and process</w:t>
        </w:r>
      </w:hyperlink>
      <w:r w:rsidRPr="00391201">
        <w:rPr>
          <w:rStyle w:val="Hyperlink"/>
          <w:rFonts w:eastAsia="Times New Roman"/>
          <w:i w:val="0"/>
          <w:szCs w:val="24"/>
          <w:u w:val="none"/>
        </w:rPr>
        <w:t xml:space="preserve"> </w:t>
      </w:r>
      <w:r>
        <w:t>to classify Australian Government payments to the states</w:t>
      </w:r>
      <w:r w:rsidRPr="00361D60">
        <w:t>.</w:t>
      </w:r>
    </w:p>
    <w:p w14:paraId="63716E38" w14:textId="77777777" w:rsidR="004A4EC6" w:rsidRPr="00F878F4" w:rsidRDefault="004A4EC6" w:rsidP="004A4EC6">
      <w:pPr>
        <w:pStyle w:val="Tabletitle"/>
        <w:numPr>
          <w:ilvl w:val="0"/>
          <w:numId w:val="0"/>
        </w:numPr>
        <w:rPr>
          <w:sz w:val="18"/>
          <w:szCs w:val="18"/>
        </w:rPr>
      </w:pPr>
      <w:r>
        <w:rPr>
          <w:sz w:val="22"/>
          <w:szCs w:val="22"/>
        </w:rPr>
        <w:t>E</w:t>
      </w:r>
      <w:r w:rsidRPr="00391201">
        <w:rPr>
          <w:sz w:val="22"/>
          <w:szCs w:val="22"/>
        </w:rPr>
        <w:t xml:space="preserve">xample </w:t>
      </w:r>
      <w:r>
        <w:rPr>
          <w:sz w:val="22"/>
          <w:szCs w:val="22"/>
        </w:rPr>
        <w:t>1:</w:t>
      </w:r>
      <w:r>
        <w:rPr>
          <w:sz w:val="22"/>
          <w:szCs w:val="22"/>
        </w:rPr>
        <w:tab/>
        <w:t>Classified as ‘</w:t>
      </w:r>
      <w:r w:rsidRPr="00391201">
        <w:rPr>
          <w:sz w:val="22"/>
          <w:szCs w:val="22"/>
        </w:rPr>
        <w:t>COPE</w:t>
      </w:r>
      <w:r>
        <w:rPr>
          <w:sz w:val="22"/>
          <w:szCs w:val="22"/>
        </w:rPr>
        <w:t xml:space="preserve">’ </w:t>
      </w:r>
    </w:p>
    <w:p w14:paraId="0410724C" w14:textId="77777777" w:rsidR="009D6FB6" w:rsidRDefault="004A4EC6" w:rsidP="004A7C72">
      <w:pPr>
        <w:pStyle w:val="Boxed2Text"/>
        <w:pBdr>
          <w:bottom w:val="single" w:sz="4" w:space="31" w:color="BDDCDF" w:themeColor="accent1"/>
        </w:pBdr>
        <w:shd w:val="clear" w:color="auto" w:fill="F2F2F2" w:themeFill="background1" w:themeFillShade="F2"/>
      </w:pPr>
      <w:r w:rsidRPr="00391201">
        <w:rPr>
          <w:b/>
        </w:rPr>
        <w:t>Scenario:</w:t>
      </w:r>
      <w:r w:rsidRPr="00F878F4">
        <w:t xml:space="preserve"> </w:t>
      </w:r>
      <w:r>
        <w:t>T</w:t>
      </w:r>
      <w:r w:rsidRPr="00F878F4">
        <w:t>o su</w:t>
      </w:r>
      <w:r>
        <w:t>pport older people</w:t>
      </w:r>
      <w:r w:rsidRPr="00F878F4">
        <w:t xml:space="preserve">, the </w:t>
      </w:r>
      <w:r>
        <w:t>Australian G</w:t>
      </w:r>
      <w:r w:rsidRPr="00F878F4">
        <w:t>overnment decided to fund th</w:t>
      </w:r>
      <w:r>
        <w:t xml:space="preserve">e costs of a robot for each Australian aged over 70 years and living </w:t>
      </w:r>
      <w:r w:rsidR="00A07189">
        <w:t xml:space="preserve">at </w:t>
      </w:r>
      <w:r>
        <w:t xml:space="preserve">home. The trial </w:t>
      </w:r>
      <w:r w:rsidR="00A07189">
        <w:t xml:space="preserve">program </w:t>
      </w:r>
      <w:r>
        <w:t xml:space="preserve">made grants </w:t>
      </w:r>
      <w:r w:rsidRPr="00F878F4">
        <w:t xml:space="preserve">through </w:t>
      </w:r>
      <w:r>
        <w:t xml:space="preserve">a </w:t>
      </w:r>
      <w:r w:rsidR="00A07189">
        <w:t xml:space="preserve">competitive tender process using selection </w:t>
      </w:r>
      <w:r>
        <w:t>criteria</w:t>
      </w:r>
      <w:r w:rsidR="00A07189">
        <w:t xml:space="preserve">, which resulted </w:t>
      </w:r>
      <w:r w:rsidR="00F06A97">
        <w:t xml:space="preserve">in </w:t>
      </w:r>
      <w:r>
        <w:t>s</w:t>
      </w:r>
      <w:r w:rsidR="00A07189">
        <w:t>tate governments being selected as</w:t>
      </w:r>
      <w:r w:rsidRPr="00F878F4">
        <w:t xml:space="preserve"> service providers. </w:t>
      </w:r>
    </w:p>
    <w:p w14:paraId="40060328" w14:textId="7191DE77" w:rsidR="004A4EC6" w:rsidRDefault="004A4EC6" w:rsidP="004A4EC6">
      <w:pPr>
        <w:pStyle w:val="Boxed2Text"/>
        <w:shd w:val="clear" w:color="auto" w:fill="F2F2F2" w:themeFill="background1" w:themeFillShade="F2"/>
      </w:pPr>
      <w:r>
        <w:rPr>
          <w:b/>
        </w:rPr>
        <w:t>Process</w:t>
      </w:r>
      <w:r w:rsidRPr="00391201">
        <w:rPr>
          <w:b/>
        </w:rPr>
        <w:t>:</w:t>
      </w:r>
      <w:r w:rsidRPr="00F878F4">
        <w:t xml:space="preserve"> </w:t>
      </w:r>
      <w:r>
        <w:t>To determine the classification of the payments, consideration is given to:</w:t>
      </w:r>
      <w:r w:rsidRPr="00F878F4">
        <w:t xml:space="preserve"> </w:t>
      </w:r>
    </w:p>
    <w:p w14:paraId="41B3F703" w14:textId="77777777" w:rsidR="004A4EC6" w:rsidRDefault="004A4EC6" w:rsidP="004A4EC6">
      <w:pPr>
        <w:pStyle w:val="Boxed2Text"/>
        <w:numPr>
          <w:ilvl w:val="0"/>
          <w:numId w:val="57"/>
        </w:numPr>
        <w:shd w:val="clear" w:color="auto" w:fill="F2F2F2" w:themeFill="background1" w:themeFillShade="F2"/>
        <w:ind w:hanging="720"/>
      </w:pPr>
      <w:r w:rsidRPr="00F878F4">
        <w:t xml:space="preserve">contestability – </w:t>
      </w:r>
      <w:r>
        <w:t xml:space="preserve">the Australia Government </w:t>
      </w:r>
      <w:r w:rsidRPr="00F878F4">
        <w:t>funding is available to all sectors of the economy, including other levels of government</w:t>
      </w:r>
      <w:r>
        <w:t xml:space="preserve"> </w:t>
      </w:r>
    </w:p>
    <w:p w14:paraId="301813FE" w14:textId="77777777" w:rsidR="004A4EC6" w:rsidRDefault="004A4EC6" w:rsidP="004A4EC6">
      <w:pPr>
        <w:pStyle w:val="Boxed2Text"/>
        <w:numPr>
          <w:ilvl w:val="0"/>
          <w:numId w:val="57"/>
        </w:numPr>
        <w:shd w:val="clear" w:color="auto" w:fill="F2F2F2" w:themeFill="background1" w:themeFillShade="F2"/>
        <w:ind w:hanging="720"/>
      </w:pPr>
      <w:r>
        <w:t>this scenario, the second criterion is not required.</w:t>
      </w:r>
    </w:p>
    <w:p w14:paraId="26C3D250" w14:textId="77777777" w:rsidR="004A4EC6" w:rsidRPr="00F878F4" w:rsidRDefault="004A4EC6" w:rsidP="004A4EC6">
      <w:pPr>
        <w:pStyle w:val="Boxed2Text"/>
        <w:shd w:val="clear" w:color="auto" w:fill="F2F2F2" w:themeFill="background1" w:themeFillShade="F2"/>
      </w:pPr>
      <w:r w:rsidRPr="00590C93">
        <w:rPr>
          <w:b/>
        </w:rPr>
        <w:t>Classification:</w:t>
      </w:r>
      <w:r>
        <w:t xml:space="preserve"> Payments are </w:t>
      </w:r>
      <w:r w:rsidRPr="00F878F4">
        <w:t xml:space="preserve">a COPE and </w:t>
      </w:r>
      <w:r>
        <w:t xml:space="preserve">subject to the </w:t>
      </w:r>
      <w:hyperlink r:id="rId36" w:history="1">
        <w:r w:rsidRPr="00361D60">
          <w:rPr>
            <w:rStyle w:val="Hyperlink"/>
            <w:rFonts w:eastAsia="Times New Roman"/>
            <w:i w:val="0"/>
            <w:szCs w:val="24"/>
          </w:rPr>
          <w:t>CGRGs</w:t>
        </w:r>
      </w:hyperlink>
      <w:r>
        <w:t>.</w:t>
      </w:r>
      <w:r w:rsidRPr="00F878F4">
        <w:t xml:space="preserve"> </w:t>
      </w:r>
    </w:p>
    <w:p w14:paraId="41681523" w14:textId="77777777" w:rsidR="003D227F" w:rsidRPr="00391201" w:rsidRDefault="003D227F" w:rsidP="003D227F">
      <w:pPr>
        <w:pStyle w:val="Tabletitle"/>
        <w:numPr>
          <w:ilvl w:val="0"/>
          <w:numId w:val="0"/>
        </w:numPr>
        <w:rPr>
          <w:sz w:val="22"/>
          <w:szCs w:val="22"/>
        </w:rPr>
      </w:pPr>
      <w:r w:rsidRPr="00391201">
        <w:rPr>
          <w:sz w:val="22"/>
          <w:szCs w:val="22"/>
        </w:rPr>
        <w:t xml:space="preserve">Example </w:t>
      </w:r>
      <w:r w:rsidR="004A4EC6">
        <w:rPr>
          <w:sz w:val="22"/>
          <w:szCs w:val="22"/>
        </w:rPr>
        <w:t>2</w:t>
      </w:r>
      <w:r w:rsidRPr="00391201">
        <w:rPr>
          <w:sz w:val="22"/>
          <w:szCs w:val="22"/>
        </w:rPr>
        <w:t xml:space="preserve">: </w:t>
      </w:r>
      <w:r>
        <w:rPr>
          <w:sz w:val="22"/>
          <w:szCs w:val="22"/>
        </w:rPr>
        <w:tab/>
        <w:t>Classified as ‘p</w:t>
      </w:r>
      <w:r w:rsidRPr="00391201">
        <w:rPr>
          <w:sz w:val="22"/>
          <w:szCs w:val="22"/>
        </w:rPr>
        <w:t>a</w:t>
      </w:r>
      <w:r w:rsidRPr="003141BA">
        <w:rPr>
          <w:sz w:val="22"/>
          <w:szCs w:val="22"/>
        </w:rPr>
        <w:t xml:space="preserve">yments to </w:t>
      </w:r>
      <w:r w:rsidRPr="00391201">
        <w:rPr>
          <w:sz w:val="22"/>
          <w:szCs w:val="22"/>
        </w:rPr>
        <w:t>the states</w:t>
      </w:r>
      <w:r>
        <w:rPr>
          <w:sz w:val="22"/>
          <w:szCs w:val="22"/>
        </w:rPr>
        <w:t>’</w:t>
      </w:r>
    </w:p>
    <w:p w14:paraId="50FFC3E5" w14:textId="77777777" w:rsidR="003D227F" w:rsidRPr="003141BA" w:rsidRDefault="003D227F" w:rsidP="003D227F">
      <w:pPr>
        <w:pStyle w:val="Boxed2Text"/>
        <w:shd w:val="clear" w:color="auto" w:fill="F2F2F2" w:themeFill="background1" w:themeFillShade="F2"/>
      </w:pPr>
      <w:r w:rsidRPr="00391201">
        <w:rPr>
          <w:b/>
        </w:rPr>
        <w:t>Scenario:</w:t>
      </w:r>
      <w:r w:rsidRPr="003141BA">
        <w:t xml:space="preserve"> A state government announced that it will fund the redevelopment of a public children’s hospital. The Australian Government will contribute $200</w:t>
      </w:r>
      <w:r w:rsidR="008F1416">
        <w:t xml:space="preserve"> </w:t>
      </w:r>
      <w:r w:rsidRPr="003141BA">
        <w:t>m</w:t>
      </w:r>
      <w:r w:rsidR="008F1416">
        <w:t>illion</w:t>
      </w:r>
      <w:r w:rsidR="00A63226">
        <w:t>.</w:t>
      </w:r>
    </w:p>
    <w:p w14:paraId="7F0AFC68" w14:textId="77777777" w:rsidR="003D227F" w:rsidRDefault="003D227F" w:rsidP="003D227F">
      <w:pPr>
        <w:pStyle w:val="Boxed2Text"/>
        <w:shd w:val="clear" w:color="auto" w:fill="F2F2F2" w:themeFill="background1" w:themeFillShade="F2"/>
      </w:pPr>
      <w:r>
        <w:rPr>
          <w:b/>
        </w:rPr>
        <w:t>Process</w:t>
      </w:r>
      <w:r w:rsidRPr="00391201">
        <w:rPr>
          <w:b/>
        </w:rPr>
        <w:t>:</w:t>
      </w:r>
      <w:r w:rsidRPr="003141BA">
        <w:t xml:space="preserve"> </w:t>
      </w:r>
      <w:r>
        <w:t>To determine the classification of the payments, consideration is given to:</w:t>
      </w:r>
      <w:r w:rsidRPr="00F878F4">
        <w:t xml:space="preserve"> </w:t>
      </w:r>
    </w:p>
    <w:p w14:paraId="63822847" w14:textId="77777777" w:rsidR="003D227F" w:rsidRDefault="003D227F" w:rsidP="009432F1">
      <w:pPr>
        <w:pStyle w:val="Boxed2Text"/>
        <w:numPr>
          <w:ilvl w:val="0"/>
          <w:numId w:val="54"/>
        </w:numPr>
        <w:shd w:val="clear" w:color="auto" w:fill="F2F2F2" w:themeFill="background1" w:themeFillShade="F2"/>
        <w:ind w:hanging="720"/>
      </w:pPr>
      <w:r w:rsidRPr="00F878F4">
        <w:t xml:space="preserve">contestability – </w:t>
      </w:r>
      <w:r>
        <w:t xml:space="preserve">the </w:t>
      </w:r>
      <w:r w:rsidRPr="003141BA">
        <w:t>Australian Government’s</w:t>
      </w:r>
      <w:r w:rsidRPr="00F878F4">
        <w:t xml:space="preserve"> contribution of $</w:t>
      </w:r>
      <w:r>
        <w:t>200</w:t>
      </w:r>
      <w:r w:rsidR="008F1416">
        <w:t xml:space="preserve"> </w:t>
      </w:r>
      <w:r>
        <w:t>m</w:t>
      </w:r>
      <w:r w:rsidR="008F1416">
        <w:t>illion</w:t>
      </w:r>
      <w:r>
        <w:t xml:space="preserve"> </w:t>
      </w:r>
      <w:r w:rsidRPr="00F878F4">
        <w:t xml:space="preserve">is provided directly to the state government </w:t>
      </w:r>
      <w:r>
        <w:t xml:space="preserve">so it is </w:t>
      </w:r>
      <w:r w:rsidR="004A4EC6">
        <w:t>non-contestable</w:t>
      </w:r>
    </w:p>
    <w:p w14:paraId="1350076F" w14:textId="77777777" w:rsidR="003D227F" w:rsidRDefault="003D227F" w:rsidP="009432F1">
      <w:pPr>
        <w:pStyle w:val="Boxed2Text"/>
        <w:numPr>
          <w:ilvl w:val="0"/>
          <w:numId w:val="54"/>
        </w:numPr>
        <w:shd w:val="clear" w:color="auto" w:fill="F2F2F2" w:themeFill="background1" w:themeFillShade="F2"/>
        <w:ind w:hanging="720"/>
      </w:pPr>
      <w:r>
        <w:t>the nature</w:t>
      </w:r>
      <w:r w:rsidRPr="00F878F4">
        <w:t xml:space="preserve"> of </w:t>
      </w:r>
      <w:r>
        <w:t xml:space="preserve">the </w:t>
      </w:r>
      <w:r w:rsidRPr="00F878F4">
        <w:t xml:space="preserve">transaction – the hospital is a part of </w:t>
      </w:r>
      <w:r w:rsidR="00A63226">
        <w:t xml:space="preserve">the </w:t>
      </w:r>
      <w:r w:rsidRPr="00F878F4">
        <w:t>state health system and the state is responsible for the delivery of public hospital services. The state government funds the project and is responsible for the delivery of the project</w:t>
      </w:r>
      <w:r>
        <w:t>.</w:t>
      </w:r>
    </w:p>
    <w:p w14:paraId="0039E66C" w14:textId="77777777" w:rsidR="003D227F" w:rsidRPr="00F878F4" w:rsidRDefault="003D227F" w:rsidP="003D227F">
      <w:pPr>
        <w:pStyle w:val="Boxed2Text"/>
        <w:shd w:val="clear" w:color="auto" w:fill="F2F2F2" w:themeFill="background1" w:themeFillShade="F2"/>
      </w:pPr>
      <w:r w:rsidRPr="00391201">
        <w:rPr>
          <w:b/>
        </w:rPr>
        <w:t>Classification:</w:t>
      </w:r>
      <w:r>
        <w:t xml:space="preserve"> </w:t>
      </w:r>
      <w:r w:rsidR="004A4EC6">
        <w:t>The c</w:t>
      </w:r>
      <w:r w:rsidRPr="00F878F4">
        <w:t>ont</w:t>
      </w:r>
      <w:r>
        <w:t>ribution is</w:t>
      </w:r>
      <w:r w:rsidR="004A4EC6">
        <w:t xml:space="preserve"> a</w:t>
      </w:r>
      <w:r>
        <w:t xml:space="preserve"> ‘payment</w:t>
      </w:r>
      <w:r w:rsidR="004A4EC6">
        <w:t xml:space="preserve"> to the states’ under </w:t>
      </w:r>
      <w:r w:rsidRPr="00F878F4">
        <w:t>the FFR framework and</w:t>
      </w:r>
      <w:r>
        <w:t xml:space="preserve"> </w:t>
      </w:r>
      <w:r w:rsidR="004A4EC6">
        <w:t xml:space="preserve">is </w:t>
      </w:r>
      <w:r>
        <w:t xml:space="preserve">published in </w:t>
      </w:r>
      <w:r w:rsidR="00D07639">
        <w:t>Budget Paper No. 3</w:t>
      </w:r>
      <w:r w:rsidRPr="00F878F4">
        <w:t xml:space="preserve">. </w:t>
      </w:r>
    </w:p>
    <w:p w14:paraId="48498072" w14:textId="77777777" w:rsidR="004A4EC6" w:rsidRPr="00391201" w:rsidRDefault="004A4EC6" w:rsidP="004A4EC6">
      <w:pPr>
        <w:pStyle w:val="Tabletitle"/>
        <w:numPr>
          <w:ilvl w:val="0"/>
          <w:numId w:val="0"/>
        </w:numPr>
        <w:rPr>
          <w:sz w:val="22"/>
          <w:szCs w:val="22"/>
        </w:rPr>
      </w:pPr>
      <w:r w:rsidRPr="00391201">
        <w:rPr>
          <w:sz w:val="22"/>
          <w:szCs w:val="22"/>
        </w:rPr>
        <w:t xml:space="preserve">Example </w:t>
      </w:r>
      <w:r>
        <w:rPr>
          <w:sz w:val="22"/>
          <w:szCs w:val="22"/>
        </w:rPr>
        <w:t>3</w:t>
      </w:r>
      <w:r w:rsidRPr="00391201">
        <w:rPr>
          <w:sz w:val="22"/>
          <w:szCs w:val="22"/>
        </w:rPr>
        <w:t xml:space="preserve">: </w:t>
      </w:r>
      <w:r>
        <w:rPr>
          <w:sz w:val="22"/>
          <w:szCs w:val="22"/>
        </w:rPr>
        <w:tab/>
        <w:t>Classified as ‘p</w:t>
      </w:r>
      <w:r w:rsidRPr="00391201">
        <w:rPr>
          <w:sz w:val="22"/>
          <w:szCs w:val="22"/>
        </w:rPr>
        <w:t>ayments direct to local governments</w:t>
      </w:r>
      <w:r>
        <w:rPr>
          <w:sz w:val="22"/>
          <w:szCs w:val="22"/>
        </w:rPr>
        <w:t>’</w:t>
      </w:r>
    </w:p>
    <w:p w14:paraId="46D16CA2" w14:textId="77777777" w:rsidR="004A4EC6" w:rsidRDefault="004A4EC6" w:rsidP="004A4EC6">
      <w:pPr>
        <w:pStyle w:val="Boxed2Text"/>
        <w:shd w:val="clear" w:color="auto" w:fill="F2F2F2" w:themeFill="background1" w:themeFillShade="F2"/>
      </w:pPr>
      <w:r w:rsidRPr="00391201">
        <w:rPr>
          <w:b/>
        </w:rPr>
        <w:t>Scenario:</w:t>
      </w:r>
      <w:r w:rsidRPr="00F878F4">
        <w:t xml:space="preserve"> The Australian Government will provide $100</w:t>
      </w:r>
      <w:r w:rsidR="00B167AF">
        <w:t xml:space="preserve"> </w:t>
      </w:r>
      <w:r w:rsidRPr="00F878F4">
        <w:t>million for a local council to build a community centre, which will increase the number of tourists to the town centre.</w:t>
      </w:r>
    </w:p>
    <w:p w14:paraId="6B415532" w14:textId="1E6BD2E8" w:rsidR="004A4EC6" w:rsidRDefault="009D6FB6" w:rsidP="004A4EC6">
      <w:pPr>
        <w:pStyle w:val="Boxed2Text"/>
        <w:shd w:val="clear" w:color="auto" w:fill="F2F2F2" w:themeFill="background1" w:themeFillShade="F2"/>
      </w:pPr>
      <w:r>
        <w:rPr>
          <w:b/>
        </w:rPr>
        <w:t>Process</w:t>
      </w:r>
      <w:r w:rsidR="004A4EC6">
        <w:rPr>
          <w:b/>
        </w:rPr>
        <w:t>:</w:t>
      </w:r>
      <w:r w:rsidR="004A4EC6">
        <w:t xml:space="preserve"> To determine the classification of the payments, consideration is given to:</w:t>
      </w:r>
    </w:p>
    <w:p w14:paraId="446E50E8" w14:textId="6C451C99" w:rsidR="00A07189" w:rsidRDefault="004A4EC6" w:rsidP="009D6FB6">
      <w:pPr>
        <w:pStyle w:val="Boxed2Text"/>
        <w:numPr>
          <w:ilvl w:val="0"/>
          <w:numId w:val="56"/>
        </w:numPr>
        <w:shd w:val="clear" w:color="auto" w:fill="F2F2F2" w:themeFill="background1" w:themeFillShade="F2"/>
        <w:ind w:hanging="720"/>
      </w:pPr>
      <w:r w:rsidRPr="00F878F4">
        <w:t xml:space="preserve">contestability – </w:t>
      </w:r>
      <w:r>
        <w:t>funding</w:t>
      </w:r>
      <w:r w:rsidR="00A07189">
        <w:t xml:space="preserve"> is provided directly to the council (non-contestable) </w:t>
      </w:r>
    </w:p>
    <w:p w14:paraId="5722A3EE" w14:textId="77777777" w:rsidR="00A07189" w:rsidRDefault="004A4EC6" w:rsidP="00C51605">
      <w:pPr>
        <w:pStyle w:val="Boxed2Text"/>
        <w:numPr>
          <w:ilvl w:val="0"/>
          <w:numId w:val="56"/>
        </w:numPr>
        <w:shd w:val="clear" w:color="auto" w:fill="F2F2F2" w:themeFill="background1" w:themeFillShade="F2"/>
        <w:ind w:hanging="720"/>
      </w:pPr>
      <w:r>
        <w:t xml:space="preserve">the </w:t>
      </w:r>
      <w:r w:rsidRPr="00F878F4">
        <w:t xml:space="preserve">nature of </w:t>
      </w:r>
      <w:r>
        <w:t xml:space="preserve">the </w:t>
      </w:r>
      <w:r w:rsidRPr="00F878F4">
        <w:t xml:space="preserve">transaction – </w:t>
      </w:r>
      <w:r>
        <w:t>this is the council’s project. T</w:t>
      </w:r>
      <w:r w:rsidRPr="00F878F4">
        <w:t xml:space="preserve">he council </w:t>
      </w:r>
      <w:r>
        <w:t>has responsibility for</w:t>
      </w:r>
      <w:r w:rsidRPr="00F878F4">
        <w:t xml:space="preserve"> </w:t>
      </w:r>
      <w:r>
        <w:t xml:space="preserve">project delivery and will realise the </w:t>
      </w:r>
      <w:r w:rsidRPr="00F878F4">
        <w:t>benefits from the project.</w:t>
      </w:r>
    </w:p>
    <w:p w14:paraId="66F7BE85" w14:textId="77777777" w:rsidR="009432F1" w:rsidRDefault="009432F1" w:rsidP="009432F1">
      <w:pPr>
        <w:pStyle w:val="Boxed2Text"/>
        <w:shd w:val="clear" w:color="auto" w:fill="F2F2F2" w:themeFill="background1" w:themeFillShade="F2"/>
      </w:pPr>
      <w:r w:rsidRPr="009432F1">
        <w:rPr>
          <w:b/>
        </w:rPr>
        <w:t>Classification:</w:t>
      </w:r>
      <w:r>
        <w:t xml:space="preserve"> The payments are ‘</w:t>
      </w:r>
      <w:r w:rsidRPr="00F878F4">
        <w:t>payment</w:t>
      </w:r>
      <w:r>
        <w:t xml:space="preserve">s direct to local government’, which are generally </w:t>
      </w:r>
      <w:r w:rsidRPr="00F878F4">
        <w:t xml:space="preserve">subject to the </w:t>
      </w:r>
      <w:hyperlink r:id="rId37" w:history="1">
        <w:r w:rsidRPr="00391201">
          <w:rPr>
            <w:rStyle w:val="Hyperlink"/>
            <w:rFonts w:eastAsia="Times New Roman"/>
            <w:i w:val="0"/>
            <w:szCs w:val="24"/>
          </w:rPr>
          <w:t>CGRGs</w:t>
        </w:r>
      </w:hyperlink>
      <w:r w:rsidRPr="00F878F4">
        <w:t>.</w:t>
      </w:r>
    </w:p>
    <w:p w14:paraId="4954E515" w14:textId="77777777" w:rsidR="003D227F" w:rsidRPr="00590C93" w:rsidRDefault="009432F1" w:rsidP="003D227F">
      <w:pPr>
        <w:pStyle w:val="Tabletitle"/>
        <w:numPr>
          <w:ilvl w:val="0"/>
          <w:numId w:val="0"/>
        </w:numPr>
        <w:rPr>
          <w:sz w:val="22"/>
          <w:szCs w:val="22"/>
        </w:rPr>
      </w:pPr>
      <w:r>
        <w:rPr>
          <w:sz w:val="22"/>
          <w:szCs w:val="22"/>
        </w:rPr>
        <w:t>Example 4</w:t>
      </w:r>
      <w:r w:rsidR="003D227F">
        <w:rPr>
          <w:sz w:val="22"/>
          <w:szCs w:val="22"/>
        </w:rPr>
        <w:t xml:space="preserve">: </w:t>
      </w:r>
      <w:r w:rsidR="003D227F">
        <w:rPr>
          <w:sz w:val="22"/>
          <w:szCs w:val="22"/>
        </w:rPr>
        <w:tab/>
        <w:t>Classified as ‘payment through the states’</w:t>
      </w:r>
    </w:p>
    <w:p w14:paraId="3E91D388" w14:textId="393C07BA" w:rsidR="00C51605" w:rsidRPr="009D6A17" w:rsidRDefault="00C51605" w:rsidP="003D227F">
      <w:pPr>
        <w:pStyle w:val="Boxed2Text"/>
        <w:shd w:val="clear" w:color="auto" w:fill="F2F2F2" w:themeFill="background1" w:themeFillShade="F2"/>
      </w:pPr>
      <w:r w:rsidRPr="00C51605">
        <w:rPr>
          <w:b/>
        </w:rPr>
        <w:t xml:space="preserve">Scenario: </w:t>
      </w:r>
      <w:r w:rsidRPr="009D6A17">
        <w:t xml:space="preserve">The Australian Government makes payments to the states for </w:t>
      </w:r>
      <w:r w:rsidRPr="00C51605">
        <w:t>non-government</w:t>
      </w:r>
      <w:r w:rsidRPr="009D6A17">
        <w:t xml:space="preserve"> schools.</w:t>
      </w:r>
    </w:p>
    <w:p w14:paraId="6DA084D2" w14:textId="1613580E" w:rsidR="003D227F" w:rsidRDefault="003D227F" w:rsidP="003D227F">
      <w:pPr>
        <w:pStyle w:val="Boxed2Text"/>
        <w:shd w:val="clear" w:color="auto" w:fill="F2F2F2" w:themeFill="background1" w:themeFillShade="F2"/>
      </w:pPr>
      <w:r>
        <w:rPr>
          <w:b/>
        </w:rPr>
        <w:t>Process</w:t>
      </w:r>
      <w:r w:rsidRPr="00391201">
        <w:rPr>
          <w:b/>
        </w:rPr>
        <w:t>:</w:t>
      </w:r>
      <w:r w:rsidRPr="003141BA">
        <w:t xml:space="preserve"> </w:t>
      </w:r>
      <w:r>
        <w:t>To determine the classification of the payments, consideration is given to:</w:t>
      </w:r>
    </w:p>
    <w:p w14:paraId="4214606E" w14:textId="77777777" w:rsidR="003D227F" w:rsidRDefault="003D227F" w:rsidP="009432F1">
      <w:pPr>
        <w:pStyle w:val="Boxed2Text"/>
        <w:numPr>
          <w:ilvl w:val="0"/>
          <w:numId w:val="55"/>
        </w:numPr>
        <w:shd w:val="clear" w:color="auto" w:fill="F2F2F2" w:themeFill="background1" w:themeFillShade="F2"/>
        <w:ind w:hanging="720"/>
      </w:pPr>
      <w:r>
        <w:t xml:space="preserve">contestability – the funding is provided directly to the states so it is </w:t>
      </w:r>
      <w:r>
        <w:br/>
      </w:r>
      <w:r w:rsidR="004A4EC6">
        <w:t>non-contestable</w:t>
      </w:r>
    </w:p>
    <w:p w14:paraId="22C4246B" w14:textId="77777777" w:rsidR="003D227F" w:rsidRDefault="003D227F" w:rsidP="009432F1">
      <w:pPr>
        <w:pStyle w:val="Boxed2Text"/>
        <w:numPr>
          <w:ilvl w:val="0"/>
          <w:numId w:val="55"/>
        </w:numPr>
        <w:shd w:val="clear" w:color="auto" w:fill="F2F2F2" w:themeFill="background1" w:themeFillShade="F2"/>
        <w:ind w:hanging="720"/>
      </w:pPr>
      <w:r>
        <w:t xml:space="preserve">the </w:t>
      </w:r>
      <w:r w:rsidRPr="00F878F4">
        <w:t xml:space="preserve">nature of </w:t>
      </w:r>
      <w:r>
        <w:t xml:space="preserve">the </w:t>
      </w:r>
      <w:r w:rsidRPr="00F878F4">
        <w:t xml:space="preserve">transaction – </w:t>
      </w:r>
      <w:r w:rsidRPr="00391201">
        <w:t>non-government schools are established under state education systems (i</w:t>
      </w:r>
      <w:r w:rsidR="00B167AF">
        <w:t>.</w:t>
      </w:r>
      <w:r w:rsidRPr="00391201">
        <w:t>e</w:t>
      </w:r>
      <w:r w:rsidR="00B167AF">
        <w:t>.</w:t>
      </w:r>
      <w:r w:rsidRPr="00391201">
        <w:t xml:space="preserve"> </w:t>
      </w:r>
      <w:r w:rsidR="009432F1">
        <w:t xml:space="preserve">the </w:t>
      </w:r>
      <w:r w:rsidRPr="00391201">
        <w:t>states are responsible for regulating schools and have primary responsibility for the sector)</w:t>
      </w:r>
      <w:r w:rsidR="009432F1">
        <w:t>. T</w:t>
      </w:r>
      <w:r>
        <w:t>he states will</w:t>
      </w:r>
      <w:r w:rsidRPr="00F878F4">
        <w:t xml:space="preserve"> pass </w:t>
      </w:r>
      <w:r>
        <w:t xml:space="preserve">the payments </w:t>
      </w:r>
      <w:r w:rsidR="009432F1">
        <w:t xml:space="preserve">on </w:t>
      </w:r>
      <w:r w:rsidRPr="00F878F4">
        <w:t>to non-government entities</w:t>
      </w:r>
      <w:r w:rsidR="0029249C">
        <w:t>.</w:t>
      </w:r>
    </w:p>
    <w:p w14:paraId="32BE2D33" w14:textId="5170E2A7" w:rsidR="009F2C85" w:rsidRDefault="003D227F" w:rsidP="009D6A17">
      <w:pPr>
        <w:pStyle w:val="Boxed2Text"/>
        <w:shd w:val="clear" w:color="auto" w:fill="F2F2F2" w:themeFill="background1" w:themeFillShade="F2"/>
      </w:pPr>
      <w:r w:rsidRPr="00391201">
        <w:rPr>
          <w:b/>
        </w:rPr>
        <w:t>Classification:</w:t>
      </w:r>
      <w:r>
        <w:t xml:space="preserve"> The payments are ‘payments through the states’ – e</w:t>
      </w:r>
      <w:r w:rsidRPr="00391201">
        <w:t>ven though the Australian Government provides the majority of gove</w:t>
      </w:r>
      <w:r>
        <w:t>rnment funding to these schools, such</w:t>
      </w:r>
      <w:r w:rsidRPr="00391201">
        <w:t xml:space="preserve"> payments </w:t>
      </w:r>
      <w:r>
        <w:t>are not classified as COPE</w:t>
      </w:r>
      <w:r w:rsidR="00F80FA7">
        <w:t xml:space="preserve"> as the </w:t>
      </w:r>
      <w:r w:rsidR="00B167AF">
        <w:t>s</w:t>
      </w:r>
      <w:r w:rsidR="00F80FA7">
        <w:t>tates have responsibility for the education system</w:t>
      </w:r>
      <w:r w:rsidRPr="00391201">
        <w:t>.</w:t>
      </w:r>
      <w:bookmarkEnd w:id="45"/>
    </w:p>
    <w:p w14:paraId="4A868874" w14:textId="4B826685" w:rsidR="009F2C85" w:rsidRDefault="009F2C85" w:rsidP="008D6A42">
      <w:pPr>
        <w:pStyle w:val="Heading1"/>
        <w:shd w:val="clear" w:color="auto" w:fill="BDDCDF" w:themeFill="accent1"/>
      </w:pPr>
      <w:bookmarkStart w:id="47" w:name="_Toc124171208"/>
      <w:r>
        <w:t xml:space="preserve">Part 5 – </w:t>
      </w:r>
      <w:r w:rsidRPr="009F2C85">
        <w:t xml:space="preserve">The different responsibilities between Department of Finance and Department of the Treasury in managing Payments to other levels of Australian </w:t>
      </w:r>
      <w:r w:rsidR="00E44DC6">
        <w:t>G</w:t>
      </w:r>
      <w:r w:rsidRPr="009F2C85">
        <w:t>overnment</w:t>
      </w:r>
      <w:bookmarkEnd w:id="47"/>
    </w:p>
    <w:p w14:paraId="262DAD7F" w14:textId="01031AFA" w:rsidR="0092289A" w:rsidRPr="00106CD4" w:rsidRDefault="00106CD4" w:rsidP="008D6A42">
      <w:pPr>
        <w:pStyle w:val="NumberedList1"/>
      </w:pPr>
      <w:r>
        <w:t xml:space="preserve">Various areas within </w:t>
      </w:r>
      <w:r w:rsidR="009F2C85" w:rsidRPr="00106CD4">
        <w:t>Finance</w:t>
      </w:r>
      <w:r>
        <w:t xml:space="preserve"> are responsible for managing </w:t>
      </w:r>
      <w:r w:rsidR="004B1A67">
        <w:t>p</w:t>
      </w:r>
      <w:r>
        <w:t>ayments to other levels of Australian Government:</w:t>
      </w:r>
    </w:p>
    <w:p w14:paraId="4165B56E" w14:textId="7ADCC6EF" w:rsidR="009F2C85" w:rsidRPr="008D6A42" w:rsidRDefault="007D35FF" w:rsidP="008D6A42">
      <w:pPr>
        <w:pStyle w:val="ListParagraph"/>
        <w:numPr>
          <w:ilvl w:val="0"/>
          <w:numId w:val="60"/>
        </w:numPr>
        <w:jc w:val="both"/>
        <w:rPr>
          <w:rFonts w:asciiTheme="majorHAnsi" w:hAnsiTheme="majorHAnsi" w:cstheme="majorHAnsi"/>
        </w:rPr>
      </w:pPr>
      <w:r>
        <w:rPr>
          <w:rFonts w:asciiTheme="majorHAnsi" w:hAnsiTheme="majorHAnsi" w:cstheme="majorHAnsi"/>
        </w:rPr>
        <w:t>G</w:t>
      </w:r>
      <w:r w:rsidR="00C13547">
        <w:rPr>
          <w:rFonts w:asciiTheme="majorHAnsi" w:hAnsiTheme="majorHAnsi" w:cstheme="majorHAnsi"/>
        </w:rPr>
        <w:t xml:space="preserve">overnment </w:t>
      </w:r>
      <w:r>
        <w:rPr>
          <w:rFonts w:asciiTheme="majorHAnsi" w:hAnsiTheme="majorHAnsi" w:cstheme="majorHAnsi"/>
        </w:rPr>
        <w:t>F</w:t>
      </w:r>
      <w:r w:rsidR="00C13547">
        <w:rPr>
          <w:rFonts w:asciiTheme="majorHAnsi" w:hAnsiTheme="majorHAnsi" w:cstheme="majorHAnsi"/>
        </w:rPr>
        <w:t xml:space="preserve">inancial </w:t>
      </w:r>
      <w:r>
        <w:rPr>
          <w:rFonts w:asciiTheme="majorHAnsi" w:hAnsiTheme="majorHAnsi" w:cstheme="majorHAnsi"/>
        </w:rPr>
        <w:t>S</w:t>
      </w:r>
      <w:r w:rsidR="00C13547">
        <w:rPr>
          <w:rFonts w:asciiTheme="majorHAnsi" w:hAnsiTheme="majorHAnsi" w:cstheme="majorHAnsi"/>
        </w:rPr>
        <w:t>tatistics (GFS)</w:t>
      </w:r>
      <w:r>
        <w:rPr>
          <w:rFonts w:asciiTheme="majorHAnsi" w:hAnsiTheme="majorHAnsi" w:cstheme="majorHAnsi"/>
        </w:rPr>
        <w:t xml:space="preserve"> and Estimates t</w:t>
      </w:r>
      <w:r w:rsidR="00106CD4">
        <w:rPr>
          <w:rFonts w:asciiTheme="majorHAnsi" w:hAnsiTheme="majorHAnsi" w:cstheme="majorHAnsi"/>
        </w:rPr>
        <w:t>eam p</w:t>
      </w:r>
      <w:r w:rsidR="009F2C85" w:rsidRPr="008D6A42">
        <w:rPr>
          <w:rFonts w:asciiTheme="majorHAnsi" w:hAnsiTheme="majorHAnsi" w:cstheme="majorHAnsi"/>
        </w:rPr>
        <w:t>rovid</w:t>
      </w:r>
      <w:r w:rsidR="00106CD4">
        <w:rPr>
          <w:rFonts w:asciiTheme="majorHAnsi" w:hAnsiTheme="majorHAnsi" w:cstheme="majorHAnsi"/>
        </w:rPr>
        <w:t xml:space="preserve">es </w:t>
      </w:r>
      <w:r w:rsidR="009F2C85" w:rsidRPr="008D6A42">
        <w:rPr>
          <w:rFonts w:asciiTheme="majorHAnsi" w:hAnsiTheme="majorHAnsi" w:cstheme="majorHAnsi"/>
        </w:rPr>
        <w:t xml:space="preserve">advice on the types of payments that are within scope of the FFR framework </w:t>
      </w:r>
    </w:p>
    <w:p w14:paraId="75EE240F" w14:textId="50310D30" w:rsidR="009F2C85" w:rsidRPr="008D6A42" w:rsidRDefault="007D35FF" w:rsidP="008D6A42">
      <w:pPr>
        <w:pStyle w:val="ListParagraph"/>
        <w:numPr>
          <w:ilvl w:val="0"/>
          <w:numId w:val="60"/>
        </w:numPr>
        <w:jc w:val="both"/>
        <w:rPr>
          <w:rFonts w:asciiTheme="majorHAnsi" w:hAnsiTheme="majorHAnsi" w:cstheme="majorHAnsi"/>
        </w:rPr>
      </w:pPr>
      <w:r>
        <w:rPr>
          <w:rFonts w:asciiTheme="majorHAnsi" w:hAnsiTheme="majorHAnsi" w:cstheme="majorHAnsi"/>
        </w:rPr>
        <w:t>GFS and Estimates t</w:t>
      </w:r>
      <w:r w:rsidR="00106CD4">
        <w:rPr>
          <w:rFonts w:asciiTheme="majorHAnsi" w:hAnsiTheme="majorHAnsi" w:cstheme="majorHAnsi"/>
        </w:rPr>
        <w:t>eam p</w:t>
      </w:r>
      <w:r w:rsidR="009F2C85" w:rsidRPr="008D6A42">
        <w:rPr>
          <w:rFonts w:asciiTheme="majorHAnsi" w:hAnsiTheme="majorHAnsi" w:cstheme="majorHAnsi"/>
        </w:rPr>
        <w:t xml:space="preserve">rovides payment classification based on </w:t>
      </w:r>
      <w:r w:rsidR="00106CD4">
        <w:rPr>
          <w:rFonts w:asciiTheme="majorHAnsi" w:hAnsiTheme="majorHAnsi" w:cstheme="majorHAnsi"/>
        </w:rPr>
        <w:t>this guide</w:t>
      </w:r>
    </w:p>
    <w:p w14:paraId="4BEA5141" w14:textId="421C6A61" w:rsidR="009F2C85" w:rsidRPr="008D6A42" w:rsidRDefault="00A10EF9" w:rsidP="008D6A42">
      <w:pPr>
        <w:pStyle w:val="ListParagraph"/>
        <w:numPr>
          <w:ilvl w:val="0"/>
          <w:numId w:val="60"/>
        </w:numPr>
        <w:jc w:val="both"/>
        <w:rPr>
          <w:rFonts w:asciiTheme="majorHAnsi" w:hAnsiTheme="majorHAnsi" w:cstheme="majorHAnsi"/>
        </w:rPr>
      </w:pPr>
      <w:r>
        <w:rPr>
          <w:rFonts w:asciiTheme="majorHAnsi" w:hAnsiTheme="majorHAnsi" w:cstheme="majorHAnsi"/>
        </w:rPr>
        <w:t>C</w:t>
      </w:r>
      <w:r w:rsidR="009F2C85" w:rsidRPr="008D6A42">
        <w:rPr>
          <w:rFonts w:asciiTheme="majorHAnsi" w:hAnsiTheme="majorHAnsi" w:cstheme="majorHAnsi"/>
        </w:rPr>
        <w:t xml:space="preserve">BMS </w:t>
      </w:r>
      <w:r>
        <w:rPr>
          <w:rFonts w:asciiTheme="majorHAnsi" w:hAnsiTheme="majorHAnsi" w:cstheme="majorHAnsi"/>
        </w:rPr>
        <w:t>S</w:t>
      </w:r>
      <w:r w:rsidR="009F2C85" w:rsidRPr="008D6A42">
        <w:rPr>
          <w:rFonts w:asciiTheme="majorHAnsi" w:hAnsiTheme="majorHAnsi" w:cstheme="majorHAnsi"/>
        </w:rPr>
        <w:t xml:space="preserve">upport </w:t>
      </w:r>
      <w:r w:rsidR="007D35FF">
        <w:rPr>
          <w:rFonts w:asciiTheme="majorHAnsi" w:hAnsiTheme="majorHAnsi" w:cstheme="majorHAnsi"/>
        </w:rPr>
        <w:t>t</w:t>
      </w:r>
      <w:r w:rsidR="009F2C85" w:rsidRPr="008D6A42">
        <w:rPr>
          <w:rFonts w:asciiTheme="majorHAnsi" w:hAnsiTheme="majorHAnsi" w:cstheme="majorHAnsi"/>
        </w:rPr>
        <w:t xml:space="preserve">eam </w:t>
      </w:r>
      <w:r>
        <w:rPr>
          <w:rFonts w:asciiTheme="majorHAnsi" w:hAnsiTheme="majorHAnsi" w:cstheme="majorHAnsi"/>
        </w:rPr>
        <w:t xml:space="preserve">establishes </w:t>
      </w:r>
      <w:r w:rsidR="00D73D2F">
        <w:rPr>
          <w:rFonts w:asciiTheme="majorHAnsi" w:hAnsiTheme="majorHAnsi" w:cstheme="majorHAnsi"/>
        </w:rPr>
        <w:t>specific purpose payments (</w:t>
      </w:r>
      <w:r>
        <w:rPr>
          <w:rFonts w:asciiTheme="majorHAnsi" w:hAnsiTheme="majorHAnsi" w:cstheme="majorHAnsi"/>
        </w:rPr>
        <w:t>SPP</w:t>
      </w:r>
      <w:r w:rsidR="00D73D2F">
        <w:rPr>
          <w:rFonts w:asciiTheme="majorHAnsi" w:hAnsiTheme="majorHAnsi" w:cstheme="majorHAnsi"/>
        </w:rPr>
        <w:t>)</w:t>
      </w:r>
      <w:r>
        <w:rPr>
          <w:rFonts w:asciiTheme="majorHAnsi" w:hAnsiTheme="majorHAnsi" w:cstheme="majorHAnsi"/>
        </w:rPr>
        <w:t xml:space="preserve"> codes within </w:t>
      </w:r>
      <w:r w:rsidR="00D73D2F">
        <w:rPr>
          <w:rFonts w:asciiTheme="majorHAnsi" w:hAnsiTheme="majorHAnsi" w:cstheme="majorHAnsi"/>
        </w:rPr>
        <w:t xml:space="preserve">the </w:t>
      </w:r>
      <w:r w:rsidR="006A23D2">
        <w:rPr>
          <w:rFonts w:asciiTheme="majorHAnsi" w:hAnsiTheme="majorHAnsi" w:cstheme="majorHAnsi"/>
        </w:rPr>
        <w:t>Central Budget Management System (</w:t>
      </w:r>
      <w:r>
        <w:rPr>
          <w:rFonts w:asciiTheme="majorHAnsi" w:hAnsiTheme="majorHAnsi" w:cstheme="majorHAnsi"/>
        </w:rPr>
        <w:t>CBMS</w:t>
      </w:r>
      <w:r w:rsidR="006A23D2">
        <w:rPr>
          <w:rFonts w:asciiTheme="majorHAnsi" w:hAnsiTheme="majorHAnsi" w:cstheme="majorHAnsi"/>
        </w:rPr>
        <w:t>)</w:t>
      </w:r>
      <w:r>
        <w:rPr>
          <w:rFonts w:asciiTheme="majorHAnsi" w:hAnsiTheme="majorHAnsi" w:cstheme="majorHAnsi"/>
        </w:rPr>
        <w:t xml:space="preserve"> </w:t>
      </w:r>
      <w:r w:rsidR="009F2C85" w:rsidRPr="008D6A42">
        <w:rPr>
          <w:rFonts w:asciiTheme="majorHAnsi" w:hAnsiTheme="majorHAnsi" w:cstheme="majorHAnsi"/>
        </w:rPr>
        <w:t>via approval from 3 teams</w:t>
      </w:r>
      <w:r w:rsidR="00F52EFD">
        <w:rPr>
          <w:rFonts w:asciiTheme="majorHAnsi" w:hAnsiTheme="majorHAnsi" w:cstheme="majorHAnsi"/>
        </w:rPr>
        <w:t xml:space="preserve"> within Finance</w:t>
      </w:r>
      <w:r w:rsidR="009F2C85" w:rsidRPr="008D6A42">
        <w:rPr>
          <w:rFonts w:asciiTheme="majorHAnsi" w:hAnsiTheme="majorHAnsi" w:cstheme="majorHAnsi"/>
        </w:rPr>
        <w:t xml:space="preserve"> - the AAUs, Expenditure Trends </w:t>
      </w:r>
      <w:r w:rsidR="007D35FF">
        <w:rPr>
          <w:rFonts w:asciiTheme="majorHAnsi" w:hAnsiTheme="majorHAnsi" w:cstheme="majorHAnsi"/>
        </w:rPr>
        <w:t>t</w:t>
      </w:r>
      <w:r w:rsidR="009F2C85" w:rsidRPr="008D6A42">
        <w:rPr>
          <w:rFonts w:asciiTheme="majorHAnsi" w:hAnsiTheme="majorHAnsi" w:cstheme="majorHAnsi"/>
        </w:rPr>
        <w:t xml:space="preserve">eam and GFS and Estimates </w:t>
      </w:r>
      <w:r w:rsidR="007D35FF">
        <w:rPr>
          <w:rFonts w:asciiTheme="majorHAnsi" w:hAnsiTheme="majorHAnsi" w:cstheme="majorHAnsi"/>
        </w:rPr>
        <w:t>t</w:t>
      </w:r>
      <w:r w:rsidR="009F2C85" w:rsidRPr="008D6A42">
        <w:rPr>
          <w:rFonts w:asciiTheme="majorHAnsi" w:hAnsiTheme="majorHAnsi" w:cstheme="majorHAnsi"/>
        </w:rPr>
        <w:t>eam</w:t>
      </w:r>
    </w:p>
    <w:p w14:paraId="773C038D" w14:textId="38B54EE1" w:rsidR="009F2C85" w:rsidRPr="008D6A42" w:rsidRDefault="009F2C85" w:rsidP="008D6A42">
      <w:pPr>
        <w:pStyle w:val="ListParagraph"/>
        <w:numPr>
          <w:ilvl w:val="0"/>
          <w:numId w:val="60"/>
        </w:numPr>
        <w:jc w:val="both"/>
        <w:rPr>
          <w:rFonts w:asciiTheme="majorHAnsi" w:hAnsiTheme="majorHAnsi" w:cstheme="majorHAnsi"/>
        </w:rPr>
      </w:pPr>
      <w:r w:rsidRPr="008D6A42">
        <w:rPr>
          <w:rFonts w:asciiTheme="majorHAnsi" w:hAnsiTheme="majorHAnsi" w:cstheme="majorHAnsi"/>
        </w:rPr>
        <w:t xml:space="preserve">In consultation with the relevant portfolio entities, </w:t>
      </w:r>
      <w:r w:rsidR="00A10EF9">
        <w:rPr>
          <w:rFonts w:asciiTheme="majorHAnsi" w:hAnsiTheme="majorHAnsi" w:cstheme="majorHAnsi"/>
        </w:rPr>
        <w:t xml:space="preserve">AAUs </w:t>
      </w:r>
      <w:r w:rsidRPr="008D6A42">
        <w:rPr>
          <w:rFonts w:asciiTheme="majorHAnsi" w:hAnsiTheme="majorHAnsi" w:cstheme="majorHAnsi"/>
        </w:rPr>
        <w:t xml:space="preserve">validate SPP estimates within CBMS </w:t>
      </w:r>
    </w:p>
    <w:p w14:paraId="2E7CB96A" w14:textId="7287D662" w:rsidR="003C420B" w:rsidRPr="008D6A42" w:rsidRDefault="007D35FF" w:rsidP="008D6A42">
      <w:pPr>
        <w:pStyle w:val="ListParagraph"/>
        <w:numPr>
          <w:ilvl w:val="0"/>
          <w:numId w:val="60"/>
        </w:numPr>
        <w:jc w:val="both"/>
        <w:rPr>
          <w:rFonts w:asciiTheme="majorHAnsi" w:hAnsiTheme="majorHAnsi" w:cstheme="majorHAnsi"/>
        </w:rPr>
      </w:pPr>
      <w:r>
        <w:rPr>
          <w:rFonts w:asciiTheme="majorHAnsi" w:hAnsiTheme="majorHAnsi" w:cstheme="majorHAnsi"/>
        </w:rPr>
        <w:t>GFS and Estimates t</w:t>
      </w:r>
      <w:r w:rsidR="00A10EF9">
        <w:rPr>
          <w:rFonts w:asciiTheme="majorHAnsi" w:hAnsiTheme="majorHAnsi" w:cstheme="majorHAnsi"/>
        </w:rPr>
        <w:t>eam p</w:t>
      </w:r>
      <w:r w:rsidR="009F2C85" w:rsidRPr="008D6A42">
        <w:rPr>
          <w:rFonts w:asciiTheme="majorHAnsi" w:hAnsiTheme="majorHAnsi" w:cstheme="majorHAnsi"/>
        </w:rPr>
        <w:t>rovides consolidated SPP data to Treasury for Whole of Government Reporting for Budget</w:t>
      </w:r>
      <w:r w:rsidR="003D1845">
        <w:rPr>
          <w:rFonts w:asciiTheme="majorHAnsi" w:hAnsiTheme="majorHAnsi" w:cstheme="majorHAnsi"/>
        </w:rPr>
        <w:t>s</w:t>
      </w:r>
      <w:r w:rsidR="00A10EF9">
        <w:rPr>
          <w:rFonts w:asciiTheme="majorHAnsi" w:hAnsiTheme="majorHAnsi" w:cstheme="majorHAnsi"/>
        </w:rPr>
        <w:t>, Final Budget Outcomes</w:t>
      </w:r>
      <w:r w:rsidR="009F2C85" w:rsidRPr="008D6A42">
        <w:rPr>
          <w:rFonts w:asciiTheme="majorHAnsi" w:hAnsiTheme="majorHAnsi" w:cstheme="majorHAnsi"/>
        </w:rPr>
        <w:t xml:space="preserve"> and M</w:t>
      </w:r>
      <w:r w:rsidR="00A10EF9">
        <w:rPr>
          <w:rFonts w:asciiTheme="majorHAnsi" w:hAnsiTheme="majorHAnsi" w:cstheme="majorHAnsi"/>
        </w:rPr>
        <w:t>id-</w:t>
      </w:r>
      <w:r w:rsidR="009F2C85" w:rsidRPr="008D6A42">
        <w:rPr>
          <w:rFonts w:asciiTheme="majorHAnsi" w:hAnsiTheme="majorHAnsi" w:cstheme="majorHAnsi"/>
        </w:rPr>
        <w:t>Y</w:t>
      </w:r>
      <w:r w:rsidR="00A10EF9">
        <w:rPr>
          <w:rFonts w:asciiTheme="majorHAnsi" w:hAnsiTheme="majorHAnsi" w:cstheme="majorHAnsi"/>
        </w:rPr>
        <w:t xml:space="preserve">ear </w:t>
      </w:r>
      <w:r w:rsidR="009F2C85" w:rsidRPr="008D6A42">
        <w:rPr>
          <w:rFonts w:asciiTheme="majorHAnsi" w:hAnsiTheme="majorHAnsi" w:cstheme="majorHAnsi"/>
        </w:rPr>
        <w:t>E</w:t>
      </w:r>
      <w:r w:rsidR="00A10EF9">
        <w:rPr>
          <w:rFonts w:asciiTheme="majorHAnsi" w:hAnsiTheme="majorHAnsi" w:cstheme="majorHAnsi"/>
        </w:rPr>
        <w:t xml:space="preserve">conomic </w:t>
      </w:r>
      <w:r w:rsidR="009F2C85" w:rsidRPr="008D6A42">
        <w:rPr>
          <w:rFonts w:asciiTheme="majorHAnsi" w:hAnsiTheme="majorHAnsi" w:cstheme="majorHAnsi"/>
        </w:rPr>
        <w:t>F</w:t>
      </w:r>
      <w:r w:rsidR="00A10EF9">
        <w:rPr>
          <w:rFonts w:asciiTheme="majorHAnsi" w:hAnsiTheme="majorHAnsi" w:cstheme="majorHAnsi"/>
        </w:rPr>
        <w:t xml:space="preserve">iscal </w:t>
      </w:r>
      <w:r w:rsidR="009F2C85" w:rsidRPr="008D6A42">
        <w:rPr>
          <w:rFonts w:asciiTheme="majorHAnsi" w:hAnsiTheme="majorHAnsi" w:cstheme="majorHAnsi"/>
        </w:rPr>
        <w:t>O</w:t>
      </w:r>
      <w:r w:rsidR="00A10EF9">
        <w:rPr>
          <w:rFonts w:asciiTheme="majorHAnsi" w:hAnsiTheme="majorHAnsi" w:cstheme="majorHAnsi"/>
        </w:rPr>
        <w:t>utlook</w:t>
      </w:r>
      <w:r w:rsidR="009F2C85" w:rsidRPr="008D6A42">
        <w:rPr>
          <w:rFonts w:asciiTheme="majorHAnsi" w:hAnsiTheme="majorHAnsi" w:cstheme="majorHAnsi"/>
        </w:rPr>
        <w:t xml:space="preserve"> updates</w:t>
      </w:r>
      <w:r w:rsidR="006A23D2">
        <w:rPr>
          <w:rFonts w:asciiTheme="majorHAnsi" w:hAnsiTheme="majorHAnsi" w:cstheme="majorHAnsi"/>
        </w:rPr>
        <w:t>.</w:t>
      </w:r>
    </w:p>
    <w:p w14:paraId="01E1EF2E" w14:textId="0C82E63A" w:rsidR="009F2C85" w:rsidRPr="00106CD4" w:rsidRDefault="009F2C85" w:rsidP="008D6A42">
      <w:pPr>
        <w:pStyle w:val="NumberedList1"/>
      </w:pPr>
      <w:r w:rsidRPr="00106CD4">
        <w:t>Treasury</w:t>
      </w:r>
      <w:r w:rsidR="00106CD4">
        <w:t xml:space="preserve"> is r</w:t>
      </w:r>
      <w:r w:rsidRPr="00106CD4">
        <w:t>esponsib</w:t>
      </w:r>
      <w:r w:rsidR="00106CD4">
        <w:t xml:space="preserve">le for the following: </w:t>
      </w:r>
    </w:p>
    <w:p w14:paraId="53A158C1" w14:textId="39719641" w:rsidR="009F2C85" w:rsidRPr="008D6A42" w:rsidRDefault="009F2C85" w:rsidP="008D6A42">
      <w:pPr>
        <w:pStyle w:val="ListParagraph"/>
        <w:numPr>
          <w:ilvl w:val="0"/>
          <w:numId w:val="62"/>
        </w:numPr>
        <w:jc w:val="both"/>
        <w:rPr>
          <w:rFonts w:asciiTheme="majorHAnsi" w:hAnsiTheme="majorHAnsi" w:cstheme="majorHAnsi"/>
        </w:rPr>
      </w:pPr>
      <w:r w:rsidRPr="008D6A42">
        <w:rPr>
          <w:rFonts w:asciiTheme="majorHAnsi" w:hAnsiTheme="majorHAnsi" w:cstheme="majorHAnsi"/>
        </w:rPr>
        <w:t>Under the FFR framework the Treasurer is accountable for payments to the states, including through the COAG Reform Fund.</w:t>
      </w:r>
      <w:r w:rsidR="00A10EF9">
        <w:rPr>
          <w:rFonts w:asciiTheme="majorHAnsi" w:hAnsiTheme="majorHAnsi" w:cstheme="majorHAnsi"/>
        </w:rPr>
        <w:t xml:space="preserve"> </w:t>
      </w:r>
      <w:r w:rsidRPr="008D6A42">
        <w:rPr>
          <w:rFonts w:asciiTheme="majorHAnsi" w:hAnsiTheme="majorHAnsi" w:cstheme="majorHAnsi"/>
        </w:rPr>
        <w:t xml:space="preserve">Treasury, in consultation with portfolio entities, is responsible for the administration of estimates and payments under the FFR framework, which are reported in Budget Paper No. 3, </w:t>
      </w:r>
      <w:r w:rsidRPr="008D6A42">
        <w:rPr>
          <w:rFonts w:asciiTheme="majorHAnsi" w:hAnsiTheme="majorHAnsi" w:cstheme="majorHAnsi"/>
          <w:i/>
        </w:rPr>
        <w:t>Federal Financial Relations</w:t>
      </w:r>
      <w:r w:rsidRPr="009F2C85">
        <w:rPr>
          <w:rFonts w:asciiTheme="majorHAnsi" w:hAnsiTheme="majorHAnsi" w:cstheme="majorHAnsi"/>
        </w:rPr>
        <w:t>.</w:t>
      </w:r>
    </w:p>
    <w:p w14:paraId="6FD6C1EC" w14:textId="00352D85" w:rsidR="009F2C85" w:rsidRPr="008D6A42" w:rsidRDefault="009F2C85" w:rsidP="008D6A42">
      <w:pPr>
        <w:pStyle w:val="ListParagraph"/>
        <w:numPr>
          <w:ilvl w:val="0"/>
          <w:numId w:val="62"/>
        </w:numPr>
        <w:jc w:val="both"/>
        <w:rPr>
          <w:rFonts w:asciiTheme="majorHAnsi" w:hAnsiTheme="majorHAnsi" w:cstheme="majorHAnsi"/>
        </w:rPr>
      </w:pPr>
      <w:r w:rsidRPr="008D6A42">
        <w:rPr>
          <w:rFonts w:asciiTheme="majorHAnsi" w:hAnsiTheme="majorHAnsi" w:cstheme="majorHAnsi"/>
        </w:rPr>
        <w:t xml:space="preserve">Treasury Federal Financial Relations </w:t>
      </w:r>
      <w:r w:rsidR="007D35FF">
        <w:rPr>
          <w:rFonts w:asciiTheme="majorHAnsi" w:hAnsiTheme="majorHAnsi" w:cstheme="majorHAnsi"/>
        </w:rPr>
        <w:t>t</w:t>
      </w:r>
      <w:r w:rsidRPr="008D6A42">
        <w:rPr>
          <w:rFonts w:asciiTheme="majorHAnsi" w:hAnsiTheme="majorHAnsi" w:cstheme="majorHAnsi"/>
        </w:rPr>
        <w:t>eam work</w:t>
      </w:r>
      <w:r w:rsidR="00A447BE">
        <w:rPr>
          <w:rFonts w:asciiTheme="majorHAnsi" w:hAnsiTheme="majorHAnsi" w:cstheme="majorHAnsi"/>
        </w:rPr>
        <w:t>s</w:t>
      </w:r>
      <w:r w:rsidRPr="008D6A42">
        <w:rPr>
          <w:rFonts w:asciiTheme="majorHAnsi" w:hAnsiTheme="majorHAnsi" w:cstheme="majorHAnsi"/>
        </w:rPr>
        <w:t xml:space="preserve"> with </w:t>
      </w:r>
      <w:r w:rsidR="00A447BE">
        <w:rPr>
          <w:rFonts w:asciiTheme="majorHAnsi" w:hAnsiTheme="majorHAnsi" w:cstheme="majorHAnsi"/>
        </w:rPr>
        <w:t xml:space="preserve">portfolio </w:t>
      </w:r>
      <w:r w:rsidRPr="008D6A42">
        <w:rPr>
          <w:rFonts w:asciiTheme="majorHAnsi" w:hAnsiTheme="majorHAnsi" w:cstheme="majorHAnsi"/>
        </w:rPr>
        <w:t xml:space="preserve">entities </w:t>
      </w:r>
      <w:r w:rsidR="00425B42">
        <w:rPr>
          <w:rFonts w:asciiTheme="majorHAnsi" w:hAnsiTheme="majorHAnsi" w:cstheme="majorHAnsi"/>
        </w:rPr>
        <w:t>on the development of</w:t>
      </w:r>
      <w:r w:rsidRPr="008D6A42">
        <w:rPr>
          <w:rFonts w:asciiTheme="majorHAnsi" w:hAnsiTheme="majorHAnsi" w:cstheme="majorHAnsi"/>
        </w:rPr>
        <w:t xml:space="preserve"> </w:t>
      </w:r>
      <w:r w:rsidR="00425B42">
        <w:rPr>
          <w:rFonts w:asciiTheme="majorHAnsi" w:hAnsiTheme="majorHAnsi" w:cstheme="majorHAnsi"/>
        </w:rPr>
        <w:t xml:space="preserve">Commonwealth-State funding </w:t>
      </w:r>
      <w:r w:rsidRPr="008D6A42">
        <w:rPr>
          <w:rFonts w:asciiTheme="majorHAnsi" w:hAnsiTheme="majorHAnsi" w:cstheme="majorHAnsi"/>
        </w:rPr>
        <w:t>agreements</w:t>
      </w:r>
      <w:r w:rsidR="00425B42">
        <w:rPr>
          <w:rFonts w:asciiTheme="majorHAnsi" w:hAnsiTheme="majorHAnsi" w:cstheme="majorHAnsi"/>
        </w:rPr>
        <w:t>, ensuring the agreements align with the FFR framework</w:t>
      </w:r>
      <w:r w:rsidRPr="008D6A42">
        <w:rPr>
          <w:rFonts w:asciiTheme="majorHAnsi" w:hAnsiTheme="majorHAnsi" w:cstheme="majorHAnsi"/>
        </w:rPr>
        <w:t xml:space="preserve">. </w:t>
      </w:r>
    </w:p>
    <w:p w14:paraId="1CDA7B77" w14:textId="13200450" w:rsidR="009F2C85" w:rsidRPr="008D6A42" w:rsidRDefault="009F2C85" w:rsidP="008D6A42">
      <w:pPr>
        <w:pStyle w:val="ListParagraph"/>
        <w:numPr>
          <w:ilvl w:val="0"/>
          <w:numId w:val="62"/>
        </w:numPr>
        <w:jc w:val="both"/>
        <w:rPr>
          <w:rFonts w:asciiTheme="majorHAnsi" w:hAnsiTheme="majorHAnsi" w:cstheme="majorHAnsi"/>
        </w:rPr>
      </w:pPr>
      <w:r w:rsidRPr="008D6A42">
        <w:rPr>
          <w:rFonts w:asciiTheme="majorHAnsi" w:hAnsiTheme="majorHAnsi" w:cstheme="majorHAnsi"/>
        </w:rPr>
        <w:t>Treasury provides the commentary and tables published in Budget Paper No 3</w:t>
      </w:r>
      <w:r w:rsidR="006A23D2">
        <w:rPr>
          <w:rFonts w:asciiTheme="majorHAnsi" w:hAnsiTheme="majorHAnsi" w:cstheme="majorHAnsi"/>
        </w:rPr>
        <w:t xml:space="preserve">, </w:t>
      </w:r>
      <w:r w:rsidR="006A23D2">
        <w:rPr>
          <w:rFonts w:asciiTheme="majorHAnsi" w:hAnsiTheme="majorHAnsi" w:cstheme="majorHAnsi"/>
          <w:i/>
        </w:rPr>
        <w:t>Federal Financial Relations</w:t>
      </w:r>
      <w:r w:rsidRPr="008D6A42">
        <w:rPr>
          <w:rFonts w:asciiTheme="majorHAnsi" w:hAnsiTheme="majorHAnsi" w:cstheme="majorHAnsi"/>
        </w:rPr>
        <w:t xml:space="preserve"> which presents information on the Australian Government’s financial relations with state, territory and local governments.</w:t>
      </w:r>
    </w:p>
    <w:p w14:paraId="04BF3A1C" w14:textId="77FE81B5" w:rsidR="009F2C85" w:rsidRDefault="009F2C85" w:rsidP="009F2C85">
      <w:pPr>
        <w:pStyle w:val="Heading1"/>
        <w:shd w:val="clear" w:color="auto" w:fill="BDDCDF" w:themeFill="accent1"/>
      </w:pPr>
      <w:bookmarkStart w:id="48" w:name="_Toc124171209"/>
      <w:r>
        <w:t>Part 6 – Payment Classification Process</w:t>
      </w:r>
      <w:bookmarkEnd w:id="48"/>
    </w:p>
    <w:p w14:paraId="3724E84A" w14:textId="0991F35B" w:rsidR="009F2C85" w:rsidRPr="00DD4BFE" w:rsidRDefault="009F2C85" w:rsidP="008D6A42">
      <w:pPr>
        <w:pStyle w:val="NumberedList1"/>
      </w:pPr>
      <w:r w:rsidRPr="00DD4BFE">
        <w:t xml:space="preserve">For any </w:t>
      </w:r>
      <w:r w:rsidR="00B45D8E" w:rsidRPr="00DD4BFE">
        <w:t>p</w:t>
      </w:r>
      <w:r w:rsidRPr="00DD4BFE">
        <w:t xml:space="preserve">ayment classifications, the agency </w:t>
      </w:r>
      <w:r w:rsidR="00B45D8E" w:rsidRPr="00DD4BFE">
        <w:t xml:space="preserve">needs </w:t>
      </w:r>
      <w:r w:rsidRPr="00DD4BFE">
        <w:t>to address two criteria:</w:t>
      </w:r>
    </w:p>
    <w:p w14:paraId="1DF0277E" w14:textId="4B0212FF" w:rsidR="009F2C85" w:rsidRPr="000574DB" w:rsidRDefault="009F2C85" w:rsidP="008D6A42">
      <w:pPr>
        <w:pStyle w:val="ListParagraph"/>
        <w:numPr>
          <w:ilvl w:val="0"/>
          <w:numId w:val="63"/>
        </w:numPr>
        <w:jc w:val="both"/>
        <w:rPr>
          <w:rFonts w:cstheme="minorHAnsi"/>
        </w:rPr>
      </w:pPr>
      <w:r w:rsidRPr="008D6A42">
        <w:rPr>
          <w:rFonts w:asciiTheme="minorHAnsi" w:eastAsiaTheme="minorHAnsi" w:hAnsiTheme="minorHAnsi" w:cstheme="minorBidi"/>
          <w:b/>
        </w:rPr>
        <w:t>Contestability:</w:t>
      </w:r>
      <w:r w:rsidRPr="008D6A42">
        <w:rPr>
          <w:rFonts w:asciiTheme="minorHAnsi" w:hAnsiTheme="minorHAnsi" w:cstheme="minorHAnsi"/>
        </w:rPr>
        <w:t xml:space="preserve"> Is the funding only available to the </w:t>
      </w:r>
      <w:r w:rsidR="006A23D2">
        <w:rPr>
          <w:rFonts w:asciiTheme="minorHAnsi" w:hAnsiTheme="minorHAnsi" w:cstheme="minorHAnsi"/>
        </w:rPr>
        <w:t>s</w:t>
      </w:r>
      <w:r w:rsidRPr="008D6A42">
        <w:rPr>
          <w:rFonts w:asciiTheme="minorHAnsi" w:hAnsiTheme="minorHAnsi" w:cstheme="minorHAnsi"/>
        </w:rPr>
        <w:t xml:space="preserve">tate </w:t>
      </w:r>
      <w:r w:rsidR="006A23D2">
        <w:rPr>
          <w:rFonts w:asciiTheme="minorHAnsi" w:hAnsiTheme="minorHAnsi" w:cstheme="minorHAnsi"/>
        </w:rPr>
        <w:t>g</w:t>
      </w:r>
      <w:r w:rsidRPr="008D6A42">
        <w:rPr>
          <w:rFonts w:asciiTheme="minorHAnsi" w:hAnsiTheme="minorHAnsi" w:cstheme="minorHAnsi"/>
        </w:rPr>
        <w:t>overnment</w:t>
      </w:r>
      <w:r w:rsidR="006A23D2">
        <w:rPr>
          <w:rFonts w:asciiTheme="minorHAnsi" w:hAnsiTheme="minorHAnsi" w:cstheme="minorHAnsi"/>
        </w:rPr>
        <w:t xml:space="preserve"> or </w:t>
      </w:r>
      <w:r w:rsidRPr="008D6A42">
        <w:rPr>
          <w:rFonts w:asciiTheme="minorHAnsi" w:hAnsiTheme="minorHAnsi" w:cstheme="minorHAnsi"/>
        </w:rPr>
        <w:t xml:space="preserve">local </w:t>
      </w:r>
      <w:r w:rsidR="006A23D2">
        <w:rPr>
          <w:rFonts w:asciiTheme="minorHAnsi" w:hAnsiTheme="minorHAnsi" w:cstheme="minorHAnsi"/>
        </w:rPr>
        <w:t>g</w:t>
      </w:r>
      <w:r w:rsidRPr="008D6A42">
        <w:rPr>
          <w:rFonts w:asciiTheme="minorHAnsi" w:hAnsiTheme="minorHAnsi" w:cstheme="minorHAnsi"/>
        </w:rPr>
        <w:t xml:space="preserve">overnment? Is the funding directly provided to the </w:t>
      </w:r>
      <w:r w:rsidR="006A23D2">
        <w:rPr>
          <w:rFonts w:asciiTheme="minorHAnsi" w:hAnsiTheme="minorHAnsi" w:cstheme="minorHAnsi"/>
        </w:rPr>
        <w:t>s</w:t>
      </w:r>
      <w:r w:rsidRPr="008D6A42">
        <w:rPr>
          <w:rFonts w:asciiTheme="minorHAnsi" w:hAnsiTheme="minorHAnsi" w:cstheme="minorHAnsi"/>
        </w:rPr>
        <w:t xml:space="preserve">tate </w:t>
      </w:r>
      <w:r w:rsidR="006A23D2">
        <w:rPr>
          <w:rFonts w:asciiTheme="minorHAnsi" w:hAnsiTheme="minorHAnsi" w:cstheme="minorHAnsi"/>
        </w:rPr>
        <w:t>g</w:t>
      </w:r>
      <w:r w:rsidRPr="008D6A42">
        <w:rPr>
          <w:rFonts w:asciiTheme="minorHAnsi" w:hAnsiTheme="minorHAnsi" w:cstheme="minorHAnsi"/>
        </w:rPr>
        <w:t xml:space="preserve">overnment or </w:t>
      </w:r>
      <w:r w:rsidR="006A23D2">
        <w:rPr>
          <w:rFonts w:asciiTheme="minorHAnsi" w:hAnsiTheme="minorHAnsi" w:cstheme="minorHAnsi"/>
        </w:rPr>
        <w:t>l</w:t>
      </w:r>
      <w:r w:rsidRPr="008D6A42">
        <w:rPr>
          <w:rFonts w:asciiTheme="minorHAnsi" w:hAnsiTheme="minorHAnsi" w:cstheme="minorHAnsi"/>
        </w:rPr>
        <w:t xml:space="preserve">ocal </w:t>
      </w:r>
      <w:r w:rsidR="006A23D2">
        <w:rPr>
          <w:rFonts w:asciiTheme="minorHAnsi" w:hAnsiTheme="minorHAnsi" w:cstheme="minorHAnsi"/>
        </w:rPr>
        <w:t>g</w:t>
      </w:r>
      <w:r w:rsidRPr="008D6A42">
        <w:rPr>
          <w:rFonts w:asciiTheme="minorHAnsi" w:hAnsiTheme="minorHAnsi" w:cstheme="minorHAnsi"/>
        </w:rPr>
        <w:t>overnment?</w:t>
      </w:r>
    </w:p>
    <w:p w14:paraId="2127C0A0" w14:textId="77777777" w:rsidR="009F2C85" w:rsidRDefault="009F2C85" w:rsidP="008D6A42">
      <w:pPr>
        <w:pStyle w:val="ListParagraph"/>
        <w:numPr>
          <w:ilvl w:val="0"/>
          <w:numId w:val="63"/>
        </w:numPr>
        <w:jc w:val="both"/>
        <w:rPr>
          <w:rFonts w:cstheme="minorHAnsi"/>
        </w:rPr>
      </w:pPr>
      <w:r w:rsidRPr="008D6A42">
        <w:rPr>
          <w:rFonts w:asciiTheme="minorHAnsi" w:hAnsiTheme="minorHAnsi" w:cstheme="minorHAnsi"/>
          <w:b/>
        </w:rPr>
        <w:t>The nature of transactions:</w:t>
      </w:r>
      <w:r w:rsidRPr="008D6A42">
        <w:rPr>
          <w:rFonts w:asciiTheme="minorHAnsi" w:hAnsiTheme="minorHAnsi" w:cstheme="minorHAnsi"/>
        </w:rPr>
        <w:t xml:space="preserve"> Who is ultimately responsible for delivery of the project? If the payment is not available to all sectors of the economy, the nature of transaction helps to determine whether a payment to the other governments is a COPE.</w:t>
      </w:r>
    </w:p>
    <w:p w14:paraId="0D158847" w14:textId="529A932E" w:rsidR="009F2C85" w:rsidRPr="00DD4BFE" w:rsidRDefault="009F2C85" w:rsidP="008D6A42">
      <w:pPr>
        <w:pStyle w:val="NumberedList1"/>
      </w:pPr>
      <w:r w:rsidRPr="00DD4BFE">
        <w:t>All payment classification request</w:t>
      </w:r>
      <w:r w:rsidR="00D73D2F">
        <w:t>s</w:t>
      </w:r>
      <w:r w:rsidRPr="00DD4BFE">
        <w:t xml:space="preserve"> </w:t>
      </w:r>
      <w:r w:rsidR="00D73D2F">
        <w:t xml:space="preserve">are required </w:t>
      </w:r>
      <w:r w:rsidRPr="00DD4BFE">
        <w:t>to be sent via email to the COPE Inbox (cope@finance.gov.au). Most agencies structure their responses similar to the examples provided in RMG 419</w:t>
      </w:r>
      <w:r w:rsidR="00D73D2F">
        <w:t>, Part 4</w:t>
      </w:r>
      <w:r w:rsidR="00B45D8E" w:rsidRPr="00DD4BFE">
        <w:t xml:space="preserve"> (please refer to page 8 – 10)</w:t>
      </w:r>
      <w:r w:rsidRPr="00DD4BFE">
        <w:t>.</w:t>
      </w:r>
    </w:p>
    <w:p w14:paraId="0E19D095" w14:textId="0F0D37D6" w:rsidR="009F2C85" w:rsidRPr="00DD4BFE" w:rsidRDefault="009F2C85" w:rsidP="008D6A42">
      <w:pPr>
        <w:pStyle w:val="NumberedList1"/>
      </w:pPr>
      <w:r w:rsidRPr="00DD4BFE">
        <w:t>Once a payment classification ha</w:t>
      </w:r>
      <w:r w:rsidR="00D73D2F">
        <w:t>s</w:t>
      </w:r>
      <w:r w:rsidRPr="00DD4BFE">
        <w:t xml:space="preserve"> been determined, the payment classification determination </w:t>
      </w:r>
      <w:r w:rsidR="00F52EFD">
        <w:t xml:space="preserve">will be sent </w:t>
      </w:r>
      <w:r w:rsidRPr="00DD4BFE">
        <w:t>via email to the entity, as well as the relevant</w:t>
      </w:r>
      <w:r w:rsidR="00FD70AA" w:rsidRPr="00DD4BFE">
        <w:t xml:space="preserve"> </w:t>
      </w:r>
      <w:r w:rsidR="00B45D8E" w:rsidRPr="00DD4BFE">
        <w:t>AAU</w:t>
      </w:r>
      <w:r w:rsidRPr="00DD4BFE">
        <w:t xml:space="preserve">, and the State Payments </w:t>
      </w:r>
      <w:r w:rsidR="007D35FF">
        <w:t>t</w:t>
      </w:r>
      <w:r w:rsidRPr="00DD4BFE">
        <w:t>eam within Treasury.  It is important to have the payment classification determination in written form as Finance and Treasury needs a record of it in order for the SPP codes to be created in CBMS.</w:t>
      </w:r>
    </w:p>
    <w:p w14:paraId="0F638DDE" w14:textId="2E889FED" w:rsidR="00B45D8E" w:rsidRDefault="00B45D8E" w:rsidP="00B45D8E">
      <w:pPr>
        <w:pStyle w:val="Heading1"/>
        <w:shd w:val="clear" w:color="auto" w:fill="BDDCDF" w:themeFill="accent1"/>
      </w:pPr>
      <w:bookmarkStart w:id="49" w:name="_Toc124171210"/>
      <w:r>
        <w:t xml:space="preserve">Part 7 – </w:t>
      </w:r>
      <w:r w:rsidR="00FD70AA">
        <w:t>Process</w:t>
      </w:r>
      <w:r w:rsidRPr="00B45D8E">
        <w:t xml:space="preserve"> to establish an SP</w:t>
      </w:r>
      <w:r w:rsidR="00DE61BB">
        <w:t xml:space="preserve">P in Central Budget </w:t>
      </w:r>
      <w:r w:rsidR="00AF592F">
        <w:t>Management</w:t>
      </w:r>
      <w:r w:rsidR="00DE61BB">
        <w:t xml:space="preserve"> System and publication</w:t>
      </w:r>
      <w:bookmarkEnd w:id="49"/>
      <w:r w:rsidR="00DE61BB">
        <w:t xml:space="preserve"> </w:t>
      </w:r>
    </w:p>
    <w:p w14:paraId="794637CA" w14:textId="357979A8" w:rsidR="00F06AE7" w:rsidRPr="00DD4BFE" w:rsidRDefault="00CC471B" w:rsidP="008D6A42">
      <w:pPr>
        <w:pStyle w:val="NumberedList1"/>
      </w:pPr>
      <w:r w:rsidRPr="00DD4BFE">
        <w:t>Entities responsible for the policy sends payment classification request via email to the COPE Inbox (</w:t>
      </w:r>
      <w:hyperlink r:id="rId38" w:history="1">
        <w:r w:rsidRPr="008D6A42">
          <w:t>cope@finance.gov.au</w:t>
        </w:r>
      </w:hyperlink>
      <w:r w:rsidRPr="00DD4BFE">
        <w:t>)</w:t>
      </w:r>
      <w:r w:rsidR="007D35FF">
        <w:t>.</w:t>
      </w:r>
    </w:p>
    <w:p w14:paraId="15D73ECA" w14:textId="69F1ABF1" w:rsidR="00F06AE7" w:rsidRPr="00DD4BFE" w:rsidRDefault="00CC471B" w:rsidP="008D6A42">
      <w:pPr>
        <w:pStyle w:val="NumberedList1"/>
      </w:pPr>
      <w:r w:rsidRPr="00DD4BFE">
        <w:t>The GFS</w:t>
      </w:r>
      <w:r w:rsidR="00B45D8E" w:rsidRPr="00DD4BFE">
        <w:t xml:space="preserve"> and Estimates</w:t>
      </w:r>
      <w:r w:rsidRPr="00DD4BFE">
        <w:t xml:space="preserve"> team sends a response to the entity with the payment classification and </w:t>
      </w:r>
      <w:r w:rsidR="00D73D2F">
        <w:t xml:space="preserve">notifies </w:t>
      </w:r>
      <w:r w:rsidRPr="00DD4BFE">
        <w:t>the relevant AAU and the State Payments team within Treasury.</w:t>
      </w:r>
    </w:p>
    <w:p w14:paraId="7D908F57" w14:textId="1696F6A2" w:rsidR="00F06AE7" w:rsidRPr="00DD4BFE" w:rsidRDefault="00CC471B" w:rsidP="008D6A42">
      <w:pPr>
        <w:pStyle w:val="NumberedList1"/>
      </w:pPr>
      <w:r w:rsidRPr="00DD4BFE">
        <w:t>Payment classifications can be the following:</w:t>
      </w:r>
    </w:p>
    <w:p w14:paraId="2DD7F325" w14:textId="7A756A66" w:rsidR="00F06AE7" w:rsidRPr="00B45D8E" w:rsidRDefault="00CC471B" w:rsidP="008D6A42">
      <w:pPr>
        <w:numPr>
          <w:ilvl w:val="0"/>
          <w:numId w:val="75"/>
        </w:numPr>
        <w:jc w:val="both"/>
        <w:rPr>
          <w:rFonts w:cstheme="minorHAnsi"/>
        </w:rPr>
      </w:pPr>
      <w:r w:rsidRPr="00B45D8E">
        <w:rPr>
          <w:rFonts w:cstheme="minorHAnsi"/>
        </w:rPr>
        <w:t xml:space="preserve">SPP </w:t>
      </w:r>
      <w:r w:rsidRPr="00B45D8E">
        <w:rPr>
          <w:rFonts w:cstheme="minorHAnsi"/>
          <w:u w:val="single"/>
        </w:rPr>
        <w:t>to</w:t>
      </w:r>
      <w:r w:rsidRPr="00B45D8E">
        <w:rPr>
          <w:rFonts w:cstheme="minorHAnsi"/>
        </w:rPr>
        <w:t xml:space="preserve"> the </w:t>
      </w:r>
      <w:r w:rsidR="007D35FF">
        <w:rPr>
          <w:rFonts w:cstheme="minorHAnsi"/>
        </w:rPr>
        <w:t>s</w:t>
      </w:r>
      <w:r w:rsidRPr="00B45D8E">
        <w:rPr>
          <w:rFonts w:cstheme="minorHAnsi"/>
        </w:rPr>
        <w:t>tates</w:t>
      </w:r>
    </w:p>
    <w:p w14:paraId="509793B4" w14:textId="057FB8FA" w:rsidR="00F06AE7" w:rsidRPr="00B45D8E" w:rsidRDefault="00CC471B" w:rsidP="008D6A42">
      <w:pPr>
        <w:numPr>
          <w:ilvl w:val="0"/>
          <w:numId w:val="75"/>
        </w:numPr>
        <w:jc w:val="both"/>
        <w:rPr>
          <w:rFonts w:cstheme="minorHAnsi"/>
        </w:rPr>
      </w:pPr>
      <w:r w:rsidRPr="00B45D8E">
        <w:rPr>
          <w:rFonts w:cstheme="minorHAnsi"/>
        </w:rPr>
        <w:t xml:space="preserve">SPP </w:t>
      </w:r>
      <w:r w:rsidRPr="00B45D8E">
        <w:rPr>
          <w:rFonts w:cstheme="minorHAnsi"/>
          <w:u w:val="single"/>
        </w:rPr>
        <w:t>through</w:t>
      </w:r>
      <w:r w:rsidRPr="00B45D8E">
        <w:rPr>
          <w:rFonts w:cstheme="minorHAnsi"/>
        </w:rPr>
        <w:t xml:space="preserve"> the </w:t>
      </w:r>
      <w:r w:rsidR="007D35FF">
        <w:rPr>
          <w:rFonts w:cstheme="minorHAnsi"/>
        </w:rPr>
        <w:t>s</w:t>
      </w:r>
      <w:r w:rsidRPr="00B45D8E">
        <w:rPr>
          <w:rFonts w:cstheme="minorHAnsi"/>
        </w:rPr>
        <w:t>tates</w:t>
      </w:r>
    </w:p>
    <w:p w14:paraId="620A423F" w14:textId="0A711F68" w:rsidR="00F06AE7" w:rsidRPr="00B45D8E" w:rsidRDefault="00CC471B" w:rsidP="008D6A42">
      <w:pPr>
        <w:numPr>
          <w:ilvl w:val="0"/>
          <w:numId w:val="75"/>
        </w:numPr>
        <w:jc w:val="both"/>
        <w:rPr>
          <w:rFonts w:cstheme="minorHAnsi"/>
        </w:rPr>
      </w:pPr>
      <w:r w:rsidRPr="00B45D8E">
        <w:rPr>
          <w:rFonts w:cstheme="minorHAnsi"/>
        </w:rPr>
        <w:t xml:space="preserve">Payments to </w:t>
      </w:r>
      <w:r w:rsidR="007D35FF">
        <w:rPr>
          <w:rFonts w:cstheme="minorHAnsi"/>
        </w:rPr>
        <w:t>l</w:t>
      </w:r>
      <w:r w:rsidRPr="00B45D8E">
        <w:rPr>
          <w:rFonts w:cstheme="minorHAnsi"/>
        </w:rPr>
        <w:t xml:space="preserve">ocal </w:t>
      </w:r>
      <w:r w:rsidR="007D35FF">
        <w:rPr>
          <w:rFonts w:cstheme="minorHAnsi"/>
        </w:rPr>
        <w:t>g</w:t>
      </w:r>
      <w:r w:rsidRPr="00B45D8E">
        <w:rPr>
          <w:rFonts w:cstheme="minorHAnsi"/>
        </w:rPr>
        <w:t>overnments</w:t>
      </w:r>
    </w:p>
    <w:p w14:paraId="3E9C4D45" w14:textId="7EF31121" w:rsidR="00F06AE7" w:rsidRPr="00B45D8E" w:rsidRDefault="00CC471B" w:rsidP="008D6A42">
      <w:pPr>
        <w:numPr>
          <w:ilvl w:val="0"/>
          <w:numId w:val="75"/>
        </w:numPr>
        <w:jc w:val="both"/>
        <w:rPr>
          <w:rFonts w:cstheme="minorHAnsi"/>
        </w:rPr>
      </w:pPr>
      <w:r w:rsidRPr="00B45D8E">
        <w:rPr>
          <w:rFonts w:cstheme="minorHAnsi"/>
        </w:rPr>
        <w:t xml:space="preserve">Loans to </w:t>
      </w:r>
      <w:r w:rsidR="007D35FF">
        <w:rPr>
          <w:rFonts w:cstheme="minorHAnsi"/>
        </w:rPr>
        <w:t>s</w:t>
      </w:r>
      <w:r w:rsidRPr="00B45D8E">
        <w:rPr>
          <w:rFonts w:cstheme="minorHAnsi"/>
        </w:rPr>
        <w:t xml:space="preserve">tate </w:t>
      </w:r>
      <w:r w:rsidR="007D35FF">
        <w:rPr>
          <w:rFonts w:cstheme="minorHAnsi"/>
        </w:rPr>
        <w:t>g</w:t>
      </w:r>
      <w:r w:rsidRPr="00B45D8E">
        <w:rPr>
          <w:rFonts w:cstheme="minorHAnsi"/>
        </w:rPr>
        <w:t>overnments</w:t>
      </w:r>
    </w:p>
    <w:p w14:paraId="0D4D1681" w14:textId="77777777" w:rsidR="00F06AE7" w:rsidRPr="00B45D8E" w:rsidRDefault="00CC471B" w:rsidP="008D6A42">
      <w:pPr>
        <w:numPr>
          <w:ilvl w:val="0"/>
          <w:numId w:val="75"/>
        </w:numPr>
        <w:jc w:val="both"/>
        <w:rPr>
          <w:rFonts w:cstheme="minorHAnsi"/>
        </w:rPr>
      </w:pPr>
      <w:r w:rsidRPr="00B45D8E">
        <w:rPr>
          <w:rFonts w:cstheme="minorHAnsi"/>
        </w:rPr>
        <w:t>Commonwealth Own Purpose Expense (COPE)</w:t>
      </w:r>
    </w:p>
    <w:p w14:paraId="6164FC72" w14:textId="1EAAE214" w:rsidR="00B45D8E" w:rsidRPr="00A65196" w:rsidRDefault="00CC471B" w:rsidP="008D6A42">
      <w:pPr>
        <w:pStyle w:val="NumberedList1"/>
        <w:jc w:val="both"/>
        <w:rPr>
          <w:rFonts w:cstheme="minorHAnsi"/>
        </w:rPr>
      </w:pPr>
      <w:r w:rsidRPr="00740F16">
        <w:rPr>
          <w:rFonts w:cstheme="minorHAnsi"/>
        </w:rPr>
        <w:t xml:space="preserve">SPP codes are required to be established in </w:t>
      </w:r>
      <w:r w:rsidR="00B45D8E" w:rsidRPr="00740F16">
        <w:rPr>
          <w:rFonts w:cstheme="minorHAnsi"/>
        </w:rPr>
        <w:t xml:space="preserve">CBMS for all payment classifications listed above except for COPE payments.  </w:t>
      </w:r>
    </w:p>
    <w:p w14:paraId="7A359A58" w14:textId="27DDAB83" w:rsidR="00F06AE7" w:rsidRPr="00B45D8E" w:rsidRDefault="00CC471B" w:rsidP="008D6A42">
      <w:pPr>
        <w:pStyle w:val="NumberedList1"/>
        <w:rPr>
          <w:rFonts w:cstheme="minorHAnsi"/>
        </w:rPr>
      </w:pPr>
      <w:r w:rsidRPr="00B45D8E">
        <w:rPr>
          <w:rFonts w:cstheme="minorHAnsi"/>
        </w:rPr>
        <w:t>SPP codes are created in CBMS by the CBMS</w:t>
      </w:r>
      <w:r w:rsidR="00B3467F">
        <w:rPr>
          <w:rFonts w:cstheme="minorHAnsi"/>
        </w:rPr>
        <w:t xml:space="preserve"> S</w:t>
      </w:r>
      <w:r w:rsidRPr="00B45D8E">
        <w:rPr>
          <w:rFonts w:cstheme="minorHAnsi"/>
        </w:rPr>
        <w:t xml:space="preserve">upport </w:t>
      </w:r>
      <w:r w:rsidR="007D35FF">
        <w:rPr>
          <w:rFonts w:cstheme="minorHAnsi"/>
        </w:rPr>
        <w:t>t</w:t>
      </w:r>
      <w:r w:rsidRPr="00B45D8E">
        <w:rPr>
          <w:rFonts w:cstheme="minorHAnsi"/>
        </w:rPr>
        <w:t xml:space="preserve">eam once </w:t>
      </w:r>
      <w:r w:rsidR="00B3467F" w:rsidRPr="00B45D8E">
        <w:rPr>
          <w:rFonts w:cstheme="minorHAnsi"/>
        </w:rPr>
        <w:t>Treasu</w:t>
      </w:r>
      <w:r w:rsidR="00B3467F">
        <w:rPr>
          <w:rFonts w:cstheme="minorHAnsi"/>
        </w:rPr>
        <w:t>r</w:t>
      </w:r>
      <w:r w:rsidR="00B3467F" w:rsidRPr="00B45D8E">
        <w:rPr>
          <w:rFonts w:cstheme="minorHAnsi"/>
        </w:rPr>
        <w:t>y</w:t>
      </w:r>
      <w:r w:rsidRPr="00B45D8E">
        <w:rPr>
          <w:rFonts w:cstheme="minorHAnsi"/>
        </w:rPr>
        <w:t xml:space="preserve"> </w:t>
      </w:r>
      <w:r w:rsidR="00B3467F">
        <w:rPr>
          <w:rFonts w:cstheme="minorHAnsi"/>
        </w:rPr>
        <w:t>or</w:t>
      </w:r>
      <w:r w:rsidRPr="00B45D8E">
        <w:rPr>
          <w:rFonts w:cstheme="minorHAnsi"/>
        </w:rPr>
        <w:t xml:space="preserve"> the relevant entity have sent through the CBMS code creation request form which can be found in CBMS using the path below: User Reference Material &gt; Forms and Templates &gt; RDS Form &gt; SPP</w:t>
      </w:r>
    </w:p>
    <w:p w14:paraId="756F289D" w14:textId="77777777" w:rsidR="00F06AE7" w:rsidRPr="00B45D8E" w:rsidRDefault="00CC471B" w:rsidP="008D6A42">
      <w:pPr>
        <w:pStyle w:val="NumberedList1"/>
        <w:rPr>
          <w:rFonts w:cstheme="minorHAnsi"/>
        </w:rPr>
      </w:pPr>
      <w:r w:rsidRPr="00B45D8E">
        <w:rPr>
          <w:rFonts w:cstheme="minorHAnsi"/>
        </w:rPr>
        <w:t>Appendix A of the SPP form provides detailed instructions on how to complete the form.</w:t>
      </w:r>
    </w:p>
    <w:p w14:paraId="7CCF4FF6" w14:textId="52A0F7BC" w:rsidR="00B45D8E" w:rsidRDefault="00B45D8E" w:rsidP="008D6A42">
      <w:pPr>
        <w:jc w:val="both"/>
        <w:rPr>
          <w:rFonts w:cstheme="minorHAnsi"/>
        </w:rPr>
      </w:pPr>
      <w:r>
        <w:rPr>
          <w:noProof/>
          <w:lang w:eastAsia="en-AU"/>
        </w:rPr>
        <w:drawing>
          <wp:inline distT="0" distB="0" distL="0" distR="0" wp14:anchorId="0B8C163B" wp14:editId="183D9E6B">
            <wp:extent cx="5759450" cy="1789430"/>
            <wp:effectExtent l="0" t="0" r="0" b="127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9"/>
                    <a:stretch>
                      <a:fillRect/>
                    </a:stretch>
                  </pic:blipFill>
                  <pic:spPr>
                    <a:xfrm>
                      <a:off x="0" y="0"/>
                      <a:ext cx="5759450" cy="1789430"/>
                    </a:xfrm>
                    <a:prstGeom prst="rect">
                      <a:avLst/>
                    </a:prstGeom>
                  </pic:spPr>
                </pic:pic>
              </a:graphicData>
            </a:graphic>
          </wp:inline>
        </w:drawing>
      </w:r>
    </w:p>
    <w:p w14:paraId="383B81A9" w14:textId="4E3AB6E6" w:rsidR="00F06AE7" w:rsidRPr="00740F16" w:rsidRDefault="00CC471B" w:rsidP="008D6A42">
      <w:pPr>
        <w:pStyle w:val="NumberedList1"/>
        <w:jc w:val="both"/>
        <w:rPr>
          <w:rFonts w:cstheme="minorHAnsi"/>
        </w:rPr>
      </w:pPr>
      <w:r w:rsidRPr="00DD4BFE">
        <w:rPr>
          <w:rFonts w:cstheme="minorHAnsi"/>
        </w:rPr>
        <w:t xml:space="preserve">Whilst it is the entity responsible for the policy that sends through the payment classification request, most often the SPP code creation request would be sent from Treasury in consultation with portfolio entities.  This is because the Treasurer is accountable for payments to the states and is responsible for the administration of estimates and payments under the FFR framework.  </w:t>
      </w:r>
    </w:p>
    <w:p w14:paraId="5DE9FC72" w14:textId="12492E7B" w:rsidR="00F06AE7" w:rsidRPr="00B45D8E" w:rsidRDefault="00CC471B" w:rsidP="008D6A42">
      <w:pPr>
        <w:pStyle w:val="NumberedList1"/>
        <w:rPr>
          <w:rFonts w:cstheme="minorHAnsi"/>
        </w:rPr>
      </w:pPr>
      <w:r w:rsidRPr="00B45D8E">
        <w:rPr>
          <w:rFonts w:cstheme="minorHAnsi"/>
        </w:rPr>
        <w:t xml:space="preserve">The majority of SPPs are paid from the COAG Reform Fund special appropriation and are administered and reported by Treasury (against Treasury’s programs). There are rare circumstances where it is the policy holding entity that reports and administers estimates and payments for SPP, but </w:t>
      </w:r>
      <w:r w:rsidR="00C26250">
        <w:rPr>
          <w:rFonts w:cstheme="minorHAnsi"/>
        </w:rPr>
        <w:t>this arrangement would need to be agreed between Treasury and the portfolio entity.</w:t>
      </w:r>
    </w:p>
    <w:p w14:paraId="684CC619" w14:textId="116A788E" w:rsidR="00B45D8E" w:rsidRPr="00DD4BFE" w:rsidRDefault="00CC471B" w:rsidP="008D6A42">
      <w:pPr>
        <w:pStyle w:val="NumberedList1"/>
        <w:rPr>
          <w:rFonts w:cstheme="minorHAnsi"/>
        </w:rPr>
      </w:pPr>
      <w:r w:rsidRPr="00B45D8E">
        <w:rPr>
          <w:rFonts w:cstheme="minorHAnsi"/>
        </w:rPr>
        <w:t>The SPP code creation request form is sent from Treasury</w:t>
      </w:r>
      <w:r w:rsidR="00533854">
        <w:rPr>
          <w:rFonts w:cstheme="minorHAnsi"/>
        </w:rPr>
        <w:t xml:space="preserve"> or</w:t>
      </w:r>
      <w:r w:rsidRPr="00B45D8E">
        <w:rPr>
          <w:rFonts w:cstheme="minorHAnsi"/>
        </w:rPr>
        <w:t xml:space="preserve"> other entity</w:t>
      </w:r>
      <w:r w:rsidR="00E56DE5">
        <w:rPr>
          <w:rFonts w:cstheme="minorHAnsi"/>
        </w:rPr>
        <w:t xml:space="preserve"> </w:t>
      </w:r>
      <w:r w:rsidR="00815374">
        <w:rPr>
          <w:rFonts w:cstheme="minorHAnsi"/>
        </w:rPr>
        <w:t>(responsible for the policy)</w:t>
      </w:r>
      <w:r w:rsidR="00E56DE5">
        <w:rPr>
          <w:rFonts w:cstheme="minorHAnsi"/>
        </w:rPr>
        <w:t xml:space="preserve"> </w:t>
      </w:r>
      <w:r w:rsidRPr="00B45D8E">
        <w:rPr>
          <w:rFonts w:cstheme="minorHAnsi"/>
        </w:rPr>
        <w:t xml:space="preserve">once there is policy authority. The completed form needs to be submitted to the CBMS </w:t>
      </w:r>
      <w:r w:rsidR="00533854">
        <w:rPr>
          <w:rFonts w:cstheme="minorHAnsi"/>
        </w:rPr>
        <w:t>S</w:t>
      </w:r>
      <w:r w:rsidRPr="00B45D8E">
        <w:rPr>
          <w:rFonts w:cstheme="minorHAnsi"/>
        </w:rPr>
        <w:t xml:space="preserve">upport </w:t>
      </w:r>
      <w:r w:rsidR="007D35FF">
        <w:rPr>
          <w:rFonts w:cstheme="minorHAnsi"/>
        </w:rPr>
        <w:t>t</w:t>
      </w:r>
      <w:r w:rsidRPr="00B45D8E">
        <w:rPr>
          <w:rFonts w:cstheme="minorHAnsi"/>
        </w:rPr>
        <w:t>eam (</w:t>
      </w:r>
      <w:hyperlink r:id="rId40" w:history="1">
        <w:r w:rsidRPr="00B45D8E">
          <w:rPr>
            <w:rStyle w:val="Hyperlink"/>
            <w:rFonts w:cstheme="minorHAnsi"/>
          </w:rPr>
          <w:t>CBMS@finance.gov.au</w:t>
        </w:r>
      </w:hyperlink>
      <w:r w:rsidRPr="00B45D8E">
        <w:rPr>
          <w:rFonts w:cstheme="minorHAnsi"/>
        </w:rPr>
        <w:t xml:space="preserve">), who then creates the SPP code in </w:t>
      </w:r>
      <w:r w:rsidR="00B45D8E" w:rsidRPr="00DD4BFE">
        <w:rPr>
          <w:rFonts w:cstheme="minorHAnsi"/>
        </w:rPr>
        <w:t>CBMS upon the approval of the three responsible teams in Finance</w:t>
      </w:r>
      <w:r w:rsidR="00DD4BFE">
        <w:rPr>
          <w:rFonts w:cstheme="minorHAnsi"/>
        </w:rPr>
        <w:t>:</w:t>
      </w:r>
    </w:p>
    <w:p w14:paraId="6458A989" w14:textId="23F842E7" w:rsidR="00F06AE7" w:rsidRPr="00B45D8E" w:rsidRDefault="00CC471B" w:rsidP="00B45D8E">
      <w:pPr>
        <w:numPr>
          <w:ilvl w:val="1"/>
          <w:numId w:val="67"/>
        </w:numPr>
        <w:jc w:val="both"/>
        <w:rPr>
          <w:rFonts w:cstheme="minorHAnsi"/>
        </w:rPr>
      </w:pPr>
      <w:r w:rsidRPr="00B45D8E">
        <w:rPr>
          <w:rFonts w:cstheme="minorHAnsi"/>
        </w:rPr>
        <w:t xml:space="preserve">Expenditure Trends </w:t>
      </w:r>
      <w:r w:rsidR="007D35FF">
        <w:rPr>
          <w:rFonts w:cstheme="minorHAnsi"/>
        </w:rPr>
        <w:t>t</w:t>
      </w:r>
      <w:r w:rsidRPr="00B45D8E">
        <w:rPr>
          <w:rFonts w:cstheme="minorHAnsi"/>
        </w:rPr>
        <w:t>eam</w:t>
      </w:r>
    </w:p>
    <w:p w14:paraId="386CE1A9" w14:textId="5315E43E" w:rsidR="00F06AE7" w:rsidRPr="00B45D8E" w:rsidRDefault="00CC471B" w:rsidP="00B45D8E">
      <w:pPr>
        <w:numPr>
          <w:ilvl w:val="1"/>
          <w:numId w:val="67"/>
        </w:numPr>
        <w:jc w:val="both"/>
        <w:rPr>
          <w:rFonts w:cstheme="minorHAnsi"/>
        </w:rPr>
      </w:pPr>
      <w:r w:rsidRPr="00B45D8E">
        <w:rPr>
          <w:rFonts w:cstheme="minorHAnsi"/>
        </w:rPr>
        <w:t>AAU</w:t>
      </w:r>
    </w:p>
    <w:p w14:paraId="4419D1A8" w14:textId="062B4D1F" w:rsidR="00F06AE7" w:rsidRPr="00B45D8E" w:rsidRDefault="00CC471B" w:rsidP="00B45D8E">
      <w:pPr>
        <w:numPr>
          <w:ilvl w:val="1"/>
          <w:numId w:val="67"/>
        </w:numPr>
        <w:jc w:val="both"/>
        <w:rPr>
          <w:rFonts w:cstheme="minorHAnsi"/>
        </w:rPr>
      </w:pPr>
      <w:r w:rsidRPr="00B45D8E">
        <w:rPr>
          <w:rFonts w:cstheme="minorHAnsi"/>
        </w:rPr>
        <w:t>GFS</w:t>
      </w:r>
      <w:r w:rsidR="00B45D8E">
        <w:rPr>
          <w:rFonts w:cstheme="minorHAnsi"/>
        </w:rPr>
        <w:t xml:space="preserve"> and Estimates</w:t>
      </w:r>
      <w:r w:rsidRPr="00B45D8E">
        <w:rPr>
          <w:rFonts w:cstheme="minorHAnsi"/>
        </w:rPr>
        <w:t xml:space="preserve"> </w:t>
      </w:r>
      <w:r w:rsidR="007D35FF">
        <w:rPr>
          <w:rFonts w:cstheme="minorHAnsi"/>
        </w:rPr>
        <w:t>t</w:t>
      </w:r>
      <w:r w:rsidRPr="00B45D8E">
        <w:rPr>
          <w:rFonts w:cstheme="minorHAnsi"/>
        </w:rPr>
        <w:t>eam</w:t>
      </w:r>
    </w:p>
    <w:p w14:paraId="2D8CFBE4" w14:textId="0C71C9EA" w:rsidR="00F06AE7" w:rsidRPr="00740F16" w:rsidRDefault="00CC471B" w:rsidP="008D6A42">
      <w:pPr>
        <w:pStyle w:val="NumberedList1"/>
        <w:jc w:val="both"/>
        <w:rPr>
          <w:rFonts w:cstheme="minorHAnsi"/>
        </w:rPr>
      </w:pPr>
      <w:r w:rsidRPr="00DD4BFE">
        <w:rPr>
          <w:rFonts w:cstheme="minorHAnsi"/>
        </w:rPr>
        <w:t xml:space="preserve">CBMS </w:t>
      </w:r>
      <w:r w:rsidR="00533854">
        <w:rPr>
          <w:rFonts w:cstheme="minorHAnsi"/>
        </w:rPr>
        <w:t>S</w:t>
      </w:r>
      <w:r w:rsidRPr="00DD4BFE">
        <w:rPr>
          <w:rFonts w:cstheme="minorHAnsi"/>
        </w:rPr>
        <w:t xml:space="preserve">upport </w:t>
      </w:r>
      <w:r w:rsidR="007D35FF">
        <w:rPr>
          <w:rFonts w:cstheme="minorHAnsi"/>
        </w:rPr>
        <w:t>t</w:t>
      </w:r>
      <w:r w:rsidRPr="00DD4BFE">
        <w:rPr>
          <w:rFonts w:cstheme="minorHAnsi"/>
        </w:rPr>
        <w:t>eam will advise all relevant stakeholders once the SPP code have been created in CBMS. The agency</w:t>
      </w:r>
      <w:r w:rsidR="005A143A">
        <w:rPr>
          <w:rFonts w:cstheme="minorHAnsi"/>
        </w:rPr>
        <w:t xml:space="preserve"> </w:t>
      </w:r>
      <w:r w:rsidR="004B1A67">
        <w:rPr>
          <w:rFonts w:cstheme="minorHAnsi"/>
        </w:rPr>
        <w:t>can</w:t>
      </w:r>
      <w:r w:rsidRPr="00DD4BFE">
        <w:rPr>
          <w:rFonts w:cstheme="minorHAnsi"/>
        </w:rPr>
        <w:t xml:space="preserve"> then enter in the estimates against the established SPP code, and the relevant AAU validates it.  </w:t>
      </w:r>
    </w:p>
    <w:p w14:paraId="14A815D9" w14:textId="77777777" w:rsidR="00F06AE7" w:rsidRPr="00DE61BB" w:rsidRDefault="00CC471B" w:rsidP="008D6A42">
      <w:pPr>
        <w:pStyle w:val="NumberedList1"/>
        <w:rPr>
          <w:rFonts w:cstheme="minorHAnsi"/>
        </w:rPr>
      </w:pPr>
      <w:r w:rsidRPr="00DE61BB">
        <w:rPr>
          <w:rFonts w:cstheme="minorHAnsi"/>
        </w:rPr>
        <w:t>The CBMS accounts codes that can be linked to an SPP code are listed below</w:t>
      </w:r>
      <w:bookmarkStart w:id="50" w:name="_GoBack"/>
      <w:bookmarkEnd w:id="50"/>
      <w:r w:rsidRPr="00DE61BB">
        <w:rPr>
          <w:rFonts w:cstheme="minorHAnsi"/>
        </w:rPr>
        <w:t>:</w:t>
      </w:r>
    </w:p>
    <w:p w14:paraId="2E26BCA7" w14:textId="0A579B4C" w:rsidR="00E46B7C" w:rsidRDefault="00DE61BB" w:rsidP="008D6A42">
      <w:pPr>
        <w:jc w:val="both"/>
        <w:rPr>
          <w:rFonts w:cstheme="minorHAnsi"/>
        </w:rPr>
      </w:pPr>
      <w:r>
        <w:rPr>
          <w:noProof/>
          <w:lang w:eastAsia="en-AU"/>
        </w:rPr>
        <w:drawing>
          <wp:inline distT="0" distB="0" distL="0" distR="0" wp14:anchorId="0EF31F34" wp14:editId="6D173A90">
            <wp:extent cx="4609280" cy="2201504"/>
            <wp:effectExtent l="0" t="0" r="1270" b="889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41"/>
                    <a:stretch>
                      <a:fillRect/>
                    </a:stretch>
                  </pic:blipFill>
                  <pic:spPr>
                    <a:xfrm>
                      <a:off x="0" y="0"/>
                      <a:ext cx="4609280" cy="2201504"/>
                    </a:xfrm>
                    <a:prstGeom prst="rect">
                      <a:avLst/>
                    </a:prstGeom>
                  </pic:spPr>
                </pic:pic>
              </a:graphicData>
            </a:graphic>
          </wp:inline>
        </w:drawing>
      </w:r>
    </w:p>
    <w:p w14:paraId="1F20253E" w14:textId="4ED21078" w:rsidR="00AF592F" w:rsidRDefault="00AF592F" w:rsidP="00AF592F">
      <w:pPr>
        <w:pStyle w:val="Heading1"/>
        <w:shd w:val="clear" w:color="auto" w:fill="BDDCDF" w:themeFill="accent1"/>
      </w:pPr>
      <w:bookmarkStart w:id="51" w:name="_Toc124171211"/>
      <w:r>
        <w:t>Part 8 –</w:t>
      </w:r>
      <w:r w:rsidR="00CC471B">
        <w:t xml:space="preserve"> </w:t>
      </w:r>
      <w:r w:rsidRPr="00AF592F">
        <w:t>Managing and reporting of estimates in the system</w:t>
      </w:r>
      <w:r>
        <w:t xml:space="preserve"> </w:t>
      </w:r>
      <w:r w:rsidRPr="00AF592F">
        <w:t>(relevant to payments to other levels of Government)</w:t>
      </w:r>
      <w:bookmarkEnd w:id="51"/>
    </w:p>
    <w:p w14:paraId="2F417572" w14:textId="7486D0FE" w:rsidR="00F06AE7" w:rsidRPr="00740F16" w:rsidRDefault="00CC471B" w:rsidP="008D6A42">
      <w:pPr>
        <w:pStyle w:val="NumberedList1"/>
        <w:jc w:val="both"/>
        <w:rPr>
          <w:rFonts w:cstheme="minorHAnsi"/>
        </w:rPr>
      </w:pPr>
      <w:r w:rsidRPr="00DD4BFE">
        <w:rPr>
          <w:rFonts w:cstheme="minorHAnsi"/>
        </w:rPr>
        <w:t>Under the FFR framework the Treasurer is accountable for payments to the states, including through the COAG Reform Fund</w:t>
      </w:r>
    </w:p>
    <w:p w14:paraId="7D43598C" w14:textId="730C1537" w:rsidR="00F06AE7" w:rsidRPr="00AF592F" w:rsidRDefault="00CC471B" w:rsidP="008D6A42">
      <w:pPr>
        <w:pStyle w:val="NumberedList1"/>
        <w:rPr>
          <w:rFonts w:cstheme="minorHAnsi"/>
        </w:rPr>
      </w:pPr>
      <w:r w:rsidRPr="00AF592F">
        <w:rPr>
          <w:rFonts w:cstheme="minorHAnsi"/>
        </w:rPr>
        <w:t>Treasury, in consultation with portfolio entities, is responsible for the administration of estimates and payments under the FFR framework.</w:t>
      </w:r>
    </w:p>
    <w:p w14:paraId="1BCF4679" w14:textId="5D8348BE" w:rsidR="00F06AE7" w:rsidRDefault="00CC471B" w:rsidP="008D6A42">
      <w:pPr>
        <w:pStyle w:val="NumberedList1"/>
        <w:rPr>
          <w:rFonts w:cstheme="minorHAnsi"/>
        </w:rPr>
      </w:pPr>
      <w:r w:rsidRPr="00AF592F">
        <w:rPr>
          <w:rFonts w:cstheme="minorHAnsi"/>
        </w:rPr>
        <w:t xml:space="preserve">Treasury works with the portfolio entity in managing and reporting of estimates in CBMS.  </w:t>
      </w:r>
    </w:p>
    <w:p w14:paraId="655B70DE" w14:textId="1E28CDA3" w:rsidR="00F31864" w:rsidRPr="00281400" w:rsidRDefault="00167504" w:rsidP="00281400">
      <w:pPr>
        <w:pStyle w:val="ListParagraph"/>
        <w:numPr>
          <w:ilvl w:val="0"/>
          <w:numId w:val="62"/>
        </w:numPr>
        <w:jc w:val="both"/>
        <w:rPr>
          <w:rFonts w:asciiTheme="majorHAnsi" w:hAnsiTheme="majorHAnsi" w:cstheme="majorHAnsi"/>
        </w:rPr>
      </w:pPr>
      <w:r>
        <w:rPr>
          <w:rFonts w:asciiTheme="majorHAnsi" w:hAnsiTheme="majorHAnsi" w:cstheme="majorHAnsi"/>
        </w:rPr>
        <w:t>For p</w:t>
      </w:r>
      <w:r w:rsidR="0081155B" w:rsidRPr="00281400">
        <w:rPr>
          <w:rFonts w:asciiTheme="majorHAnsi" w:hAnsiTheme="majorHAnsi" w:cstheme="majorHAnsi"/>
        </w:rPr>
        <w:t>ayments which are</w:t>
      </w:r>
      <w:r w:rsidR="0069053D">
        <w:rPr>
          <w:rFonts w:asciiTheme="majorHAnsi" w:hAnsiTheme="majorHAnsi" w:cstheme="majorHAnsi"/>
        </w:rPr>
        <w:t xml:space="preserve"> not appropriated to Treasury</w:t>
      </w:r>
      <w:r>
        <w:rPr>
          <w:rFonts w:asciiTheme="majorHAnsi" w:hAnsiTheme="majorHAnsi" w:cstheme="majorHAnsi"/>
        </w:rPr>
        <w:t>, the portfolio entity</w:t>
      </w:r>
      <w:r w:rsidR="0069053D">
        <w:rPr>
          <w:rFonts w:asciiTheme="majorHAnsi" w:hAnsiTheme="majorHAnsi" w:cstheme="majorHAnsi"/>
        </w:rPr>
        <w:t xml:space="preserve"> </w:t>
      </w:r>
      <w:r>
        <w:rPr>
          <w:rFonts w:asciiTheme="majorHAnsi" w:hAnsiTheme="majorHAnsi" w:cstheme="majorHAnsi"/>
        </w:rPr>
        <w:t xml:space="preserve">manages estimates in CBMS directly. </w:t>
      </w:r>
      <w:r w:rsidR="0081155B" w:rsidRPr="00281400">
        <w:rPr>
          <w:rFonts w:asciiTheme="majorHAnsi" w:hAnsiTheme="majorHAnsi" w:cstheme="majorHAnsi"/>
        </w:rPr>
        <w:t xml:space="preserve"> </w:t>
      </w:r>
    </w:p>
    <w:p w14:paraId="79CF581C" w14:textId="77777777" w:rsidR="00AF592F" w:rsidRPr="00AF592F" w:rsidRDefault="00CC471B" w:rsidP="008D6A42">
      <w:pPr>
        <w:pStyle w:val="NumberedList1"/>
        <w:rPr>
          <w:rFonts w:cstheme="minorHAnsi"/>
        </w:rPr>
      </w:pPr>
      <w:r w:rsidRPr="00AF592F">
        <w:rPr>
          <w:rFonts w:cstheme="minorHAnsi"/>
        </w:rPr>
        <w:t xml:space="preserve">The AAU that manages the entity </w:t>
      </w:r>
      <w:r w:rsidR="00AF592F" w:rsidRPr="00AF592F">
        <w:rPr>
          <w:rFonts w:cstheme="minorHAnsi"/>
        </w:rPr>
        <w:t>responsible for the policy will validate the estimates in CBMS.</w:t>
      </w:r>
    </w:p>
    <w:p w14:paraId="2274274E" w14:textId="4C4DAE84" w:rsidR="00AF592F" w:rsidRDefault="00AF592F" w:rsidP="008D6A42">
      <w:pPr>
        <w:pStyle w:val="Heading1"/>
        <w:shd w:val="clear" w:color="auto" w:fill="BDDCDF" w:themeFill="accent1"/>
      </w:pPr>
      <w:bookmarkStart w:id="52" w:name="_Toc124171212"/>
      <w:r>
        <w:t>Part 9 –</w:t>
      </w:r>
      <w:r w:rsidRPr="00AF592F">
        <w:rPr>
          <w:rFonts w:asciiTheme="minorHAnsi" w:eastAsiaTheme="minorHAnsi" w:hAnsiTheme="minorHAnsi" w:cstheme="minorBidi"/>
          <w:bCs w:val="0"/>
          <w:color w:val="auto"/>
          <w:sz w:val="22"/>
          <w:szCs w:val="22"/>
        </w:rPr>
        <w:t xml:space="preserve"> </w:t>
      </w:r>
      <w:r w:rsidRPr="00AF592F">
        <w:t>Appropriations linked to other level of Government Payments</w:t>
      </w:r>
      <w:bookmarkEnd w:id="52"/>
    </w:p>
    <w:p w14:paraId="585F17B3" w14:textId="135E7378" w:rsidR="006F7E14" w:rsidRPr="006F7E14" w:rsidRDefault="00CC471B" w:rsidP="006F7E14">
      <w:pPr>
        <w:pStyle w:val="NumberedList1"/>
        <w:rPr>
          <w:rFonts w:cstheme="minorHAnsi"/>
        </w:rPr>
      </w:pPr>
      <w:r w:rsidRPr="00DD4BFE">
        <w:rPr>
          <w:rFonts w:cstheme="minorHAnsi"/>
        </w:rPr>
        <w:t xml:space="preserve">Subject to the </w:t>
      </w:r>
      <w:hyperlink r:id="rId42" w:history="1">
        <w:r w:rsidRPr="0080560D">
          <w:rPr>
            <w:rStyle w:val="Hyperlink"/>
            <w:rFonts w:cstheme="minorHAnsi"/>
          </w:rPr>
          <w:t>N</w:t>
        </w:r>
        <w:r w:rsidR="00EC3C04" w:rsidRPr="0080560D">
          <w:rPr>
            <w:rStyle w:val="Hyperlink"/>
            <w:rFonts w:cstheme="minorHAnsi"/>
          </w:rPr>
          <w:t xml:space="preserve">ew </w:t>
        </w:r>
        <w:r w:rsidRPr="0080560D">
          <w:rPr>
            <w:rStyle w:val="Hyperlink"/>
            <w:rFonts w:cstheme="minorHAnsi"/>
          </w:rPr>
          <w:t>P</w:t>
        </w:r>
        <w:r w:rsidR="00EC3C04" w:rsidRPr="0080560D">
          <w:rPr>
            <w:rStyle w:val="Hyperlink"/>
            <w:rFonts w:cstheme="minorHAnsi"/>
          </w:rPr>
          <w:t xml:space="preserve">olicy </w:t>
        </w:r>
        <w:r w:rsidRPr="0080560D">
          <w:rPr>
            <w:rStyle w:val="Hyperlink"/>
            <w:rFonts w:cstheme="minorHAnsi"/>
          </w:rPr>
          <w:t>P</w:t>
        </w:r>
        <w:r w:rsidR="00EC3C04" w:rsidRPr="0080560D">
          <w:rPr>
            <w:rStyle w:val="Hyperlink"/>
            <w:rFonts w:cstheme="minorHAnsi"/>
          </w:rPr>
          <w:t>roposal</w:t>
        </w:r>
      </w:hyperlink>
      <w:r w:rsidRPr="00DD4BFE">
        <w:rPr>
          <w:rFonts w:cstheme="minorHAnsi"/>
        </w:rPr>
        <w:t xml:space="preserve">, payments generally classified as an SPP to </w:t>
      </w:r>
      <w:r w:rsidR="00450A67">
        <w:rPr>
          <w:rFonts w:cstheme="minorHAnsi"/>
        </w:rPr>
        <w:t>or</w:t>
      </w:r>
      <w:r w:rsidRPr="00DD4BFE">
        <w:rPr>
          <w:rFonts w:cstheme="minorHAnsi"/>
        </w:rPr>
        <w:t xml:space="preserve"> through the states</w:t>
      </w:r>
      <w:r w:rsidR="002B766E">
        <w:rPr>
          <w:rFonts w:cstheme="minorHAnsi"/>
        </w:rPr>
        <w:t xml:space="preserve"> or loans to the states</w:t>
      </w:r>
      <w:r w:rsidRPr="00DD4BFE">
        <w:rPr>
          <w:rFonts w:cstheme="minorHAnsi"/>
        </w:rPr>
        <w:t xml:space="preserve"> as well </w:t>
      </w:r>
      <w:r w:rsidR="00AF592F" w:rsidRPr="00740F16">
        <w:rPr>
          <w:rFonts w:cstheme="minorHAnsi"/>
        </w:rPr>
        <w:t>as payments</w:t>
      </w:r>
      <w:r w:rsidRPr="00740F16">
        <w:rPr>
          <w:rFonts w:cstheme="minorHAnsi"/>
        </w:rPr>
        <w:t xml:space="preserve"> to direct local governments are reported against administered appropriations.  </w:t>
      </w:r>
    </w:p>
    <w:p w14:paraId="7AB17C78" w14:textId="39BB0BD0" w:rsidR="00F06AE7" w:rsidRPr="00740F16" w:rsidRDefault="00CC471B" w:rsidP="008D6A42">
      <w:pPr>
        <w:pStyle w:val="NumberedList1"/>
        <w:rPr>
          <w:rFonts w:cstheme="minorHAnsi"/>
        </w:rPr>
      </w:pPr>
      <w:r w:rsidRPr="00740F16">
        <w:rPr>
          <w:rFonts w:cstheme="minorHAnsi"/>
        </w:rPr>
        <w:t>Payments classified as a COPE may be reported against administered</w:t>
      </w:r>
      <w:r w:rsidR="002B766E">
        <w:rPr>
          <w:rFonts w:cstheme="minorHAnsi"/>
        </w:rPr>
        <w:t xml:space="preserve"> or departmental</w:t>
      </w:r>
      <w:r w:rsidRPr="00740F16">
        <w:rPr>
          <w:rFonts w:cstheme="minorHAnsi"/>
        </w:rPr>
        <w:t xml:space="preserve"> appropriations.  </w:t>
      </w:r>
    </w:p>
    <w:p w14:paraId="06010AF2" w14:textId="4260F8B0" w:rsidR="00F06AE7" w:rsidRPr="00C06723" w:rsidRDefault="00D73D2F" w:rsidP="008D6A42">
      <w:pPr>
        <w:pStyle w:val="NumberedList1"/>
        <w:rPr>
          <w:rFonts w:cstheme="minorHAnsi"/>
        </w:rPr>
      </w:pPr>
      <w:r>
        <w:rPr>
          <w:rFonts w:cstheme="minorHAnsi"/>
        </w:rPr>
        <w:t>Please consult t</w:t>
      </w:r>
      <w:r w:rsidR="00CC471B" w:rsidRPr="00C06723">
        <w:rPr>
          <w:rFonts w:cstheme="minorHAnsi"/>
        </w:rPr>
        <w:t xml:space="preserve">he Annual Appropriations team and/or Special Appropriations </w:t>
      </w:r>
      <w:r w:rsidR="007D35FF">
        <w:rPr>
          <w:rFonts w:cstheme="minorHAnsi"/>
        </w:rPr>
        <w:t>t</w:t>
      </w:r>
      <w:r w:rsidR="00CC471B" w:rsidRPr="00C06723">
        <w:rPr>
          <w:rFonts w:cstheme="minorHAnsi"/>
        </w:rPr>
        <w:t xml:space="preserve">eam </w:t>
      </w:r>
      <w:r w:rsidR="00F52EFD">
        <w:rPr>
          <w:rFonts w:cstheme="minorHAnsi"/>
        </w:rPr>
        <w:t xml:space="preserve">within Finance </w:t>
      </w:r>
      <w:r w:rsidR="00CC471B" w:rsidRPr="00C06723">
        <w:rPr>
          <w:rFonts w:cstheme="minorHAnsi"/>
        </w:rPr>
        <w:t>for any queries relevant to appropriations.</w:t>
      </w:r>
    </w:p>
    <w:p w14:paraId="710DA96C" w14:textId="77777777" w:rsidR="00E46B7C" w:rsidRPr="000574DB" w:rsidRDefault="00E46B7C" w:rsidP="008D6A42">
      <w:pPr>
        <w:pStyle w:val="ListParagraph"/>
        <w:numPr>
          <w:ilvl w:val="0"/>
          <w:numId w:val="0"/>
        </w:numPr>
        <w:ind w:left="720"/>
        <w:jc w:val="both"/>
        <w:rPr>
          <w:rFonts w:cstheme="minorHAnsi"/>
        </w:rPr>
      </w:pPr>
    </w:p>
    <w:sectPr w:rsidR="00E46B7C" w:rsidRPr="000574DB" w:rsidSect="005B696C">
      <w:headerReference w:type="default" r:id="rId43"/>
      <w:footerReference w:type="default" r:id="rId44"/>
      <w:headerReference w:type="first" r:id="rId45"/>
      <w:footerReference w:type="first" r:id="rId46"/>
      <w:type w:val="continuous"/>
      <w:pgSz w:w="11906" w:h="16838" w:code="9"/>
      <w:pgMar w:top="1560" w:right="1418" w:bottom="1418" w:left="1418" w:header="567"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9172" w16cex:dateUtc="2023-02-09T22:48:00Z"/>
  <w16cex:commentExtensible w16cex:durableId="2790973A" w16cex:dateUtc="2023-02-09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34C90" w16cid:durableId="279090FE"/>
  <w16cid:commentId w16cid:paraId="36B5B039" w16cid:durableId="27909172"/>
  <w16cid:commentId w16cid:paraId="44AB20B4" w16cid:durableId="279090FF"/>
  <w16cid:commentId w16cid:paraId="1AF29D82" w16cid:durableId="279097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396ED" w14:textId="77777777" w:rsidR="00157974" w:rsidRDefault="00157974" w:rsidP="00EF4574">
      <w:pPr>
        <w:spacing w:before="0" w:after="0" w:line="240" w:lineRule="auto"/>
      </w:pPr>
      <w:r>
        <w:separator/>
      </w:r>
    </w:p>
    <w:p w14:paraId="3D61C0AA" w14:textId="77777777" w:rsidR="00157974" w:rsidRDefault="00157974"/>
  </w:endnote>
  <w:endnote w:type="continuationSeparator" w:id="0">
    <w:p w14:paraId="42FBDC1C" w14:textId="77777777" w:rsidR="00157974" w:rsidRDefault="00157974" w:rsidP="00EF4574">
      <w:pPr>
        <w:spacing w:before="0" w:after="0" w:line="240" w:lineRule="auto"/>
      </w:pPr>
      <w:r>
        <w:continuationSeparator/>
      </w:r>
    </w:p>
    <w:p w14:paraId="5337FD7B" w14:textId="77777777" w:rsidR="00157974" w:rsidRDefault="00157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AB1B" w14:textId="68D8D3EB" w:rsidR="004B1A67" w:rsidRDefault="004B1A67" w:rsidP="005B696C">
    <w:pPr>
      <w:pStyle w:val="Footer"/>
    </w:pPr>
    <w:r>
      <w:rPr>
        <w:noProof/>
        <w:lang w:eastAsia="en-AU"/>
      </w:rPr>
      <mc:AlternateContent>
        <mc:Choice Requires="wps">
          <w:drawing>
            <wp:anchor distT="0" distB="0" distL="114300" distR="114300" simplePos="0" relativeHeight="251651065" behindDoc="1" locked="0" layoutInCell="1" allowOverlap="1" wp14:anchorId="247D9293" wp14:editId="006CD105">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E750F" w14:textId="77777777" w:rsidR="004B1A67" w:rsidRDefault="004B1A67"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7D9293" id="Oval 5" o:spid="_x0000_s1032"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" fillcolor="#bddcdf [3204]" strokecolor="#1c1c1c [3215]" strokeweight=".5pt">
              <v:stroke joinstyle="miter"/>
              <v:textbox>
                <w:txbxContent>
                  <w:p w14:paraId="45FE750F" w14:textId="77777777" w:rsidR="004B1A67" w:rsidRDefault="004B1A67"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4A7C72">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CA8D" w14:textId="77777777" w:rsidR="004B1A67" w:rsidRDefault="004B1A67">
    <w:pPr>
      <w:pStyle w:val="Footer"/>
    </w:pPr>
  </w:p>
  <w:p w14:paraId="1B86593E" w14:textId="77777777" w:rsidR="004B1A67" w:rsidRDefault="004B1A67" w:rsidP="000A6A8B">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5A3CF" w14:textId="77777777" w:rsidR="00157974" w:rsidRDefault="00157974" w:rsidP="0020122A">
      <w:pPr>
        <w:pStyle w:val="FootnoteSeparator"/>
      </w:pPr>
    </w:p>
  </w:footnote>
  <w:footnote w:type="continuationSeparator" w:id="0">
    <w:p w14:paraId="67A0F0ED" w14:textId="77777777" w:rsidR="00157974" w:rsidRDefault="00157974" w:rsidP="00EF4574">
      <w:pPr>
        <w:spacing w:before="0" w:after="0" w:line="240" w:lineRule="auto"/>
      </w:pPr>
      <w:r>
        <w:continuationSeparator/>
      </w:r>
    </w:p>
    <w:p w14:paraId="2447B128" w14:textId="77777777" w:rsidR="00157974" w:rsidRDefault="001579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CD7F" w14:textId="77777777" w:rsidR="004B1A67" w:rsidRPr="00DB6D69" w:rsidRDefault="004B1A67">
    <w:pPr>
      <w:pStyle w:val="Header"/>
      <w:rPr>
        <w:b/>
      </w:rPr>
    </w:pPr>
    <w:r w:rsidRPr="00DB6D69">
      <w:rPr>
        <w:b/>
      </w:rPr>
      <w:t>Department of Finance</w:t>
    </w:r>
  </w:p>
  <w:p w14:paraId="7B258143" w14:textId="77777777" w:rsidR="004B1A67" w:rsidRDefault="004B1A67" w:rsidP="00C5645D">
    <w:pPr>
      <w:pStyle w:val="Header"/>
    </w:pPr>
    <w:r w:rsidRPr="0063105A">
      <w:rPr>
        <w:rFonts w:ascii="Calibri" w:hAnsi="Calibri"/>
        <w:color w:val="000000" w:themeColor="text1"/>
        <w:szCs w:val="40"/>
      </w:rPr>
      <w:t>Classifying Australian Government payments to other levels of government</w:t>
    </w:r>
    <w:r w:rsidRPr="0063105A" w:rsidDel="00010AE9">
      <w:rPr>
        <w:rFonts w:ascii="Calibri" w:hAnsi="Calibri"/>
        <w:color w:val="000000" w:themeColor="text1"/>
        <w:szCs w:val="40"/>
      </w:rPr>
      <w:t xml:space="preserve"> </w:t>
    </w:r>
    <w:r>
      <w:t>(RMG 419)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1ACE" w14:textId="77777777" w:rsidR="004B1A67" w:rsidRDefault="004B1A67" w:rsidP="000A6A8B">
    <w:pPr>
      <w:pStyle w:val="Header"/>
      <w:jc w:val="center"/>
    </w:pPr>
    <w:r>
      <w:rPr>
        <w:noProof/>
        <w:lang w:eastAsia="en-AU"/>
      </w:rPr>
      <w:drawing>
        <wp:anchor distT="0" distB="0" distL="114300" distR="114300" simplePos="0" relativeHeight="251654140" behindDoc="1" locked="0" layoutInCell="1" allowOverlap="1" wp14:anchorId="699B6875" wp14:editId="0A0340D4">
          <wp:simplePos x="0" y="0"/>
          <wp:positionH relativeFrom="page">
            <wp:posOffset>0</wp:posOffset>
          </wp:positionH>
          <wp:positionV relativeFrom="page">
            <wp:posOffset>0</wp:posOffset>
          </wp:positionV>
          <wp:extent cx="7559640" cy="10694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15" behindDoc="1" locked="0" layoutInCell="1" allowOverlap="1" wp14:anchorId="39DAA84F" wp14:editId="1477A762">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75C7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" adj="21600" fillcolor="#92c5c5 [3205]" stroked="f" strokeweight="1pt"/>
          </w:pict>
        </mc:Fallback>
      </mc:AlternateContent>
    </w:r>
    <w:r>
      <w:rPr>
        <w:noProof/>
        <w:lang w:eastAsia="en-AU"/>
      </w:rPr>
      <mc:AlternateContent>
        <mc:Choice Requires="wps">
          <w:drawing>
            <wp:anchor distT="0" distB="0" distL="114300" distR="114300" simplePos="0" relativeHeight="251652090" behindDoc="1" locked="0" layoutInCell="1" allowOverlap="1" wp14:anchorId="4D5D156B" wp14:editId="070B9A44">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6D0782" id="Rectangle 2" o:spid="_x0000_s1026" style="position:absolute;margin-left:-49.9pt;margin-top:206.65pt;width:558pt;height:588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" fillcolor="#bddcdf [3204]" stroked="f" strokeweight="1pt"/>
          </w:pict>
        </mc:Fallback>
      </mc:AlternateContent>
    </w:r>
    <w:r>
      <w:rPr>
        <w:noProof/>
        <w:lang w:eastAsia="en-AU"/>
      </w:rPr>
      <w:drawing>
        <wp:anchor distT="0" distB="0" distL="114300" distR="114300" simplePos="0" relativeHeight="251658240" behindDoc="0" locked="0" layoutInCell="1" allowOverlap="1" wp14:anchorId="6329E7DC" wp14:editId="59B0D5DC">
          <wp:simplePos x="0" y="0"/>
          <wp:positionH relativeFrom="page">
            <wp:posOffset>900430</wp:posOffset>
          </wp:positionH>
          <wp:positionV relativeFrom="page">
            <wp:posOffset>900430</wp:posOffset>
          </wp:positionV>
          <wp:extent cx="2350800" cy="574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648"/>
    <w:multiLevelType w:val="hybridMultilevel"/>
    <w:tmpl w:val="53D814BC"/>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 w15:restartNumberingAfterBreak="0">
    <w:nsid w:val="04586473"/>
    <w:multiLevelType w:val="hybridMultilevel"/>
    <w:tmpl w:val="A490C606"/>
    <w:lvl w:ilvl="0" w:tplc="722EC7FC">
      <w:start w:val="1"/>
      <w:numFmt w:val="bullet"/>
      <w:lvlText w:val="•"/>
      <w:lvlJc w:val="left"/>
      <w:pPr>
        <w:tabs>
          <w:tab w:val="num" w:pos="720"/>
        </w:tabs>
        <w:ind w:left="720" w:hanging="360"/>
      </w:pPr>
      <w:rPr>
        <w:rFonts w:ascii="Times New Roman" w:hAnsi="Times New Roman" w:hint="default"/>
      </w:rPr>
    </w:lvl>
    <w:lvl w:ilvl="1" w:tplc="B5089B50" w:tentative="1">
      <w:start w:val="1"/>
      <w:numFmt w:val="bullet"/>
      <w:lvlText w:val="•"/>
      <w:lvlJc w:val="left"/>
      <w:pPr>
        <w:tabs>
          <w:tab w:val="num" w:pos="1440"/>
        </w:tabs>
        <w:ind w:left="1440" w:hanging="360"/>
      </w:pPr>
      <w:rPr>
        <w:rFonts w:ascii="Times New Roman" w:hAnsi="Times New Roman" w:hint="default"/>
      </w:rPr>
    </w:lvl>
    <w:lvl w:ilvl="2" w:tplc="BB6A77FC" w:tentative="1">
      <w:start w:val="1"/>
      <w:numFmt w:val="bullet"/>
      <w:lvlText w:val="•"/>
      <w:lvlJc w:val="left"/>
      <w:pPr>
        <w:tabs>
          <w:tab w:val="num" w:pos="2160"/>
        </w:tabs>
        <w:ind w:left="2160" w:hanging="360"/>
      </w:pPr>
      <w:rPr>
        <w:rFonts w:ascii="Times New Roman" w:hAnsi="Times New Roman" w:hint="default"/>
      </w:rPr>
    </w:lvl>
    <w:lvl w:ilvl="3" w:tplc="77187554" w:tentative="1">
      <w:start w:val="1"/>
      <w:numFmt w:val="bullet"/>
      <w:lvlText w:val="•"/>
      <w:lvlJc w:val="left"/>
      <w:pPr>
        <w:tabs>
          <w:tab w:val="num" w:pos="2880"/>
        </w:tabs>
        <w:ind w:left="2880" w:hanging="360"/>
      </w:pPr>
      <w:rPr>
        <w:rFonts w:ascii="Times New Roman" w:hAnsi="Times New Roman" w:hint="default"/>
      </w:rPr>
    </w:lvl>
    <w:lvl w:ilvl="4" w:tplc="ABEAA504" w:tentative="1">
      <w:start w:val="1"/>
      <w:numFmt w:val="bullet"/>
      <w:lvlText w:val="•"/>
      <w:lvlJc w:val="left"/>
      <w:pPr>
        <w:tabs>
          <w:tab w:val="num" w:pos="3600"/>
        </w:tabs>
        <w:ind w:left="3600" w:hanging="360"/>
      </w:pPr>
      <w:rPr>
        <w:rFonts w:ascii="Times New Roman" w:hAnsi="Times New Roman" w:hint="default"/>
      </w:rPr>
    </w:lvl>
    <w:lvl w:ilvl="5" w:tplc="FEA20FD4" w:tentative="1">
      <w:start w:val="1"/>
      <w:numFmt w:val="bullet"/>
      <w:lvlText w:val="•"/>
      <w:lvlJc w:val="left"/>
      <w:pPr>
        <w:tabs>
          <w:tab w:val="num" w:pos="4320"/>
        </w:tabs>
        <w:ind w:left="4320" w:hanging="360"/>
      </w:pPr>
      <w:rPr>
        <w:rFonts w:ascii="Times New Roman" w:hAnsi="Times New Roman" w:hint="default"/>
      </w:rPr>
    </w:lvl>
    <w:lvl w:ilvl="6" w:tplc="8146C17E" w:tentative="1">
      <w:start w:val="1"/>
      <w:numFmt w:val="bullet"/>
      <w:lvlText w:val="•"/>
      <w:lvlJc w:val="left"/>
      <w:pPr>
        <w:tabs>
          <w:tab w:val="num" w:pos="5040"/>
        </w:tabs>
        <w:ind w:left="5040" w:hanging="360"/>
      </w:pPr>
      <w:rPr>
        <w:rFonts w:ascii="Times New Roman" w:hAnsi="Times New Roman" w:hint="default"/>
      </w:rPr>
    </w:lvl>
    <w:lvl w:ilvl="7" w:tplc="8ADCAF36" w:tentative="1">
      <w:start w:val="1"/>
      <w:numFmt w:val="bullet"/>
      <w:lvlText w:val="•"/>
      <w:lvlJc w:val="left"/>
      <w:pPr>
        <w:tabs>
          <w:tab w:val="num" w:pos="5760"/>
        </w:tabs>
        <w:ind w:left="5760" w:hanging="360"/>
      </w:pPr>
      <w:rPr>
        <w:rFonts w:ascii="Times New Roman" w:hAnsi="Times New Roman" w:hint="default"/>
      </w:rPr>
    </w:lvl>
    <w:lvl w:ilvl="8" w:tplc="609A90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D00469"/>
    <w:multiLevelType w:val="hybridMultilevel"/>
    <w:tmpl w:val="99DC182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0E5EBF"/>
    <w:multiLevelType w:val="hybridMultilevel"/>
    <w:tmpl w:val="0680A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2D1AA9BE"/>
    <w:styleLink w:val="Numberedlist"/>
    <w:lvl w:ilvl="0">
      <w:start w:val="1"/>
      <w:numFmt w:val="decimal"/>
      <w:pStyle w:val="NumberedList1"/>
      <w:lvlText w:val="%1."/>
      <w:lvlJc w:val="left"/>
      <w:pPr>
        <w:ind w:left="-163" w:hanging="284"/>
      </w:pPr>
      <w:rPr>
        <w:rFonts w:hint="default"/>
      </w:rPr>
    </w:lvl>
    <w:lvl w:ilvl="1">
      <w:start w:val="1"/>
      <w:numFmt w:val="lowerLetter"/>
      <w:pStyle w:val="NumberedList2"/>
      <w:lvlText w:val="%2."/>
      <w:lvlJc w:val="left"/>
      <w:pPr>
        <w:ind w:left="121" w:hanging="284"/>
      </w:pPr>
      <w:rPr>
        <w:rFonts w:hint="default"/>
      </w:rPr>
    </w:lvl>
    <w:lvl w:ilvl="2">
      <w:start w:val="1"/>
      <w:numFmt w:val="lowerRoman"/>
      <w:pStyle w:val="NumberedList3"/>
      <w:lvlText w:val="%3."/>
      <w:lvlJc w:val="left"/>
      <w:pPr>
        <w:ind w:left="405" w:hanging="284"/>
      </w:pPr>
      <w:rPr>
        <w:rFonts w:hint="default"/>
      </w:rPr>
    </w:lvl>
    <w:lvl w:ilvl="3">
      <w:start w:val="1"/>
      <w:numFmt w:val="decimal"/>
      <w:lvlText w:val="(%4)"/>
      <w:lvlJc w:val="left"/>
      <w:pPr>
        <w:ind w:left="689" w:hanging="284"/>
      </w:pPr>
      <w:rPr>
        <w:rFonts w:hint="default"/>
      </w:rPr>
    </w:lvl>
    <w:lvl w:ilvl="4">
      <w:start w:val="1"/>
      <w:numFmt w:val="lowerLetter"/>
      <w:lvlText w:val="(%5)"/>
      <w:lvlJc w:val="left"/>
      <w:pPr>
        <w:ind w:left="973" w:hanging="284"/>
      </w:pPr>
      <w:rPr>
        <w:rFonts w:hint="default"/>
      </w:rPr>
    </w:lvl>
    <w:lvl w:ilvl="5">
      <w:start w:val="1"/>
      <w:numFmt w:val="lowerRoman"/>
      <w:lvlText w:val="(%6)"/>
      <w:lvlJc w:val="left"/>
      <w:pPr>
        <w:ind w:left="1257" w:hanging="284"/>
      </w:pPr>
      <w:rPr>
        <w:rFonts w:hint="default"/>
      </w:rPr>
    </w:lvl>
    <w:lvl w:ilvl="6">
      <w:start w:val="1"/>
      <w:numFmt w:val="decimal"/>
      <w:lvlText w:val="%7."/>
      <w:lvlJc w:val="left"/>
      <w:pPr>
        <w:ind w:left="1541" w:hanging="284"/>
      </w:pPr>
      <w:rPr>
        <w:rFonts w:hint="default"/>
      </w:rPr>
    </w:lvl>
    <w:lvl w:ilvl="7">
      <w:start w:val="1"/>
      <w:numFmt w:val="lowerLetter"/>
      <w:lvlText w:val="%8."/>
      <w:lvlJc w:val="left"/>
      <w:pPr>
        <w:ind w:left="1825" w:hanging="284"/>
      </w:pPr>
      <w:rPr>
        <w:rFonts w:hint="default"/>
      </w:rPr>
    </w:lvl>
    <w:lvl w:ilvl="8">
      <w:start w:val="1"/>
      <w:numFmt w:val="lowerRoman"/>
      <w:lvlText w:val="%9."/>
      <w:lvlJc w:val="left"/>
      <w:pPr>
        <w:ind w:left="2109" w:hanging="284"/>
      </w:pPr>
      <w:rPr>
        <w:rFonts w:hint="default"/>
      </w:rPr>
    </w:lvl>
  </w:abstractNum>
  <w:abstractNum w:abstractNumId="5" w15:restartNumberingAfterBreak="0">
    <w:nsid w:val="0BEE601E"/>
    <w:multiLevelType w:val="hybridMultilevel"/>
    <w:tmpl w:val="50BA7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CF717BE"/>
    <w:multiLevelType w:val="hybridMultilevel"/>
    <w:tmpl w:val="9E4AE6BC"/>
    <w:lvl w:ilvl="0" w:tplc="D70C87DC">
      <w:start w:val="1"/>
      <w:numFmt w:val="bullet"/>
      <w:lvlText w:val=""/>
      <w:lvlJc w:val="left"/>
      <w:pPr>
        <w:ind w:left="851" w:hanging="131"/>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4C03FB3"/>
    <w:multiLevelType w:val="hybridMultilevel"/>
    <w:tmpl w:val="FB1266F4"/>
    <w:lvl w:ilvl="0" w:tplc="2372488C">
      <w:start w:val="1"/>
      <w:numFmt w:val="bullet"/>
      <w:lvlText w:val="•"/>
      <w:lvlJc w:val="left"/>
      <w:pPr>
        <w:tabs>
          <w:tab w:val="num" w:pos="720"/>
        </w:tabs>
        <w:ind w:left="720" w:hanging="360"/>
      </w:pPr>
      <w:rPr>
        <w:rFonts w:ascii="Arial" w:hAnsi="Arial" w:hint="default"/>
      </w:rPr>
    </w:lvl>
    <w:lvl w:ilvl="1" w:tplc="9AFA0CAE" w:tentative="1">
      <w:start w:val="1"/>
      <w:numFmt w:val="bullet"/>
      <w:lvlText w:val="•"/>
      <w:lvlJc w:val="left"/>
      <w:pPr>
        <w:tabs>
          <w:tab w:val="num" w:pos="1440"/>
        </w:tabs>
        <w:ind w:left="1440" w:hanging="360"/>
      </w:pPr>
      <w:rPr>
        <w:rFonts w:ascii="Arial" w:hAnsi="Arial" w:hint="default"/>
      </w:rPr>
    </w:lvl>
    <w:lvl w:ilvl="2" w:tplc="DD9096EA" w:tentative="1">
      <w:start w:val="1"/>
      <w:numFmt w:val="bullet"/>
      <w:lvlText w:val="•"/>
      <w:lvlJc w:val="left"/>
      <w:pPr>
        <w:tabs>
          <w:tab w:val="num" w:pos="2160"/>
        </w:tabs>
        <w:ind w:left="2160" w:hanging="360"/>
      </w:pPr>
      <w:rPr>
        <w:rFonts w:ascii="Arial" w:hAnsi="Arial" w:hint="default"/>
      </w:rPr>
    </w:lvl>
    <w:lvl w:ilvl="3" w:tplc="374A7EF6" w:tentative="1">
      <w:start w:val="1"/>
      <w:numFmt w:val="bullet"/>
      <w:lvlText w:val="•"/>
      <w:lvlJc w:val="left"/>
      <w:pPr>
        <w:tabs>
          <w:tab w:val="num" w:pos="2880"/>
        </w:tabs>
        <w:ind w:left="2880" w:hanging="360"/>
      </w:pPr>
      <w:rPr>
        <w:rFonts w:ascii="Arial" w:hAnsi="Arial" w:hint="default"/>
      </w:rPr>
    </w:lvl>
    <w:lvl w:ilvl="4" w:tplc="490EF2C2" w:tentative="1">
      <w:start w:val="1"/>
      <w:numFmt w:val="bullet"/>
      <w:lvlText w:val="•"/>
      <w:lvlJc w:val="left"/>
      <w:pPr>
        <w:tabs>
          <w:tab w:val="num" w:pos="3600"/>
        </w:tabs>
        <w:ind w:left="3600" w:hanging="360"/>
      </w:pPr>
      <w:rPr>
        <w:rFonts w:ascii="Arial" w:hAnsi="Arial" w:hint="default"/>
      </w:rPr>
    </w:lvl>
    <w:lvl w:ilvl="5" w:tplc="BB6E1B02" w:tentative="1">
      <w:start w:val="1"/>
      <w:numFmt w:val="bullet"/>
      <w:lvlText w:val="•"/>
      <w:lvlJc w:val="left"/>
      <w:pPr>
        <w:tabs>
          <w:tab w:val="num" w:pos="4320"/>
        </w:tabs>
        <w:ind w:left="4320" w:hanging="360"/>
      </w:pPr>
      <w:rPr>
        <w:rFonts w:ascii="Arial" w:hAnsi="Arial" w:hint="default"/>
      </w:rPr>
    </w:lvl>
    <w:lvl w:ilvl="6" w:tplc="809EB02A" w:tentative="1">
      <w:start w:val="1"/>
      <w:numFmt w:val="bullet"/>
      <w:lvlText w:val="•"/>
      <w:lvlJc w:val="left"/>
      <w:pPr>
        <w:tabs>
          <w:tab w:val="num" w:pos="5040"/>
        </w:tabs>
        <w:ind w:left="5040" w:hanging="360"/>
      </w:pPr>
      <w:rPr>
        <w:rFonts w:ascii="Arial" w:hAnsi="Arial" w:hint="default"/>
      </w:rPr>
    </w:lvl>
    <w:lvl w:ilvl="7" w:tplc="C02A8640" w:tentative="1">
      <w:start w:val="1"/>
      <w:numFmt w:val="bullet"/>
      <w:lvlText w:val="•"/>
      <w:lvlJc w:val="left"/>
      <w:pPr>
        <w:tabs>
          <w:tab w:val="num" w:pos="5760"/>
        </w:tabs>
        <w:ind w:left="5760" w:hanging="360"/>
      </w:pPr>
      <w:rPr>
        <w:rFonts w:ascii="Arial" w:hAnsi="Arial" w:hint="default"/>
      </w:rPr>
    </w:lvl>
    <w:lvl w:ilvl="8" w:tplc="BA82AC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DB4185"/>
    <w:multiLevelType w:val="hybridMultilevel"/>
    <w:tmpl w:val="7AA0BB82"/>
    <w:lvl w:ilvl="0" w:tplc="7728A3A8">
      <w:start w:val="1"/>
      <w:numFmt w:val="decimal"/>
      <w:lvlText w:val="Criteria %1."/>
      <w:lvlJc w:val="left"/>
      <w:pPr>
        <w:ind w:left="1288" w:hanging="360"/>
      </w:pPr>
      <w:rPr>
        <w:rFonts w:hint="default"/>
        <w:b/>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0" w15:restartNumberingAfterBreak="0">
    <w:nsid w:val="18F0763F"/>
    <w:multiLevelType w:val="hybridMultilevel"/>
    <w:tmpl w:val="E65628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5B528C"/>
    <w:multiLevelType w:val="hybridMultilevel"/>
    <w:tmpl w:val="BE961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0A47"/>
    <w:multiLevelType w:val="hybridMultilevel"/>
    <w:tmpl w:val="02525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E82D2D"/>
    <w:multiLevelType w:val="hybridMultilevel"/>
    <w:tmpl w:val="C520E536"/>
    <w:lvl w:ilvl="0" w:tplc="7728A3A8">
      <w:start w:val="1"/>
      <w:numFmt w:val="decimal"/>
      <w:lvlText w:val="Criteria %1."/>
      <w:lvlJc w:val="left"/>
      <w:pPr>
        <w:ind w:left="1288" w:hanging="360"/>
      </w:pPr>
      <w:rPr>
        <w:rFonts w:hint="default"/>
        <w:b/>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5" w15:restartNumberingAfterBreak="0">
    <w:nsid w:val="250619A6"/>
    <w:multiLevelType w:val="hybridMultilevel"/>
    <w:tmpl w:val="65C0E98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3E485F"/>
    <w:multiLevelType w:val="multilevel"/>
    <w:tmpl w:val="0502887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C893A84"/>
    <w:multiLevelType w:val="hybridMultilevel"/>
    <w:tmpl w:val="AE2C817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6F14D1"/>
    <w:multiLevelType w:val="hybridMultilevel"/>
    <w:tmpl w:val="1E7A90B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2ED1413C"/>
    <w:multiLevelType w:val="hybridMultilevel"/>
    <w:tmpl w:val="FA5AD500"/>
    <w:lvl w:ilvl="0" w:tplc="7728A3A8">
      <w:start w:val="1"/>
      <w:numFmt w:val="decimal"/>
      <w:lvlText w:val="Criteria %1."/>
      <w:lvlJc w:val="left"/>
      <w:pPr>
        <w:ind w:left="928" w:hanging="360"/>
      </w:pPr>
      <w:rPr>
        <w:rFonts w:hint="default"/>
        <w:b/>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2F534633"/>
    <w:multiLevelType w:val="hybridMultilevel"/>
    <w:tmpl w:val="CB8412EA"/>
    <w:lvl w:ilvl="0" w:tplc="35A2ED12">
      <w:start w:val="1"/>
      <w:numFmt w:val="decimal"/>
      <w:lvlText w:val="Criteria %1."/>
      <w:lvlJc w:val="left"/>
      <w:pPr>
        <w:ind w:left="12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06100B"/>
    <w:multiLevelType w:val="hybridMultilevel"/>
    <w:tmpl w:val="53F8B470"/>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3DC3BC7"/>
    <w:multiLevelType w:val="hybridMultilevel"/>
    <w:tmpl w:val="110EBE46"/>
    <w:lvl w:ilvl="0" w:tplc="07A4743C">
      <w:start w:val="1"/>
      <w:numFmt w:val="bullet"/>
      <w:lvlText w:val="•"/>
      <w:lvlJc w:val="left"/>
      <w:pPr>
        <w:tabs>
          <w:tab w:val="num" w:pos="720"/>
        </w:tabs>
        <w:ind w:left="720" w:hanging="360"/>
      </w:pPr>
      <w:rPr>
        <w:rFonts w:ascii="Arial" w:hAnsi="Arial" w:hint="default"/>
      </w:rPr>
    </w:lvl>
    <w:lvl w:ilvl="1" w:tplc="937CA37A" w:tentative="1">
      <w:start w:val="1"/>
      <w:numFmt w:val="bullet"/>
      <w:lvlText w:val="•"/>
      <w:lvlJc w:val="left"/>
      <w:pPr>
        <w:tabs>
          <w:tab w:val="num" w:pos="1440"/>
        </w:tabs>
        <w:ind w:left="1440" w:hanging="360"/>
      </w:pPr>
      <w:rPr>
        <w:rFonts w:ascii="Arial" w:hAnsi="Arial" w:hint="default"/>
      </w:rPr>
    </w:lvl>
    <w:lvl w:ilvl="2" w:tplc="03D69D0A" w:tentative="1">
      <w:start w:val="1"/>
      <w:numFmt w:val="bullet"/>
      <w:lvlText w:val="•"/>
      <w:lvlJc w:val="left"/>
      <w:pPr>
        <w:tabs>
          <w:tab w:val="num" w:pos="2160"/>
        </w:tabs>
        <w:ind w:left="2160" w:hanging="360"/>
      </w:pPr>
      <w:rPr>
        <w:rFonts w:ascii="Arial" w:hAnsi="Arial" w:hint="default"/>
      </w:rPr>
    </w:lvl>
    <w:lvl w:ilvl="3" w:tplc="20722648" w:tentative="1">
      <w:start w:val="1"/>
      <w:numFmt w:val="bullet"/>
      <w:lvlText w:val="•"/>
      <w:lvlJc w:val="left"/>
      <w:pPr>
        <w:tabs>
          <w:tab w:val="num" w:pos="2880"/>
        </w:tabs>
        <w:ind w:left="2880" w:hanging="360"/>
      </w:pPr>
      <w:rPr>
        <w:rFonts w:ascii="Arial" w:hAnsi="Arial" w:hint="default"/>
      </w:rPr>
    </w:lvl>
    <w:lvl w:ilvl="4" w:tplc="199E13CC" w:tentative="1">
      <w:start w:val="1"/>
      <w:numFmt w:val="bullet"/>
      <w:lvlText w:val="•"/>
      <w:lvlJc w:val="left"/>
      <w:pPr>
        <w:tabs>
          <w:tab w:val="num" w:pos="3600"/>
        </w:tabs>
        <w:ind w:left="3600" w:hanging="360"/>
      </w:pPr>
      <w:rPr>
        <w:rFonts w:ascii="Arial" w:hAnsi="Arial" w:hint="default"/>
      </w:rPr>
    </w:lvl>
    <w:lvl w:ilvl="5" w:tplc="D93EAEF8" w:tentative="1">
      <w:start w:val="1"/>
      <w:numFmt w:val="bullet"/>
      <w:lvlText w:val="•"/>
      <w:lvlJc w:val="left"/>
      <w:pPr>
        <w:tabs>
          <w:tab w:val="num" w:pos="4320"/>
        </w:tabs>
        <w:ind w:left="4320" w:hanging="360"/>
      </w:pPr>
      <w:rPr>
        <w:rFonts w:ascii="Arial" w:hAnsi="Arial" w:hint="default"/>
      </w:rPr>
    </w:lvl>
    <w:lvl w:ilvl="6" w:tplc="E2C411B8" w:tentative="1">
      <w:start w:val="1"/>
      <w:numFmt w:val="bullet"/>
      <w:lvlText w:val="•"/>
      <w:lvlJc w:val="left"/>
      <w:pPr>
        <w:tabs>
          <w:tab w:val="num" w:pos="5040"/>
        </w:tabs>
        <w:ind w:left="5040" w:hanging="360"/>
      </w:pPr>
      <w:rPr>
        <w:rFonts w:ascii="Arial" w:hAnsi="Arial" w:hint="default"/>
      </w:rPr>
    </w:lvl>
    <w:lvl w:ilvl="7" w:tplc="3C70E102" w:tentative="1">
      <w:start w:val="1"/>
      <w:numFmt w:val="bullet"/>
      <w:lvlText w:val="•"/>
      <w:lvlJc w:val="left"/>
      <w:pPr>
        <w:tabs>
          <w:tab w:val="num" w:pos="5760"/>
        </w:tabs>
        <w:ind w:left="5760" w:hanging="360"/>
      </w:pPr>
      <w:rPr>
        <w:rFonts w:ascii="Arial" w:hAnsi="Arial" w:hint="default"/>
      </w:rPr>
    </w:lvl>
    <w:lvl w:ilvl="8" w:tplc="894247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733591"/>
    <w:multiLevelType w:val="hybridMultilevel"/>
    <w:tmpl w:val="50EE55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64F29A9"/>
    <w:multiLevelType w:val="multilevel"/>
    <w:tmpl w:val="DCB466D0"/>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EA045D0"/>
    <w:multiLevelType w:val="hybridMultilevel"/>
    <w:tmpl w:val="1ACA10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3972D8C"/>
    <w:multiLevelType w:val="hybridMultilevel"/>
    <w:tmpl w:val="24343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0" w15:restartNumberingAfterBreak="0">
    <w:nsid w:val="48CA23E4"/>
    <w:multiLevelType w:val="hybridMultilevel"/>
    <w:tmpl w:val="3726FCA8"/>
    <w:lvl w:ilvl="0" w:tplc="5B7AE72C">
      <w:start w:val="1"/>
      <w:numFmt w:val="bullet"/>
      <w:lvlText w:val="•"/>
      <w:lvlJc w:val="left"/>
      <w:pPr>
        <w:tabs>
          <w:tab w:val="num" w:pos="720"/>
        </w:tabs>
        <w:ind w:left="720" w:hanging="360"/>
      </w:pPr>
      <w:rPr>
        <w:rFonts w:ascii="Arial" w:hAnsi="Arial" w:hint="default"/>
      </w:rPr>
    </w:lvl>
    <w:lvl w:ilvl="1" w:tplc="2B7A34D8" w:tentative="1">
      <w:start w:val="1"/>
      <w:numFmt w:val="bullet"/>
      <w:lvlText w:val="•"/>
      <w:lvlJc w:val="left"/>
      <w:pPr>
        <w:tabs>
          <w:tab w:val="num" w:pos="1440"/>
        </w:tabs>
        <w:ind w:left="1440" w:hanging="360"/>
      </w:pPr>
      <w:rPr>
        <w:rFonts w:ascii="Arial" w:hAnsi="Arial" w:hint="default"/>
      </w:rPr>
    </w:lvl>
    <w:lvl w:ilvl="2" w:tplc="D3B67220" w:tentative="1">
      <w:start w:val="1"/>
      <w:numFmt w:val="bullet"/>
      <w:lvlText w:val="•"/>
      <w:lvlJc w:val="left"/>
      <w:pPr>
        <w:tabs>
          <w:tab w:val="num" w:pos="2160"/>
        </w:tabs>
        <w:ind w:left="2160" w:hanging="360"/>
      </w:pPr>
      <w:rPr>
        <w:rFonts w:ascii="Arial" w:hAnsi="Arial" w:hint="default"/>
      </w:rPr>
    </w:lvl>
    <w:lvl w:ilvl="3" w:tplc="B88C5BF8" w:tentative="1">
      <w:start w:val="1"/>
      <w:numFmt w:val="bullet"/>
      <w:lvlText w:val="•"/>
      <w:lvlJc w:val="left"/>
      <w:pPr>
        <w:tabs>
          <w:tab w:val="num" w:pos="2880"/>
        </w:tabs>
        <w:ind w:left="2880" w:hanging="360"/>
      </w:pPr>
      <w:rPr>
        <w:rFonts w:ascii="Arial" w:hAnsi="Arial" w:hint="default"/>
      </w:rPr>
    </w:lvl>
    <w:lvl w:ilvl="4" w:tplc="8E8AB082" w:tentative="1">
      <w:start w:val="1"/>
      <w:numFmt w:val="bullet"/>
      <w:lvlText w:val="•"/>
      <w:lvlJc w:val="left"/>
      <w:pPr>
        <w:tabs>
          <w:tab w:val="num" w:pos="3600"/>
        </w:tabs>
        <w:ind w:left="3600" w:hanging="360"/>
      </w:pPr>
      <w:rPr>
        <w:rFonts w:ascii="Arial" w:hAnsi="Arial" w:hint="default"/>
      </w:rPr>
    </w:lvl>
    <w:lvl w:ilvl="5" w:tplc="E084A714" w:tentative="1">
      <w:start w:val="1"/>
      <w:numFmt w:val="bullet"/>
      <w:lvlText w:val="•"/>
      <w:lvlJc w:val="left"/>
      <w:pPr>
        <w:tabs>
          <w:tab w:val="num" w:pos="4320"/>
        </w:tabs>
        <w:ind w:left="4320" w:hanging="360"/>
      </w:pPr>
      <w:rPr>
        <w:rFonts w:ascii="Arial" w:hAnsi="Arial" w:hint="default"/>
      </w:rPr>
    </w:lvl>
    <w:lvl w:ilvl="6" w:tplc="2CB22CDA" w:tentative="1">
      <w:start w:val="1"/>
      <w:numFmt w:val="bullet"/>
      <w:lvlText w:val="•"/>
      <w:lvlJc w:val="left"/>
      <w:pPr>
        <w:tabs>
          <w:tab w:val="num" w:pos="5040"/>
        </w:tabs>
        <w:ind w:left="5040" w:hanging="360"/>
      </w:pPr>
      <w:rPr>
        <w:rFonts w:ascii="Arial" w:hAnsi="Arial" w:hint="default"/>
      </w:rPr>
    </w:lvl>
    <w:lvl w:ilvl="7" w:tplc="FA985600" w:tentative="1">
      <w:start w:val="1"/>
      <w:numFmt w:val="bullet"/>
      <w:lvlText w:val="•"/>
      <w:lvlJc w:val="left"/>
      <w:pPr>
        <w:tabs>
          <w:tab w:val="num" w:pos="5760"/>
        </w:tabs>
        <w:ind w:left="5760" w:hanging="360"/>
      </w:pPr>
      <w:rPr>
        <w:rFonts w:ascii="Arial" w:hAnsi="Arial" w:hint="default"/>
      </w:rPr>
    </w:lvl>
    <w:lvl w:ilvl="8" w:tplc="8F00984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DD7E0E"/>
    <w:multiLevelType w:val="multilevel"/>
    <w:tmpl w:val="71BC978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4C2D1175"/>
    <w:multiLevelType w:val="hybridMultilevel"/>
    <w:tmpl w:val="EE223BCE"/>
    <w:lvl w:ilvl="0" w:tplc="EC426188">
      <w:start w:val="1"/>
      <w:numFmt w:val="decimal"/>
      <w:lvlText w:val="%1."/>
      <w:lvlJc w:val="left"/>
      <w:pPr>
        <w:ind w:left="360" w:hanging="360"/>
      </w:pPr>
    </w:lvl>
    <w:lvl w:ilvl="1" w:tplc="0C090001">
      <w:start w:val="1"/>
      <w:numFmt w:val="bullet"/>
      <w:lvlText w:val=""/>
      <w:lvlJc w:val="left"/>
      <w:pPr>
        <w:ind w:left="927"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DC84669"/>
    <w:multiLevelType w:val="hybridMultilevel"/>
    <w:tmpl w:val="B64608FC"/>
    <w:lvl w:ilvl="0" w:tplc="0DBC556C">
      <w:start w:val="1"/>
      <w:numFmt w:val="bullet"/>
      <w:lvlText w:val="•"/>
      <w:lvlJc w:val="left"/>
      <w:pPr>
        <w:tabs>
          <w:tab w:val="num" w:pos="720"/>
        </w:tabs>
        <w:ind w:left="720" w:hanging="360"/>
      </w:pPr>
      <w:rPr>
        <w:rFonts w:ascii="Arial" w:hAnsi="Arial" w:hint="default"/>
      </w:rPr>
    </w:lvl>
    <w:lvl w:ilvl="1" w:tplc="64546B1A" w:tentative="1">
      <w:start w:val="1"/>
      <w:numFmt w:val="bullet"/>
      <w:lvlText w:val="•"/>
      <w:lvlJc w:val="left"/>
      <w:pPr>
        <w:tabs>
          <w:tab w:val="num" w:pos="1440"/>
        </w:tabs>
        <w:ind w:left="1440" w:hanging="360"/>
      </w:pPr>
      <w:rPr>
        <w:rFonts w:ascii="Arial" w:hAnsi="Arial" w:hint="default"/>
      </w:rPr>
    </w:lvl>
    <w:lvl w:ilvl="2" w:tplc="1E505FA8" w:tentative="1">
      <w:start w:val="1"/>
      <w:numFmt w:val="bullet"/>
      <w:lvlText w:val="•"/>
      <w:lvlJc w:val="left"/>
      <w:pPr>
        <w:tabs>
          <w:tab w:val="num" w:pos="2160"/>
        </w:tabs>
        <w:ind w:left="2160" w:hanging="360"/>
      </w:pPr>
      <w:rPr>
        <w:rFonts w:ascii="Arial" w:hAnsi="Arial" w:hint="default"/>
      </w:rPr>
    </w:lvl>
    <w:lvl w:ilvl="3" w:tplc="23283ED0" w:tentative="1">
      <w:start w:val="1"/>
      <w:numFmt w:val="bullet"/>
      <w:lvlText w:val="•"/>
      <w:lvlJc w:val="left"/>
      <w:pPr>
        <w:tabs>
          <w:tab w:val="num" w:pos="2880"/>
        </w:tabs>
        <w:ind w:left="2880" w:hanging="360"/>
      </w:pPr>
      <w:rPr>
        <w:rFonts w:ascii="Arial" w:hAnsi="Arial" w:hint="default"/>
      </w:rPr>
    </w:lvl>
    <w:lvl w:ilvl="4" w:tplc="3D60D61E" w:tentative="1">
      <w:start w:val="1"/>
      <w:numFmt w:val="bullet"/>
      <w:lvlText w:val="•"/>
      <w:lvlJc w:val="left"/>
      <w:pPr>
        <w:tabs>
          <w:tab w:val="num" w:pos="3600"/>
        </w:tabs>
        <w:ind w:left="3600" w:hanging="360"/>
      </w:pPr>
      <w:rPr>
        <w:rFonts w:ascii="Arial" w:hAnsi="Arial" w:hint="default"/>
      </w:rPr>
    </w:lvl>
    <w:lvl w:ilvl="5" w:tplc="CA7695F0" w:tentative="1">
      <w:start w:val="1"/>
      <w:numFmt w:val="bullet"/>
      <w:lvlText w:val="•"/>
      <w:lvlJc w:val="left"/>
      <w:pPr>
        <w:tabs>
          <w:tab w:val="num" w:pos="4320"/>
        </w:tabs>
        <w:ind w:left="4320" w:hanging="360"/>
      </w:pPr>
      <w:rPr>
        <w:rFonts w:ascii="Arial" w:hAnsi="Arial" w:hint="default"/>
      </w:rPr>
    </w:lvl>
    <w:lvl w:ilvl="6" w:tplc="96BC3682" w:tentative="1">
      <w:start w:val="1"/>
      <w:numFmt w:val="bullet"/>
      <w:lvlText w:val="•"/>
      <w:lvlJc w:val="left"/>
      <w:pPr>
        <w:tabs>
          <w:tab w:val="num" w:pos="5040"/>
        </w:tabs>
        <w:ind w:left="5040" w:hanging="360"/>
      </w:pPr>
      <w:rPr>
        <w:rFonts w:ascii="Arial" w:hAnsi="Arial" w:hint="default"/>
      </w:rPr>
    </w:lvl>
    <w:lvl w:ilvl="7" w:tplc="80E66D20" w:tentative="1">
      <w:start w:val="1"/>
      <w:numFmt w:val="bullet"/>
      <w:lvlText w:val="•"/>
      <w:lvlJc w:val="left"/>
      <w:pPr>
        <w:tabs>
          <w:tab w:val="num" w:pos="5760"/>
        </w:tabs>
        <w:ind w:left="5760" w:hanging="360"/>
      </w:pPr>
      <w:rPr>
        <w:rFonts w:ascii="Arial" w:hAnsi="Arial" w:hint="default"/>
      </w:rPr>
    </w:lvl>
    <w:lvl w:ilvl="8" w:tplc="CA44404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457AD2"/>
    <w:multiLevelType w:val="hybridMultilevel"/>
    <w:tmpl w:val="27F6927C"/>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36" w15:restartNumberingAfterBreak="0">
    <w:nsid w:val="4E8E5F87"/>
    <w:multiLevelType w:val="hybridMultilevel"/>
    <w:tmpl w:val="FB1617C8"/>
    <w:lvl w:ilvl="0" w:tplc="EC426188">
      <w:start w:val="1"/>
      <w:numFmt w:val="decimal"/>
      <w:lvlText w:val="%1."/>
      <w:lvlJc w:val="left"/>
      <w:pPr>
        <w:ind w:left="360" w:hanging="360"/>
      </w:pPr>
    </w:lvl>
    <w:lvl w:ilvl="1" w:tplc="0C090001">
      <w:start w:val="1"/>
      <w:numFmt w:val="bullet"/>
      <w:lvlText w:val=""/>
      <w:lvlJc w:val="left"/>
      <w:pPr>
        <w:ind w:left="927"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8" w15:restartNumberingAfterBreak="0">
    <w:nsid w:val="50AF029C"/>
    <w:multiLevelType w:val="hybridMultilevel"/>
    <w:tmpl w:val="99C0F6F6"/>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9" w15:restartNumberingAfterBreak="0">
    <w:nsid w:val="51E336DB"/>
    <w:multiLevelType w:val="hybridMultilevel"/>
    <w:tmpl w:val="6ED423A8"/>
    <w:lvl w:ilvl="0" w:tplc="0C09000F">
      <w:start w:val="1"/>
      <w:numFmt w:val="decimal"/>
      <w:lvlText w:val="%1."/>
      <w:lvlJc w:val="left"/>
      <w:pPr>
        <w:ind w:left="1004" w:hanging="360"/>
      </w:pPr>
      <w:rPr>
        <w:rFont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2" w15:restartNumberingAfterBreak="0">
    <w:nsid w:val="5AC45B2C"/>
    <w:multiLevelType w:val="hybridMultilevel"/>
    <w:tmpl w:val="760ABDE4"/>
    <w:lvl w:ilvl="0" w:tplc="48F69960">
      <w:start w:val="1"/>
      <w:numFmt w:val="decimal"/>
      <w:pStyle w:val="NumberedParagraph"/>
      <w:lvlText w:val="%1."/>
      <w:lvlJc w:val="left"/>
      <w:pPr>
        <w:ind w:left="360" w:hanging="360"/>
      </w:pPr>
    </w:lvl>
    <w:lvl w:ilvl="1" w:tplc="0C090001">
      <w:start w:val="1"/>
      <w:numFmt w:val="bullet"/>
      <w:lvlText w:val=""/>
      <w:lvlJc w:val="left"/>
      <w:pPr>
        <w:ind w:left="927" w:hanging="360"/>
      </w:pPr>
      <w:rPr>
        <w:rFonts w:ascii="Symbol" w:hAnsi="Symbol" w:hint="default"/>
      </w:rPr>
    </w:lvl>
    <w:lvl w:ilvl="2" w:tplc="8D9E8D68">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4" w15:restartNumberingAfterBreak="0">
    <w:nsid w:val="5D0C66FA"/>
    <w:multiLevelType w:val="hybridMultilevel"/>
    <w:tmpl w:val="85E65382"/>
    <w:lvl w:ilvl="0" w:tplc="F654830E">
      <w:start w:val="1"/>
      <w:numFmt w:val="bullet"/>
      <w:lvlText w:val="•"/>
      <w:lvlJc w:val="left"/>
      <w:pPr>
        <w:tabs>
          <w:tab w:val="num" w:pos="720"/>
        </w:tabs>
        <w:ind w:left="720" w:hanging="360"/>
      </w:pPr>
      <w:rPr>
        <w:rFonts w:ascii="Arial" w:hAnsi="Arial" w:hint="default"/>
      </w:rPr>
    </w:lvl>
    <w:lvl w:ilvl="1" w:tplc="1A14B516">
      <w:start w:val="1"/>
      <w:numFmt w:val="decimal"/>
      <w:lvlText w:val="%2."/>
      <w:lvlJc w:val="left"/>
      <w:pPr>
        <w:tabs>
          <w:tab w:val="num" w:pos="1440"/>
        </w:tabs>
        <w:ind w:left="1440" w:hanging="360"/>
      </w:pPr>
    </w:lvl>
    <w:lvl w:ilvl="2" w:tplc="7C1EEF94" w:tentative="1">
      <w:start w:val="1"/>
      <w:numFmt w:val="bullet"/>
      <w:lvlText w:val="•"/>
      <w:lvlJc w:val="left"/>
      <w:pPr>
        <w:tabs>
          <w:tab w:val="num" w:pos="2160"/>
        </w:tabs>
        <w:ind w:left="2160" w:hanging="360"/>
      </w:pPr>
      <w:rPr>
        <w:rFonts w:ascii="Arial" w:hAnsi="Arial" w:hint="default"/>
      </w:rPr>
    </w:lvl>
    <w:lvl w:ilvl="3" w:tplc="BF0CB544" w:tentative="1">
      <w:start w:val="1"/>
      <w:numFmt w:val="bullet"/>
      <w:lvlText w:val="•"/>
      <w:lvlJc w:val="left"/>
      <w:pPr>
        <w:tabs>
          <w:tab w:val="num" w:pos="2880"/>
        </w:tabs>
        <w:ind w:left="2880" w:hanging="360"/>
      </w:pPr>
      <w:rPr>
        <w:rFonts w:ascii="Arial" w:hAnsi="Arial" w:hint="default"/>
      </w:rPr>
    </w:lvl>
    <w:lvl w:ilvl="4" w:tplc="74045B98" w:tentative="1">
      <w:start w:val="1"/>
      <w:numFmt w:val="bullet"/>
      <w:lvlText w:val="•"/>
      <w:lvlJc w:val="left"/>
      <w:pPr>
        <w:tabs>
          <w:tab w:val="num" w:pos="3600"/>
        </w:tabs>
        <w:ind w:left="3600" w:hanging="360"/>
      </w:pPr>
      <w:rPr>
        <w:rFonts w:ascii="Arial" w:hAnsi="Arial" w:hint="default"/>
      </w:rPr>
    </w:lvl>
    <w:lvl w:ilvl="5" w:tplc="710E83DC" w:tentative="1">
      <w:start w:val="1"/>
      <w:numFmt w:val="bullet"/>
      <w:lvlText w:val="•"/>
      <w:lvlJc w:val="left"/>
      <w:pPr>
        <w:tabs>
          <w:tab w:val="num" w:pos="4320"/>
        </w:tabs>
        <w:ind w:left="4320" w:hanging="360"/>
      </w:pPr>
      <w:rPr>
        <w:rFonts w:ascii="Arial" w:hAnsi="Arial" w:hint="default"/>
      </w:rPr>
    </w:lvl>
    <w:lvl w:ilvl="6" w:tplc="F3F256D8" w:tentative="1">
      <w:start w:val="1"/>
      <w:numFmt w:val="bullet"/>
      <w:lvlText w:val="•"/>
      <w:lvlJc w:val="left"/>
      <w:pPr>
        <w:tabs>
          <w:tab w:val="num" w:pos="5040"/>
        </w:tabs>
        <w:ind w:left="5040" w:hanging="360"/>
      </w:pPr>
      <w:rPr>
        <w:rFonts w:ascii="Arial" w:hAnsi="Arial" w:hint="default"/>
      </w:rPr>
    </w:lvl>
    <w:lvl w:ilvl="7" w:tplc="FBF45902" w:tentative="1">
      <w:start w:val="1"/>
      <w:numFmt w:val="bullet"/>
      <w:lvlText w:val="•"/>
      <w:lvlJc w:val="left"/>
      <w:pPr>
        <w:tabs>
          <w:tab w:val="num" w:pos="5760"/>
        </w:tabs>
        <w:ind w:left="5760" w:hanging="360"/>
      </w:pPr>
      <w:rPr>
        <w:rFonts w:ascii="Arial" w:hAnsi="Arial" w:hint="default"/>
      </w:rPr>
    </w:lvl>
    <w:lvl w:ilvl="8" w:tplc="270C3D8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6" w15:restartNumberingAfterBreak="0">
    <w:nsid w:val="5F74421A"/>
    <w:multiLevelType w:val="hybridMultilevel"/>
    <w:tmpl w:val="3E1051D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7" w15:restartNumberingAfterBreak="0">
    <w:nsid w:val="5FB976CE"/>
    <w:multiLevelType w:val="hybridMultilevel"/>
    <w:tmpl w:val="393056B8"/>
    <w:lvl w:ilvl="0" w:tplc="7728A3A8">
      <w:start w:val="1"/>
      <w:numFmt w:val="decimal"/>
      <w:lvlText w:val="Criteria %1."/>
      <w:lvlJc w:val="left"/>
      <w:pPr>
        <w:ind w:left="1288" w:hanging="360"/>
      </w:pPr>
      <w:rPr>
        <w:rFonts w:hint="default"/>
        <w:b/>
        <w:i w:val="0"/>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48" w15:restartNumberingAfterBreak="0">
    <w:nsid w:val="612D483A"/>
    <w:multiLevelType w:val="multilevel"/>
    <w:tmpl w:val="2452E78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65095426"/>
    <w:multiLevelType w:val="hybridMultilevel"/>
    <w:tmpl w:val="EBEA0CA8"/>
    <w:lvl w:ilvl="0" w:tplc="0C090011">
      <w:start w:val="1"/>
      <w:numFmt w:val="decimal"/>
      <w:lvlText w:val="%1)"/>
      <w:lvlJc w:val="left"/>
      <w:pPr>
        <w:tabs>
          <w:tab w:val="num" w:pos="720"/>
        </w:tabs>
        <w:ind w:left="720" w:hanging="360"/>
      </w:pPr>
      <w:rPr>
        <w:rFonts w:hint="default"/>
      </w:rPr>
    </w:lvl>
    <w:lvl w:ilvl="1" w:tplc="1A14B516">
      <w:start w:val="1"/>
      <w:numFmt w:val="decimal"/>
      <w:lvlText w:val="%2."/>
      <w:lvlJc w:val="left"/>
      <w:pPr>
        <w:tabs>
          <w:tab w:val="num" w:pos="1440"/>
        </w:tabs>
        <w:ind w:left="1440" w:hanging="360"/>
      </w:pPr>
    </w:lvl>
    <w:lvl w:ilvl="2" w:tplc="7C1EEF94" w:tentative="1">
      <w:start w:val="1"/>
      <w:numFmt w:val="bullet"/>
      <w:lvlText w:val="•"/>
      <w:lvlJc w:val="left"/>
      <w:pPr>
        <w:tabs>
          <w:tab w:val="num" w:pos="2160"/>
        </w:tabs>
        <w:ind w:left="2160" w:hanging="360"/>
      </w:pPr>
      <w:rPr>
        <w:rFonts w:ascii="Arial" w:hAnsi="Arial" w:hint="default"/>
      </w:rPr>
    </w:lvl>
    <w:lvl w:ilvl="3" w:tplc="BF0CB544" w:tentative="1">
      <w:start w:val="1"/>
      <w:numFmt w:val="bullet"/>
      <w:lvlText w:val="•"/>
      <w:lvlJc w:val="left"/>
      <w:pPr>
        <w:tabs>
          <w:tab w:val="num" w:pos="2880"/>
        </w:tabs>
        <w:ind w:left="2880" w:hanging="360"/>
      </w:pPr>
      <w:rPr>
        <w:rFonts w:ascii="Arial" w:hAnsi="Arial" w:hint="default"/>
      </w:rPr>
    </w:lvl>
    <w:lvl w:ilvl="4" w:tplc="74045B98" w:tentative="1">
      <w:start w:val="1"/>
      <w:numFmt w:val="bullet"/>
      <w:lvlText w:val="•"/>
      <w:lvlJc w:val="left"/>
      <w:pPr>
        <w:tabs>
          <w:tab w:val="num" w:pos="3600"/>
        </w:tabs>
        <w:ind w:left="3600" w:hanging="360"/>
      </w:pPr>
      <w:rPr>
        <w:rFonts w:ascii="Arial" w:hAnsi="Arial" w:hint="default"/>
      </w:rPr>
    </w:lvl>
    <w:lvl w:ilvl="5" w:tplc="710E83DC" w:tentative="1">
      <w:start w:val="1"/>
      <w:numFmt w:val="bullet"/>
      <w:lvlText w:val="•"/>
      <w:lvlJc w:val="left"/>
      <w:pPr>
        <w:tabs>
          <w:tab w:val="num" w:pos="4320"/>
        </w:tabs>
        <w:ind w:left="4320" w:hanging="360"/>
      </w:pPr>
      <w:rPr>
        <w:rFonts w:ascii="Arial" w:hAnsi="Arial" w:hint="default"/>
      </w:rPr>
    </w:lvl>
    <w:lvl w:ilvl="6" w:tplc="F3F256D8" w:tentative="1">
      <w:start w:val="1"/>
      <w:numFmt w:val="bullet"/>
      <w:lvlText w:val="•"/>
      <w:lvlJc w:val="left"/>
      <w:pPr>
        <w:tabs>
          <w:tab w:val="num" w:pos="5040"/>
        </w:tabs>
        <w:ind w:left="5040" w:hanging="360"/>
      </w:pPr>
      <w:rPr>
        <w:rFonts w:ascii="Arial" w:hAnsi="Arial" w:hint="default"/>
      </w:rPr>
    </w:lvl>
    <w:lvl w:ilvl="7" w:tplc="FBF45902" w:tentative="1">
      <w:start w:val="1"/>
      <w:numFmt w:val="bullet"/>
      <w:lvlText w:val="•"/>
      <w:lvlJc w:val="left"/>
      <w:pPr>
        <w:tabs>
          <w:tab w:val="num" w:pos="5760"/>
        </w:tabs>
        <w:ind w:left="5760" w:hanging="360"/>
      </w:pPr>
      <w:rPr>
        <w:rFonts w:ascii="Arial" w:hAnsi="Arial" w:hint="default"/>
      </w:rPr>
    </w:lvl>
    <w:lvl w:ilvl="8" w:tplc="270C3D8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71B37C6"/>
    <w:multiLevelType w:val="hybridMultilevel"/>
    <w:tmpl w:val="AB8466E4"/>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51" w15:restartNumberingAfterBreak="0">
    <w:nsid w:val="690367F4"/>
    <w:multiLevelType w:val="hybridMultilevel"/>
    <w:tmpl w:val="83A83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B93CC7"/>
    <w:multiLevelType w:val="hybridMultilevel"/>
    <w:tmpl w:val="9AD8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D150819"/>
    <w:multiLevelType w:val="hybridMultilevel"/>
    <w:tmpl w:val="B6A462A4"/>
    <w:lvl w:ilvl="0" w:tplc="93EE7E30">
      <w:start w:val="1"/>
      <w:numFmt w:val="bullet"/>
      <w:lvlText w:val="•"/>
      <w:lvlJc w:val="left"/>
      <w:pPr>
        <w:tabs>
          <w:tab w:val="num" w:pos="720"/>
        </w:tabs>
        <w:ind w:left="720" w:hanging="360"/>
      </w:pPr>
      <w:rPr>
        <w:rFonts w:ascii="Arial" w:hAnsi="Arial" w:hint="default"/>
      </w:rPr>
    </w:lvl>
    <w:lvl w:ilvl="1" w:tplc="97EE29AA" w:tentative="1">
      <w:start w:val="1"/>
      <w:numFmt w:val="bullet"/>
      <w:lvlText w:val="•"/>
      <w:lvlJc w:val="left"/>
      <w:pPr>
        <w:tabs>
          <w:tab w:val="num" w:pos="1440"/>
        </w:tabs>
        <w:ind w:left="1440" w:hanging="360"/>
      </w:pPr>
      <w:rPr>
        <w:rFonts w:ascii="Arial" w:hAnsi="Arial" w:hint="default"/>
      </w:rPr>
    </w:lvl>
    <w:lvl w:ilvl="2" w:tplc="E402CA4E" w:tentative="1">
      <w:start w:val="1"/>
      <w:numFmt w:val="bullet"/>
      <w:lvlText w:val="•"/>
      <w:lvlJc w:val="left"/>
      <w:pPr>
        <w:tabs>
          <w:tab w:val="num" w:pos="2160"/>
        </w:tabs>
        <w:ind w:left="2160" w:hanging="360"/>
      </w:pPr>
      <w:rPr>
        <w:rFonts w:ascii="Arial" w:hAnsi="Arial" w:hint="default"/>
      </w:rPr>
    </w:lvl>
    <w:lvl w:ilvl="3" w:tplc="A4FE4B10" w:tentative="1">
      <w:start w:val="1"/>
      <w:numFmt w:val="bullet"/>
      <w:lvlText w:val="•"/>
      <w:lvlJc w:val="left"/>
      <w:pPr>
        <w:tabs>
          <w:tab w:val="num" w:pos="2880"/>
        </w:tabs>
        <w:ind w:left="2880" w:hanging="360"/>
      </w:pPr>
      <w:rPr>
        <w:rFonts w:ascii="Arial" w:hAnsi="Arial" w:hint="default"/>
      </w:rPr>
    </w:lvl>
    <w:lvl w:ilvl="4" w:tplc="37D8AD8E" w:tentative="1">
      <w:start w:val="1"/>
      <w:numFmt w:val="bullet"/>
      <w:lvlText w:val="•"/>
      <w:lvlJc w:val="left"/>
      <w:pPr>
        <w:tabs>
          <w:tab w:val="num" w:pos="3600"/>
        </w:tabs>
        <w:ind w:left="3600" w:hanging="360"/>
      </w:pPr>
      <w:rPr>
        <w:rFonts w:ascii="Arial" w:hAnsi="Arial" w:hint="default"/>
      </w:rPr>
    </w:lvl>
    <w:lvl w:ilvl="5" w:tplc="A16890C2" w:tentative="1">
      <w:start w:val="1"/>
      <w:numFmt w:val="bullet"/>
      <w:lvlText w:val="•"/>
      <w:lvlJc w:val="left"/>
      <w:pPr>
        <w:tabs>
          <w:tab w:val="num" w:pos="4320"/>
        </w:tabs>
        <w:ind w:left="4320" w:hanging="360"/>
      </w:pPr>
      <w:rPr>
        <w:rFonts w:ascii="Arial" w:hAnsi="Arial" w:hint="default"/>
      </w:rPr>
    </w:lvl>
    <w:lvl w:ilvl="6" w:tplc="EB2CB140" w:tentative="1">
      <w:start w:val="1"/>
      <w:numFmt w:val="bullet"/>
      <w:lvlText w:val="•"/>
      <w:lvlJc w:val="left"/>
      <w:pPr>
        <w:tabs>
          <w:tab w:val="num" w:pos="5040"/>
        </w:tabs>
        <w:ind w:left="5040" w:hanging="360"/>
      </w:pPr>
      <w:rPr>
        <w:rFonts w:ascii="Arial" w:hAnsi="Arial" w:hint="default"/>
      </w:rPr>
    </w:lvl>
    <w:lvl w:ilvl="7" w:tplc="9A400812" w:tentative="1">
      <w:start w:val="1"/>
      <w:numFmt w:val="bullet"/>
      <w:lvlText w:val="•"/>
      <w:lvlJc w:val="left"/>
      <w:pPr>
        <w:tabs>
          <w:tab w:val="num" w:pos="5760"/>
        </w:tabs>
        <w:ind w:left="5760" w:hanging="360"/>
      </w:pPr>
      <w:rPr>
        <w:rFonts w:ascii="Arial" w:hAnsi="Arial" w:hint="default"/>
      </w:rPr>
    </w:lvl>
    <w:lvl w:ilvl="8" w:tplc="06EE314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EAD2B04"/>
    <w:multiLevelType w:val="hybridMultilevel"/>
    <w:tmpl w:val="E218686C"/>
    <w:lvl w:ilvl="0" w:tplc="0C09000F">
      <w:start w:val="1"/>
      <w:numFmt w:val="decimal"/>
      <w:lvlText w:val="%1."/>
      <w:lvlJc w:val="left"/>
      <w:pPr>
        <w:ind w:left="1004" w:hanging="360"/>
      </w:pPr>
      <w:rPr>
        <w:rFont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5" w15:restartNumberingAfterBreak="0">
    <w:nsid w:val="6EB555BA"/>
    <w:multiLevelType w:val="multilevel"/>
    <w:tmpl w:val="0C4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7"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7A8D58A3"/>
    <w:multiLevelType w:val="hybridMultilevel"/>
    <w:tmpl w:val="7540AB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9" w15:restartNumberingAfterBreak="0">
    <w:nsid w:val="7B3205F3"/>
    <w:multiLevelType w:val="hybridMultilevel"/>
    <w:tmpl w:val="133EA1D2"/>
    <w:lvl w:ilvl="0" w:tplc="A380D2F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E794BF1"/>
    <w:multiLevelType w:val="hybridMultilevel"/>
    <w:tmpl w:val="272C3FBA"/>
    <w:lvl w:ilvl="0" w:tplc="0C09000F">
      <w:start w:val="1"/>
      <w:numFmt w:val="decimal"/>
      <w:lvlText w:val="%1."/>
      <w:lvlJc w:val="left"/>
      <w:pPr>
        <w:ind w:left="1288" w:hanging="360"/>
      </w:p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61" w15:restartNumberingAfterBreak="0">
    <w:nsid w:val="7ED922E8"/>
    <w:multiLevelType w:val="hybridMultilevel"/>
    <w:tmpl w:val="B66E36DA"/>
    <w:lvl w:ilvl="0" w:tplc="93CA375E">
      <w:start w:val="1"/>
      <w:numFmt w:val="bullet"/>
      <w:lvlText w:val="•"/>
      <w:lvlJc w:val="left"/>
      <w:pPr>
        <w:tabs>
          <w:tab w:val="num" w:pos="720"/>
        </w:tabs>
        <w:ind w:left="720" w:hanging="360"/>
      </w:pPr>
      <w:rPr>
        <w:rFonts w:ascii="Arial" w:hAnsi="Arial" w:hint="default"/>
      </w:rPr>
    </w:lvl>
    <w:lvl w:ilvl="1" w:tplc="674AE452">
      <w:start w:val="1"/>
      <w:numFmt w:val="bullet"/>
      <w:lvlText w:val="•"/>
      <w:lvlJc w:val="left"/>
      <w:pPr>
        <w:tabs>
          <w:tab w:val="num" w:pos="1440"/>
        </w:tabs>
        <w:ind w:left="1440" w:hanging="360"/>
      </w:pPr>
      <w:rPr>
        <w:rFonts w:ascii="Arial" w:hAnsi="Arial" w:hint="default"/>
      </w:rPr>
    </w:lvl>
    <w:lvl w:ilvl="2" w:tplc="A51A63D0" w:tentative="1">
      <w:start w:val="1"/>
      <w:numFmt w:val="bullet"/>
      <w:lvlText w:val="•"/>
      <w:lvlJc w:val="left"/>
      <w:pPr>
        <w:tabs>
          <w:tab w:val="num" w:pos="2160"/>
        </w:tabs>
        <w:ind w:left="2160" w:hanging="360"/>
      </w:pPr>
      <w:rPr>
        <w:rFonts w:ascii="Arial" w:hAnsi="Arial" w:hint="default"/>
      </w:rPr>
    </w:lvl>
    <w:lvl w:ilvl="3" w:tplc="798E9972" w:tentative="1">
      <w:start w:val="1"/>
      <w:numFmt w:val="bullet"/>
      <w:lvlText w:val="•"/>
      <w:lvlJc w:val="left"/>
      <w:pPr>
        <w:tabs>
          <w:tab w:val="num" w:pos="2880"/>
        </w:tabs>
        <w:ind w:left="2880" w:hanging="360"/>
      </w:pPr>
      <w:rPr>
        <w:rFonts w:ascii="Arial" w:hAnsi="Arial" w:hint="default"/>
      </w:rPr>
    </w:lvl>
    <w:lvl w:ilvl="4" w:tplc="2786CA5E" w:tentative="1">
      <w:start w:val="1"/>
      <w:numFmt w:val="bullet"/>
      <w:lvlText w:val="•"/>
      <w:lvlJc w:val="left"/>
      <w:pPr>
        <w:tabs>
          <w:tab w:val="num" w:pos="3600"/>
        </w:tabs>
        <w:ind w:left="3600" w:hanging="360"/>
      </w:pPr>
      <w:rPr>
        <w:rFonts w:ascii="Arial" w:hAnsi="Arial" w:hint="default"/>
      </w:rPr>
    </w:lvl>
    <w:lvl w:ilvl="5" w:tplc="225EB1B6" w:tentative="1">
      <w:start w:val="1"/>
      <w:numFmt w:val="bullet"/>
      <w:lvlText w:val="•"/>
      <w:lvlJc w:val="left"/>
      <w:pPr>
        <w:tabs>
          <w:tab w:val="num" w:pos="4320"/>
        </w:tabs>
        <w:ind w:left="4320" w:hanging="360"/>
      </w:pPr>
      <w:rPr>
        <w:rFonts w:ascii="Arial" w:hAnsi="Arial" w:hint="default"/>
      </w:rPr>
    </w:lvl>
    <w:lvl w:ilvl="6" w:tplc="16D2FF64" w:tentative="1">
      <w:start w:val="1"/>
      <w:numFmt w:val="bullet"/>
      <w:lvlText w:val="•"/>
      <w:lvlJc w:val="left"/>
      <w:pPr>
        <w:tabs>
          <w:tab w:val="num" w:pos="5040"/>
        </w:tabs>
        <w:ind w:left="5040" w:hanging="360"/>
      </w:pPr>
      <w:rPr>
        <w:rFonts w:ascii="Arial" w:hAnsi="Arial" w:hint="default"/>
      </w:rPr>
    </w:lvl>
    <w:lvl w:ilvl="7" w:tplc="39DE4CD6" w:tentative="1">
      <w:start w:val="1"/>
      <w:numFmt w:val="bullet"/>
      <w:lvlText w:val="•"/>
      <w:lvlJc w:val="left"/>
      <w:pPr>
        <w:tabs>
          <w:tab w:val="num" w:pos="5760"/>
        </w:tabs>
        <w:ind w:left="5760" w:hanging="360"/>
      </w:pPr>
      <w:rPr>
        <w:rFonts w:ascii="Arial" w:hAnsi="Arial" w:hint="default"/>
      </w:rPr>
    </w:lvl>
    <w:lvl w:ilvl="8" w:tplc="3F0073C0" w:tentative="1">
      <w:start w:val="1"/>
      <w:numFmt w:val="bullet"/>
      <w:lvlText w:val="•"/>
      <w:lvlJc w:val="left"/>
      <w:pPr>
        <w:tabs>
          <w:tab w:val="num" w:pos="6480"/>
        </w:tabs>
        <w:ind w:left="6480" w:hanging="360"/>
      </w:pPr>
      <w:rPr>
        <w:rFonts w:ascii="Arial" w:hAnsi="Arial" w:hint="default"/>
      </w:rPr>
    </w:lvl>
  </w:abstractNum>
  <w:num w:numId="1">
    <w:abstractNumId w:val="57"/>
  </w:num>
  <w:num w:numId="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18"/>
  </w:num>
  <w:num w:numId="4">
    <w:abstractNumId w:val="41"/>
  </w:num>
  <w:num w:numId="5">
    <w:abstractNumId w:val="45"/>
  </w:num>
  <w:num w:numId="6">
    <w:abstractNumId w:val="37"/>
  </w:num>
  <w:num w:numId="7">
    <w:abstractNumId w:val="16"/>
  </w:num>
  <w:num w:numId="8">
    <w:abstractNumId w:val="56"/>
  </w:num>
  <w:num w:numId="9">
    <w:abstractNumId w:val="29"/>
  </w:num>
  <w:num w:numId="10">
    <w:abstractNumId w:val="11"/>
  </w:num>
  <w:num w:numId="11">
    <w:abstractNumId w:val="40"/>
  </w:num>
  <w:num w:numId="12">
    <w:abstractNumId w:val="43"/>
  </w:num>
  <w:num w:numId="13">
    <w:abstractNumId w:val="4"/>
  </w:num>
  <w:num w:numId="14">
    <w:abstractNumId w:val="4"/>
    <w:lvlOverride w:ilvl="0">
      <w:lvl w:ilvl="0">
        <w:start w:val="1"/>
        <w:numFmt w:val="decimal"/>
        <w:pStyle w:val="NumberedList1"/>
        <w:lvlText w:val="%1."/>
        <w:lvlJc w:val="left"/>
        <w:pPr>
          <w:ind w:left="3687"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26"/>
  </w:num>
  <w:num w:numId="16">
    <w:abstractNumId w:val="7"/>
  </w:num>
  <w:num w:numId="17">
    <w:abstractNumId w:val="32"/>
  </w:num>
  <w:num w:numId="18">
    <w:abstractNumId w:val="59"/>
  </w:num>
  <w:num w:numId="19">
    <w:abstractNumId w:val="59"/>
  </w:num>
  <w:num w:numId="20">
    <w:abstractNumId w:val="52"/>
  </w:num>
  <w:num w:numId="21">
    <w:abstractNumId w:val="6"/>
  </w:num>
  <w:num w:numId="22">
    <w:abstractNumId w:val="42"/>
  </w:num>
  <w:num w:numId="23">
    <w:abstractNumId w:val="5"/>
  </w:num>
  <w:num w:numId="24">
    <w:abstractNumId w:val="25"/>
  </w:num>
  <w:num w:numId="25">
    <w:abstractNumId w:val="36"/>
  </w:num>
  <w:num w:numId="26">
    <w:abstractNumId w:val="33"/>
  </w:num>
  <w:num w:numId="27">
    <w:abstractNumId w:val="3"/>
  </w:num>
  <w:num w:numId="28">
    <w:abstractNumId w:val="28"/>
  </w:num>
  <w:num w:numId="29">
    <w:abstractNumId w:val="26"/>
  </w:num>
  <w:num w:numId="30">
    <w:abstractNumId w:val="0"/>
  </w:num>
  <w:num w:numId="31">
    <w:abstractNumId w:val="46"/>
  </w:num>
  <w:num w:numId="32">
    <w:abstractNumId w:val="58"/>
  </w:num>
  <w:num w:numId="33">
    <w:abstractNumId w:val="50"/>
  </w:num>
  <w:num w:numId="34">
    <w:abstractNumId w:val="55"/>
  </w:num>
  <w:num w:numId="35">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
    <w:abstractNumId w:val="26"/>
  </w:num>
  <w:num w:numId="37">
    <w:abstractNumId w:val="35"/>
  </w:num>
  <w:num w:numId="38">
    <w:abstractNumId w:val="22"/>
  </w:num>
  <w:num w:numId="39">
    <w:abstractNumId w:val="21"/>
  </w:num>
  <w:num w:numId="40">
    <w:abstractNumId w:val="9"/>
  </w:num>
  <w:num w:numId="41">
    <w:abstractNumId w:val="14"/>
  </w:num>
  <w:num w:numId="42">
    <w:abstractNumId w:val="26"/>
  </w:num>
  <w:num w:numId="43">
    <w:abstractNumId w:val="47"/>
  </w:num>
  <w:num w:numId="44">
    <w:abstractNumId w:val="37"/>
  </w:num>
  <w:num w:numId="45">
    <w:abstractNumId w:val="1"/>
  </w:num>
  <w:num w:numId="46">
    <w:abstractNumId w:val="37"/>
  </w:num>
  <w:num w:numId="47">
    <w:abstractNumId w:val="37"/>
  </w:num>
  <w:num w:numId="48">
    <w:abstractNumId w:val="37"/>
  </w:num>
  <w:num w:numId="49">
    <w:abstractNumId w:val="2"/>
  </w:num>
  <w:num w:numId="50">
    <w:abstractNumId w:val="20"/>
  </w:num>
  <w:num w:numId="51">
    <w:abstractNumId w:val="10"/>
  </w:num>
  <w:num w:numId="52">
    <w:abstractNumId w:val="15"/>
  </w:num>
  <w:num w:numId="53">
    <w:abstractNumId w:val="37"/>
  </w:num>
  <w:num w:numId="54">
    <w:abstractNumId w:val="23"/>
  </w:num>
  <w:num w:numId="55">
    <w:abstractNumId w:val="39"/>
  </w:num>
  <w:num w:numId="56">
    <w:abstractNumId w:val="54"/>
  </w:num>
  <w:num w:numId="57">
    <w:abstractNumId w:val="27"/>
  </w:num>
  <w:num w:numId="58">
    <w:abstractNumId w:val="48"/>
  </w:num>
  <w:num w:numId="59">
    <w:abstractNumId w:val="31"/>
  </w:num>
  <w:num w:numId="60">
    <w:abstractNumId w:val="13"/>
  </w:num>
  <w:num w:numId="61">
    <w:abstractNumId w:val="51"/>
  </w:num>
  <w:num w:numId="62">
    <w:abstractNumId w:val="12"/>
  </w:num>
  <w:num w:numId="63">
    <w:abstractNumId w:val="19"/>
  </w:num>
  <w:num w:numId="64">
    <w:abstractNumId w:val="44"/>
  </w:num>
  <w:num w:numId="65">
    <w:abstractNumId w:val="34"/>
  </w:num>
  <w:num w:numId="66">
    <w:abstractNumId w:val="30"/>
  </w:num>
  <w:num w:numId="67">
    <w:abstractNumId w:val="61"/>
  </w:num>
  <w:num w:numId="68">
    <w:abstractNumId w:val="53"/>
  </w:num>
  <w:num w:numId="69">
    <w:abstractNumId w:val="24"/>
  </w:num>
  <w:num w:numId="70">
    <w:abstractNumId w:val="8"/>
  </w:num>
  <w:num w:numId="7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4">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5">
    <w:abstractNumId w:val="49"/>
  </w:num>
  <w:num w:numId="76">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8">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1">
    <w:abstractNumId w:val="60"/>
  </w:num>
  <w:num w:numId="82">
    <w:abstractNumId w:val="38"/>
  </w:num>
  <w:num w:numId="83">
    <w:abstractNumId w:val="26"/>
  </w:num>
  <w:num w:numId="84">
    <w:abstractNumId w:val="7"/>
  </w:num>
  <w:num w:numId="85">
    <w:abstractNumId w:val="7"/>
  </w:num>
  <w:num w:numId="86">
    <w:abstractNumId w:val="7"/>
  </w:num>
  <w:num w:numId="87">
    <w:abstractNumId w:val="40"/>
  </w:num>
  <w:num w:numId="88">
    <w:abstractNumId w:val="17"/>
  </w:num>
  <w:num w:numId="89">
    <w:abstractNumId w:val="40"/>
  </w:num>
  <w:num w:numId="90">
    <w:abstractNumId w:val="4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F3C"/>
    <w:rsid w:val="00010AE9"/>
    <w:rsid w:val="000118B2"/>
    <w:rsid w:val="0001337B"/>
    <w:rsid w:val="000205B7"/>
    <w:rsid w:val="0002782F"/>
    <w:rsid w:val="0003233F"/>
    <w:rsid w:val="00032C45"/>
    <w:rsid w:val="00036900"/>
    <w:rsid w:val="00054802"/>
    <w:rsid w:val="00054E4D"/>
    <w:rsid w:val="000563F0"/>
    <w:rsid w:val="000574DB"/>
    <w:rsid w:val="00060073"/>
    <w:rsid w:val="000603C7"/>
    <w:rsid w:val="00074576"/>
    <w:rsid w:val="00076DA8"/>
    <w:rsid w:val="000829F4"/>
    <w:rsid w:val="00094FDB"/>
    <w:rsid w:val="000965F4"/>
    <w:rsid w:val="000A4B30"/>
    <w:rsid w:val="000A6A8B"/>
    <w:rsid w:val="000C2A48"/>
    <w:rsid w:val="000C4731"/>
    <w:rsid w:val="000C5F75"/>
    <w:rsid w:val="000D28E3"/>
    <w:rsid w:val="000D55A4"/>
    <w:rsid w:val="000D60B1"/>
    <w:rsid w:val="000E1A32"/>
    <w:rsid w:val="000E597D"/>
    <w:rsid w:val="000F4034"/>
    <w:rsid w:val="000F4268"/>
    <w:rsid w:val="000F7841"/>
    <w:rsid w:val="00105032"/>
    <w:rsid w:val="00106CD4"/>
    <w:rsid w:val="0011414B"/>
    <w:rsid w:val="00116ED1"/>
    <w:rsid w:val="00130DB6"/>
    <w:rsid w:val="00132249"/>
    <w:rsid w:val="001350E9"/>
    <w:rsid w:val="00136530"/>
    <w:rsid w:val="00144BAF"/>
    <w:rsid w:val="00147B10"/>
    <w:rsid w:val="0015074D"/>
    <w:rsid w:val="001541EA"/>
    <w:rsid w:val="00157974"/>
    <w:rsid w:val="001612A4"/>
    <w:rsid w:val="00167504"/>
    <w:rsid w:val="00174938"/>
    <w:rsid w:val="001804D5"/>
    <w:rsid w:val="001837CF"/>
    <w:rsid w:val="001857B0"/>
    <w:rsid w:val="00192EF0"/>
    <w:rsid w:val="001935DA"/>
    <w:rsid w:val="001A4AC7"/>
    <w:rsid w:val="001B384D"/>
    <w:rsid w:val="001B772C"/>
    <w:rsid w:val="001C0C1F"/>
    <w:rsid w:val="001C679D"/>
    <w:rsid w:val="001C6EA7"/>
    <w:rsid w:val="001C7759"/>
    <w:rsid w:val="001D7EB4"/>
    <w:rsid w:val="001E1200"/>
    <w:rsid w:val="001E1DC0"/>
    <w:rsid w:val="001E2069"/>
    <w:rsid w:val="001F776B"/>
    <w:rsid w:val="0020122A"/>
    <w:rsid w:val="0020261E"/>
    <w:rsid w:val="00212779"/>
    <w:rsid w:val="002206CE"/>
    <w:rsid w:val="002233F8"/>
    <w:rsid w:val="0023708C"/>
    <w:rsid w:val="00242D30"/>
    <w:rsid w:val="00246F0C"/>
    <w:rsid w:val="002524EF"/>
    <w:rsid w:val="0025361A"/>
    <w:rsid w:val="002676C9"/>
    <w:rsid w:val="00267BF3"/>
    <w:rsid w:val="00270A05"/>
    <w:rsid w:val="00275E01"/>
    <w:rsid w:val="002809A5"/>
    <w:rsid w:val="00281400"/>
    <w:rsid w:val="0028602A"/>
    <w:rsid w:val="00287110"/>
    <w:rsid w:val="00287E9E"/>
    <w:rsid w:val="002919A5"/>
    <w:rsid w:val="002921AF"/>
    <w:rsid w:val="0029249C"/>
    <w:rsid w:val="002941CC"/>
    <w:rsid w:val="002A554E"/>
    <w:rsid w:val="002A6312"/>
    <w:rsid w:val="002B0ECF"/>
    <w:rsid w:val="002B26FC"/>
    <w:rsid w:val="002B766E"/>
    <w:rsid w:val="002C34BB"/>
    <w:rsid w:val="002C6290"/>
    <w:rsid w:val="002C72F6"/>
    <w:rsid w:val="002C7602"/>
    <w:rsid w:val="002D2117"/>
    <w:rsid w:val="002D7560"/>
    <w:rsid w:val="002E307F"/>
    <w:rsid w:val="002F523D"/>
    <w:rsid w:val="00301144"/>
    <w:rsid w:val="00301B2F"/>
    <w:rsid w:val="003109AB"/>
    <w:rsid w:val="00310F34"/>
    <w:rsid w:val="003140C3"/>
    <w:rsid w:val="003141BA"/>
    <w:rsid w:val="003148B7"/>
    <w:rsid w:val="003158C3"/>
    <w:rsid w:val="003164C5"/>
    <w:rsid w:val="00316CFA"/>
    <w:rsid w:val="003274CD"/>
    <w:rsid w:val="00335546"/>
    <w:rsid w:val="00344994"/>
    <w:rsid w:val="003506C2"/>
    <w:rsid w:val="0035119D"/>
    <w:rsid w:val="00352660"/>
    <w:rsid w:val="0035645A"/>
    <w:rsid w:val="003564A6"/>
    <w:rsid w:val="00357301"/>
    <w:rsid w:val="00360E00"/>
    <w:rsid w:val="00362D50"/>
    <w:rsid w:val="00365C5B"/>
    <w:rsid w:val="00370BD8"/>
    <w:rsid w:val="00373420"/>
    <w:rsid w:val="00380F99"/>
    <w:rsid w:val="003825CC"/>
    <w:rsid w:val="00387D9E"/>
    <w:rsid w:val="00390B07"/>
    <w:rsid w:val="003930DF"/>
    <w:rsid w:val="00396E11"/>
    <w:rsid w:val="003A56EF"/>
    <w:rsid w:val="003A71C5"/>
    <w:rsid w:val="003B31FE"/>
    <w:rsid w:val="003B4F12"/>
    <w:rsid w:val="003B7B0D"/>
    <w:rsid w:val="003C0C17"/>
    <w:rsid w:val="003C0E5E"/>
    <w:rsid w:val="003C420B"/>
    <w:rsid w:val="003C6283"/>
    <w:rsid w:val="003C7CC1"/>
    <w:rsid w:val="003D1845"/>
    <w:rsid w:val="003D227F"/>
    <w:rsid w:val="003D295A"/>
    <w:rsid w:val="003D4335"/>
    <w:rsid w:val="003E38EB"/>
    <w:rsid w:val="003E528C"/>
    <w:rsid w:val="003F000F"/>
    <w:rsid w:val="004001CE"/>
    <w:rsid w:val="004014C6"/>
    <w:rsid w:val="00401A0F"/>
    <w:rsid w:val="00410906"/>
    <w:rsid w:val="004141AE"/>
    <w:rsid w:val="00423F31"/>
    <w:rsid w:val="0042427F"/>
    <w:rsid w:val="00425B42"/>
    <w:rsid w:val="00430AE7"/>
    <w:rsid w:val="00431899"/>
    <w:rsid w:val="00433A2A"/>
    <w:rsid w:val="00433EDB"/>
    <w:rsid w:val="00434589"/>
    <w:rsid w:val="00435104"/>
    <w:rsid w:val="004440CA"/>
    <w:rsid w:val="0044444A"/>
    <w:rsid w:val="00445BDF"/>
    <w:rsid w:val="00450A67"/>
    <w:rsid w:val="004540AD"/>
    <w:rsid w:val="00454E0B"/>
    <w:rsid w:val="0046056E"/>
    <w:rsid w:val="00462171"/>
    <w:rsid w:val="00462267"/>
    <w:rsid w:val="00470C16"/>
    <w:rsid w:val="00472A7B"/>
    <w:rsid w:val="0047380F"/>
    <w:rsid w:val="00475C42"/>
    <w:rsid w:val="004769D0"/>
    <w:rsid w:val="00477153"/>
    <w:rsid w:val="0047778E"/>
    <w:rsid w:val="0048297B"/>
    <w:rsid w:val="00485FEA"/>
    <w:rsid w:val="00486804"/>
    <w:rsid w:val="00492043"/>
    <w:rsid w:val="004946A0"/>
    <w:rsid w:val="004A4EC6"/>
    <w:rsid w:val="004A741A"/>
    <w:rsid w:val="004A7C72"/>
    <w:rsid w:val="004B1A67"/>
    <w:rsid w:val="004B3775"/>
    <w:rsid w:val="004C2A06"/>
    <w:rsid w:val="004C3D75"/>
    <w:rsid w:val="004C5E5E"/>
    <w:rsid w:val="004C7199"/>
    <w:rsid w:val="004D3D60"/>
    <w:rsid w:val="004D4559"/>
    <w:rsid w:val="004D54F3"/>
    <w:rsid w:val="004E058F"/>
    <w:rsid w:val="004E2F56"/>
    <w:rsid w:val="004E3B87"/>
    <w:rsid w:val="004E71F5"/>
    <w:rsid w:val="004F68A6"/>
    <w:rsid w:val="005068FF"/>
    <w:rsid w:val="00506C77"/>
    <w:rsid w:val="005106EC"/>
    <w:rsid w:val="00510921"/>
    <w:rsid w:val="00510AD3"/>
    <w:rsid w:val="0051199A"/>
    <w:rsid w:val="00513348"/>
    <w:rsid w:val="00515888"/>
    <w:rsid w:val="00515BB9"/>
    <w:rsid w:val="00516AF7"/>
    <w:rsid w:val="005300A6"/>
    <w:rsid w:val="00532B52"/>
    <w:rsid w:val="00533854"/>
    <w:rsid w:val="00533B5D"/>
    <w:rsid w:val="005437F9"/>
    <w:rsid w:val="0055288B"/>
    <w:rsid w:val="005557E7"/>
    <w:rsid w:val="005570E8"/>
    <w:rsid w:val="00566CF9"/>
    <w:rsid w:val="00567A0F"/>
    <w:rsid w:val="00570B7C"/>
    <w:rsid w:val="00576A57"/>
    <w:rsid w:val="00582D93"/>
    <w:rsid w:val="005970EA"/>
    <w:rsid w:val="005A143A"/>
    <w:rsid w:val="005A4A0C"/>
    <w:rsid w:val="005B0F26"/>
    <w:rsid w:val="005B436B"/>
    <w:rsid w:val="005B638E"/>
    <w:rsid w:val="005B696C"/>
    <w:rsid w:val="005C2AEA"/>
    <w:rsid w:val="005C3270"/>
    <w:rsid w:val="005C37F0"/>
    <w:rsid w:val="005D00F6"/>
    <w:rsid w:val="005D2D36"/>
    <w:rsid w:val="005E0771"/>
    <w:rsid w:val="005E5CB9"/>
    <w:rsid w:val="005F17B1"/>
    <w:rsid w:val="005F7237"/>
    <w:rsid w:val="005F747F"/>
    <w:rsid w:val="00622A59"/>
    <w:rsid w:val="00623883"/>
    <w:rsid w:val="00623BA1"/>
    <w:rsid w:val="006249F2"/>
    <w:rsid w:val="0063105A"/>
    <w:rsid w:val="006346BC"/>
    <w:rsid w:val="0064053A"/>
    <w:rsid w:val="0066050C"/>
    <w:rsid w:val="00666291"/>
    <w:rsid w:val="0066652A"/>
    <w:rsid w:val="00670172"/>
    <w:rsid w:val="00675CFC"/>
    <w:rsid w:val="00682167"/>
    <w:rsid w:val="006847E8"/>
    <w:rsid w:val="00686E08"/>
    <w:rsid w:val="0069053D"/>
    <w:rsid w:val="00693516"/>
    <w:rsid w:val="00693FBA"/>
    <w:rsid w:val="006A1AF5"/>
    <w:rsid w:val="006A1DB4"/>
    <w:rsid w:val="006A23D2"/>
    <w:rsid w:val="006A4AC7"/>
    <w:rsid w:val="006A5B46"/>
    <w:rsid w:val="006B1465"/>
    <w:rsid w:val="006C3281"/>
    <w:rsid w:val="006C42AF"/>
    <w:rsid w:val="006C4DD1"/>
    <w:rsid w:val="006C65C2"/>
    <w:rsid w:val="006C67A1"/>
    <w:rsid w:val="006E4D56"/>
    <w:rsid w:val="006E6BC9"/>
    <w:rsid w:val="006F3056"/>
    <w:rsid w:val="006F3A1C"/>
    <w:rsid w:val="006F4732"/>
    <w:rsid w:val="006F7E14"/>
    <w:rsid w:val="00703D49"/>
    <w:rsid w:val="00703E4C"/>
    <w:rsid w:val="00710BF5"/>
    <w:rsid w:val="00711D8E"/>
    <w:rsid w:val="00712672"/>
    <w:rsid w:val="00714C8D"/>
    <w:rsid w:val="00714CFB"/>
    <w:rsid w:val="007214E4"/>
    <w:rsid w:val="00726E9E"/>
    <w:rsid w:val="00727295"/>
    <w:rsid w:val="00727C9A"/>
    <w:rsid w:val="0073142E"/>
    <w:rsid w:val="00734E3F"/>
    <w:rsid w:val="00736985"/>
    <w:rsid w:val="00737A13"/>
    <w:rsid w:val="00740F16"/>
    <w:rsid w:val="00741E47"/>
    <w:rsid w:val="00742346"/>
    <w:rsid w:val="00745799"/>
    <w:rsid w:val="00747E15"/>
    <w:rsid w:val="007503AE"/>
    <w:rsid w:val="00752B79"/>
    <w:rsid w:val="00763C2A"/>
    <w:rsid w:val="00772193"/>
    <w:rsid w:val="0078133B"/>
    <w:rsid w:val="00797A42"/>
    <w:rsid w:val="007A1692"/>
    <w:rsid w:val="007B4916"/>
    <w:rsid w:val="007B6200"/>
    <w:rsid w:val="007C1EA7"/>
    <w:rsid w:val="007C22A7"/>
    <w:rsid w:val="007C2F35"/>
    <w:rsid w:val="007C3057"/>
    <w:rsid w:val="007C6E5C"/>
    <w:rsid w:val="007D35FF"/>
    <w:rsid w:val="007D4D14"/>
    <w:rsid w:val="007E3E5E"/>
    <w:rsid w:val="007E57C6"/>
    <w:rsid w:val="007F290F"/>
    <w:rsid w:val="007F400F"/>
    <w:rsid w:val="00800040"/>
    <w:rsid w:val="00800799"/>
    <w:rsid w:val="00801B9F"/>
    <w:rsid w:val="0080560D"/>
    <w:rsid w:val="00810951"/>
    <w:rsid w:val="0081126C"/>
    <w:rsid w:val="0081155B"/>
    <w:rsid w:val="00812A1C"/>
    <w:rsid w:val="00815374"/>
    <w:rsid w:val="00821C9B"/>
    <w:rsid w:val="00824649"/>
    <w:rsid w:val="0082613B"/>
    <w:rsid w:val="008407C1"/>
    <w:rsid w:val="0084135B"/>
    <w:rsid w:val="008436BE"/>
    <w:rsid w:val="0084520B"/>
    <w:rsid w:val="0084543C"/>
    <w:rsid w:val="00846613"/>
    <w:rsid w:val="008616DD"/>
    <w:rsid w:val="00864D16"/>
    <w:rsid w:val="008658E0"/>
    <w:rsid w:val="00872791"/>
    <w:rsid w:val="00873D7E"/>
    <w:rsid w:val="00874CDC"/>
    <w:rsid w:val="00880607"/>
    <w:rsid w:val="00880B3F"/>
    <w:rsid w:val="00882639"/>
    <w:rsid w:val="00891880"/>
    <w:rsid w:val="00895F2E"/>
    <w:rsid w:val="00897754"/>
    <w:rsid w:val="008A05DD"/>
    <w:rsid w:val="008A7714"/>
    <w:rsid w:val="008B615D"/>
    <w:rsid w:val="008B62C7"/>
    <w:rsid w:val="008C177E"/>
    <w:rsid w:val="008D4A99"/>
    <w:rsid w:val="008D5903"/>
    <w:rsid w:val="008D6A42"/>
    <w:rsid w:val="008D6C2F"/>
    <w:rsid w:val="008E19B5"/>
    <w:rsid w:val="008F1416"/>
    <w:rsid w:val="00902127"/>
    <w:rsid w:val="00902E86"/>
    <w:rsid w:val="00903AF5"/>
    <w:rsid w:val="009147E7"/>
    <w:rsid w:val="0092289A"/>
    <w:rsid w:val="009262D4"/>
    <w:rsid w:val="00941CFB"/>
    <w:rsid w:val="009432F1"/>
    <w:rsid w:val="00953F91"/>
    <w:rsid w:val="00955214"/>
    <w:rsid w:val="009561A0"/>
    <w:rsid w:val="00966B13"/>
    <w:rsid w:val="009763B6"/>
    <w:rsid w:val="00976467"/>
    <w:rsid w:val="00983516"/>
    <w:rsid w:val="009845F0"/>
    <w:rsid w:val="009869FB"/>
    <w:rsid w:val="00987524"/>
    <w:rsid w:val="00992B17"/>
    <w:rsid w:val="009A08BD"/>
    <w:rsid w:val="009A2DA7"/>
    <w:rsid w:val="009A4E3A"/>
    <w:rsid w:val="009B3744"/>
    <w:rsid w:val="009B4D3B"/>
    <w:rsid w:val="009C3084"/>
    <w:rsid w:val="009D3BD3"/>
    <w:rsid w:val="009D6A17"/>
    <w:rsid w:val="009D6FB6"/>
    <w:rsid w:val="009D7407"/>
    <w:rsid w:val="009E0866"/>
    <w:rsid w:val="009E1AAB"/>
    <w:rsid w:val="009E2850"/>
    <w:rsid w:val="009E6324"/>
    <w:rsid w:val="009F2C85"/>
    <w:rsid w:val="009F7530"/>
    <w:rsid w:val="00A01C53"/>
    <w:rsid w:val="00A03408"/>
    <w:rsid w:val="00A061B9"/>
    <w:rsid w:val="00A07189"/>
    <w:rsid w:val="00A1004E"/>
    <w:rsid w:val="00A10EF9"/>
    <w:rsid w:val="00A120E1"/>
    <w:rsid w:val="00A134A4"/>
    <w:rsid w:val="00A1701C"/>
    <w:rsid w:val="00A20E8E"/>
    <w:rsid w:val="00A24A62"/>
    <w:rsid w:val="00A25D12"/>
    <w:rsid w:val="00A313EC"/>
    <w:rsid w:val="00A31C9F"/>
    <w:rsid w:val="00A332C9"/>
    <w:rsid w:val="00A34BC8"/>
    <w:rsid w:val="00A34EDC"/>
    <w:rsid w:val="00A447BE"/>
    <w:rsid w:val="00A53FD4"/>
    <w:rsid w:val="00A57A9E"/>
    <w:rsid w:val="00A63226"/>
    <w:rsid w:val="00A65196"/>
    <w:rsid w:val="00A70D7D"/>
    <w:rsid w:val="00A7115F"/>
    <w:rsid w:val="00A74233"/>
    <w:rsid w:val="00A775EA"/>
    <w:rsid w:val="00A8265F"/>
    <w:rsid w:val="00A82B42"/>
    <w:rsid w:val="00A84B0D"/>
    <w:rsid w:val="00A860DC"/>
    <w:rsid w:val="00A863C4"/>
    <w:rsid w:val="00A868E8"/>
    <w:rsid w:val="00A8691D"/>
    <w:rsid w:val="00A94E12"/>
    <w:rsid w:val="00A95CBD"/>
    <w:rsid w:val="00AB19CF"/>
    <w:rsid w:val="00AC164A"/>
    <w:rsid w:val="00AD0FD5"/>
    <w:rsid w:val="00AD13C3"/>
    <w:rsid w:val="00AE3490"/>
    <w:rsid w:val="00AE5E7A"/>
    <w:rsid w:val="00AE66E1"/>
    <w:rsid w:val="00AF0CDE"/>
    <w:rsid w:val="00AF2050"/>
    <w:rsid w:val="00AF592F"/>
    <w:rsid w:val="00AF5BED"/>
    <w:rsid w:val="00AF6D1A"/>
    <w:rsid w:val="00AF7EDE"/>
    <w:rsid w:val="00B0207D"/>
    <w:rsid w:val="00B13B6E"/>
    <w:rsid w:val="00B167AF"/>
    <w:rsid w:val="00B2107E"/>
    <w:rsid w:val="00B31AD4"/>
    <w:rsid w:val="00B329B6"/>
    <w:rsid w:val="00B32F99"/>
    <w:rsid w:val="00B3467F"/>
    <w:rsid w:val="00B34BDB"/>
    <w:rsid w:val="00B45058"/>
    <w:rsid w:val="00B45D8E"/>
    <w:rsid w:val="00B476D7"/>
    <w:rsid w:val="00B52621"/>
    <w:rsid w:val="00B53AD2"/>
    <w:rsid w:val="00B55A9E"/>
    <w:rsid w:val="00B618D1"/>
    <w:rsid w:val="00B73580"/>
    <w:rsid w:val="00B901B9"/>
    <w:rsid w:val="00B90F5F"/>
    <w:rsid w:val="00BA2691"/>
    <w:rsid w:val="00BA574E"/>
    <w:rsid w:val="00BA7C45"/>
    <w:rsid w:val="00BB069D"/>
    <w:rsid w:val="00BB097A"/>
    <w:rsid w:val="00BB26C5"/>
    <w:rsid w:val="00BC0C63"/>
    <w:rsid w:val="00BD1544"/>
    <w:rsid w:val="00BE06AA"/>
    <w:rsid w:val="00BE2535"/>
    <w:rsid w:val="00BF3BA2"/>
    <w:rsid w:val="00BF4386"/>
    <w:rsid w:val="00BF4DE6"/>
    <w:rsid w:val="00BF6958"/>
    <w:rsid w:val="00C0199C"/>
    <w:rsid w:val="00C020F0"/>
    <w:rsid w:val="00C02A7E"/>
    <w:rsid w:val="00C04038"/>
    <w:rsid w:val="00C043BD"/>
    <w:rsid w:val="00C06723"/>
    <w:rsid w:val="00C13547"/>
    <w:rsid w:val="00C142B2"/>
    <w:rsid w:val="00C15CE8"/>
    <w:rsid w:val="00C22256"/>
    <w:rsid w:val="00C22C5C"/>
    <w:rsid w:val="00C25452"/>
    <w:rsid w:val="00C26250"/>
    <w:rsid w:val="00C26390"/>
    <w:rsid w:val="00C30746"/>
    <w:rsid w:val="00C34591"/>
    <w:rsid w:val="00C3720A"/>
    <w:rsid w:val="00C373BC"/>
    <w:rsid w:val="00C41981"/>
    <w:rsid w:val="00C42CDE"/>
    <w:rsid w:val="00C477E2"/>
    <w:rsid w:val="00C5060B"/>
    <w:rsid w:val="00C51605"/>
    <w:rsid w:val="00C5645D"/>
    <w:rsid w:val="00C5653A"/>
    <w:rsid w:val="00C61A15"/>
    <w:rsid w:val="00C6347E"/>
    <w:rsid w:val="00C746C8"/>
    <w:rsid w:val="00C76AC1"/>
    <w:rsid w:val="00C80927"/>
    <w:rsid w:val="00C81087"/>
    <w:rsid w:val="00C86520"/>
    <w:rsid w:val="00C87A54"/>
    <w:rsid w:val="00C9051C"/>
    <w:rsid w:val="00C94C43"/>
    <w:rsid w:val="00C979C7"/>
    <w:rsid w:val="00CA3367"/>
    <w:rsid w:val="00CA37B1"/>
    <w:rsid w:val="00CA537C"/>
    <w:rsid w:val="00CA7227"/>
    <w:rsid w:val="00CB086D"/>
    <w:rsid w:val="00CB1959"/>
    <w:rsid w:val="00CB52E2"/>
    <w:rsid w:val="00CC3ED6"/>
    <w:rsid w:val="00CC471B"/>
    <w:rsid w:val="00CD41B4"/>
    <w:rsid w:val="00CD57ED"/>
    <w:rsid w:val="00CD68AA"/>
    <w:rsid w:val="00CD7ACB"/>
    <w:rsid w:val="00CE0945"/>
    <w:rsid w:val="00CE0ECC"/>
    <w:rsid w:val="00CE4D49"/>
    <w:rsid w:val="00CF3314"/>
    <w:rsid w:val="00CF62AD"/>
    <w:rsid w:val="00CF74AB"/>
    <w:rsid w:val="00D0296C"/>
    <w:rsid w:val="00D07639"/>
    <w:rsid w:val="00D1013C"/>
    <w:rsid w:val="00D10364"/>
    <w:rsid w:val="00D1229F"/>
    <w:rsid w:val="00D17EC6"/>
    <w:rsid w:val="00D22869"/>
    <w:rsid w:val="00D22E0F"/>
    <w:rsid w:val="00D3094F"/>
    <w:rsid w:val="00D40576"/>
    <w:rsid w:val="00D4159E"/>
    <w:rsid w:val="00D46D82"/>
    <w:rsid w:val="00D50CFB"/>
    <w:rsid w:val="00D71430"/>
    <w:rsid w:val="00D7288F"/>
    <w:rsid w:val="00D73D2F"/>
    <w:rsid w:val="00D91847"/>
    <w:rsid w:val="00D91C60"/>
    <w:rsid w:val="00DA1BE1"/>
    <w:rsid w:val="00DA528A"/>
    <w:rsid w:val="00DA621F"/>
    <w:rsid w:val="00DB6D69"/>
    <w:rsid w:val="00DC430B"/>
    <w:rsid w:val="00DD439C"/>
    <w:rsid w:val="00DD4BFE"/>
    <w:rsid w:val="00DE2641"/>
    <w:rsid w:val="00DE5B3F"/>
    <w:rsid w:val="00DE61BB"/>
    <w:rsid w:val="00DF25F7"/>
    <w:rsid w:val="00DF52AC"/>
    <w:rsid w:val="00DF68A0"/>
    <w:rsid w:val="00E02371"/>
    <w:rsid w:val="00E100C5"/>
    <w:rsid w:val="00E11ABD"/>
    <w:rsid w:val="00E13D60"/>
    <w:rsid w:val="00E1497D"/>
    <w:rsid w:val="00E25267"/>
    <w:rsid w:val="00E26D9A"/>
    <w:rsid w:val="00E30074"/>
    <w:rsid w:val="00E33CCF"/>
    <w:rsid w:val="00E357B7"/>
    <w:rsid w:val="00E37857"/>
    <w:rsid w:val="00E40D77"/>
    <w:rsid w:val="00E41B60"/>
    <w:rsid w:val="00E44DC6"/>
    <w:rsid w:val="00E4569B"/>
    <w:rsid w:val="00E46288"/>
    <w:rsid w:val="00E46B7C"/>
    <w:rsid w:val="00E46CFA"/>
    <w:rsid w:val="00E51C40"/>
    <w:rsid w:val="00E53800"/>
    <w:rsid w:val="00E56DE5"/>
    <w:rsid w:val="00E57A67"/>
    <w:rsid w:val="00E6081F"/>
    <w:rsid w:val="00E60A81"/>
    <w:rsid w:val="00E60FC8"/>
    <w:rsid w:val="00E6422F"/>
    <w:rsid w:val="00E658B3"/>
    <w:rsid w:val="00E7335D"/>
    <w:rsid w:val="00E75C22"/>
    <w:rsid w:val="00E803E6"/>
    <w:rsid w:val="00E805F0"/>
    <w:rsid w:val="00E80799"/>
    <w:rsid w:val="00E80D50"/>
    <w:rsid w:val="00E83191"/>
    <w:rsid w:val="00E85044"/>
    <w:rsid w:val="00EA04B2"/>
    <w:rsid w:val="00EA20F3"/>
    <w:rsid w:val="00EB3CA0"/>
    <w:rsid w:val="00EC3C04"/>
    <w:rsid w:val="00EC7F63"/>
    <w:rsid w:val="00ED43D1"/>
    <w:rsid w:val="00EE4EE1"/>
    <w:rsid w:val="00EE698A"/>
    <w:rsid w:val="00EF1DB2"/>
    <w:rsid w:val="00EF4574"/>
    <w:rsid w:val="00EF467C"/>
    <w:rsid w:val="00EF48CB"/>
    <w:rsid w:val="00EF6088"/>
    <w:rsid w:val="00F01793"/>
    <w:rsid w:val="00F05B29"/>
    <w:rsid w:val="00F06A97"/>
    <w:rsid w:val="00F06AE7"/>
    <w:rsid w:val="00F078FA"/>
    <w:rsid w:val="00F139C9"/>
    <w:rsid w:val="00F2166F"/>
    <w:rsid w:val="00F21CDD"/>
    <w:rsid w:val="00F2684E"/>
    <w:rsid w:val="00F3121A"/>
    <w:rsid w:val="00F31864"/>
    <w:rsid w:val="00F4157A"/>
    <w:rsid w:val="00F42B3A"/>
    <w:rsid w:val="00F5236A"/>
    <w:rsid w:val="00F52EFD"/>
    <w:rsid w:val="00F53235"/>
    <w:rsid w:val="00F5466F"/>
    <w:rsid w:val="00F56ED3"/>
    <w:rsid w:val="00F57D4B"/>
    <w:rsid w:val="00F729EF"/>
    <w:rsid w:val="00F7482D"/>
    <w:rsid w:val="00F77CAE"/>
    <w:rsid w:val="00F80913"/>
    <w:rsid w:val="00F80FA7"/>
    <w:rsid w:val="00F81564"/>
    <w:rsid w:val="00F8277D"/>
    <w:rsid w:val="00F8520E"/>
    <w:rsid w:val="00F878F4"/>
    <w:rsid w:val="00F95083"/>
    <w:rsid w:val="00F96A4F"/>
    <w:rsid w:val="00F96BB9"/>
    <w:rsid w:val="00FB44AA"/>
    <w:rsid w:val="00FC2EB0"/>
    <w:rsid w:val="00FD70AA"/>
    <w:rsid w:val="00FD7C4E"/>
    <w:rsid w:val="00FE681E"/>
    <w:rsid w:val="00FE6D51"/>
    <w:rsid w:val="00FF274D"/>
    <w:rsid w:val="00FF4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7923"/>
  <w15:docId w15:val="{8010F0D7-14F7-4198-BC34-CA3E3303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8616DD"/>
    <w:pPr>
      <w:ind w:left="426"/>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15"/>
      </w:numPr>
    </w:pPr>
  </w:style>
  <w:style w:type="paragraph" w:customStyle="1" w:styleId="Bullet2">
    <w:name w:val="Bullet 2"/>
    <w:basedOn w:val="NumberedList1"/>
    <w:qFormat/>
    <w:rsid w:val="00F8520E"/>
    <w:pPr>
      <w:numPr>
        <w:numId w:val="16"/>
      </w:numPr>
    </w:pPr>
  </w:style>
  <w:style w:type="paragraph" w:customStyle="1" w:styleId="Bullet3">
    <w:name w:val="Bullet 3"/>
    <w:basedOn w:val="NumberedList1"/>
    <w:qFormat/>
    <w:rsid w:val="00F8520E"/>
    <w:pPr>
      <w:numPr>
        <w:numId w:val="17"/>
      </w:numPr>
      <w:ind w:left="1985"/>
    </w:pPr>
  </w:style>
  <w:style w:type="paragraph" w:customStyle="1" w:styleId="NumberedList1">
    <w:name w:val="Numbered List 1"/>
    <w:basedOn w:val="Normal"/>
    <w:link w:val="NumberedList1Char"/>
    <w:qFormat/>
    <w:rsid w:val="00B90F5F"/>
    <w:pPr>
      <w:numPr>
        <w:numId w:val="2"/>
      </w:numPr>
    </w:pPr>
    <w:rPr>
      <w:shd w:val="clear" w:color="auto" w:fill="FFFFFF"/>
    </w:rPr>
  </w:style>
  <w:style w:type="paragraph" w:customStyle="1" w:styleId="NumberedList2">
    <w:name w:val="Numbered List 2"/>
    <w:basedOn w:val="NumberedList1"/>
    <w:link w:val="NumberedList2Char"/>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3"/>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742346"/>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paragraph" w:customStyle="1" w:styleId="Bullet">
    <w:name w:val="Bullet"/>
    <w:basedOn w:val="Normal"/>
    <w:link w:val="BulletChar"/>
    <w:rsid w:val="00F31864"/>
    <w:pPr>
      <w:numPr>
        <w:numId w:val="88"/>
      </w:numPr>
    </w:pPr>
    <w:rPr>
      <w:rFonts w:cstheme="minorHAnsi"/>
    </w:rPr>
  </w:style>
  <w:style w:type="paragraph" w:customStyle="1" w:styleId="NumberedParagraph">
    <w:name w:val="Numbered Paragraph"/>
    <w:basedOn w:val="Normal"/>
    <w:autoRedefine/>
    <w:qFormat/>
    <w:rsid w:val="002206CE"/>
    <w:pPr>
      <w:numPr>
        <w:numId w:val="22"/>
      </w:numPr>
    </w:pPr>
    <w:rPr>
      <w:rFonts w:ascii="Arial" w:hAnsi="Arial" w:cs="Arial"/>
      <w:bCs/>
      <w:color w:val="FFFFFF"/>
      <w:shd w:val="clear" w:color="auto" w:fill="316F72"/>
    </w:rPr>
  </w:style>
  <w:style w:type="paragraph" w:styleId="ListParagraph">
    <w:name w:val="List Paragraph"/>
    <w:basedOn w:val="Normal"/>
    <w:uiPriority w:val="34"/>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paragraph" w:styleId="NormalWeb">
    <w:name w:val="Normal (Web)"/>
    <w:basedOn w:val="Normal"/>
    <w:uiPriority w:val="99"/>
    <w:unhideWhenUsed/>
    <w:rsid w:val="00CE0945"/>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xternal">
    <w:name w:val="external"/>
    <w:basedOn w:val="DefaultParagraphFont"/>
    <w:rsid w:val="00A01C53"/>
  </w:style>
  <w:style w:type="character" w:customStyle="1" w:styleId="UnresolvedMention1">
    <w:name w:val="Unresolved Mention1"/>
    <w:basedOn w:val="DefaultParagraphFont"/>
    <w:uiPriority w:val="99"/>
    <w:semiHidden/>
    <w:unhideWhenUsed/>
    <w:rsid w:val="00747E15"/>
    <w:rPr>
      <w:color w:val="605E5C"/>
      <w:shd w:val="clear" w:color="auto" w:fill="E1DFDD"/>
    </w:rPr>
  </w:style>
  <w:style w:type="character" w:customStyle="1" w:styleId="NumberedList1Char">
    <w:name w:val="Numbered List 1 Char"/>
    <w:basedOn w:val="DefaultParagraphFont"/>
    <w:link w:val="NumberedList1"/>
    <w:rsid w:val="00F31864"/>
  </w:style>
  <w:style w:type="character" w:customStyle="1" w:styleId="NumberedList2Char">
    <w:name w:val="Numbered List 2 Char"/>
    <w:basedOn w:val="NumberedList1Char"/>
    <w:link w:val="NumberedList2"/>
    <w:rsid w:val="00F31864"/>
  </w:style>
  <w:style w:type="character" w:customStyle="1" w:styleId="BulletChar">
    <w:name w:val="Bullet Char"/>
    <w:basedOn w:val="NumberedList2Char"/>
    <w:link w:val="Bullet"/>
    <w:rsid w:val="00F31864"/>
    <w:rPr>
      <w:rFonts w:cstheme="minorHAnsi"/>
    </w:rPr>
  </w:style>
  <w:style w:type="paragraph" w:customStyle="1" w:styleId="Dash">
    <w:name w:val="Dash"/>
    <w:basedOn w:val="Normal"/>
    <w:link w:val="DashChar"/>
    <w:rsid w:val="00F31864"/>
    <w:pPr>
      <w:numPr>
        <w:ilvl w:val="1"/>
        <w:numId w:val="88"/>
      </w:numPr>
    </w:pPr>
    <w:rPr>
      <w:rFonts w:cstheme="minorHAnsi"/>
    </w:rPr>
  </w:style>
  <w:style w:type="character" w:customStyle="1" w:styleId="DashChar">
    <w:name w:val="Dash Char"/>
    <w:basedOn w:val="NumberedList2Char"/>
    <w:link w:val="Dash"/>
    <w:rsid w:val="00F31864"/>
    <w:rPr>
      <w:rFonts w:cstheme="minorHAnsi"/>
    </w:rPr>
  </w:style>
  <w:style w:type="paragraph" w:customStyle="1" w:styleId="DoubleDot">
    <w:name w:val="Double Dot"/>
    <w:basedOn w:val="Normal"/>
    <w:link w:val="DoubleDotChar"/>
    <w:rsid w:val="00F31864"/>
    <w:pPr>
      <w:numPr>
        <w:ilvl w:val="2"/>
        <w:numId w:val="88"/>
      </w:numPr>
    </w:pPr>
    <w:rPr>
      <w:rFonts w:cstheme="minorHAnsi"/>
    </w:rPr>
  </w:style>
  <w:style w:type="character" w:customStyle="1" w:styleId="DoubleDotChar">
    <w:name w:val="Double Dot Char"/>
    <w:basedOn w:val="NumberedList2Char"/>
    <w:link w:val="DoubleDot"/>
    <w:rsid w:val="00F31864"/>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4985">
      <w:bodyDiv w:val="1"/>
      <w:marLeft w:val="0"/>
      <w:marRight w:val="0"/>
      <w:marTop w:val="0"/>
      <w:marBottom w:val="0"/>
      <w:divBdr>
        <w:top w:val="none" w:sz="0" w:space="0" w:color="auto"/>
        <w:left w:val="none" w:sz="0" w:space="0" w:color="auto"/>
        <w:bottom w:val="none" w:sz="0" w:space="0" w:color="auto"/>
        <w:right w:val="none" w:sz="0" w:space="0" w:color="auto"/>
      </w:divBdr>
    </w:div>
    <w:div w:id="308674764">
      <w:bodyDiv w:val="1"/>
      <w:marLeft w:val="0"/>
      <w:marRight w:val="0"/>
      <w:marTop w:val="0"/>
      <w:marBottom w:val="0"/>
      <w:divBdr>
        <w:top w:val="none" w:sz="0" w:space="0" w:color="auto"/>
        <w:left w:val="none" w:sz="0" w:space="0" w:color="auto"/>
        <w:bottom w:val="none" w:sz="0" w:space="0" w:color="auto"/>
        <w:right w:val="none" w:sz="0" w:space="0" w:color="auto"/>
      </w:divBdr>
      <w:divsChild>
        <w:div w:id="1404833096">
          <w:marLeft w:val="0"/>
          <w:marRight w:val="0"/>
          <w:marTop w:val="0"/>
          <w:marBottom w:val="0"/>
          <w:divBdr>
            <w:top w:val="none" w:sz="0" w:space="0" w:color="auto"/>
            <w:left w:val="none" w:sz="0" w:space="0" w:color="auto"/>
            <w:bottom w:val="none" w:sz="0" w:space="0" w:color="auto"/>
            <w:right w:val="none" w:sz="0" w:space="0" w:color="auto"/>
          </w:divBdr>
          <w:divsChild>
            <w:div w:id="297030934">
              <w:marLeft w:val="0"/>
              <w:marRight w:val="0"/>
              <w:marTop w:val="0"/>
              <w:marBottom w:val="0"/>
              <w:divBdr>
                <w:top w:val="none" w:sz="0" w:space="0" w:color="auto"/>
                <w:left w:val="none" w:sz="0" w:space="0" w:color="auto"/>
                <w:bottom w:val="none" w:sz="0" w:space="0" w:color="auto"/>
                <w:right w:val="none" w:sz="0" w:space="0" w:color="auto"/>
              </w:divBdr>
              <w:divsChild>
                <w:div w:id="624698701">
                  <w:marLeft w:val="150"/>
                  <w:marRight w:val="0"/>
                  <w:marTop w:val="0"/>
                  <w:marBottom w:val="0"/>
                  <w:divBdr>
                    <w:top w:val="none" w:sz="0" w:space="0" w:color="auto"/>
                    <w:left w:val="none" w:sz="0" w:space="0" w:color="auto"/>
                    <w:bottom w:val="none" w:sz="0" w:space="0" w:color="auto"/>
                    <w:right w:val="none" w:sz="0" w:space="0" w:color="auto"/>
                  </w:divBdr>
                  <w:divsChild>
                    <w:div w:id="1091665356">
                      <w:marLeft w:val="2"/>
                      <w:marRight w:val="2"/>
                      <w:marTop w:val="0"/>
                      <w:marBottom w:val="0"/>
                      <w:divBdr>
                        <w:top w:val="none" w:sz="0" w:space="0" w:color="auto"/>
                        <w:left w:val="none" w:sz="0" w:space="0" w:color="auto"/>
                        <w:bottom w:val="none" w:sz="0" w:space="0" w:color="auto"/>
                        <w:right w:val="none" w:sz="0" w:space="0" w:color="auto"/>
                      </w:divBdr>
                      <w:divsChild>
                        <w:div w:id="5836145">
                          <w:marLeft w:val="0"/>
                          <w:marRight w:val="0"/>
                          <w:marTop w:val="0"/>
                          <w:marBottom w:val="0"/>
                          <w:divBdr>
                            <w:top w:val="none" w:sz="0" w:space="0" w:color="auto"/>
                            <w:left w:val="none" w:sz="0" w:space="0" w:color="auto"/>
                            <w:bottom w:val="none" w:sz="0" w:space="0" w:color="auto"/>
                            <w:right w:val="none" w:sz="0" w:space="0" w:color="auto"/>
                          </w:divBdr>
                          <w:divsChild>
                            <w:div w:id="1733311422">
                              <w:marLeft w:val="0"/>
                              <w:marRight w:val="0"/>
                              <w:marTop w:val="0"/>
                              <w:marBottom w:val="0"/>
                              <w:divBdr>
                                <w:top w:val="none" w:sz="0" w:space="0" w:color="auto"/>
                                <w:left w:val="none" w:sz="0" w:space="0" w:color="auto"/>
                                <w:bottom w:val="none" w:sz="0" w:space="0" w:color="auto"/>
                                <w:right w:val="none" w:sz="0" w:space="0" w:color="auto"/>
                              </w:divBdr>
                              <w:divsChild>
                                <w:div w:id="1405641534">
                                  <w:marLeft w:val="0"/>
                                  <w:marRight w:val="0"/>
                                  <w:marTop w:val="0"/>
                                  <w:marBottom w:val="0"/>
                                  <w:divBdr>
                                    <w:top w:val="none" w:sz="0" w:space="0" w:color="auto"/>
                                    <w:left w:val="none" w:sz="0" w:space="0" w:color="auto"/>
                                    <w:bottom w:val="none" w:sz="0" w:space="0" w:color="auto"/>
                                    <w:right w:val="none" w:sz="0" w:space="0" w:color="auto"/>
                                  </w:divBdr>
                                  <w:divsChild>
                                    <w:div w:id="1430201449">
                                      <w:marLeft w:val="0"/>
                                      <w:marRight w:val="0"/>
                                      <w:marTop w:val="0"/>
                                      <w:marBottom w:val="0"/>
                                      <w:divBdr>
                                        <w:top w:val="none" w:sz="0" w:space="0" w:color="auto"/>
                                        <w:left w:val="none" w:sz="0" w:space="0" w:color="auto"/>
                                        <w:bottom w:val="none" w:sz="0" w:space="0" w:color="auto"/>
                                        <w:right w:val="none" w:sz="0" w:space="0" w:color="auto"/>
                                      </w:divBdr>
                                      <w:divsChild>
                                        <w:div w:id="2027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3901">
                          <w:marLeft w:val="0"/>
                          <w:marRight w:val="0"/>
                          <w:marTop w:val="0"/>
                          <w:marBottom w:val="0"/>
                          <w:divBdr>
                            <w:top w:val="none" w:sz="0" w:space="0" w:color="auto"/>
                            <w:left w:val="none" w:sz="0" w:space="0" w:color="auto"/>
                            <w:bottom w:val="none" w:sz="0" w:space="0" w:color="auto"/>
                            <w:right w:val="none" w:sz="0" w:space="0" w:color="auto"/>
                          </w:divBdr>
                          <w:divsChild>
                            <w:div w:id="1844970473">
                              <w:marLeft w:val="0"/>
                              <w:marRight w:val="0"/>
                              <w:marTop w:val="0"/>
                              <w:marBottom w:val="0"/>
                              <w:divBdr>
                                <w:top w:val="none" w:sz="0" w:space="0" w:color="auto"/>
                                <w:left w:val="none" w:sz="0" w:space="0" w:color="auto"/>
                                <w:bottom w:val="none" w:sz="0" w:space="0" w:color="auto"/>
                                <w:right w:val="none" w:sz="0" w:space="0" w:color="auto"/>
                              </w:divBdr>
                              <w:divsChild>
                                <w:div w:id="19164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5050">
                          <w:marLeft w:val="0"/>
                          <w:marRight w:val="0"/>
                          <w:marTop w:val="0"/>
                          <w:marBottom w:val="0"/>
                          <w:divBdr>
                            <w:top w:val="none" w:sz="0" w:space="0" w:color="auto"/>
                            <w:left w:val="none" w:sz="0" w:space="0" w:color="auto"/>
                            <w:bottom w:val="none" w:sz="0" w:space="0" w:color="auto"/>
                            <w:right w:val="none" w:sz="0" w:space="0" w:color="auto"/>
                          </w:divBdr>
                          <w:divsChild>
                            <w:div w:id="1783766306">
                              <w:marLeft w:val="0"/>
                              <w:marRight w:val="0"/>
                              <w:marTop w:val="0"/>
                              <w:marBottom w:val="0"/>
                              <w:divBdr>
                                <w:top w:val="none" w:sz="0" w:space="0" w:color="auto"/>
                                <w:left w:val="none" w:sz="0" w:space="0" w:color="auto"/>
                                <w:bottom w:val="none" w:sz="0" w:space="0" w:color="auto"/>
                                <w:right w:val="none" w:sz="0" w:space="0" w:color="auto"/>
                              </w:divBdr>
                              <w:divsChild>
                                <w:div w:id="1242446131">
                                  <w:marLeft w:val="0"/>
                                  <w:marRight w:val="0"/>
                                  <w:marTop w:val="0"/>
                                  <w:marBottom w:val="0"/>
                                  <w:divBdr>
                                    <w:top w:val="none" w:sz="0" w:space="0" w:color="auto"/>
                                    <w:left w:val="none" w:sz="0" w:space="0" w:color="auto"/>
                                    <w:bottom w:val="none" w:sz="0" w:space="0" w:color="auto"/>
                                    <w:right w:val="none" w:sz="0" w:space="0" w:color="auto"/>
                                  </w:divBdr>
                                  <w:divsChild>
                                    <w:div w:id="1458721166">
                                      <w:marLeft w:val="0"/>
                                      <w:marRight w:val="0"/>
                                      <w:marTop w:val="0"/>
                                      <w:marBottom w:val="0"/>
                                      <w:divBdr>
                                        <w:top w:val="none" w:sz="0" w:space="0" w:color="auto"/>
                                        <w:left w:val="none" w:sz="0" w:space="0" w:color="auto"/>
                                        <w:bottom w:val="none" w:sz="0" w:space="0" w:color="auto"/>
                                        <w:right w:val="none" w:sz="0" w:space="0" w:color="auto"/>
                                      </w:divBdr>
                                      <w:divsChild>
                                        <w:div w:id="1834490517">
                                          <w:marLeft w:val="0"/>
                                          <w:marRight w:val="0"/>
                                          <w:marTop w:val="0"/>
                                          <w:marBottom w:val="0"/>
                                          <w:divBdr>
                                            <w:top w:val="none" w:sz="0" w:space="0" w:color="auto"/>
                                            <w:left w:val="none" w:sz="0" w:space="0" w:color="auto"/>
                                            <w:bottom w:val="none" w:sz="0" w:space="0" w:color="auto"/>
                                            <w:right w:val="none" w:sz="0" w:space="0" w:color="auto"/>
                                          </w:divBdr>
                                          <w:divsChild>
                                            <w:div w:id="20345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00449">
                          <w:marLeft w:val="0"/>
                          <w:marRight w:val="0"/>
                          <w:marTop w:val="0"/>
                          <w:marBottom w:val="0"/>
                          <w:divBdr>
                            <w:top w:val="none" w:sz="0" w:space="0" w:color="auto"/>
                            <w:left w:val="none" w:sz="0" w:space="0" w:color="auto"/>
                            <w:bottom w:val="none" w:sz="0" w:space="0" w:color="auto"/>
                            <w:right w:val="none" w:sz="0" w:space="0" w:color="auto"/>
                          </w:divBdr>
                          <w:divsChild>
                            <w:div w:id="1152020252">
                              <w:marLeft w:val="0"/>
                              <w:marRight w:val="0"/>
                              <w:marTop w:val="0"/>
                              <w:marBottom w:val="0"/>
                              <w:divBdr>
                                <w:top w:val="none" w:sz="0" w:space="0" w:color="auto"/>
                                <w:left w:val="none" w:sz="0" w:space="0" w:color="auto"/>
                                <w:bottom w:val="none" w:sz="0" w:space="0" w:color="auto"/>
                                <w:right w:val="none" w:sz="0" w:space="0" w:color="auto"/>
                              </w:divBdr>
                              <w:divsChild>
                                <w:div w:id="164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4334">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534345858">
                                  <w:marLeft w:val="0"/>
                                  <w:marRight w:val="0"/>
                                  <w:marTop w:val="0"/>
                                  <w:marBottom w:val="0"/>
                                  <w:divBdr>
                                    <w:top w:val="none" w:sz="0" w:space="0" w:color="auto"/>
                                    <w:left w:val="none" w:sz="0" w:space="0" w:color="auto"/>
                                    <w:bottom w:val="none" w:sz="0" w:space="0" w:color="auto"/>
                                    <w:right w:val="none" w:sz="0" w:space="0" w:color="auto"/>
                                  </w:divBdr>
                                  <w:divsChild>
                                    <w:div w:id="7848144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2025856706">
                          <w:marLeft w:val="0"/>
                          <w:marRight w:val="0"/>
                          <w:marTop w:val="0"/>
                          <w:marBottom w:val="0"/>
                          <w:divBdr>
                            <w:top w:val="none" w:sz="0" w:space="0" w:color="auto"/>
                            <w:left w:val="none" w:sz="0" w:space="0" w:color="auto"/>
                            <w:bottom w:val="none" w:sz="0" w:space="0" w:color="auto"/>
                            <w:right w:val="none" w:sz="0" w:space="0" w:color="auto"/>
                          </w:divBdr>
                          <w:divsChild>
                            <w:div w:id="194580594">
                              <w:marLeft w:val="0"/>
                              <w:marRight w:val="0"/>
                              <w:marTop w:val="0"/>
                              <w:marBottom w:val="0"/>
                              <w:divBdr>
                                <w:top w:val="none" w:sz="0" w:space="0" w:color="auto"/>
                                <w:left w:val="none" w:sz="0" w:space="0" w:color="auto"/>
                                <w:bottom w:val="none" w:sz="0" w:space="0" w:color="auto"/>
                                <w:right w:val="none" w:sz="0" w:space="0" w:color="auto"/>
                              </w:divBdr>
                              <w:divsChild>
                                <w:div w:id="209198105">
                                  <w:marLeft w:val="0"/>
                                  <w:marRight w:val="0"/>
                                  <w:marTop w:val="0"/>
                                  <w:marBottom w:val="0"/>
                                  <w:divBdr>
                                    <w:top w:val="none" w:sz="0" w:space="0" w:color="auto"/>
                                    <w:left w:val="none" w:sz="0" w:space="0" w:color="auto"/>
                                    <w:bottom w:val="none" w:sz="0" w:space="0" w:color="auto"/>
                                    <w:right w:val="none" w:sz="0" w:space="0" w:color="auto"/>
                                  </w:divBdr>
                                  <w:divsChild>
                                    <w:div w:id="1900821045">
                                      <w:marLeft w:val="0"/>
                                      <w:marRight w:val="0"/>
                                      <w:marTop w:val="0"/>
                                      <w:marBottom w:val="0"/>
                                      <w:divBdr>
                                        <w:top w:val="none" w:sz="0" w:space="0" w:color="auto"/>
                                        <w:left w:val="none" w:sz="0" w:space="0" w:color="auto"/>
                                        <w:bottom w:val="none" w:sz="0" w:space="0" w:color="auto"/>
                                        <w:right w:val="none" w:sz="0" w:space="0" w:color="auto"/>
                                      </w:divBdr>
                                      <w:divsChild>
                                        <w:div w:id="12293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089786">
      <w:bodyDiv w:val="1"/>
      <w:marLeft w:val="0"/>
      <w:marRight w:val="0"/>
      <w:marTop w:val="0"/>
      <w:marBottom w:val="0"/>
      <w:divBdr>
        <w:top w:val="none" w:sz="0" w:space="0" w:color="auto"/>
        <w:left w:val="none" w:sz="0" w:space="0" w:color="auto"/>
        <w:bottom w:val="none" w:sz="0" w:space="0" w:color="auto"/>
        <w:right w:val="none" w:sz="0" w:space="0" w:color="auto"/>
      </w:divBdr>
      <w:divsChild>
        <w:div w:id="153031015">
          <w:marLeft w:val="547"/>
          <w:marRight w:val="0"/>
          <w:marTop w:val="200"/>
          <w:marBottom w:val="0"/>
          <w:divBdr>
            <w:top w:val="none" w:sz="0" w:space="0" w:color="auto"/>
            <w:left w:val="none" w:sz="0" w:space="0" w:color="auto"/>
            <w:bottom w:val="none" w:sz="0" w:space="0" w:color="auto"/>
            <w:right w:val="none" w:sz="0" w:space="0" w:color="auto"/>
          </w:divBdr>
        </w:div>
        <w:div w:id="186255054">
          <w:marLeft w:val="1440"/>
          <w:marRight w:val="0"/>
          <w:marTop w:val="100"/>
          <w:marBottom w:val="0"/>
          <w:divBdr>
            <w:top w:val="none" w:sz="0" w:space="0" w:color="auto"/>
            <w:left w:val="none" w:sz="0" w:space="0" w:color="auto"/>
            <w:bottom w:val="none" w:sz="0" w:space="0" w:color="auto"/>
            <w:right w:val="none" w:sz="0" w:space="0" w:color="auto"/>
          </w:divBdr>
        </w:div>
        <w:div w:id="499852154">
          <w:marLeft w:val="547"/>
          <w:marRight w:val="0"/>
          <w:marTop w:val="200"/>
          <w:marBottom w:val="0"/>
          <w:divBdr>
            <w:top w:val="none" w:sz="0" w:space="0" w:color="auto"/>
            <w:left w:val="none" w:sz="0" w:space="0" w:color="auto"/>
            <w:bottom w:val="none" w:sz="0" w:space="0" w:color="auto"/>
            <w:right w:val="none" w:sz="0" w:space="0" w:color="auto"/>
          </w:divBdr>
        </w:div>
        <w:div w:id="593981567">
          <w:marLeft w:val="1440"/>
          <w:marRight w:val="0"/>
          <w:marTop w:val="100"/>
          <w:marBottom w:val="0"/>
          <w:divBdr>
            <w:top w:val="none" w:sz="0" w:space="0" w:color="auto"/>
            <w:left w:val="none" w:sz="0" w:space="0" w:color="auto"/>
            <w:bottom w:val="none" w:sz="0" w:space="0" w:color="auto"/>
            <w:right w:val="none" w:sz="0" w:space="0" w:color="auto"/>
          </w:divBdr>
        </w:div>
        <w:div w:id="699168488">
          <w:marLeft w:val="1440"/>
          <w:marRight w:val="0"/>
          <w:marTop w:val="100"/>
          <w:marBottom w:val="0"/>
          <w:divBdr>
            <w:top w:val="none" w:sz="0" w:space="0" w:color="auto"/>
            <w:left w:val="none" w:sz="0" w:space="0" w:color="auto"/>
            <w:bottom w:val="none" w:sz="0" w:space="0" w:color="auto"/>
            <w:right w:val="none" w:sz="0" w:space="0" w:color="auto"/>
          </w:divBdr>
        </w:div>
        <w:div w:id="987199753">
          <w:marLeft w:val="1440"/>
          <w:marRight w:val="0"/>
          <w:marTop w:val="100"/>
          <w:marBottom w:val="0"/>
          <w:divBdr>
            <w:top w:val="none" w:sz="0" w:space="0" w:color="auto"/>
            <w:left w:val="none" w:sz="0" w:space="0" w:color="auto"/>
            <w:bottom w:val="none" w:sz="0" w:space="0" w:color="auto"/>
            <w:right w:val="none" w:sz="0" w:space="0" w:color="auto"/>
          </w:divBdr>
        </w:div>
        <w:div w:id="1023629299">
          <w:marLeft w:val="547"/>
          <w:marRight w:val="0"/>
          <w:marTop w:val="0"/>
          <w:marBottom w:val="0"/>
          <w:divBdr>
            <w:top w:val="none" w:sz="0" w:space="0" w:color="auto"/>
            <w:left w:val="none" w:sz="0" w:space="0" w:color="auto"/>
            <w:bottom w:val="none" w:sz="0" w:space="0" w:color="auto"/>
            <w:right w:val="none" w:sz="0" w:space="0" w:color="auto"/>
          </w:divBdr>
        </w:div>
        <w:div w:id="1202396799">
          <w:marLeft w:val="1440"/>
          <w:marRight w:val="0"/>
          <w:marTop w:val="100"/>
          <w:marBottom w:val="0"/>
          <w:divBdr>
            <w:top w:val="none" w:sz="0" w:space="0" w:color="auto"/>
            <w:left w:val="none" w:sz="0" w:space="0" w:color="auto"/>
            <w:bottom w:val="none" w:sz="0" w:space="0" w:color="auto"/>
            <w:right w:val="none" w:sz="0" w:space="0" w:color="auto"/>
          </w:divBdr>
        </w:div>
        <w:div w:id="1519469725">
          <w:marLeft w:val="547"/>
          <w:marRight w:val="0"/>
          <w:marTop w:val="200"/>
          <w:marBottom w:val="0"/>
          <w:divBdr>
            <w:top w:val="none" w:sz="0" w:space="0" w:color="auto"/>
            <w:left w:val="none" w:sz="0" w:space="0" w:color="auto"/>
            <w:bottom w:val="none" w:sz="0" w:space="0" w:color="auto"/>
            <w:right w:val="none" w:sz="0" w:space="0" w:color="auto"/>
          </w:divBdr>
        </w:div>
      </w:divsChild>
    </w:div>
    <w:div w:id="545141542">
      <w:bodyDiv w:val="1"/>
      <w:marLeft w:val="0"/>
      <w:marRight w:val="0"/>
      <w:marTop w:val="0"/>
      <w:marBottom w:val="0"/>
      <w:divBdr>
        <w:top w:val="none" w:sz="0" w:space="0" w:color="auto"/>
        <w:left w:val="none" w:sz="0" w:space="0" w:color="auto"/>
        <w:bottom w:val="none" w:sz="0" w:space="0" w:color="auto"/>
        <w:right w:val="none" w:sz="0" w:space="0" w:color="auto"/>
      </w:divBdr>
      <w:divsChild>
        <w:div w:id="465437099">
          <w:marLeft w:val="547"/>
          <w:marRight w:val="0"/>
          <w:marTop w:val="200"/>
          <w:marBottom w:val="0"/>
          <w:divBdr>
            <w:top w:val="none" w:sz="0" w:space="0" w:color="auto"/>
            <w:left w:val="none" w:sz="0" w:space="0" w:color="auto"/>
            <w:bottom w:val="none" w:sz="0" w:space="0" w:color="auto"/>
            <w:right w:val="none" w:sz="0" w:space="0" w:color="auto"/>
          </w:divBdr>
        </w:div>
        <w:div w:id="1112633540">
          <w:marLeft w:val="547"/>
          <w:marRight w:val="0"/>
          <w:marTop w:val="200"/>
          <w:marBottom w:val="0"/>
          <w:divBdr>
            <w:top w:val="none" w:sz="0" w:space="0" w:color="auto"/>
            <w:left w:val="none" w:sz="0" w:space="0" w:color="auto"/>
            <w:bottom w:val="none" w:sz="0" w:space="0" w:color="auto"/>
            <w:right w:val="none" w:sz="0" w:space="0" w:color="auto"/>
          </w:divBdr>
        </w:div>
        <w:div w:id="1774128323">
          <w:marLeft w:val="547"/>
          <w:marRight w:val="0"/>
          <w:marTop w:val="200"/>
          <w:marBottom w:val="0"/>
          <w:divBdr>
            <w:top w:val="none" w:sz="0" w:space="0" w:color="auto"/>
            <w:left w:val="none" w:sz="0" w:space="0" w:color="auto"/>
            <w:bottom w:val="none" w:sz="0" w:space="0" w:color="auto"/>
            <w:right w:val="none" w:sz="0" w:space="0" w:color="auto"/>
          </w:divBdr>
        </w:div>
        <w:div w:id="1982078067">
          <w:marLeft w:val="547"/>
          <w:marRight w:val="0"/>
          <w:marTop w:val="200"/>
          <w:marBottom w:val="0"/>
          <w:divBdr>
            <w:top w:val="none" w:sz="0" w:space="0" w:color="auto"/>
            <w:left w:val="none" w:sz="0" w:space="0" w:color="auto"/>
            <w:bottom w:val="none" w:sz="0" w:space="0" w:color="auto"/>
            <w:right w:val="none" w:sz="0" w:space="0" w:color="auto"/>
          </w:divBdr>
        </w:div>
      </w:divsChild>
    </w:div>
    <w:div w:id="572854942">
      <w:bodyDiv w:val="1"/>
      <w:marLeft w:val="0"/>
      <w:marRight w:val="0"/>
      <w:marTop w:val="0"/>
      <w:marBottom w:val="0"/>
      <w:divBdr>
        <w:top w:val="none" w:sz="0" w:space="0" w:color="auto"/>
        <w:left w:val="none" w:sz="0" w:space="0" w:color="auto"/>
        <w:bottom w:val="none" w:sz="0" w:space="0" w:color="auto"/>
        <w:right w:val="none" w:sz="0" w:space="0" w:color="auto"/>
      </w:divBdr>
      <w:divsChild>
        <w:div w:id="74742310">
          <w:marLeft w:val="0"/>
          <w:marRight w:val="0"/>
          <w:marTop w:val="0"/>
          <w:marBottom w:val="0"/>
          <w:divBdr>
            <w:top w:val="none" w:sz="0" w:space="0" w:color="auto"/>
            <w:left w:val="none" w:sz="0" w:space="0" w:color="auto"/>
            <w:bottom w:val="none" w:sz="0" w:space="0" w:color="auto"/>
            <w:right w:val="none" w:sz="0" w:space="0" w:color="auto"/>
          </w:divBdr>
          <w:divsChild>
            <w:div w:id="1151140347">
              <w:marLeft w:val="0"/>
              <w:marRight w:val="0"/>
              <w:marTop w:val="0"/>
              <w:marBottom w:val="0"/>
              <w:divBdr>
                <w:top w:val="none" w:sz="0" w:space="0" w:color="auto"/>
                <w:left w:val="none" w:sz="0" w:space="0" w:color="auto"/>
                <w:bottom w:val="none" w:sz="0" w:space="0" w:color="auto"/>
                <w:right w:val="none" w:sz="0" w:space="0" w:color="auto"/>
              </w:divBdr>
              <w:divsChild>
                <w:div w:id="1234512924">
                  <w:marLeft w:val="150"/>
                  <w:marRight w:val="150"/>
                  <w:marTop w:val="0"/>
                  <w:marBottom w:val="0"/>
                  <w:divBdr>
                    <w:top w:val="none" w:sz="0" w:space="0" w:color="auto"/>
                    <w:left w:val="none" w:sz="0" w:space="0" w:color="auto"/>
                    <w:bottom w:val="none" w:sz="0" w:space="0" w:color="auto"/>
                    <w:right w:val="none" w:sz="0" w:space="0" w:color="auto"/>
                  </w:divBdr>
                  <w:divsChild>
                    <w:div w:id="1943294076">
                      <w:marLeft w:val="0"/>
                      <w:marRight w:val="0"/>
                      <w:marTop w:val="0"/>
                      <w:marBottom w:val="0"/>
                      <w:divBdr>
                        <w:top w:val="none" w:sz="0" w:space="0" w:color="auto"/>
                        <w:left w:val="none" w:sz="0" w:space="0" w:color="auto"/>
                        <w:bottom w:val="none" w:sz="0" w:space="0" w:color="auto"/>
                        <w:right w:val="none" w:sz="0" w:space="0" w:color="auto"/>
                      </w:divBdr>
                      <w:divsChild>
                        <w:div w:id="264116535">
                          <w:marLeft w:val="0"/>
                          <w:marRight w:val="0"/>
                          <w:marTop w:val="0"/>
                          <w:marBottom w:val="0"/>
                          <w:divBdr>
                            <w:top w:val="none" w:sz="0" w:space="0" w:color="auto"/>
                            <w:left w:val="none" w:sz="0" w:space="0" w:color="auto"/>
                            <w:bottom w:val="none" w:sz="0" w:space="0" w:color="auto"/>
                            <w:right w:val="none" w:sz="0" w:space="0" w:color="auto"/>
                          </w:divBdr>
                          <w:divsChild>
                            <w:div w:id="1579048173">
                              <w:marLeft w:val="0"/>
                              <w:marRight w:val="0"/>
                              <w:marTop w:val="0"/>
                              <w:marBottom w:val="0"/>
                              <w:divBdr>
                                <w:top w:val="none" w:sz="0" w:space="0" w:color="auto"/>
                                <w:left w:val="none" w:sz="0" w:space="0" w:color="auto"/>
                                <w:bottom w:val="none" w:sz="0" w:space="0" w:color="auto"/>
                                <w:right w:val="none" w:sz="0" w:space="0" w:color="auto"/>
                              </w:divBdr>
                              <w:divsChild>
                                <w:div w:id="1515146031">
                                  <w:marLeft w:val="0"/>
                                  <w:marRight w:val="0"/>
                                  <w:marTop w:val="0"/>
                                  <w:marBottom w:val="0"/>
                                  <w:divBdr>
                                    <w:top w:val="none" w:sz="0" w:space="0" w:color="auto"/>
                                    <w:left w:val="none" w:sz="0" w:space="0" w:color="auto"/>
                                    <w:bottom w:val="none" w:sz="0" w:space="0" w:color="auto"/>
                                    <w:right w:val="none" w:sz="0" w:space="0" w:color="auto"/>
                                  </w:divBdr>
                                  <w:divsChild>
                                    <w:div w:id="14153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3007">
                          <w:marLeft w:val="0"/>
                          <w:marRight w:val="0"/>
                          <w:marTop w:val="0"/>
                          <w:marBottom w:val="0"/>
                          <w:divBdr>
                            <w:top w:val="none" w:sz="0" w:space="0" w:color="auto"/>
                            <w:left w:val="none" w:sz="0" w:space="0" w:color="auto"/>
                            <w:bottom w:val="none" w:sz="0" w:space="0" w:color="auto"/>
                            <w:right w:val="none" w:sz="0" w:space="0" w:color="auto"/>
                          </w:divBdr>
                          <w:divsChild>
                            <w:div w:id="802043201">
                              <w:marLeft w:val="0"/>
                              <w:marRight w:val="0"/>
                              <w:marTop w:val="0"/>
                              <w:marBottom w:val="0"/>
                              <w:divBdr>
                                <w:top w:val="none" w:sz="0" w:space="0" w:color="auto"/>
                                <w:left w:val="none" w:sz="0" w:space="0" w:color="auto"/>
                                <w:bottom w:val="none" w:sz="0" w:space="0" w:color="auto"/>
                                <w:right w:val="none" w:sz="0" w:space="0" w:color="auto"/>
                              </w:divBdr>
                            </w:div>
                          </w:divsChild>
                        </w:div>
                        <w:div w:id="1140920262">
                          <w:marLeft w:val="0"/>
                          <w:marRight w:val="0"/>
                          <w:marTop w:val="0"/>
                          <w:marBottom w:val="0"/>
                          <w:divBdr>
                            <w:top w:val="none" w:sz="0" w:space="0" w:color="auto"/>
                            <w:left w:val="none" w:sz="0" w:space="0" w:color="auto"/>
                            <w:bottom w:val="none" w:sz="0" w:space="0" w:color="auto"/>
                            <w:right w:val="none" w:sz="0" w:space="0" w:color="auto"/>
                          </w:divBdr>
                          <w:divsChild>
                            <w:div w:id="16107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01261">
          <w:marLeft w:val="0"/>
          <w:marRight w:val="0"/>
          <w:marTop w:val="0"/>
          <w:marBottom w:val="0"/>
          <w:divBdr>
            <w:top w:val="none" w:sz="0" w:space="0" w:color="auto"/>
            <w:left w:val="none" w:sz="0" w:space="0" w:color="auto"/>
            <w:bottom w:val="none" w:sz="0" w:space="0" w:color="auto"/>
            <w:right w:val="none" w:sz="0" w:space="0" w:color="auto"/>
          </w:divBdr>
          <w:divsChild>
            <w:div w:id="1054428780">
              <w:marLeft w:val="0"/>
              <w:marRight w:val="0"/>
              <w:marTop w:val="0"/>
              <w:marBottom w:val="0"/>
              <w:divBdr>
                <w:top w:val="none" w:sz="0" w:space="0" w:color="auto"/>
                <w:left w:val="none" w:sz="0" w:space="0" w:color="auto"/>
                <w:bottom w:val="none" w:sz="0" w:space="0" w:color="auto"/>
                <w:right w:val="none" w:sz="0" w:space="0" w:color="auto"/>
              </w:divBdr>
              <w:divsChild>
                <w:div w:id="1891915807">
                  <w:marLeft w:val="150"/>
                  <w:marRight w:val="150"/>
                  <w:marTop w:val="0"/>
                  <w:marBottom w:val="0"/>
                  <w:divBdr>
                    <w:top w:val="none" w:sz="0" w:space="0" w:color="auto"/>
                    <w:left w:val="none" w:sz="0" w:space="0" w:color="auto"/>
                    <w:bottom w:val="none" w:sz="0" w:space="0" w:color="auto"/>
                    <w:right w:val="none" w:sz="0" w:space="0" w:color="auto"/>
                  </w:divBdr>
                  <w:divsChild>
                    <w:div w:id="1926187700">
                      <w:marLeft w:val="0"/>
                      <w:marRight w:val="0"/>
                      <w:marTop w:val="0"/>
                      <w:marBottom w:val="0"/>
                      <w:divBdr>
                        <w:top w:val="none" w:sz="0" w:space="0" w:color="auto"/>
                        <w:left w:val="none" w:sz="0" w:space="0" w:color="auto"/>
                        <w:bottom w:val="none" w:sz="0" w:space="0" w:color="auto"/>
                        <w:right w:val="none" w:sz="0" w:space="0" w:color="auto"/>
                      </w:divBdr>
                      <w:divsChild>
                        <w:div w:id="1028680115">
                          <w:marLeft w:val="0"/>
                          <w:marRight w:val="0"/>
                          <w:marTop w:val="0"/>
                          <w:marBottom w:val="0"/>
                          <w:divBdr>
                            <w:top w:val="none" w:sz="0" w:space="0" w:color="auto"/>
                            <w:left w:val="none" w:sz="0" w:space="0" w:color="auto"/>
                            <w:bottom w:val="none" w:sz="0" w:space="0" w:color="auto"/>
                            <w:right w:val="none" w:sz="0" w:space="0" w:color="auto"/>
                          </w:divBdr>
                          <w:divsChild>
                            <w:div w:id="1723283611">
                              <w:marLeft w:val="0"/>
                              <w:marRight w:val="0"/>
                              <w:marTop w:val="0"/>
                              <w:marBottom w:val="0"/>
                              <w:divBdr>
                                <w:top w:val="none" w:sz="0" w:space="0" w:color="auto"/>
                                <w:left w:val="none" w:sz="0" w:space="0" w:color="auto"/>
                                <w:bottom w:val="none" w:sz="0" w:space="0" w:color="auto"/>
                                <w:right w:val="none" w:sz="0" w:space="0" w:color="auto"/>
                              </w:divBdr>
                              <w:divsChild>
                                <w:div w:id="209070582">
                                  <w:marLeft w:val="0"/>
                                  <w:marRight w:val="0"/>
                                  <w:marTop w:val="0"/>
                                  <w:marBottom w:val="0"/>
                                  <w:divBdr>
                                    <w:top w:val="none" w:sz="0" w:space="0" w:color="auto"/>
                                    <w:left w:val="none" w:sz="0" w:space="0" w:color="auto"/>
                                    <w:bottom w:val="none" w:sz="0" w:space="0" w:color="auto"/>
                                    <w:right w:val="none" w:sz="0" w:space="0" w:color="auto"/>
                                  </w:divBdr>
                                  <w:divsChild>
                                    <w:div w:id="314651498">
                                      <w:marLeft w:val="0"/>
                                      <w:marRight w:val="0"/>
                                      <w:marTop w:val="0"/>
                                      <w:marBottom w:val="0"/>
                                      <w:divBdr>
                                        <w:top w:val="none" w:sz="0" w:space="0" w:color="auto"/>
                                        <w:left w:val="none" w:sz="0" w:space="0" w:color="auto"/>
                                        <w:bottom w:val="none" w:sz="0" w:space="0" w:color="auto"/>
                                        <w:right w:val="none" w:sz="0" w:space="0" w:color="auto"/>
                                      </w:divBdr>
                                      <w:divsChild>
                                        <w:div w:id="126821542">
                                          <w:marLeft w:val="0"/>
                                          <w:marRight w:val="0"/>
                                          <w:marTop w:val="0"/>
                                          <w:marBottom w:val="0"/>
                                          <w:divBdr>
                                            <w:top w:val="none" w:sz="0" w:space="0" w:color="auto"/>
                                            <w:left w:val="none" w:sz="0" w:space="0" w:color="auto"/>
                                            <w:bottom w:val="none" w:sz="0" w:space="0" w:color="auto"/>
                                            <w:right w:val="none" w:sz="0" w:space="0" w:color="auto"/>
                                          </w:divBdr>
                                          <w:divsChild>
                                            <w:div w:id="1990791229">
                                              <w:marLeft w:val="0"/>
                                              <w:marRight w:val="0"/>
                                              <w:marTop w:val="0"/>
                                              <w:marBottom w:val="0"/>
                                              <w:divBdr>
                                                <w:top w:val="none" w:sz="0" w:space="0" w:color="auto"/>
                                                <w:left w:val="none" w:sz="0" w:space="0" w:color="auto"/>
                                                <w:bottom w:val="none" w:sz="0" w:space="0" w:color="auto"/>
                                                <w:right w:val="none" w:sz="0" w:space="0" w:color="auto"/>
                                              </w:divBdr>
                                              <w:divsChild>
                                                <w:div w:id="778378892">
                                                  <w:marLeft w:val="0"/>
                                                  <w:marRight w:val="0"/>
                                                  <w:marTop w:val="0"/>
                                                  <w:marBottom w:val="0"/>
                                                  <w:divBdr>
                                                    <w:top w:val="none" w:sz="0" w:space="0" w:color="auto"/>
                                                    <w:left w:val="none" w:sz="0" w:space="0" w:color="auto"/>
                                                    <w:bottom w:val="none" w:sz="0" w:space="0" w:color="auto"/>
                                                    <w:right w:val="none" w:sz="0" w:space="0" w:color="auto"/>
                                                  </w:divBdr>
                                                  <w:divsChild>
                                                    <w:div w:id="379325045">
                                                      <w:marLeft w:val="0"/>
                                                      <w:marRight w:val="0"/>
                                                      <w:marTop w:val="0"/>
                                                      <w:marBottom w:val="0"/>
                                                      <w:divBdr>
                                                        <w:top w:val="none" w:sz="0" w:space="0" w:color="auto"/>
                                                        <w:left w:val="none" w:sz="0" w:space="0" w:color="auto"/>
                                                        <w:bottom w:val="none" w:sz="0" w:space="0" w:color="auto"/>
                                                        <w:right w:val="none" w:sz="0" w:space="0" w:color="auto"/>
                                                      </w:divBdr>
                                                      <w:divsChild>
                                                        <w:div w:id="579677230">
                                                          <w:marLeft w:val="0"/>
                                                          <w:marRight w:val="0"/>
                                                          <w:marTop w:val="0"/>
                                                          <w:marBottom w:val="0"/>
                                                          <w:divBdr>
                                                            <w:top w:val="none" w:sz="0" w:space="0" w:color="auto"/>
                                                            <w:left w:val="none" w:sz="0" w:space="0" w:color="auto"/>
                                                            <w:bottom w:val="none" w:sz="0" w:space="0" w:color="auto"/>
                                                            <w:right w:val="none" w:sz="0" w:space="0" w:color="auto"/>
                                                          </w:divBdr>
                                                        </w:div>
                                                        <w:div w:id="602803348">
                                                          <w:marLeft w:val="0"/>
                                                          <w:marRight w:val="0"/>
                                                          <w:marTop w:val="0"/>
                                                          <w:marBottom w:val="0"/>
                                                          <w:divBdr>
                                                            <w:top w:val="none" w:sz="0" w:space="0" w:color="auto"/>
                                                            <w:left w:val="none" w:sz="0" w:space="0" w:color="auto"/>
                                                            <w:bottom w:val="none" w:sz="0" w:space="0" w:color="auto"/>
                                                            <w:right w:val="none" w:sz="0" w:space="0" w:color="auto"/>
                                                          </w:divBdr>
                                                        </w:div>
                                                        <w:div w:id="1757820548">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8862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868910">
                          <w:marLeft w:val="0"/>
                          <w:marRight w:val="0"/>
                          <w:marTop w:val="0"/>
                          <w:marBottom w:val="0"/>
                          <w:divBdr>
                            <w:top w:val="none" w:sz="0" w:space="0" w:color="auto"/>
                            <w:left w:val="none" w:sz="0" w:space="0" w:color="auto"/>
                            <w:bottom w:val="none" w:sz="0" w:space="0" w:color="auto"/>
                            <w:right w:val="none" w:sz="0" w:space="0" w:color="auto"/>
                          </w:divBdr>
                          <w:divsChild>
                            <w:div w:id="1904414533">
                              <w:marLeft w:val="0"/>
                              <w:marRight w:val="0"/>
                              <w:marTop w:val="0"/>
                              <w:marBottom w:val="0"/>
                              <w:divBdr>
                                <w:top w:val="none" w:sz="0" w:space="0" w:color="auto"/>
                                <w:left w:val="none" w:sz="0" w:space="0" w:color="auto"/>
                                <w:bottom w:val="none" w:sz="0" w:space="0" w:color="auto"/>
                                <w:right w:val="none" w:sz="0" w:space="0" w:color="auto"/>
                              </w:divBdr>
                              <w:divsChild>
                                <w:div w:id="8490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17650">
      <w:bodyDiv w:val="1"/>
      <w:marLeft w:val="0"/>
      <w:marRight w:val="0"/>
      <w:marTop w:val="0"/>
      <w:marBottom w:val="0"/>
      <w:divBdr>
        <w:top w:val="none" w:sz="0" w:space="0" w:color="auto"/>
        <w:left w:val="none" w:sz="0" w:space="0" w:color="auto"/>
        <w:bottom w:val="none" w:sz="0" w:space="0" w:color="auto"/>
        <w:right w:val="none" w:sz="0" w:space="0" w:color="auto"/>
      </w:divBdr>
      <w:divsChild>
        <w:div w:id="343091387">
          <w:marLeft w:val="547"/>
          <w:marRight w:val="0"/>
          <w:marTop w:val="200"/>
          <w:marBottom w:val="0"/>
          <w:divBdr>
            <w:top w:val="none" w:sz="0" w:space="0" w:color="auto"/>
            <w:left w:val="none" w:sz="0" w:space="0" w:color="auto"/>
            <w:bottom w:val="none" w:sz="0" w:space="0" w:color="auto"/>
            <w:right w:val="none" w:sz="0" w:space="0" w:color="auto"/>
          </w:divBdr>
        </w:div>
        <w:div w:id="768962093">
          <w:marLeft w:val="547"/>
          <w:marRight w:val="0"/>
          <w:marTop w:val="200"/>
          <w:marBottom w:val="0"/>
          <w:divBdr>
            <w:top w:val="none" w:sz="0" w:space="0" w:color="auto"/>
            <w:left w:val="none" w:sz="0" w:space="0" w:color="auto"/>
            <w:bottom w:val="none" w:sz="0" w:space="0" w:color="auto"/>
            <w:right w:val="none" w:sz="0" w:space="0" w:color="auto"/>
          </w:divBdr>
        </w:div>
      </w:divsChild>
    </w:div>
    <w:div w:id="771439063">
      <w:bodyDiv w:val="1"/>
      <w:marLeft w:val="0"/>
      <w:marRight w:val="0"/>
      <w:marTop w:val="0"/>
      <w:marBottom w:val="0"/>
      <w:divBdr>
        <w:top w:val="none" w:sz="0" w:space="0" w:color="auto"/>
        <w:left w:val="none" w:sz="0" w:space="0" w:color="auto"/>
        <w:bottom w:val="none" w:sz="0" w:space="0" w:color="auto"/>
        <w:right w:val="none" w:sz="0" w:space="0" w:color="auto"/>
      </w:divBdr>
    </w:div>
    <w:div w:id="824903269">
      <w:bodyDiv w:val="1"/>
      <w:marLeft w:val="0"/>
      <w:marRight w:val="0"/>
      <w:marTop w:val="0"/>
      <w:marBottom w:val="0"/>
      <w:divBdr>
        <w:top w:val="none" w:sz="0" w:space="0" w:color="auto"/>
        <w:left w:val="none" w:sz="0" w:space="0" w:color="auto"/>
        <w:bottom w:val="none" w:sz="0" w:space="0" w:color="auto"/>
        <w:right w:val="none" w:sz="0" w:space="0" w:color="auto"/>
      </w:divBdr>
      <w:divsChild>
        <w:div w:id="97143134">
          <w:marLeft w:val="547"/>
          <w:marRight w:val="0"/>
          <w:marTop w:val="200"/>
          <w:marBottom w:val="0"/>
          <w:divBdr>
            <w:top w:val="none" w:sz="0" w:space="0" w:color="auto"/>
            <w:left w:val="none" w:sz="0" w:space="0" w:color="auto"/>
            <w:bottom w:val="none" w:sz="0" w:space="0" w:color="auto"/>
            <w:right w:val="none" w:sz="0" w:space="0" w:color="auto"/>
          </w:divBdr>
        </w:div>
        <w:div w:id="948128486">
          <w:marLeft w:val="547"/>
          <w:marRight w:val="0"/>
          <w:marTop w:val="200"/>
          <w:marBottom w:val="0"/>
          <w:divBdr>
            <w:top w:val="none" w:sz="0" w:space="0" w:color="auto"/>
            <w:left w:val="none" w:sz="0" w:space="0" w:color="auto"/>
            <w:bottom w:val="none" w:sz="0" w:space="0" w:color="auto"/>
            <w:right w:val="none" w:sz="0" w:space="0" w:color="auto"/>
          </w:divBdr>
        </w:div>
        <w:div w:id="972639248">
          <w:marLeft w:val="547"/>
          <w:marRight w:val="0"/>
          <w:marTop w:val="200"/>
          <w:marBottom w:val="0"/>
          <w:divBdr>
            <w:top w:val="none" w:sz="0" w:space="0" w:color="auto"/>
            <w:left w:val="none" w:sz="0" w:space="0" w:color="auto"/>
            <w:bottom w:val="none" w:sz="0" w:space="0" w:color="auto"/>
            <w:right w:val="none" w:sz="0" w:space="0" w:color="auto"/>
          </w:divBdr>
        </w:div>
      </w:divsChild>
    </w:div>
    <w:div w:id="863320819">
      <w:bodyDiv w:val="1"/>
      <w:marLeft w:val="0"/>
      <w:marRight w:val="0"/>
      <w:marTop w:val="0"/>
      <w:marBottom w:val="0"/>
      <w:divBdr>
        <w:top w:val="none" w:sz="0" w:space="0" w:color="auto"/>
        <w:left w:val="none" w:sz="0" w:space="0" w:color="auto"/>
        <w:bottom w:val="none" w:sz="0" w:space="0" w:color="auto"/>
        <w:right w:val="none" w:sz="0" w:space="0" w:color="auto"/>
      </w:divBdr>
    </w:div>
    <w:div w:id="1097680292">
      <w:bodyDiv w:val="1"/>
      <w:marLeft w:val="0"/>
      <w:marRight w:val="0"/>
      <w:marTop w:val="0"/>
      <w:marBottom w:val="0"/>
      <w:divBdr>
        <w:top w:val="none" w:sz="0" w:space="0" w:color="auto"/>
        <w:left w:val="none" w:sz="0" w:space="0" w:color="auto"/>
        <w:bottom w:val="none" w:sz="0" w:space="0" w:color="auto"/>
        <w:right w:val="none" w:sz="0" w:space="0" w:color="auto"/>
      </w:divBdr>
      <w:divsChild>
        <w:div w:id="1287665352">
          <w:marLeft w:val="547"/>
          <w:marRight w:val="0"/>
          <w:marTop w:val="200"/>
          <w:marBottom w:val="0"/>
          <w:divBdr>
            <w:top w:val="none" w:sz="0" w:space="0" w:color="auto"/>
            <w:left w:val="none" w:sz="0" w:space="0" w:color="auto"/>
            <w:bottom w:val="none" w:sz="0" w:space="0" w:color="auto"/>
            <w:right w:val="none" w:sz="0" w:space="0" w:color="auto"/>
          </w:divBdr>
        </w:div>
        <w:div w:id="1778207267">
          <w:marLeft w:val="547"/>
          <w:marRight w:val="0"/>
          <w:marTop w:val="200"/>
          <w:marBottom w:val="0"/>
          <w:divBdr>
            <w:top w:val="none" w:sz="0" w:space="0" w:color="auto"/>
            <w:left w:val="none" w:sz="0" w:space="0" w:color="auto"/>
            <w:bottom w:val="none" w:sz="0" w:space="0" w:color="auto"/>
            <w:right w:val="none" w:sz="0" w:space="0" w:color="auto"/>
          </w:divBdr>
        </w:div>
      </w:divsChild>
    </w:div>
    <w:div w:id="1126312685">
      <w:bodyDiv w:val="1"/>
      <w:marLeft w:val="0"/>
      <w:marRight w:val="0"/>
      <w:marTop w:val="0"/>
      <w:marBottom w:val="0"/>
      <w:divBdr>
        <w:top w:val="none" w:sz="0" w:space="0" w:color="auto"/>
        <w:left w:val="none" w:sz="0" w:space="0" w:color="auto"/>
        <w:bottom w:val="none" w:sz="0" w:space="0" w:color="auto"/>
        <w:right w:val="none" w:sz="0" w:space="0" w:color="auto"/>
      </w:divBdr>
      <w:divsChild>
        <w:div w:id="709570810">
          <w:marLeft w:val="547"/>
          <w:marRight w:val="0"/>
          <w:marTop w:val="0"/>
          <w:marBottom w:val="0"/>
          <w:divBdr>
            <w:top w:val="none" w:sz="0" w:space="0" w:color="auto"/>
            <w:left w:val="none" w:sz="0" w:space="0" w:color="auto"/>
            <w:bottom w:val="none" w:sz="0" w:space="0" w:color="auto"/>
            <w:right w:val="none" w:sz="0" w:space="0" w:color="auto"/>
          </w:divBdr>
        </w:div>
        <w:div w:id="2102680167">
          <w:marLeft w:val="547"/>
          <w:marRight w:val="0"/>
          <w:marTop w:val="0"/>
          <w:marBottom w:val="0"/>
          <w:divBdr>
            <w:top w:val="none" w:sz="0" w:space="0" w:color="auto"/>
            <w:left w:val="none" w:sz="0" w:space="0" w:color="auto"/>
            <w:bottom w:val="none" w:sz="0" w:space="0" w:color="auto"/>
            <w:right w:val="none" w:sz="0" w:space="0" w:color="auto"/>
          </w:divBdr>
        </w:div>
      </w:divsChild>
    </w:div>
    <w:div w:id="1240366650">
      <w:bodyDiv w:val="1"/>
      <w:marLeft w:val="0"/>
      <w:marRight w:val="0"/>
      <w:marTop w:val="0"/>
      <w:marBottom w:val="0"/>
      <w:divBdr>
        <w:top w:val="none" w:sz="0" w:space="0" w:color="auto"/>
        <w:left w:val="none" w:sz="0" w:space="0" w:color="auto"/>
        <w:bottom w:val="none" w:sz="0" w:space="0" w:color="auto"/>
        <w:right w:val="none" w:sz="0" w:space="0" w:color="auto"/>
      </w:divBdr>
    </w:div>
    <w:div w:id="1346126129">
      <w:bodyDiv w:val="1"/>
      <w:marLeft w:val="0"/>
      <w:marRight w:val="0"/>
      <w:marTop w:val="0"/>
      <w:marBottom w:val="0"/>
      <w:divBdr>
        <w:top w:val="none" w:sz="0" w:space="0" w:color="auto"/>
        <w:left w:val="none" w:sz="0" w:space="0" w:color="auto"/>
        <w:bottom w:val="none" w:sz="0" w:space="0" w:color="auto"/>
        <w:right w:val="none" w:sz="0" w:space="0" w:color="auto"/>
      </w:divBdr>
    </w:div>
    <w:div w:id="1397047694">
      <w:bodyDiv w:val="1"/>
      <w:marLeft w:val="0"/>
      <w:marRight w:val="0"/>
      <w:marTop w:val="0"/>
      <w:marBottom w:val="0"/>
      <w:divBdr>
        <w:top w:val="none" w:sz="0" w:space="0" w:color="auto"/>
        <w:left w:val="none" w:sz="0" w:space="0" w:color="auto"/>
        <w:bottom w:val="none" w:sz="0" w:space="0" w:color="auto"/>
        <w:right w:val="none" w:sz="0" w:space="0" w:color="auto"/>
      </w:divBdr>
      <w:divsChild>
        <w:div w:id="244724662">
          <w:marLeft w:val="1267"/>
          <w:marRight w:val="0"/>
          <w:marTop w:val="100"/>
          <w:marBottom w:val="0"/>
          <w:divBdr>
            <w:top w:val="none" w:sz="0" w:space="0" w:color="auto"/>
            <w:left w:val="none" w:sz="0" w:space="0" w:color="auto"/>
            <w:bottom w:val="none" w:sz="0" w:space="0" w:color="auto"/>
            <w:right w:val="none" w:sz="0" w:space="0" w:color="auto"/>
          </w:divBdr>
        </w:div>
        <w:div w:id="317223478">
          <w:marLeft w:val="547"/>
          <w:marRight w:val="0"/>
          <w:marTop w:val="200"/>
          <w:marBottom w:val="0"/>
          <w:divBdr>
            <w:top w:val="none" w:sz="0" w:space="0" w:color="auto"/>
            <w:left w:val="none" w:sz="0" w:space="0" w:color="auto"/>
            <w:bottom w:val="none" w:sz="0" w:space="0" w:color="auto"/>
            <w:right w:val="none" w:sz="0" w:space="0" w:color="auto"/>
          </w:divBdr>
        </w:div>
        <w:div w:id="711461620">
          <w:marLeft w:val="1267"/>
          <w:marRight w:val="0"/>
          <w:marTop w:val="100"/>
          <w:marBottom w:val="0"/>
          <w:divBdr>
            <w:top w:val="none" w:sz="0" w:space="0" w:color="auto"/>
            <w:left w:val="none" w:sz="0" w:space="0" w:color="auto"/>
            <w:bottom w:val="none" w:sz="0" w:space="0" w:color="auto"/>
            <w:right w:val="none" w:sz="0" w:space="0" w:color="auto"/>
          </w:divBdr>
        </w:div>
        <w:div w:id="831677413">
          <w:marLeft w:val="547"/>
          <w:marRight w:val="0"/>
          <w:marTop w:val="200"/>
          <w:marBottom w:val="0"/>
          <w:divBdr>
            <w:top w:val="none" w:sz="0" w:space="0" w:color="auto"/>
            <w:left w:val="none" w:sz="0" w:space="0" w:color="auto"/>
            <w:bottom w:val="none" w:sz="0" w:space="0" w:color="auto"/>
            <w:right w:val="none" w:sz="0" w:space="0" w:color="auto"/>
          </w:divBdr>
        </w:div>
        <w:div w:id="1291547995">
          <w:marLeft w:val="1267"/>
          <w:marRight w:val="0"/>
          <w:marTop w:val="100"/>
          <w:marBottom w:val="0"/>
          <w:divBdr>
            <w:top w:val="none" w:sz="0" w:space="0" w:color="auto"/>
            <w:left w:val="none" w:sz="0" w:space="0" w:color="auto"/>
            <w:bottom w:val="none" w:sz="0" w:space="0" w:color="auto"/>
            <w:right w:val="none" w:sz="0" w:space="0" w:color="auto"/>
          </w:divBdr>
        </w:div>
        <w:div w:id="1605308759">
          <w:marLeft w:val="547"/>
          <w:marRight w:val="0"/>
          <w:marTop w:val="200"/>
          <w:marBottom w:val="0"/>
          <w:divBdr>
            <w:top w:val="none" w:sz="0" w:space="0" w:color="auto"/>
            <w:left w:val="none" w:sz="0" w:space="0" w:color="auto"/>
            <w:bottom w:val="none" w:sz="0" w:space="0" w:color="auto"/>
            <w:right w:val="none" w:sz="0" w:space="0" w:color="auto"/>
          </w:divBdr>
        </w:div>
      </w:divsChild>
    </w:div>
    <w:div w:id="1488669936">
      <w:bodyDiv w:val="1"/>
      <w:marLeft w:val="0"/>
      <w:marRight w:val="0"/>
      <w:marTop w:val="0"/>
      <w:marBottom w:val="0"/>
      <w:divBdr>
        <w:top w:val="none" w:sz="0" w:space="0" w:color="auto"/>
        <w:left w:val="none" w:sz="0" w:space="0" w:color="auto"/>
        <w:bottom w:val="none" w:sz="0" w:space="0" w:color="auto"/>
        <w:right w:val="none" w:sz="0" w:space="0" w:color="auto"/>
      </w:divBdr>
      <w:divsChild>
        <w:div w:id="300309723">
          <w:marLeft w:val="547"/>
          <w:marRight w:val="0"/>
          <w:marTop w:val="200"/>
          <w:marBottom w:val="0"/>
          <w:divBdr>
            <w:top w:val="none" w:sz="0" w:space="0" w:color="auto"/>
            <w:left w:val="none" w:sz="0" w:space="0" w:color="auto"/>
            <w:bottom w:val="none" w:sz="0" w:space="0" w:color="auto"/>
            <w:right w:val="none" w:sz="0" w:space="0" w:color="auto"/>
          </w:divBdr>
        </w:div>
        <w:div w:id="308175088">
          <w:marLeft w:val="547"/>
          <w:marRight w:val="0"/>
          <w:marTop w:val="200"/>
          <w:marBottom w:val="0"/>
          <w:divBdr>
            <w:top w:val="none" w:sz="0" w:space="0" w:color="auto"/>
            <w:left w:val="none" w:sz="0" w:space="0" w:color="auto"/>
            <w:bottom w:val="none" w:sz="0" w:space="0" w:color="auto"/>
            <w:right w:val="none" w:sz="0" w:space="0" w:color="auto"/>
          </w:divBdr>
        </w:div>
        <w:div w:id="993870855">
          <w:marLeft w:val="547"/>
          <w:marRight w:val="0"/>
          <w:marTop w:val="200"/>
          <w:marBottom w:val="0"/>
          <w:divBdr>
            <w:top w:val="none" w:sz="0" w:space="0" w:color="auto"/>
            <w:left w:val="none" w:sz="0" w:space="0" w:color="auto"/>
            <w:bottom w:val="none" w:sz="0" w:space="0" w:color="auto"/>
            <w:right w:val="none" w:sz="0" w:space="0" w:color="auto"/>
          </w:divBdr>
        </w:div>
        <w:div w:id="1695031573">
          <w:marLeft w:val="547"/>
          <w:marRight w:val="0"/>
          <w:marTop w:val="200"/>
          <w:marBottom w:val="0"/>
          <w:divBdr>
            <w:top w:val="none" w:sz="0" w:space="0" w:color="auto"/>
            <w:left w:val="none" w:sz="0" w:space="0" w:color="auto"/>
            <w:bottom w:val="none" w:sz="0" w:space="0" w:color="auto"/>
            <w:right w:val="none" w:sz="0" w:space="0" w:color="auto"/>
          </w:divBdr>
        </w:div>
      </w:divsChild>
    </w:div>
    <w:div w:id="1751266604">
      <w:bodyDiv w:val="1"/>
      <w:marLeft w:val="0"/>
      <w:marRight w:val="0"/>
      <w:marTop w:val="0"/>
      <w:marBottom w:val="0"/>
      <w:divBdr>
        <w:top w:val="none" w:sz="0" w:space="0" w:color="auto"/>
        <w:left w:val="none" w:sz="0" w:space="0" w:color="auto"/>
        <w:bottom w:val="none" w:sz="0" w:space="0" w:color="auto"/>
        <w:right w:val="none" w:sz="0" w:space="0" w:color="auto"/>
      </w:divBdr>
    </w:div>
    <w:div w:id="2023048009">
      <w:bodyDiv w:val="1"/>
      <w:marLeft w:val="0"/>
      <w:marRight w:val="0"/>
      <w:marTop w:val="0"/>
      <w:marBottom w:val="0"/>
      <w:divBdr>
        <w:top w:val="none" w:sz="0" w:space="0" w:color="auto"/>
        <w:left w:val="none" w:sz="0" w:space="0" w:color="auto"/>
        <w:bottom w:val="none" w:sz="0" w:space="0" w:color="auto"/>
        <w:right w:val="none" w:sz="0" w:space="0" w:color="auto"/>
      </w:divBdr>
      <w:divsChild>
        <w:div w:id="96484881">
          <w:marLeft w:val="547"/>
          <w:marRight w:val="0"/>
          <w:marTop w:val="200"/>
          <w:marBottom w:val="0"/>
          <w:divBdr>
            <w:top w:val="none" w:sz="0" w:space="0" w:color="auto"/>
            <w:left w:val="none" w:sz="0" w:space="0" w:color="auto"/>
            <w:bottom w:val="none" w:sz="0" w:space="0" w:color="auto"/>
            <w:right w:val="none" w:sz="0" w:space="0" w:color="auto"/>
          </w:divBdr>
        </w:div>
        <w:div w:id="145363242">
          <w:marLeft w:val="547"/>
          <w:marRight w:val="0"/>
          <w:marTop w:val="200"/>
          <w:marBottom w:val="0"/>
          <w:divBdr>
            <w:top w:val="none" w:sz="0" w:space="0" w:color="auto"/>
            <w:left w:val="none" w:sz="0" w:space="0" w:color="auto"/>
            <w:bottom w:val="none" w:sz="0" w:space="0" w:color="auto"/>
            <w:right w:val="none" w:sz="0" w:space="0" w:color="auto"/>
          </w:divBdr>
        </w:div>
        <w:div w:id="415054235">
          <w:marLeft w:val="1440"/>
          <w:marRight w:val="0"/>
          <w:marTop w:val="100"/>
          <w:marBottom w:val="0"/>
          <w:divBdr>
            <w:top w:val="none" w:sz="0" w:space="0" w:color="auto"/>
            <w:left w:val="none" w:sz="0" w:space="0" w:color="auto"/>
            <w:bottom w:val="none" w:sz="0" w:space="0" w:color="auto"/>
            <w:right w:val="none" w:sz="0" w:space="0" w:color="auto"/>
          </w:divBdr>
        </w:div>
        <w:div w:id="528221579">
          <w:marLeft w:val="1440"/>
          <w:marRight w:val="0"/>
          <w:marTop w:val="100"/>
          <w:marBottom w:val="0"/>
          <w:divBdr>
            <w:top w:val="none" w:sz="0" w:space="0" w:color="auto"/>
            <w:left w:val="none" w:sz="0" w:space="0" w:color="auto"/>
            <w:bottom w:val="none" w:sz="0" w:space="0" w:color="auto"/>
            <w:right w:val="none" w:sz="0" w:space="0" w:color="auto"/>
          </w:divBdr>
        </w:div>
        <w:div w:id="623344890">
          <w:marLeft w:val="1440"/>
          <w:marRight w:val="0"/>
          <w:marTop w:val="100"/>
          <w:marBottom w:val="0"/>
          <w:divBdr>
            <w:top w:val="none" w:sz="0" w:space="0" w:color="auto"/>
            <w:left w:val="none" w:sz="0" w:space="0" w:color="auto"/>
            <w:bottom w:val="none" w:sz="0" w:space="0" w:color="auto"/>
            <w:right w:val="none" w:sz="0" w:space="0" w:color="auto"/>
          </w:divBdr>
        </w:div>
        <w:div w:id="990866309">
          <w:marLeft w:val="1440"/>
          <w:marRight w:val="0"/>
          <w:marTop w:val="100"/>
          <w:marBottom w:val="0"/>
          <w:divBdr>
            <w:top w:val="none" w:sz="0" w:space="0" w:color="auto"/>
            <w:left w:val="none" w:sz="0" w:space="0" w:color="auto"/>
            <w:bottom w:val="none" w:sz="0" w:space="0" w:color="auto"/>
            <w:right w:val="none" w:sz="0" w:space="0" w:color="auto"/>
          </w:divBdr>
        </w:div>
        <w:div w:id="1123037000">
          <w:marLeft w:val="547"/>
          <w:marRight w:val="0"/>
          <w:marTop w:val="0"/>
          <w:marBottom w:val="0"/>
          <w:divBdr>
            <w:top w:val="none" w:sz="0" w:space="0" w:color="auto"/>
            <w:left w:val="none" w:sz="0" w:space="0" w:color="auto"/>
            <w:bottom w:val="none" w:sz="0" w:space="0" w:color="auto"/>
            <w:right w:val="none" w:sz="0" w:space="0" w:color="auto"/>
          </w:divBdr>
        </w:div>
        <w:div w:id="1614364879">
          <w:marLeft w:val="1440"/>
          <w:marRight w:val="0"/>
          <w:marTop w:val="100"/>
          <w:marBottom w:val="0"/>
          <w:divBdr>
            <w:top w:val="none" w:sz="0" w:space="0" w:color="auto"/>
            <w:left w:val="none" w:sz="0" w:space="0" w:color="auto"/>
            <w:bottom w:val="none" w:sz="0" w:space="0" w:color="auto"/>
            <w:right w:val="none" w:sz="0" w:space="0" w:color="auto"/>
          </w:divBdr>
        </w:div>
        <w:div w:id="1873150807">
          <w:marLeft w:val="547"/>
          <w:marRight w:val="0"/>
          <w:marTop w:val="200"/>
          <w:marBottom w:val="0"/>
          <w:divBdr>
            <w:top w:val="none" w:sz="0" w:space="0" w:color="auto"/>
            <w:left w:val="none" w:sz="0" w:space="0" w:color="auto"/>
            <w:bottom w:val="none" w:sz="0" w:space="0" w:color="auto"/>
            <w:right w:val="none" w:sz="0" w:space="0" w:color="auto"/>
          </w:divBdr>
        </w:div>
      </w:divsChild>
    </w:div>
    <w:div w:id="2092852735">
      <w:bodyDiv w:val="1"/>
      <w:marLeft w:val="0"/>
      <w:marRight w:val="0"/>
      <w:marTop w:val="0"/>
      <w:marBottom w:val="0"/>
      <w:divBdr>
        <w:top w:val="none" w:sz="0" w:space="0" w:color="auto"/>
        <w:left w:val="none" w:sz="0" w:space="0" w:color="auto"/>
        <w:bottom w:val="none" w:sz="0" w:space="0" w:color="auto"/>
        <w:right w:val="none" w:sz="0" w:space="0" w:color="auto"/>
      </w:divBdr>
      <w:divsChild>
        <w:div w:id="404380551">
          <w:marLeft w:val="0"/>
          <w:marRight w:val="0"/>
          <w:marTop w:val="0"/>
          <w:marBottom w:val="0"/>
          <w:divBdr>
            <w:top w:val="none" w:sz="0" w:space="0" w:color="auto"/>
            <w:left w:val="none" w:sz="0" w:space="0" w:color="auto"/>
            <w:bottom w:val="none" w:sz="0" w:space="0" w:color="auto"/>
            <w:right w:val="none" w:sz="0" w:space="0" w:color="auto"/>
          </w:divBdr>
          <w:divsChild>
            <w:div w:id="64570567">
              <w:marLeft w:val="0"/>
              <w:marRight w:val="0"/>
              <w:marTop w:val="0"/>
              <w:marBottom w:val="0"/>
              <w:divBdr>
                <w:top w:val="none" w:sz="0" w:space="0" w:color="auto"/>
                <w:left w:val="none" w:sz="0" w:space="0" w:color="auto"/>
                <w:bottom w:val="none" w:sz="0" w:space="0" w:color="auto"/>
                <w:right w:val="none" w:sz="0" w:space="0" w:color="auto"/>
              </w:divBdr>
              <w:divsChild>
                <w:div w:id="11884910">
                  <w:marLeft w:val="150"/>
                  <w:marRight w:val="150"/>
                  <w:marTop w:val="0"/>
                  <w:marBottom w:val="0"/>
                  <w:divBdr>
                    <w:top w:val="none" w:sz="0" w:space="0" w:color="auto"/>
                    <w:left w:val="none" w:sz="0" w:space="0" w:color="auto"/>
                    <w:bottom w:val="none" w:sz="0" w:space="0" w:color="auto"/>
                    <w:right w:val="none" w:sz="0" w:space="0" w:color="auto"/>
                  </w:divBdr>
                  <w:divsChild>
                    <w:div w:id="1950625068">
                      <w:marLeft w:val="0"/>
                      <w:marRight w:val="0"/>
                      <w:marTop w:val="0"/>
                      <w:marBottom w:val="0"/>
                      <w:divBdr>
                        <w:top w:val="none" w:sz="0" w:space="0" w:color="auto"/>
                        <w:left w:val="none" w:sz="0" w:space="0" w:color="auto"/>
                        <w:bottom w:val="none" w:sz="0" w:space="0" w:color="auto"/>
                        <w:right w:val="none" w:sz="0" w:space="0" w:color="auto"/>
                      </w:divBdr>
                      <w:divsChild>
                        <w:div w:id="588464093">
                          <w:marLeft w:val="0"/>
                          <w:marRight w:val="0"/>
                          <w:marTop w:val="0"/>
                          <w:marBottom w:val="0"/>
                          <w:divBdr>
                            <w:top w:val="none" w:sz="0" w:space="0" w:color="auto"/>
                            <w:left w:val="none" w:sz="0" w:space="0" w:color="auto"/>
                            <w:bottom w:val="none" w:sz="0" w:space="0" w:color="auto"/>
                            <w:right w:val="none" w:sz="0" w:space="0" w:color="auto"/>
                          </w:divBdr>
                          <w:divsChild>
                            <w:div w:id="1698890780">
                              <w:marLeft w:val="0"/>
                              <w:marRight w:val="0"/>
                              <w:marTop w:val="0"/>
                              <w:marBottom w:val="0"/>
                              <w:divBdr>
                                <w:top w:val="none" w:sz="0" w:space="0" w:color="auto"/>
                                <w:left w:val="none" w:sz="0" w:space="0" w:color="auto"/>
                                <w:bottom w:val="none" w:sz="0" w:space="0" w:color="auto"/>
                                <w:right w:val="none" w:sz="0" w:space="0" w:color="auto"/>
                              </w:divBdr>
                            </w:div>
                          </w:divsChild>
                        </w:div>
                        <w:div w:id="1092051492">
                          <w:marLeft w:val="0"/>
                          <w:marRight w:val="0"/>
                          <w:marTop w:val="0"/>
                          <w:marBottom w:val="0"/>
                          <w:divBdr>
                            <w:top w:val="none" w:sz="0" w:space="0" w:color="auto"/>
                            <w:left w:val="none" w:sz="0" w:space="0" w:color="auto"/>
                            <w:bottom w:val="none" w:sz="0" w:space="0" w:color="auto"/>
                            <w:right w:val="none" w:sz="0" w:space="0" w:color="auto"/>
                          </w:divBdr>
                          <w:divsChild>
                            <w:div w:id="252706971">
                              <w:marLeft w:val="0"/>
                              <w:marRight w:val="0"/>
                              <w:marTop w:val="0"/>
                              <w:marBottom w:val="0"/>
                              <w:divBdr>
                                <w:top w:val="none" w:sz="0" w:space="0" w:color="auto"/>
                                <w:left w:val="none" w:sz="0" w:space="0" w:color="auto"/>
                                <w:bottom w:val="none" w:sz="0" w:space="0" w:color="auto"/>
                                <w:right w:val="none" w:sz="0" w:space="0" w:color="auto"/>
                              </w:divBdr>
                            </w:div>
                          </w:divsChild>
                        </w:div>
                        <w:div w:id="1472090985">
                          <w:marLeft w:val="0"/>
                          <w:marRight w:val="0"/>
                          <w:marTop w:val="0"/>
                          <w:marBottom w:val="0"/>
                          <w:divBdr>
                            <w:top w:val="none" w:sz="0" w:space="0" w:color="auto"/>
                            <w:left w:val="none" w:sz="0" w:space="0" w:color="auto"/>
                            <w:bottom w:val="none" w:sz="0" w:space="0" w:color="auto"/>
                            <w:right w:val="none" w:sz="0" w:space="0" w:color="auto"/>
                          </w:divBdr>
                          <w:divsChild>
                            <w:div w:id="171408972">
                              <w:marLeft w:val="0"/>
                              <w:marRight w:val="0"/>
                              <w:marTop w:val="0"/>
                              <w:marBottom w:val="0"/>
                              <w:divBdr>
                                <w:top w:val="none" w:sz="0" w:space="0" w:color="auto"/>
                                <w:left w:val="none" w:sz="0" w:space="0" w:color="auto"/>
                                <w:bottom w:val="none" w:sz="0" w:space="0" w:color="auto"/>
                                <w:right w:val="none" w:sz="0" w:space="0" w:color="auto"/>
                              </w:divBdr>
                              <w:divsChild>
                                <w:div w:id="1820734091">
                                  <w:marLeft w:val="0"/>
                                  <w:marRight w:val="0"/>
                                  <w:marTop w:val="0"/>
                                  <w:marBottom w:val="0"/>
                                  <w:divBdr>
                                    <w:top w:val="none" w:sz="0" w:space="0" w:color="auto"/>
                                    <w:left w:val="none" w:sz="0" w:space="0" w:color="auto"/>
                                    <w:bottom w:val="none" w:sz="0" w:space="0" w:color="auto"/>
                                    <w:right w:val="none" w:sz="0" w:space="0" w:color="auto"/>
                                  </w:divBdr>
                                  <w:divsChild>
                                    <w:div w:id="18799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8596">
          <w:marLeft w:val="0"/>
          <w:marRight w:val="0"/>
          <w:marTop w:val="0"/>
          <w:marBottom w:val="0"/>
          <w:divBdr>
            <w:top w:val="none" w:sz="0" w:space="0" w:color="auto"/>
            <w:left w:val="none" w:sz="0" w:space="0" w:color="auto"/>
            <w:bottom w:val="none" w:sz="0" w:space="0" w:color="auto"/>
            <w:right w:val="none" w:sz="0" w:space="0" w:color="auto"/>
          </w:divBdr>
          <w:divsChild>
            <w:div w:id="640498038">
              <w:marLeft w:val="0"/>
              <w:marRight w:val="0"/>
              <w:marTop w:val="0"/>
              <w:marBottom w:val="0"/>
              <w:divBdr>
                <w:top w:val="none" w:sz="0" w:space="0" w:color="auto"/>
                <w:left w:val="none" w:sz="0" w:space="0" w:color="auto"/>
                <w:bottom w:val="none" w:sz="0" w:space="0" w:color="auto"/>
                <w:right w:val="none" w:sz="0" w:space="0" w:color="auto"/>
              </w:divBdr>
              <w:divsChild>
                <w:div w:id="102268250">
                  <w:marLeft w:val="150"/>
                  <w:marRight w:val="150"/>
                  <w:marTop w:val="0"/>
                  <w:marBottom w:val="0"/>
                  <w:divBdr>
                    <w:top w:val="none" w:sz="0" w:space="0" w:color="auto"/>
                    <w:left w:val="none" w:sz="0" w:space="0" w:color="auto"/>
                    <w:bottom w:val="none" w:sz="0" w:space="0" w:color="auto"/>
                    <w:right w:val="none" w:sz="0" w:space="0" w:color="auto"/>
                  </w:divBdr>
                  <w:divsChild>
                    <w:div w:id="617611674">
                      <w:marLeft w:val="0"/>
                      <w:marRight w:val="0"/>
                      <w:marTop w:val="0"/>
                      <w:marBottom w:val="0"/>
                      <w:divBdr>
                        <w:top w:val="none" w:sz="0" w:space="0" w:color="auto"/>
                        <w:left w:val="none" w:sz="0" w:space="0" w:color="auto"/>
                        <w:bottom w:val="none" w:sz="0" w:space="0" w:color="auto"/>
                        <w:right w:val="none" w:sz="0" w:space="0" w:color="auto"/>
                      </w:divBdr>
                      <w:divsChild>
                        <w:div w:id="336886446">
                          <w:marLeft w:val="0"/>
                          <w:marRight w:val="0"/>
                          <w:marTop w:val="0"/>
                          <w:marBottom w:val="0"/>
                          <w:divBdr>
                            <w:top w:val="none" w:sz="0" w:space="0" w:color="auto"/>
                            <w:left w:val="none" w:sz="0" w:space="0" w:color="auto"/>
                            <w:bottom w:val="none" w:sz="0" w:space="0" w:color="auto"/>
                            <w:right w:val="none" w:sz="0" w:space="0" w:color="auto"/>
                          </w:divBdr>
                          <w:divsChild>
                            <w:div w:id="1647783703">
                              <w:marLeft w:val="0"/>
                              <w:marRight w:val="0"/>
                              <w:marTop w:val="0"/>
                              <w:marBottom w:val="0"/>
                              <w:divBdr>
                                <w:top w:val="none" w:sz="0" w:space="0" w:color="auto"/>
                                <w:left w:val="none" w:sz="0" w:space="0" w:color="auto"/>
                                <w:bottom w:val="none" w:sz="0" w:space="0" w:color="auto"/>
                                <w:right w:val="none" w:sz="0" w:space="0" w:color="auto"/>
                              </w:divBdr>
                              <w:divsChild>
                                <w:div w:id="5845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2973">
                          <w:marLeft w:val="0"/>
                          <w:marRight w:val="0"/>
                          <w:marTop w:val="0"/>
                          <w:marBottom w:val="0"/>
                          <w:divBdr>
                            <w:top w:val="none" w:sz="0" w:space="0" w:color="auto"/>
                            <w:left w:val="none" w:sz="0" w:space="0" w:color="auto"/>
                            <w:bottom w:val="none" w:sz="0" w:space="0" w:color="auto"/>
                            <w:right w:val="none" w:sz="0" w:space="0" w:color="auto"/>
                          </w:divBdr>
                          <w:divsChild>
                            <w:div w:id="975454928">
                              <w:marLeft w:val="0"/>
                              <w:marRight w:val="0"/>
                              <w:marTop w:val="0"/>
                              <w:marBottom w:val="0"/>
                              <w:divBdr>
                                <w:top w:val="none" w:sz="0" w:space="0" w:color="auto"/>
                                <w:left w:val="none" w:sz="0" w:space="0" w:color="auto"/>
                                <w:bottom w:val="none" w:sz="0" w:space="0" w:color="auto"/>
                                <w:right w:val="none" w:sz="0" w:space="0" w:color="auto"/>
                              </w:divBdr>
                              <w:divsChild>
                                <w:div w:id="780106058">
                                  <w:marLeft w:val="0"/>
                                  <w:marRight w:val="0"/>
                                  <w:marTop w:val="0"/>
                                  <w:marBottom w:val="0"/>
                                  <w:divBdr>
                                    <w:top w:val="none" w:sz="0" w:space="0" w:color="auto"/>
                                    <w:left w:val="none" w:sz="0" w:space="0" w:color="auto"/>
                                    <w:bottom w:val="none" w:sz="0" w:space="0" w:color="auto"/>
                                    <w:right w:val="none" w:sz="0" w:space="0" w:color="auto"/>
                                  </w:divBdr>
                                  <w:divsChild>
                                    <w:div w:id="1291592884">
                                      <w:marLeft w:val="0"/>
                                      <w:marRight w:val="0"/>
                                      <w:marTop w:val="0"/>
                                      <w:marBottom w:val="0"/>
                                      <w:divBdr>
                                        <w:top w:val="none" w:sz="0" w:space="0" w:color="auto"/>
                                        <w:left w:val="none" w:sz="0" w:space="0" w:color="auto"/>
                                        <w:bottom w:val="none" w:sz="0" w:space="0" w:color="auto"/>
                                        <w:right w:val="none" w:sz="0" w:space="0" w:color="auto"/>
                                      </w:divBdr>
                                      <w:divsChild>
                                        <w:div w:id="475494447">
                                          <w:marLeft w:val="0"/>
                                          <w:marRight w:val="0"/>
                                          <w:marTop w:val="0"/>
                                          <w:marBottom w:val="0"/>
                                          <w:divBdr>
                                            <w:top w:val="none" w:sz="0" w:space="0" w:color="auto"/>
                                            <w:left w:val="none" w:sz="0" w:space="0" w:color="auto"/>
                                            <w:bottom w:val="none" w:sz="0" w:space="0" w:color="auto"/>
                                            <w:right w:val="none" w:sz="0" w:space="0" w:color="auto"/>
                                          </w:divBdr>
                                          <w:divsChild>
                                            <w:div w:id="1591087292">
                                              <w:marLeft w:val="0"/>
                                              <w:marRight w:val="0"/>
                                              <w:marTop w:val="0"/>
                                              <w:marBottom w:val="0"/>
                                              <w:divBdr>
                                                <w:top w:val="none" w:sz="0" w:space="0" w:color="auto"/>
                                                <w:left w:val="none" w:sz="0" w:space="0" w:color="auto"/>
                                                <w:bottom w:val="none" w:sz="0" w:space="0" w:color="auto"/>
                                                <w:right w:val="none" w:sz="0" w:space="0" w:color="auto"/>
                                              </w:divBdr>
                                              <w:divsChild>
                                                <w:div w:id="1233662425">
                                                  <w:marLeft w:val="0"/>
                                                  <w:marRight w:val="0"/>
                                                  <w:marTop w:val="0"/>
                                                  <w:marBottom w:val="0"/>
                                                  <w:divBdr>
                                                    <w:top w:val="none" w:sz="0" w:space="0" w:color="auto"/>
                                                    <w:left w:val="none" w:sz="0" w:space="0" w:color="auto"/>
                                                    <w:bottom w:val="none" w:sz="0" w:space="0" w:color="auto"/>
                                                    <w:right w:val="none" w:sz="0" w:space="0" w:color="auto"/>
                                                  </w:divBdr>
                                                  <w:divsChild>
                                                    <w:div w:id="909272537">
                                                      <w:marLeft w:val="0"/>
                                                      <w:marRight w:val="0"/>
                                                      <w:marTop w:val="0"/>
                                                      <w:marBottom w:val="0"/>
                                                      <w:divBdr>
                                                        <w:top w:val="none" w:sz="0" w:space="0" w:color="auto"/>
                                                        <w:left w:val="none" w:sz="0" w:space="0" w:color="auto"/>
                                                        <w:bottom w:val="none" w:sz="0" w:space="0" w:color="auto"/>
                                                        <w:right w:val="none" w:sz="0" w:space="0" w:color="auto"/>
                                                      </w:divBdr>
                                                      <w:divsChild>
                                                        <w:div w:id="530069239">
                                                          <w:marLeft w:val="0"/>
                                                          <w:marRight w:val="0"/>
                                                          <w:marTop w:val="0"/>
                                                          <w:marBottom w:val="0"/>
                                                          <w:divBdr>
                                                            <w:top w:val="none" w:sz="0" w:space="0" w:color="auto"/>
                                                            <w:left w:val="none" w:sz="0" w:space="0" w:color="auto"/>
                                                            <w:bottom w:val="none" w:sz="0" w:space="0" w:color="auto"/>
                                                            <w:right w:val="none" w:sz="0" w:space="0" w:color="auto"/>
                                                          </w:divBdr>
                                                        </w:div>
                                                        <w:div w:id="717584207">
                                                          <w:marLeft w:val="0"/>
                                                          <w:marRight w:val="0"/>
                                                          <w:marTop w:val="0"/>
                                                          <w:marBottom w:val="0"/>
                                                          <w:divBdr>
                                                            <w:top w:val="none" w:sz="0" w:space="0" w:color="auto"/>
                                                            <w:left w:val="none" w:sz="0" w:space="0" w:color="auto"/>
                                                            <w:bottom w:val="none" w:sz="0" w:space="0" w:color="auto"/>
                                                            <w:right w:val="none" w:sz="0" w:space="0" w:color="auto"/>
                                                          </w:divBdr>
                                                        </w:div>
                                                        <w:div w:id="985744533">
                                                          <w:marLeft w:val="0"/>
                                                          <w:marRight w:val="0"/>
                                                          <w:marTop w:val="0"/>
                                                          <w:marBottom w:val="0"/>
                                                          <w:divBdr>
                                                            <w:top w:val="none" w:sz="0" w:space="0" w:color="auto"/>
                                                            <w:left w:val="none" w:sz="0" w:space="0" w:color="auto"/>
                                                            <w:bottom w:val="none" w:sz="0" w:space="0" w:color="auto"/>
                                                            <w:right w:val="none" w:sz="0" w:space="0" w:color="auto"/>
                                                          </w:divBdr>
                                                        </w:div>
                                                        <w:div w:id="1970088331">
                                                          <w:marLeft w:val="0"/>
                                                          <w:marRight w:val="0"/>
                                                          <w:marTop w:val="0"/>
                                                          <w:marBottom w:val="0"/>
                                                          <w:divBdr>
                                                            <w:top w:val="none" w:sz="0" w:space="0" w:color="auto"/>
                                                            <w:left w:val="none" w:sz="0" w:space="0" w:color="auto"/>
                                                            <w:bottom w:val="none" w:sz="0" w:space="0" w:color="auto"/>
                                                            <w:right w:val="none" w:sz="0" w:space="0" w:color="auto"/>
                                                          </w:divBdr>
                                                        </w:div>
                                                        <w:div w:id="19857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13A00123"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finance.gov.au/about-us/glossary/pgpa/term-national-partnership-payments"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comlaw.gov.au/Search/COAG%20Reform%20Fund%20Act" TargetMode="External"/><Relationship Id="rId34" Type="http://schemas.openxmlformats.org/officeDocument/2006/relationships/diagramColors" Target="diagrams/colors1.xml"/><Relationship Id="rId42" Type="http://schemas.openxmlformats.org/officeDocument/2006/relationships/hyperlink" Target="https://www.finance.gov.au/government/managing-commonwealth-resources/capital-budgeting-commonwealth-entities-general-government-sector-rmg-124/new-policy-proposals"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finance.gov.au" TargetMode="External"/><Relationship Id="rId17" Type="http://schemas.openxmlformats.org/officeDocument/2006/relationships/hyperlink" Target="https://federalfinancialrelations.gov.au/legislative-framework" TargetMode="External"/><Relationship Id="rId25" Type="http://schemas.openxmlformats.org/officeDocument/2006/relationships/hyperlink" Target="https://www.finance.gov.au/about-us/glossary/pgpa/term-national-specific-purpose-payments" TargetMode="External"/><Relationship Id="rId33" Type="http://schemas.openxmlformats.org/officeDocument/2006/relationships/diagramQuickStyle" Target="diagrams/quickStyle1.xml"/><Relationship Id="rId38" Type="http://schemas.openxmlformats.org/officeDocument/2006/relationships/hyperlink" Target="mailto:cope@finance.gov.au"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ederalfinancialrelations.gov.au/intergovernmental-agreement-federal-financial-relations" TargetMode="External"/><Relationship Id="rId20" Type="http://schemas.openxmlformats.org/officeDocument/2006/relationships/hyperlink" Target="http://www.comlaw.gov.au/Series/C2009A00011" TargetMode="External"/><Relationship Id="rId29" Type="http://schemas.openxmlformats.org/officeDocument/2006/relationships/hyperlink" Target="https://www.finance.gov.au/about-us/glossary/pgpa/term-general-government-sector-ggs"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ra@finance.gov.au" TargetMode="External"/><Relationship Id="rId24" Type="http://schemas.openxmlformats.org/officeDocument/2006/relationships/hyperlink" Target="https://archive.budget.gov.au/index.htm" TargetMode="External"/><Relationship Id="rId32" Type="http://schemas.openxmlformats.org/officeDocument/2006/relationships/diagramLayout" Target="diagrams/layout1.xm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mailto:CBMS@finance.gov.a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ederalfinancialrelations.gov.au/" TargetMode="Externa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mailto:State.Payments@treasury.gov.au" TargetMode="External"/><Relationship Id="rId36" Type="http://schemas.openxmlformats.org/officeDocument/2006/relationships/hyperlink" Target="https://www.finance.gov.au/government/commonwealth-grants/commonwealth-grants-rules-guidelines" TargetMode="External"/><Relationship Id="rId49" Type="http://schemas.microsoft.com/office/2018/08/relationships/commentsExtensible" Target="commentsExtensible.xml"/><Relationship Id="rId10" Type="http://schemas.openxmlformats.org/officeDocument/2006/relationships/hyperlink" Target="http://www.dpmc.gov.au/government/its-honour" TargetMode="External"/><Relationship Id="rId19" Type="http://schemas.openxmlformats.org/officeDocument/2006/relationships/hyperlink" Target="https://federalfinancialrelations.gov.au/intergovernmental-agreement-federal-financial-relations" TargetMode="External"/><Relationship Id="rId31" Type="http://schemas.openxmlformats.org/officeDocument/2006/relationships/diagramData" Target="diagrams/data1.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finance.gov.au" TargetMode="External"/><Relationship Id="rId22" Type="http://schemas.openxmlformats.org/officeDocument/2006/relationships/hyperlink" Target="https://federalfinancialrelations.gov.au/federation-funding-agreements-framework" TargetMode="External"/><Relationship Id="rId27" Type="http://schemas.openxmlformats.org/officeDocument/2006/relationships/hyperlink" Target="https://federalfinancialrelations.gov.au/guide-drafting-new-agreements" TargetMode="External"/><Relationship Id="rId30" Type="http://schemas.openxmlformats.org/officeDocument/2006/relationships/hyperlink" Target="https://archive.budget.gov.au/index.htm" TargetMode="External"/><Relationship Id="rId35" Type="http://schemas.microsoft.com/office/2007/relationships/diagramDrawing" Target="diagrams/drawing1.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creativecommons.org/licenses/by/3.0/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DA7D9C-7878-4160-8868-718DBF76449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2C7D24C7-922E-4319-B416-E452D790A905}">
      <dgm:prSet phldrT="[Text]" custT="1"/>
      <dgm:spPr>
        <a:solidFill>
          <a:srgbClr val="ECBAA8"/>
        </a:solidFill>
      </dgm:spPr>
      <dgm:t>
        <a:bodyPr/>
        <a:lstStyle/>
        <a:p>
          <a:r>
            <a:rPr lang="en-AU" sz="1100" b="1">
              <a:solidFill>
                <a:sysClr val="windowText" lastClr="000000"/>
              </a:solidFill>
            </a:rPr>
            <a:t>2) What is the nature of the transactions?</a:t>
          </a:r>
          <a:r>
            <a:rPr lang="en-AU" sz="1100" b="0">
              <a:solidFill>
                <a:sysClr val="windowText" lastClr="000000"/>
              </a:solidFill>
            </a:rPr>
            <a:t/>
          </a:r>
          <a:br>
            <a:rPr lang="en-AU" sz="1100" b="0">
              <a:solidFill>
                <a:sysClr val="windowText" lastClr="000000"/>
              </a:solidFill>
            </a:rPr>
          </a:br>
          <a:r>
            <a:rPr lang="en-AU" sz="1100" b="0">
              <a:solidFill>
                <a:sysClr val="windowText" lastClr="000000"/>
              </a:solidFill>
            </a:rPr>
            <a:t/>
          </a:r>
          <a:br>
            <a:rPr lang="en-AU" sz="1100" b="0">
              <a:solidFill>
                <a:sysClr val="windowText" lastClr="000000"/>
              </a:solidFill>
            </a:rPr>
          </a:br>
          <a:r>
            <a:rPr lang="en-AU" sz="1100">
              <a:solidFill>
                <a:sysClr val="windowText" lastClr="000000"/>
              </a:solidFill>
            </a:rPr>
            <a:t>(</a:t>
          </a:r>
          <a:r>
            <a:rPr lang="en-AU" sz="1100" b="0">
              <a:solidFill>
                <a:sysClr val="windowText" lastClr="000000"/>
              </a:solidFill>
            </a:rPr>
            <a:t>I</a:t>
          </a:r>
          <a:r>
            <a:rPr lang="en-AU" sz="1100">
              <a:solidFill>
                <a:sysClr val="windowText" lastClr="000000"/>
              </a:solidFill>
            </a:rPr>
            <a:t>s the funding for activities for which other </a:t>
          </a:r>
          <a:br>
            <a:rPr lang="en-AU" sz="1100">
              <a:solidFill>
                <a:sysClr val="windowText" lastClr="000000"/>
              </a:solidFill>
            </a:rPr>
          </a:br>
          <a:r>
            <a:rPr lang="en-AU" sz="1100">
              <a:solidFill>
                <a:sysClr val="windowText" lastClr="000000"/>
              </a:solidFill>
            </a:rPr>
            <a:t>levels of governments have responsibility?)</a:t>
          </a:r>
          <a:endParaRPr lang="en-US" sz="1100" b="0">
            <a:solidFill>
              <a:sysClr val="windowText" lastClr="000000"/>
            </a:solidFill>
          </a:endParaRPr>
        </a:p>
      </dgm:t>
    </dgm:pt>
    <dgm:pt modelId="{1A6FA52D-E391-4419-9C2F-52EDF801215E}" type="parTrans" cxnId="{31832EAF-BEC9-4060-B6C2-6EECBB5D7345}">
      <dgm:prSet/>
      <dgm:spPr/>
      <dgm:t>
        <a:bodyPr/>
        <a:lstStyle/>
        <a:p>
          <a:endParaRPr lang="en-US"/>
        </a:p>
      </dgm:t>
    </dgm:pt>
    <dgm:pt modelId="{0E1D9E61-F654-443A-83B8-B3BF7208AE4C}" type="sibTrans" cxnId="{31832EAF-BEC9-4060-B6C2-6EECBB5D7345}">
      <dgm:prSet/>
      <dgm:spPr/>
      <dgm:t>
        <a:bodyPr/>
        <a:lstStyle/>
        <a:p>
          <a:endParaRPr lang="en-US"/>
        </a:p>
      </dgm:t>
    </dgm:pt>
    <dgm:pt modelId="{71293DC1-0A23-4834-8278-E34C45C67DD6}">
      <dgm:prSet custT="1"/>
      <dgm:spPr>
        <a:solidFill>
          <a:srgbClr val="ECBAA8"/>
        </a:solidFill>
      </dgm:spPr>
      <dgm:t>
        <a:bodyPr/>
        <a:lstStyle/>
        <a:p>
          <a:r>
            <a:rPr lang="en-AU" sz="1100" b="1">
              <a:solidFill>
                <a:sysClr val="windowText" lastClr="000000"/>
              </a:solidFill>
            </a:rPr>
            <a:t>1) Is the funding contestable? </a:t>
          </a:r>
          <a:br>
            <a:rPr lang="en-AU" sz="1100" b="1">
              <a:solidFill>
                <a:sysClr val="windowText" lastClr="000000"/>
              </a:solidFill>
            </a:rPr>
          </a:br>
          <a:r>
            <a:rPr lang="en-AU" sz="1100" b="0">
              <a:solidFill>
                <a:sysClr val="windowText" lastClr="000000"/>
              </a:solidFill>
            </a:rPr>
            <a:t/>
          </a:r>
          <a:br>
            <a:rPr lang="en-AU" sz="1100" b="0">
              <a:solidFill>
                <a:sysClr val="windowText" lastClr="000000"/>
              </a:solidFill>
            </a:rPr>
          </a:br>
          <a:r>
            <a:rPr lang="en-AU" sz="1100" b="0">
              <a:solidFill>
                <a:sysClr val="windowText" lastClr="000000"/>
              </a:solidFill>
            </a:rPr>
            <a:t>(I</a:t>
          </a:r>
          <a:r>
            <a:rPr lang="en-AU" sz="1100">
              <a:solidFill>
                <a:sysClr val="windowText" lastClr="000000"/>
              </a:solidFill>
            </a:rPr>
            <a:t>s the funding available to all sectors of the </a:t>
          </a:r>
          <a:br>
            <a:rPr lang="en-AU" sz="1100">
              <a:solidFill>
                <a:sysClr val="windowText" lastClr="000000"/>
              </a:solidFill>
            </a:rPr>
          </a:br>
          <a:r>
            <a:rPr lang="en-AU" sz="1100">
              <a:solidFill>
                <a:sysClr val="windowText" lastClr="000000"/>
              </a:solidFill>
            </a:rPr>
            <a:t>economy including other levels of government?)</a:t>
          </a:r>
          <a:endParaRPr lang="en-AU" sz="1100" b="1">
            <a:solidFill>
              <a:sysClr val="windowText" lastClr="000000"/>
            </a:solidFill>
            <a:latin typeface="+mn-lt"/>
          </a:endParaRPr>
        </a:p>
      </dgm:t>
    </dgm:pt>
    <dgm:pt modelId="{8C092FB1-BB01-4C50-9AED-933CC694000D}" type="parTrans" cxnId="{CE6BB3AF-C6BE-4096-ABF5-39C66EBE1280}">
      <dgm:prSet/>
      <dgm:spPr/>
      <dgm:t>
        <a:bodyPr/>
        <a:lstStyle/>
        <a:p>
          <a:endParaRPr lang="en-US"/>
        </a:p>
      </dgm:t>
    </dgm:pt>
    <dgm:pt modelId="{8C781975-96A4-45D7-878C-71BEC3629676}" type="sibTrans" cxnId="{CE6BB3AF-C6BE-4096-ABF5-39C66EBE1280}">
      <dgm:prSet/>
      <dgm:spPr/>
      <dgm:t>
        <a:bodyPr/>
        <a:lstStyle/>
        <a:p>
          <a:endParaRPr lang="en-US"/>
        </a:p>
      </dgm:t>
    </dgm:pt>
    <dgm:pt modelId="{36E242F8-4AD2-4968-8314-9A29549D0A7A}">
      <dgm:prSet phldrT="[Text]" custT="1"/>
      <dgm:spPr>
        <a:solidFill>
          <a:srgbClr val="EC927C"/>
        </a:solidFill>
      </dgm:spPr>
      <dgm:t>
        <a:bodyPr/>
        <a:lstStyle/>
        <a:p>
          <a:r>
            <a:rPr lang="en-AU" sz="1100" b="1">
              <a:solidFill>
                <a:sysClr val="windowText" lastClr="000000"/>
              </a:solidFill>
            </a:rPr>
            <a:t>Payments are for specific purposes </a:t>
          </a:r>
          <a:br>
            <a:rPr lang="en-AU" sz="1100" b="1">
              <a:solidFill>
                <a:sysClr val="windowText" lastClr="000000"/>
              </a:solidFill>
            </a:rPr>
          </a:br>
          <a:r>
            <a:rPr lang="en-AU" sz="1100" b="1">
              <a:solidFill>
                <a:sysClr val="windowText" lastClr="000000"/>
              </a:solidFill>
            </a:rPr>
            <a:t/>
          </a:r>
          <a:br>
            <a:rPr lang="en-AU" sz="1100" b="1">
              <a:solidFill>
                <a:sysClr val="windowText" lastClr="000000"/>
              </a:solidFill>
            </a:rPr>
          </a:br>
          <a:r>
            <a:rPr lang="en-AU" sz="1100">
              <a:solidFill>
                <a:sysClr val="windowText" lastClr="000000"/>
              </a:solidFill>
            </a:rPr>
            <a:t>(NSPPs, NP payments or </a:t>
          </a:r>
          <a:br>
            <a:rPr lang="en-AU" sz="1100">
              <a:solidFill>
                <a:sysClr val="windowText" lastClr="000000"/>
              </a:solidFill>
            </a:rPr>
          </a:br>
          <a:r>
            <a:rPr lang="en-AU" sz="1100">
              <a:solidFill>
                <a:sysClr val="windowText" lastClr="000000"/>
              </a:solidFill>
            </a:rPr>
            <a:t>payments direct to local government)</a:t>
          </a:r>
          <a:endParaRPr lang="en-US" sz="1100">
            <a:solidFill>
              <a:sysClr val="windowText" lastClr="000000"/>
            </a:solidFill>
          </a:endParaRPr>
        </a:p>
      </dgm:t>
    </dgm:pt>
    <dgm:pt modelId="{647FB636-59A4-46A7-BE40-1FBDC8D288BF}" type="parTrans" cxnId="{CE8158EE-494D-4778-9AEF-24F52FD2DC8F}">
      <dgm:prSet/>
      <dgm:spPr/>
      <dgm:t>
        <a:bodyPr/>
        <a:lstStyle/>
        <a:p>
          <a:endParaRPr lang="en-US"/>
        </a:p>
      </dgm:t>
    </dgm:pt>
    <dgm:pt modelId="{25C34E1B-5A5D-4D21-AFD4-5EAD906296B6}" type="sibTrans" cxnId="{CE8158EE-494D-4778-9AEF-24F52FD2DC8F}">
      <dgm:prSet/>
      <dgm:spPr/>
      <dgm:t>
        <a:bodyPr/>
        <a:lstStyle/>
        <a:p>
          <a:endParaRPr lang="en-US"/>
        </a:p>
      </dgm:t>
    </dgm:pt>
    <dgm:pt modelId="{B55442F4-919C-457D-A602-F47082C60674}" type="pres">
      <dgm:prSet presAssocID="{2CDA7D9C-7878-4160-8868-718DBF764495}" presName="Name0" presStyleCnt="0">
        <dgm:presLayoutVars>
          <dgm:dir/>
          <dgm:animLvl val="lvl"/>
          <dgm:resizeHandles val="exact"/>
        </dgm:presLayoutVars>
      </dgm:prSet>
      <dgm:spPr/>
      <dgm:t>
        <a:bodyPr/>
        <a:lstStyle/>
        <a:p>
          <a:endParaRPr lang="en-US"/>
        </a:p>
      </dgm:t>
    </dgm:pt>
    <dgm:pt modelId="{BC2AB9AC-DCE6-4686-86BE-EC88A025533C}" type="pres">
      <dgm:prSet presAssocID="{36E242F8-4AD2-4968-8314-9A29549D0A7A}" presName="boxAndChildren" presStyleCnt="0"/>
      <dgm:spPr/>
    </dgm:pt>
    <dgm:pt modelId="{7449A51C-041D-4C49-A823-CDEB139F90B0}" type="pres">
      <dgm:prSet presAssocID="{36E242F8-4AD2-4968-8314-9A29549D0A7A}" presName="parentTextBox" presStyleLbl="node1" presStyleIdx="0" presStyleCnt="3"/>
      <dgm:spPr/>
      <dgm:t>
        <a:bodyPr/>
        <a:lstStyle/>
        <a:p>
          <a:endParaRPr lang="en-US"/>
        </a:p>
      </dgm:t>
    </dgm:pt>
    <dgm:pt modelId="{E363A0B7-474C-43FA-A736-1B979B20F41D}" type="pres">
      <dgm:prSet presAssocID="{0E1D9E61-F654-443A-83B8-B3BF7208AE4C}" presName="sp" presStyleCnt="0"/>
      <dgm:spPr/>
    </dgm:pt>
    <dgm:pt modelId="{E2377074-DA84-436C-830A-020A010E1C69}" type="pres">
      <dgm:prSet presAssocID="{2C7D24C7-922E-4319-B416-E452D790A905}" presName="arrowAndChildren" presStyleCnt="0"/>
      <dgm:spPr/>
    </dgm:pt>
    <dgm:pt modelId="{41BE1736-010A-46E8-973E-7C2F35BB59BC}" type="pres">
      <dgm:prSet presAssocID="{2C7D24C7-922E-4319-B416-E452D790A905}" presName="parentTextArrow" presStyleLbl="node1" presStyleIdx="1" presStyleCnt="3"/>
      <dgm:spPr/>
      <dgm:t>
        <a:bodyPr/>
        <a:lstStyle/>
        <a:p>
          <a:endParaRPr lang="en-US"/>
        </a:p>
      </dgm:t>
    </dgm:pt>
    <dgm:pt modelId="{6FBC8737-1906-4175-9611-48D91C3E50B5}" type="pres">
      <dgm:prSet presAssocID="{8C781975-96A4-45D7-878C-71BEC3629676}" presName="sp" presStyleCnt="0"/>
      <dgm:spPr/>
    </dgm:pt>
    <dgm:pt modelId="{DA0EC0B7-E5B6-4CDA-87DB-4FBC7B0F2EDD}" type="pres">
      <dgm:prSet presAssocID="{71293DC1-0A23-4834-8278-E34C45C67DD6}" presName="arrowAndChildren" presStyleCnt="0"/>
      <dgm:spPr/>
    </dgm:pt>
    <dgm:pt modelId="{64FD53FE-C62C-4AF0-867F-6542014CCE03}" type="pres">
      <dgm:prSet presAssocID="{71293DC1-0A23-4834-8278-E34C45C67DD6}" presName="parentTextArrow" presStyleLbl="node1" presStyleIdx="2" presStyleCnt="3"/>
      <dgm:spPr/>
      <dgm:t>
        <a:bodyPr/>
        <a:lstStyle/>
        <a:p>
          <a:endParaRPr lang="en-US"/>
        </a:p>
      </dgm:t>
    </dgm:pt>
  </dgm:ptLst>
  <dgm:cxnLst>
    <dgm:cxn modelId="{31832EAF-BEC9-4060-B6C2-6EECBB5D7345}" srcId="{2CDA7D9C-7878-4160-8868-718DBF764495}" destId="{2C7D24C7-922E-4319-B416-E452D790A905}" srcOrd="1" destOrd="0" parTransId="{1A6FA52D-E391-4419-9C2F-52EDF801215E}" sibTransId="{0E1D9E61-F654-443A-83B8-B3BF7208AE4C}"/>
    <dgm:cxn modelId="{D0E7DA68-EE5D-4649-BC2C-AF5D7C4AF0D6}" type="presOf" srcId="{2C7D24C7-922E-4319-B416-E452D790A905}" destId="{41BE1736-010A-46E8-973E-7C2F35BB59BC}" srcOrd="0" destOrd="0" presId="urn:microsoft.com/office/officeart/2005/8/layout/process4"/>
    <dgm:cxn modelId="{3E48ABA7-BD45-4D85-A6F4-5378830925B6}" type="presOf" srcId="{71293DC1-0A23-4834-8278-E34C45C67DD6}" destId="{64FD53FE-C62C-4AF0-867F-6542014CCE03}" srcOrd="0" destOrd="0" presId="urn:microsoft.com/office/officeart/2005/8/layout/process4"/>
    <dgm:cxn modelId="{CE8158EE-494D-4778-9AEF-24F52FD2DC8F}" srcId="{2CDA7D9C-7878-4160-8868-718DBF764495}" destId="{36E242F8-4AD2-4968-8314-9A29549D0A7A}" srcOrd="2" destOrd="0" parTransId="{647FB636-59A4-46A7-BE40-1FBDC8D288BF}" sibTransId="{25C34E1B-5A5D-4D21-AFD4-5EAD906296B6}"/>
    <dgm:cxn modelId="{CE6BB3AF-C6BE-4096-ABF5-39C66EBE1280}" srcId="{2CDA7D9C-7878-4160-8868-718DBF764495}" destId="{71293DC1-0A23-4834-8278-E34C45C67DD6}" srcOrd="0" destOrd="0" parTransId="{8C092FB1-BB01-4C50-9AED-933CC694000D}" sibTransId="{8C781975-96A4-45D7-878C-71BEC3629676}"/>
    <dgm:cxn modelId="{28B3D8E8-FE6E-4B58-92F5-BE188CC68ADA}" type="presOf" srcId="{2CDA7D9C-7878-4160-8868-718DBF764495}" destId="{B55442F4-919C-457D-A602-F47082C60674}" srcOrd="0" destOrd="0" presId="urn:microsoft.com/office/officeart/2005/8/layout/process4"/>
    <dgm:cxn modelId="{C7DDF491-91BA-4117-8C1C-95A8C0EA73C5}" type="presOf" srcId="{36E242F8-4AD2-4968-8314-9A29549D0A7A}" destId="{7449A51C-041D-4C49-A823-CDEB139F90B0}" srcOrd="0" destOrd="0" presId="urn:microsoft.com/office/officeart/2005/8/layout/process4"/>
    <dgm:cxn modelId="{8D929255-3C61-40FC-B85E-6B956CA22047}" type="presParOf" srcId="{B55442F4-919C-457D-A602-F47082C60674}" destId="{BC2AB9AC-DCE6-4686-86BE-EC88A025533C}" srcOrd="0" destOrd="0" presId="urn:microsoft.com/office/officeart/2005/8/layout/process4"/>
    <dgm:cxn modelId="{16C4874A-43CE-4D04-8BA1-4328EA3979B9}" type="presParOf" srcId="{BC2AB9AC-DCE6-4686-86BE-EC88A025533C}" destId="{7449A51C-041D-4C49-A823-CDEB139F90B0}" srcOrd="0" destOrd="0" presId="urn:microsoft.com/office/officeart/2005/8/layout/process4"/>
    <dgm:cxn modelId="{A4059797-8BBF-4F11-9DA1-E8E0C0B775F2}" type="presParOf" srcId="{B55442F4-919C-457D-A602-F47082C60674}" destId="{E363A0B7-474C-43FA-A736-1B979B20F41D}" srcOrd="1" destOrd="0" presId="urn:microsoft.com/office/officeart/2005/8/layout/process4"/>
    <dgm:cxn modelId="{20112F80-6894-4283-A2F7-5274DFDFAB9A}" type="presParOf" srcId="{B55442F4-919C-457D-A602-F47082C60674}" destId="{E2377074-DA84-436C-830A-020A010E1C69}" srcOrd="2" destOrd="0" presId="urn:microsoft.com/office/officeart/2005/8/layout/process4"/>
    <dgm:cxn modelId="{F33E1145-546E-4D99-A386-3A7F7AB1657C}" type="presParOf" srcId="{E2377074-DA84-436C-830A-020A010E1C69}" destId="{41BE1736-010A-46E8-973E-7C2F35BB59BC}" srcOrd="0" destOrd="0" presId="urn:microsoft.com/office/officeart/2005/8/layout/process4"/>
    <dgm:cxn modelId="{D0EB06F1-E7CD-4541-9534-E316D285D5B9}" type="presParOf" srcId="{B55442F4-919C-457D-A602-F47082C60674}" destId="{6FBC8737-1906-4175-9611-48D91C3E50B5}" srcOrd="3" destOrd="0" presId="urn:microsoft.com/office/officeart/2005/8/layout/process4"/>
    <dgm:cxn modelId="{BDD33F40-1AB0-441A-8148-AF08EBFF3993}" type="presParOf" srcId="{B55442F4-919C-457D-A602-F47082C60674}" destId="{DA0EC0B7-E5B6-4CDA-87DB-4FBC7B0F2EDD}" srcOrd="4" destOrd="0" presId="urn:microsoft.com/office/officeart/2005/8/layout/process4"/>
    <dgm:cxn modelId="{21E66B5F-9B72-4F6A-A55F-0759BA0D1F74}" type="presParOf" srcId="{DA0EC0B7-E5B6-4CDA-87DB-4FBC7B0F2EDD}" destId="{64FD53FE-C62C-4AF0-867F-6542014CCE03}" srcOrd="0" destOrd="0" presId="urn:microsoft.com/office/officeart/2005/8/layout/process4"/>
  </dgm:cxnLst>
  <dgm:bg>
    <a:solidFill>
      <a:schemeClr val="bg1"/>
    </a:solidFill>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49A51C-041D-4C49-A823-CDEB139F90B0}">
      <dsp:nvSpPr>
        <dsp:cNvPr id="0" name=""/>
        <dsp:cNvSpPr/>
      </dsp:nvSpPr>
      <dsp:spPr>
        <a:xfrm>
          <a:off x="0" y="2695909"/>
          <a:ext cx="3457575" cy="884857"/>
        </a:xfrm>
        <a:prstGeom prst="rect">
          <a:avLst/>
        </a:prstGeom>
        <a:solidFill>
          <a:srgbClr val="EC927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solidFill>
                <a:sysClr val="windowText" lastClr="000000"/>
              </a:solidFill>
            </a:rPr>
            <a:t>Payments are for specific purposes </a:t>
          </a:r>
          <a:br>
            <a:rPr lang="en-AU" sz="1100" b="1" kern="1200">
              <a:solidFill>
                <a:sysClr val="windowText" lastClr="000000"/>
              </a:solidFill>
            </a:rPr>
          </a:br>
          <a:r>
            <a:rPr lang="en-AU" sz="1100" b="1" kern="1200">
              <a:solidFill>
                <a:sysClr val="windowText" lastClr="000000"/>
              </a:solidFill>
            </a:rPr>
            <a:t/>
          </a:r>
          <a:br>
            <a:rPr lang="en-AU" sz="1100" b="1" kern="1200">
              <a:solidFill>
                <a:sysClr val="windowText" lastClr="000000"/>
              </a:solidFill>
            </a:rPr>
          </a:br>
          <a:r>
            <a:rPr lang="en-AU" sz="1100" kern="1200">
              <a:solidFill>
                <a:sysClr val="windowText" lastClr="000000"/>
              </a:solidFill>
            </a:rPr>
            <a:t>(NSPPs, NP payments or </a:t>
          </a:r>
          <a:br>
            <a:rPr lang="en-AU" sz="1100" kern="1200">
              <a:solidFill>
                <a:sysClr val="windowText" lastClr="000000"/>
              </a:solidFill>
            </a:rPr>
          </a:br>
          <a:r>
            <a:rPr lang="en-AU" sz="1100" kern="1200">
              <a:solidFill>
                <a:sysClr val="windowText" lastClr="000000"/>
              </a:solidFill>
            </a:rPr>
            <a:t>payments direct to local government)</a:t>
          </a:r>
          <a:endParaRPr lang="en-US" sz="1100" kern="1200">
            <a:solidFill>
              <a:sysClr val="windowText" lastClr="000000"/>
            </a:solidFill>
          </a:endParaRPr>
        </a:p>
      </dsp:txBody>
      <dsp:txXfrm>
        <a:off x="0" y="2695909"/>
        <a:ext cx="3457575" cy="884857"/>
      </dsp:txXfrm>
    </dsp:sp>
    <dsp:sp modelId="{41BE1736-010A-46E8-973E-7C2F35BB59BC}">
      <dsp:nvSpPr>
        <dsp:cNvPr id="0" name=""/>
        <dsp:cNvSpPr/>
      </dsp:nvSpPr>
      <dsp:spPr>
        <a:xfrm rot="10800000">
          <a:off x="0" y="1348271"/>
          <a:ext cx="3457575" cy="1360911"/>
        </a:xfrm>
        <a:prstGeom prst="upArrowCallout">
          <a:avLst/>
        </a:prstGeom>
        <a:solidFill>
          <a:srgbClr val="ECBAA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solidFill>
                <a:sysClr val="windowText" lastClr="000000"/>
              </a:solidFill>
            </a:rPr>
            <a:t>2) What is the nature of the transactions?</a:t>
          </a:r>
          <a:r>
            <a:rPr lang="en-AU" sz="1100" b="0" kern="1200">
              <a:solidFill>
                <a:sysClr val="windowText" lastClr="000000"/>
              </a:solidFill>
            </a:rPr>
            <a:t/>
          </a:r>
          <a:br>
            <a:rPr lang="en-AU" sz="1100" b="0" kern="1200">
              <a:solidFill>
                <a:sysClr val="windowText" lastClr="000000"/>
              </a:solidFill>
            </a:rPr>
          </a:br>
          <a:r>
            <a:rPr lang="en-AU" sz="1100" b="0" kern="1200">
              <a:solidFill>
                <a:sysClr val="windowText" lastClr="000000"/>
              </a:solidFill>
            </a:rPr>
            <a:t/>
          </a:r>
          <a:br>
            <a:rPr lang="en-AU" sz="1100" b="0" kern="1200">
              <a:solidFill>
                <a:sysClr val="windowText" lastClr="000000"/>
              </a:solidFill>
            </a:rPr>
          </a:br>
          <a:r>
            <a:rPr lang="en-AU" sz="1100" kern="1200">
              <a:solidFill>
                <a:sysClr val="windowText" lastClr="000000"/>
              </a:solidFill>
            </a:rPr>
            <a:t>(</a:t>
          </a:r>
          <a:r>
            <a:rPr lang="en-AU" sz="1100" b="0" kern="1200">
              <a:solidFill>
                <a:sysClr val="windowText" lastClr="000000"/>
              </a:solidFill>
            </a:rPr>
            <a:t>I</a:t>
          </a:r>
          <a:r>
            <a:rPr lang="en-AU" sz="1100" kern="1200">
              <a:solidFill>
                <a:sysClr val="windowText" lastClr="000000"/>
              </a:solidFill>
            </a:rPr>
            <a:t>s the funding for activities for which other </a:t>
          </a:r>
          <a:br>
            <a:rPr lang="en-AU" sz="1100" kern="1200">
              <a:solidFill>
                <a:sysClr val="windowText" lastClr="000000"/>
              </a:solidFill>
            </a:rPr>
          </a:br>
          <a:r>
            <a:rPr lang="en-AU" sz="1100" kern="1200">
              <a:solidFill>
                <a:sysClr val="windowText" lastClr="000000"/>
              </a:solidFill>
            </a:rPr>
            <a:t>levels of governments have responsibility?)</a:t>
          </a:r>
          <a:endParaRPr lang="en-US" sz="1100" b="0" kern="1200">
            <a:solidFill>
              <a:sysClr val="windowText" lastClr="000000"/>
            </a:solidFill>
          </a:endParaRPr>
        </a:p>
      </dsp:txBody>
      <dsp:txXfrm rot="10800000">
        <a:off x="0" y="1348271"/>
        <a:ext cx="3457575" cy="884279"/>
      </dsp:txXfrm>
    </dsp:sp>
    <dsp:sp modelId="{64FD53FE-C62C-4AF0-867F-6542014CCE03}">
      <dsp:nvSpPr>
        <dsp:cNvPr id="0" name=""/>
        <dsp:cNvSpPr/>
      </dsp:nvSpPr>
      <dsp:spPr>
        <a:xfrm rot="10800000">
          <a:off x="0" y="633"/>
          <a:ext cx="3457575" cy="1360911"/>
        </a:xfrm>
        <a:prstGeom prst="upArrowCallout">
          <a:avLst/>
        </a:prstGeom>
        <a:solidFill>
          <a:srgbClr val="ECBAA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b="1" kern="1200">
              <a:solidFill>
                <a:sysClr val="windowText" lastClr="000000"/>
              </a:solidFill>
            </a:rPr>
            <a:t>1) Is the funding contestable? </a:t>
          </a:r>
          <a:br>
            <a:rPr lang="en-AU" sz="1100" b="1" kern="1200">
              <a:solidFill>
                <a:sysClr val="windowText" lastClr="000000"/>
              </a:solidFill>
            </a:rPr>
          </a:br>
          <a:r>
            <a:rPr lang="en-AU" sz="1100" b="0" kern="1200">
              <a:solidFill>
                <a:sysClr val="windowText" lastClr="000000"/>
              </a:solidFill>
            </a:rPr>
            <a:t/>
          </a:r>
          <a:br>
            <a:rPr lang="en-AU" sz="1100" b="0" kern="1200">
              <a:solidFill>
                <a:sysClr val="windowText" lastClr="000000"/>
              </a:solidFill>
            </a:rPr>
          </a:br>
          <a:r>
            <a:rPr lang="en-AU" sz="1100" b="0" kern="1200">
              <a:solidFill>
                <a:sysClr val="windowText" lastClr="000000"/>
              </a:solidFill>
            </a:rPr>
            <a:t>(I</a:t>
          </a:r>
          <a:r>
            <a:rPr lang="en-AU" sz="1100" kern="1200">
              <a:solidFill>
                <a:sysClr val="windowText" lastClr="000000"/>
              </a:solidFill>
            </a:rPr>
            <a:t>s the funding available to all sectors of the </a:t>
          </a:r>
          <a:br>
            <a:rPr lang="en-AU" sz="1100" kern="1200">
              <a:solidFill>
                <a:sysClr val="windowText" lastClr="000000"/>
              </a:solidFill>
            </a:rPr>
          </a:br>
          <a:r>
            <a:rPr lang="en-AU" sz="1100" kern="1200">
              <a:solidFill>
                <a:sysClr val="windowText" lastClr="000000"/>
              </a:solidFill>
            </a:rPr>
            <a:t>economy including other levels of government?)</a:t>
          </a:r>
          <a:endParaRPr lang="en-AU" sz="1100" b="1" kern="1200">
            <a:solidFill>
              <a:sysClr val="windowText" lastClr="000000"/>
            </a:solidFill>
            <a:latin typeface="+mn-lt"/>
          </a:endParaRPr>
        </a:p>
      </dsp:txBody>
      <dsp:txXfrm rot="10800000">
        <a:off x="0" y="633"/>
        <a:ext cx="3457575" cy="8842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31B6-19FF-47D4-9B78-497F6185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13</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RMG 419 - Classifying Australian Government payments to other levels of government</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RMG 419 - Classifying Australian Government payments to other levels of government</dc:title>
  <dc:subject/>
  <dc:creator>Department of Finance</dc:creator>
  <cp:keywords>[SEC=OFFICIAL]</cp:keywords>
  <dc:description/>
  <cp:lastModifiedBy>Truong, Minh</cp:lastModifiedBy>
  <cp:revision>28</cp:revision>
  <cp:lastPrinted>2019-10-09T23:12:00Z</cp:lastPrinted>
  <dcterms:created xsi:type="dcterms:W3CDTF">2023-01-16T02:59:00Z</dcterms:created>
  <dcterms:modified xsi:type="dcterms:W3CDTF">2023-02-13T01:36:00Z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9E951FB6E50D4929B702CCCACD9A468A</vt:lpwstr>
  </property>
  <property fmtid="{D5CDD505-2E9C-101B-9397-08002B2CF9AE}" pid="9" name="PM_ProtectiveMarkingValue_Footer">
    <vt:lpwstr>OFFICIAL</vt:lpwstr>
  </property>
  <property fmtid="{D5CDD505-2E9C-101B-9397-08002B2CF9AE}" pid="10" name="PM_Originator_Hash_SHA1">
    <vt:lpwstr>8B3DED134928D9F36B4AA5004C8B523E9558599E</vt:lpwstr>
  </property>
  <property fmtid="{D5CDD505-2E9C-101B-9397-08002B2CF9AE}" pid="11" name="PM_OriginationTimeStamp">
    <vt:lpwstr>2023-02-09T23:16:07Z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1B3331415F13CB19415B98F579CD65ED</vt:lpwstr>
  </property>
  <property fmtid="{D5CDD505-2E9C-101B-9397-08002B2CF9AE}" pid="23" name="PM_Hash_Salt">
    <vt:lpwstr>1B3331415F13CB19415B98F579CD65ED</vt:lpwstr>
  </property>
  <property fmtid="{D5CDD505-2E9C-101B-9397-08002B2CF9AE}" pid="24" name="PM_Hash_SHA1">
    <vt:lpwstr>2B8D08BB3BC81E4D6FCC116D272BFD444197E6B4</vt:lpwstr>
  </property>
  <property fmtid="{D5CDD505-2E9C-101B-9397-08002B2CF9AE}" pid="25" name="MSIP_Label_87d6481e-ccdd-4ab6-8b26-05a0df5699e7_SetDate">
    <vt:lpwstr>2023-02-09T23:16:05Z</vt:lpwstr>
  </property>
  <property fmtid="{D5CDD505-2E9C-101B-9397-08002B2CF9AE}" pid="26" name="PM_OriginatorUserAccountName_SHA256">
    <vt:lpwstr>8DE08402EA96840E6418B6E47AC799FD049BF28CA70F3F51FB23607EF5C89239</vt:lpwstr>
  </property>
  <property fmtid="{D5CDD505-2E9C-101B-9397-08002B2CF9AE}" pid="27" name="PM_OriginatorDomainName_SHA256">
    <vt:lpwstr>325440F6CA31C4C3BCE4433552DC42928CAAD3E2731ABE35FDE729ECEB763AF0</vt:lpwstr>
  </property>
  <property fmtid="{D5CDD505-2E9C-101B-9397-08002B2CF9AE}" pid="28" name="MSIP_Label_87d6481e-ccdd-4ab6-8b26-05a0df5699e7_Name">
    <vt:lpwstr>OFFICIAL</vt:lpwstr>
  </property>
  <property fmtid="{D5CDD505-2E9C-101B-9397-08002B2CF9AE}" pid="29" name="MSIP_Label_87d6481e-ccdd-4ab6-8b26-05a0df5699e7_SiteId">
    <vt:lpwstr>08954cee-4782-4ff6-9ad5-1997dccef4b0</vt:lpwstr>
  </property>
  <property fmtid="{D5CDD505-2E9C-101B-9397-08002B2CF9AE}" pid="30" name="MSIP_Label_87d6481e-ccdd-4ab6-8b26-05a0df5699e7_Enabled">
    <vt:lpwstr>true</vt:lpwstr>
  </property>
  <property fmtid="{D5CDD505-2E9C-101B-9397-08002B2CF9AE}" pid="31" name="PM_MinimumSecurityClassification">
    <vt:lpwstr/>
  </property>
</Properties>
</file>