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BBC17" w14:textId="77777777" w:rsidR="000C2A48" w:rsidRPr="0057158D" w:rsidRDefault="0057158D" w:rsidP="00A05DE4">
      <w:pPr>
        <w:pStyle w:val="Title"/>
        <w:rPr>
          <w:b/>
        </w:rPr>
      </w:pPr>
      <w:r w:rsidRPr="0057158D">
        <w:rPr>
          <w:b/>
        </w:rPr>
        <w:t>Comcover Information Sheet</w:t>
      </w:r>
    </w:p>
    <w:p w14:paraId="742B884F" w14:textId="77777777" w:rsidR="00CC1438" w:rsidRPr="005B558D" w:rsidRDefault="00457759" w:rsidP="00A05DE4">
      <w:pPr>
        <w:pStyle w:val="Title"/>
      </w:pPr>
      <w:r w:rsidRPr="005B558D">
        <w:t>Management of Indemnities</w:t>
      </w:r>
    </w:p>
    <w:p w14:paraId="45192341" w14:textId="5CB6830E" w:rsidR="00B807B0" w:rsidRPr="00CE3B64" w:rsidRDefault="008C25F0" w:rsidP="00457759">
      <w:pPr>
        <w:pStyle w:val="Date"/>
        <w:rPr>
          <w:sz w:val="22"/>
        </w:rPr>
        <w:sectPr w:rsidR="00B807B0" w:rsidRPr="00CE3B64" w:rsidSect="00EC50DA">
          <w:headerReference w:type="default" r:id="rId8"/>
          <w:headerReference w:type="first" r:id="rId9"/>
          <w:type w:val="continuous"/>
          <w:pgSz w:w="11906" w:h="16838" w:code="9"/>
          <w:pgMar w:top="1035" w:right="720" w:bottom="993" w:left="720" w:header="567" w:footer="624" w:gutter="0"/>
          <w:cols w:space="708"/>
          <w:titlePg/>
          <w:docGrid w:linePitch="360"/>
        </w:sectPr>
      </w:pPr>
      <w:r>
        <w:rPr>
          <w:sz w:val="22"/>
        </w:rPr>
        <w:t>December</w:t>
      </w:r>
      <w:bookmarkStart w:id="0" w:name="_GoBack"/>
      <w:bookmarkEnd w:id="0"/>
      <w:r w:rsidR="00276781">
        <w:rPr>
          <w:sz w:val="22"/>
        </w:rPr>
        <w:t xml:space="preserve"> 2022</w:t>
      </w:r>
    </w:p>
    <w:p w14:paraId="381FAE02" w14:textId="0942E431" w:rsidR="00CE3B64" w:rsidRPr="00CE3B64" w:rsidRDefault="00457759" w:rsidP="005B558D">
      <w:pPr>
        <w:pStyle w:val="Title"/>
        <w:spacing w:before="0" w:line="240" w:lineRule="auto"/>
        <w:contextualSpacing w:val="0"/>
        <w:rPr>
          <w:rFonts w:ascii="Arial" w:hAnsi="Arial" w:cs="Arial"/>
          <w:b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b/>
          <w:color w:val="000000" w:themeColor="text1"/>
          <w:sz w:val="23"/>
          <w:szCs w:val="23"/>
        </w:rPr>
        <w:t>Management of Indemnities</w:t>
      </w:r>
    </w:p>
    <w:p w14:paraId="37F79955" w14:textId="233E113D" w:rsidR="00457759" w:rsidRPr="00CE3B64" w:rsidRDefault="00457759" w:rsidP="00CE3B64">
      <w:pPr>
        <w:pStyle w:val="Title"/>
        <w:spacing w:before="0"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CE3B64">
        <w:rPr>
          <w:rFonts w:ascii="Arial" w:eastAsiaTheme="minorHAnsi" w:hAnsi="Arial" w:cs="Arial"/>
          <w:bCs w:val="0"/>
          <w:color w:val="000000" w:themeColor="text1"/>
          <w:kern w:val="0"/>
          <w:sz w:val="23"/>
          <w:szCs w:val="23"/>
        </w:rPr>
        <w:t>Contracts, deeds or other documents may include indemnity clauses which potentially extend the liabi</w:t>
      </w:r>
      <w:r w:rsidR="00A0641A" w:rsidRPr="00CE3B64">
        <w:rPr>
          <w:rFonts w:ascii="Arial" w:eastAsiaTheme="minorHAnsi" w:hAnsi="Arial" w:cs="Arial"/>
          <w:bCs w:val="0"/>
          <w:color w:val="000000" w:themeColor="text1"/>
          <w:kern w:val="0"/>
          <w:sz w:val="23"/>
          <w:szCs w:val="23"/>
        </w:rPr>
        <w:t>lities of Comcover Fund Members, and effectively have Fund Members assuming the liabilities of a third party</w:t>
      </w:r>
      <w:r w:rsidR="00CE3B64" w:rsidRPr="00CE3B64">
        <w:rPr>
          <w:rFonts w:ascii="Arial" w:eastAsiaTheme="minorHAnsi" w:hAnsi="Arial" w:cs="Arial"/>
          <w:bCs w:val="0"/>
          <w:color w:val="000000" w:themeColor="text1"/>
          <w:kern w:val="0"/>
          <w:sz w:val="23"/>
          <w:szCs w:val="23"/>
        </w:rPr>
        <w:t>.</w:t>
      </w:r>
      <w:r w:rsidR="00CE3B64" w:rsidRPr="00CE3B64">
        <w:rPr>
          <w:rFonts w:ascii="Arial" w:eastAsiaTheme="minorHAnsi" w:hAnsi="Arial" w:cs="Arial"/>
          <w:bCs w:val="0"/>
          <w:color w:val="000000" w:themeColor="text1"/>
          <w:kern w:val="0"/>
          <w:sz w:val="23"/>
          <w:szCs w:val="23"/>
        </w:rPr>
        <w:br/>
      </w:r>
    </w:p>
    <w:p w14:paraId="40CBDDCF" w14:textId="6A2714AF" w:rsidR="00D3714C" w:rsidRDefault="0071288A" w:rsidP="005B558D">
      <w:pPr>
        <w:pStyle w:val="Title"/>
        <w:spacing w:before="0" w:line="240" w:lineRule="auto"/>
        <w:contextualSpacing w:val="0"/>
        <w:rPr>
          <w:rFonts w:ascii="Arial" w:hAnsi="Arial" w:cs="Arial"/>
          <w:color w:val="000000" w:themeColor="text1"/>
          <w:sz w:val="23"/>
          <w:szCs w:val="23"/>
        </w:rPr>
      </w:pPr>
      <w:r w:rsidRPr="005B558D">
        <w:rPr>
          <w:rFonts w:ascii="Arial" w:hAnsi="Arial" w:cs="Arial"/>
          <w:b/>
          <w:color w:val="000000" w:themeColor="text1"/>
          <w:sz w:val="23"/>
          <w:szCs w:val="23"/>
        </w:rPr>
        <w:t>Comcover</w:t>
      </w:r>
      <w:r w:rsidRPr="00CE3B64">
        <w:rPr>
          <w:b/>
          <w:color w:val="000000" w:themeColor="text1"/>
          <w:sz w:val="23"/>
          <w:szCs w:val="23"/>
        </w:rPr>
        <w:t xml:space="preserve"> </w:t>
      </w:r>
      <w:r w:rsidRPr="005B558D">
        <w:rPr>
          <w:rFonts w:ascii="Arial" w:hAnsi="Arial" w:cs="Arial"/>
          <w:b/>
          <w:color w:val="000000" w:themeColor="text1"/>
          <w:sz w:val="23"/>
          <w:szCs w:val="23"/>
        </w:rPr>
        <w:t>Statement</w:t>
      </w:r>
      <w:r w:rsidRPr="00CE3B64">
        <w:rPr>
          <w:b/>
          <w:color w:val="000000" w:themeColor="text1"/>
          <w:sz w:val="23"/>
          <w:szCs w:val="23"/>
        </w:rPr>
        <w:t xml:space="preserve"> of Cove</w:t>
      </w:r>
      <w:r w:rsidR="00A0641A" w:rsidRPr="00CE3B64">
        <w:rPr>
          <w:b/>
          <w:color w:val="000000" w:themeColor="text1"/>
          <w:sz w:val="23"/>
          <w:szCs w:val="23"/>
        </w:rPr>
        <w:t>r</w:t>
      </w:r>
    </w:p>
    <w:p w14:paraId="5656E6E7" w14:textId="5FB86A1E" w:rsidR="00457759" w:rsidRPr="00CE3B64" w:rsidRDefault="009C0FC2" w:rsidP="005B558D">
      <w:pPr>
        <w:pStyle w:val="Title"/>
        <w:spacing w:before="0" w:line="240" w:lineRule="auto"/>
        <w:contextualSpacing w:val="0"/>
        <w:rPr>
          <w:b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General Exclusion </w:t>
      </w:r>
      <w:r w:rsidR="00457759" w:rsidRPr="00CE3B64">
        <w:rPr>
          <w:rFonts w:ascii="Arial" w:hAnsi="Arial" w:cs="Arial"/>
          <w:color w:val="000000" w:themeColor="text1"/>
          <w:sz w:val="23"/>
          <w:szCs w:val="23"/>
        </w:rPr>
        <w:t xml:space="preserve">18(3) of the </w:t>
      </w:r>
      <w:hyperlink r:id="rId10" w:history="1">
        <w:r w:rsidR="00457759" w:rsidRPr="00CE3B64">
          <w:rPr>
            <w:rFonts w:ascii="Arial" w:hAnsi="Arial" w:cs="Arial"/>
            <w:color w:val="000000" w:themeColor="text1"/>
            <w:sz w:val="23"/>
            <w:szCs w:val="23"/>
          </w:rPr>
          <w:t>Comcover Statement of Cover</w:t>
        </w:r>
      </w:hyperlink>
      <w:r w:rsidR="00457759" w:rsidRPr="00CE3B64">
        <w:rPr>
          <w:rFonts w:ascii="Arial" w:hAnsi="Arial" w:cs="Arial"/>
          <w:color w:val="000000" w:themeColor="text1"/>
          <w:sz w:val="23"/>
          <w:szCs w:val="23"/>
        </w:rPr>
        <w:t xml:space="preserve"> advises 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>the limitations of cover provided:</w:t>
      </w:r>
      <w:r w:rsidR="00457759" w:rsidRPr="00CE3B64">
        <w:rPr>
          <w:rFonts w:ascii="Arial" w:hAnsi="Arial" w:cs="Arial"/>
          <w:color w:val="000000" w:themeColor="text1"/>
          <w:sz w:val="23"/>
          <w:szCs w:val="23"/>
        </w:rPr>
        <w:t xml:space="preserve">  </w:t>
      </w:r>
    </w:p>
    <w:p w14:paraId="5EE50A07" w14:textId="32100BBE" w:rsidR="00457759" w:rsidRPr="00CE3B64" w:rsidRDefault="00457759" w:rsidP="00457759">
      <w:pPr>
        <w:spacing w:after="12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Comcover </w:t>
      </w:r>
      <w:r w:rsidRPr="005B558D">
        <w:rPr>
          <w:rFonts w:ascii="Arial" w:hAnsi="Arial" w:cs="Arial"/>
          <w:color w:val="000000" w:themeColor="text1"/>
          <w:sz w:val="23"/>
          <w:szCs w:val="23"/>
          <w:u w:val="single"/>
        </w:rPr>
        <w:t>will not pay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 for liability arising out of any indemnity </w:t>
      </w:r>
      <w:r w:rsidRPr="00100CFA">
        <w:rPr>
          <w:rFonts w:ascii="Arial" w:hAnsi="Arial" w:cs="Arial"/>
          <w:color w:val="000000" w:themeColor="text1"/>
          <w:sz w:val="23"/>
          <w:szCs w:val="23"/>
          <w:u w:val="single"/>
        </w:rPr>
        <w:t>unless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>:</w:t>
      </w:r>
    </w:p>
    <w:p w14:paraId="13BE8DC8" w14:textId="78517E13" w:rsidR="00457759" w:rsidRPr="00CE3B64" w:rsidRDefault="00457759" w:rsidP="00457759">
      <w:pPr>
        <w:pStyle w:val="ListParagraph"/>
        <w:widowControl/>
        <w:numPr>
          <w:ilvl w:val="0"/>
          <w:numId w:val="35"/>
        </w:numPr>
        <w:spacing w:after="120" w:line="240" w:lineRule="auto"/>
        <w:ind w:left="425" w:hanging="425"/>
        <w:contextualSpacing w:val="0"/>
        <w:rPr>
          <w:rFonts w:ascii="Arial" w:hAnsi="Arial" w:cs="Arial"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>the liability would have arisen in the absence of such indemnity (for example, under common law);</w:t>
      </w:r>
      <w:r w:rsidR="005B558D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>or</w:t>
      </w:r>
    </w:p>
    <w:p w14:paraId="1051DFF7" w14:textId="77777777" w:rsidR="00457759" w:rsidRPr="00CE3B64" w:rsidRDefault="00457759" w:rsidP="00457759">
      <w:pPr>
        <w:pStyle w:val="ListParagraph"/>
        <w:widowControl/>
        <w:numPr>
          <w:ilvl w:val="0"/>
          <w:numId w:val="35"/>
        </w:numPr>
        <w:spacing w:after="120" w:line="240" w:lineRule="auto"/>
        <w:ind w:left="425" w:hanging="425"/>
        <w:contextualSpacing w:val="0"/>
        <w:rPr>
          <w:rFonts w:ascii="Arial" w:hAnsi="Arial" w:cs="Arial"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>the indemnity is contained in a contract, deed or other document where the contract, deed or other document was entered into prior to 1 July 2004; or</w:t>
      </w:r>
    </w:p>
    <w:p w14:paraId="01AF041E" w14:textId="15040ED1" w:rsidR="00457759" w:rsidRPr="00CE3B64" w:rsidRDefault="00457759" w:rsidP="00B23930">
      <w:pPr>
        <w:pStyle w:val="ListParagraph"/>
        <w:widowControl/>
        <w:numPr>
          <w:ilvl w:val="0"/>
          <w:numId w:val="35"/>
        </w:numPr>
        <w:spacing w:after="120" w:line="240" w:lineRule="auto"/>
        <w:ind w:left="425" w:hanging="425"/>
        <w:contextualSpacing w:val="0"/>
        <w:rPr>
          <w:rFonts w:ascii="Arial" w:hAnsi="Arial" w:cs="Arial"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>the Fund Member has followed Australian Government policy on the issuin</w:t>
      </w:r>
      <w:r w:rsidR="009C0FC2" w:rsidRPr="00CE3B64">
        <w:rPr>
          <w:rFonts w:ascii="Arial" w:hAnsi="Arial" w:cs="Arial"/>
          <w:color w:val="000000" w:themeColor="text1"/>
          <w:sz w:val="23"/>
          <w:szCs w:val="23"/>
        </w:rPr>
        <w:t xml:space="preserve">g and managing of indemnities, and, 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after making reasonable inquiries, </w:t>
      </w:r>
      <w:r w:rsidR="00D31762">
        <w:rPr>
          <w:rFonts w:ascii="Arial" w:hAnsi="Arial" w:cs="Arial"/>
          <w:color w:val="000000" w:themeColor="text1"/>
          <w:sz w:val="23"/>
          <w:szCs w:val="23"/>
        </w:rPr>
        <w:t>it is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 assessed</w:t>
      </w:r>
      <w:r w:rsidR="00D31762">
        <w:rPr>
          <w:rFonts w:ascii="Arial" w:hAnsi="Arial" w:cs="Arial"/>
          <w:color w:val="000000" w:themeColor="text1"/>
          <w:sz w:val="23"/>
          <w:szCs w:val="23"/>
        </w:rPr>
        <w:t xml:space="preserve"> that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>:</w:t>
      </w:r>
    </w:p>
    <w:p w14:paraId="323DA746" w14:textId="77777777" w:rsidR="00457759" w:rsidRPr="00CE3B64" w:rsidRDefault="00457759" w:rsidP="00457759">
      <w:pPr>
        <w:pStyle w:val="ListParagraph"/>
        <w:widowControl/>
        <w:numPr>
          <w:ilvl w:val="0"/>
          <w:numId w:val="37"/>
        </w:numPr>
        <w:spacing w:before="120" w:after="120" w:line="240" w:lineRule="auto"/>
        <w:contextualSpacing w:val="0"/>
        <w:rPr>
          <w:rFonts w:ascii="Arial" w:hAnsi="Arial" w:cs="Arial"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>the likelihood of the event giving rise to the liability occurring is less than 5%; and</w:t>
      </w:r>
    </w:p>
    <w:p w14:paraId="02470100" w14:textId="77777777" w:rsidR="00457759" w:rsidRPr="00CE3B64" w:rsidRDefault="00457759" w:rsidP="00457759">
      <w:pPr>
        <w:pStyle w:val="ListParagraph"/>
        <w:widowControl/>
        <w:numPr>
          <w:ilvl w:val="0"/>
          <w:numId w:val="37"/>
        </w:numPr>
        <w:spacing w:before="100" w:beforeAutospacing="1" w:line="240" w:lineRule="auto"/>
        <w:contextualSpacing w:val="0"/>
        <w:rPr>
          <w:rFonts w:ascii="Arial" w:hAnsi="Arial" w:cs="Arial"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>the most probable expenditure that would need to be made if the event giving rise to the liability occurred is less than $5,000,000.</w:t>
      </w:r>
    </w:p>
    <w:p w14:paraId="78FE1BF0" w14:textId="24547CBA" w:rsidR="00457759" w:rsidRPr="00CE3B64" w:rsidRDefault="009C0FC2" w:rsidP="00457759">
      <w:pPr>
        <w:spacing w:before="100" w:beforeAutospacing="1" w:line="240" w:lineRule="auto"/>
        <w:rPr>
          <w:rFonts w:ascii="Arial" w:hAnsi="Arial" w:cs="Arial"/>
          <w:color w:val="000000" w:themeColor="text1"/>
          <w:sz w:val="23"/>
          <w:szCs w:val="23"/>
          <w:lang w:val="en-US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If the indemnity provided falls within </w:t>
      </w:r>
      <w:r w:rsidR="005B558D">
        <w:rPr>
          <w:rFonts w:ascii="Arial" w:hAnsi="Arial" w:cs="Arial"/>
          <w:color w:val="000000" w:themeColor="text1"/>
          <w:sz w:val="23"/>
          <w:szCs w:val="23"/>
        </w:rPr>
        <w:t>the above</w:t>
      </w:r>
      <w:r w:rsidR="005B558D" w:rsidRPr="00CE3B6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parameters, it is automatically covered under the Statement of Cover. </w:t>
      </w:r>
    </w:p>
    <w:p w14:paraId="4782B635" w14:textId="25DEDF29" w:rsidR="00457759" w:rsidRPr="00CE3B64" w:rsidRDefault="00457759" w:rsidP="00457759">
      <w:pPr>
        <w:keepNext/>
        <w:spacing w:after="12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5B558D">
        <w:rPr>
          <w:rFonts w:ascii="Arial" w:hAnsi="Arial" w:cs="Arial"/>
          <w:color w:val="000000" w:themeColor="text1"/>
          <w:sz w:val="23"/>
          <w:szCs w:val="23"/>
          <w:u w:val="single"/>
        </w:rPr>
        <w:t>If the indemnity does not fall within th</w:t>
      </w:r>
      <w:r w:rsidR="00334075" w:rsidRPr="005B558D">
        <w:rPr>
          <w:rFonts w:ascii="Arial" w:hAnsi="Arial" w:cs="Arial"/>
          <w:color w:val="000000" w:themeColor="text1"/>
          <w:sz w:val="23"/>
          <w:szCs w:val="23"/>
          <w:u w:val="single"/>
        </w:rPr>
        <w:t>os</w:t>
      </w:r>
      <w:r w:rsidRPr="005B558D">
        <w:rPr>
          <w:rFonts w:ascii="Arial" w:hAnsi="Arial" w:cs="Arial"/>
          <w:color w:val="000000" w:themeColor="text1"/>
          <w:sz w:val="23"/>
          <w:szCs w:val="23"/>
          <w:u w:val="single"/>
        </w:rPr>
        <w:t xml:space="preserve">e </w:t>
      </w:r>
      <w:r w:rsidR="00334075" w:rsidRPr="005B558D">
        <w:rPr>
          <w:rFonts w:ascii="Arial" w:hAnsi="Arial" w:cs="Arial"/>
          <w:color w:val="000000" w:themeColor="text1"/>
          <w:sz w:val="23"/>
          <w:szCs w:val="23"/>
          <w:u w:val="single"/>
        </w:rPr>
        <w:t>parameter</w:t>
      </w:r>
      <w:r w:rsidRPr="005B558D">
        <w:rPr>
          <w:rFonts w:ascii="Arial" w:hAnsi="Arial" w:cs="Arial"/>
          <w:color w:val="000000" w:themeColor="text1"/>
          <w:sz w:val="23"/>
          <w:szCs w:val="23"/>
          <w:u w:val="single"/>
        </w:rPr>
        <w:t>s</w:t>
      </w:r>
      <w:r w:rsidR="00334075" w:rsidRPr="00CE3B64">
        <w:rPr>
          <w:rFonts w:ascii="Arial" w:hAnsi="Arial" w:cs="Arial"/>
          <w:color w:val="000000" w:themeColor="text1"/>
          <w:sz w:val="23"/>
          <w:szCs w:val="23"/>
        </w:rPr>
        <w:t>, Comcover may consider extending cover to the additional insurable risks assumed.</w:t>
      </w:r>
      <w:r w:rsidR="005B558D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D3714C">
        <w:rPr>
          <w:rFonts w:ascii="Arial" w:hAnsi="Arial" w:cs="Arial"/>
          <w:color w:val="000000" w:themeColor="text1"/>
          <w:sz w:val="23"/>
          <w:szCs w:val="23"/>
        </w:rPr>
        <w:t>The Fund Member is to prepare a</w:t>
      </w:r>
      <w:r w:rsidR="00334075" w:rsidRPr="00CE3B64">
        <w:rPr>
          <w:rFonts w:ascii="Arial" w:hAnsi="Arial" w:cs="Arial"/>
          <w:color w:val="000000" w:themeColor="text1"/>
          <w:sz w:val="23"/>
          <w:szCs w:val="23"/>
        </w:rPr>
        <w:t xml:space="preserve"> business case outlining:</w:t>
      </w:r>
    </w:p>
    <w:p w14:paraId="51A787B3" w14:textId="4FB0E628" w:rsidR="00334075" w:rsidRPr="00CE3B64" w:rsidRDefault="00334075" w:rsidP="008609D4">
      <w:pPr>
        <w:pStyle w:val="ListParagraph"/>
        <w:widowControl/>
        <w:numPr>
          <w:ilvl w:val="0"/>
          <w:numId w:val="35"/>
        </w:numPr>
        <w:spacing w:after="120" w:line="240" w:lineRule="auto"/>
        <w:ind w:left="425" w:hanging="425"/>
        <w:contextualSpacing w:val="0"/>
        <w:rPr>
          <w:rFonts w:ascii="Arial" w:hAnsi="Arial" w:cs="Arial"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>the indemnity clauses, plus any other relevant clauses of the contract, deed or other document</w:t>
      </w:r>
      <w:r w:rsidR="00EC50DA" w:rsidRPr="00CE3B64"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07E0CAFF" w14:textId="7F830D9D" w:rsidR="00334075" w:rsidRPr="00CE3B64" w:rsidRDefault="00334075" w:rsidP="008609D4">
      <w:pPr>
        <w:pStyle w:val="ListParagraph"/>
        <w:widowControl/>
        <w:numPr>
          <w:ilvl w:val="0"/>
          <w:numId w:val="35"/>
        </w:numPr>
        <w:spacing w:after="120" w:line="240" w:lineRule="auto"/>
        <w:ind w:left="425" w:hanging="425"/>
        <w:contextualSpacing w:val="0"/>
        <w:rPr>
          <w:rFonts w:ascii="Arial" w:hAnsi="Arial" w:cs="Arial"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>legal advice which specifically addresses the additional insurable risks to be assumed</w:t>
      </w:r>
      <w:r w:rsidR="00EC50DA" w:rsidRPr="00CE3B64">
        <w:rPr>
          <w:rFonts w:ascii="Arial" w:hAnsi="Arial" w:cs="Arial"/>
          <w:color w:val="000000" w:themeColor="text1"/>
          <w:sz w:val="23"/>
          <w:szCs w:val="23"/>
        </w:rPr>
        <w:t>; and</w:t>
      </w:r>
    </w:p>
    <w:p w14:paraId="3BA39B98" w14:textId="421A03B8" w:rsidR="00334075" w:rsidRPr="00CE3B64" w:rsidRDefault="00334075" w:rsidP="008609D4">
      <w:pPr>
        <w:pStyle w:val="ListParagraph"/>
        <w:widowControl/>
        <w:numPr>
          <w:ilvl w:val="0"/>
          <w:numId w:val="35"/>
        </w:numPr>
        <w:spacing w:after="120" w:line="240" w:lineRule="auto"/>
        <w:ind w:left="425" w:hanging="425"/>
        <w:contextualSpacing w:val="0"/>
        <w:rPr>
          <w:rFonts w:ascii="Arial" w:hAnsi="Arial" w:cs="Arial"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a copy of the risk assessment relevant to the additional </w:t>
      </w:r>
      <w:r w:rsidR="008609D4" w:rsidRPr="00CE3B64">
        <w:rPr>
          <w:rFonts w:ascii="Arial" w:hAnsi="Arial" w:cs="Arial"/>
          <w:color w:val="000000" w:themeColor="text1"/>
          <w:sz w:val="23"/>
          <w:szCs w:val="23"/>
        </w:rPr>
        <w:t xml:space="preserve">insurable risk </w:t>
      </w:r>
      <w:r w:rsidR="00D31762">
        <w:rPr>
          <w:rFonts w:ascii="Arial" w:hAnsi="Arial" w:cs="Arial"/>
          <w:color w:val="000000" w:themeColor="text1"/>
          <w:sz w:val="23"/>
          <w:szCs w:val="23"/>
        </w:rPr>
        <w:t>under consideration</w:t>
      </w:r>
      <w:r w:rsidR="008609D4" w:rsidRPr="00CE3B64">
        <w:rPr>
          <w:rFonts w:ascii="Arial" w:hAnsi="Arial" w:cs="Arial"/>
          <w:color w:val="000000" w:themeColor="text1"/>
          <w:sz w:val="23"/>
          <w:szCs w:val="23"/>
        </w:rPr>
        <w:t xml:space="preserve">, including the consequence in dollar terms. </w:t>
      </w:r>
    </w:p>
    <w:p w14:paraId="277C0B47" w14:textId="6644290A" w:rsidR="00E07F34" w:rsidRDefault="008609D4" w:rsidP="00FC730B">
      <w:pPr>
        <w:spacing w:before="120" w:after="240" w:line="240" w:lineRule="auto"/>
        <w:rPr>
          <w:b/>
          <w:color w:val="000000" w:themeColor="text1"/>
          <w:sz w:val="23"/>
          <w:szCs w:val="23"/>
        </w:rPr>
      </w:pP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While Comcover will consider the request for cover, it cannot evaluate or provide advice on the business practices of </w:t>
      </w:r>
      <w:r w:rsidR="00D31762">
        <w:rPr>
          <w:rFonts w:ascii="Arial" w:hAnsi="Arial" w:cs="Arial"/>
          <w:color w:val="000000" w:themeColor="text1"/>
          <w:sz w:val="23"/>
          <w:szCs w:val="23"/>
        </w:rPr>
        <w:t>Fund Members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D31762">
        <w:rPr>
          <w:rFonts w:ascii="Arial" w:hAnsi="Arial" w:cs="Arial"/>
          <w:color w:val="000000" w:themeColor="text1"/>
          <w:sz w:val="23"/>
          <w:szCs w:val="23"/>
        </w:rPr>
        <w:t>n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or </w:t>
      </w:r>
      <w:r w:rsidR="00D31762">
        <w:rPr>
          <w:rFonts w:ascii="Arial" w:hAnsi="Arial" w:cs="Arial"/>
          <w:color w:val="000000" w:themeColor="text1"/>
          <w:sz w:val="23"/>
          <w:szCs w:val="23"/>
        </w:rPr>
        <w:t xml:space="preserve">can it 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coordinate approval from other areas of the Department of Finance. </w:t>
      </w:r>
      <w:r w:rsidR="0071288A" w:rsidRPr="00CE3B64">
        <w:rPr>
          <w:rFonts w:ascii="Arial" w:hAnsi="Arial" w:cs="Arial"/>
          <w:color w:val="000000" w:themeColor="text1"/>
          <w:sz w:val="23"/>
          <w:szCs w:val="23"/>
        </w:rPr>
        <w:t xml:space="preserve">Fund Members must follow all applicable government policy, rules and guidelines in </w:t>
      </w:r>
      <w:r w:rsidR="00E07F34">
        <w:rPr>
          <w:rFonts w:ascii="Arial" w:hAnsi="Arial" w:cs="Arial"/>
          <w:color w:val="000000" w:themeColor="text1"/>
          <w:sz w:val="23"/>
          <w:szCs w:val="23"/>
        </w:rPr>
        <w:t>this respect</w:t>
      </w:r>
      <w:r w:rsidR="0071288A" w:rsidRPr="00CE3B64">
        <w:rPr>
          <w:rFonts w:ascii="Arial" w:hAnsi="Arial" w:cs="Arial"/>
          <w:color w:val="000000" w:themeColor="text1"/>
          <w:sz w:val="23"/>
          <w:szCs w:val="23"/>
        </w:rPr>
        <w:t>.</w:t>
      </w:r>
      <w:r w:rsidR="00E07F3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Depending on the likely </w:t>
      </w:r>
      <w:r w:rsidR="00D31762">
        <w:rPr>
          <w:rFonts w:ascii="Arial" w:hAnsi="Arial" w:cs="Arial"/>
          <w:color w:val="000000" w:themeColor="text1"/>
          <w:sz w:val="23"/>
          <w:szCs w:val="23"/>
        </w:rPr>
        <w:t>level of expenditure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D31762">
        <w:rPr>
          <w:rFonts w:ascii="Arial" w:hAnsi="Arial" w:cs="Arial"/>
          <w:color w:val="000000" w:themeColor="text1"/>
          <w:sz w:val="23"/>
          <w:szCs w:val="23"/>
        </w:rPr>
        <w:t>Fund Members</w:t>
      </w:r>
      <w:r w:rsidR="00D31762" w:rsidRPr="00CE3B6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may also need to engage with </w:t>
      </w:r>
      <w:r w:rsidR="00D31762">
        <w:rPr>
          <w:rFonts w:ascii="Arial" w:hAnsi="Arial" w:cs="Arial"/>
          <w:color w:val="000000" w:themeColor="text1"/>
          <w:sz w:val="23"/>
          <w:szCs w:val="23"/>
        </w:rPr>
        <w:t>their</w:t>
      </w:r>
      <w:r w:rsidR="00D31762" w:rsidRPr="00CE3B6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Agency Advice Unit (AAU) and the PGPA Advisory Branch.  </w:t>
      </w:r>
    </w:p>
    <w:p w14:paraId="17F8BB0A" w14:textId="2A667EEB" w:rsidR="00D3714C" w:rsidRDefault="00457759" w:rsidP="001A327C">
      <w:pPr>
        <w:spacing w:before="0" w:after="120"/>
        <w:rPr>
          <w:b/>
          <w:color w:val="000000" w:themeColor="text1"/>
          <w:sz w:val="23"/>
          <w:szCs w:val="23"/>
        </w:rPr>
      </w:pPr>
      <w:r w:rsidRPr="00CE3B64">
        <w:rPr>
          <w:b/>
          <w:color w:val="000000" w:themeColor="text1"/>
          <w:sz w:val="23"/>
          <w:szCs w:val="23"/>
        </w:rPr>
        <w:t>Comcover Contact</w:t>
      </w:r>
    </w:p>
    <w:p w14:paraId="034F72A3" w14:textId="45A4F602" w:rsidR="00457759" w:rsidRPr="00457759" w:rsidRDefault="00457759" w:rsidP="001A327C">
      <w:pPr>
        <w:spacing w:before="0" w:after="120"/>
      </w:pPr>
      <w:r w:rsidRPr="00CE3B64">
        <w:rPr>
          <w:rFonts w:ascii="Arial" w:hAnsi="Arial" w:cs="Arial"/>
          <w:color w:val="000000" w:themeColor="text1"/>
          <w:sz w:val="23"/>
          <w:szCs w:val="23"/>
        </w:rPr>
        <w:t>If you have any questions in relation to cover for indemnities, please contact your Relationship Manager</w:t>
      </w:r>
      <w:r w:rsidR="008609D4" w:rsidRPr="00CE3B64">
        <w:rPr>
          <w:rFonts w:ascii="Arial" w:hAnsi="Arial" w:cs="Arial"/>
          <w:color w:val="000000" w:themeColor="text1"/>
          <w:sz w:val="23"/>
          <w:szCs w:val="23"/>
        </w:rPr>
        <w:t xml:space="preserve"> directly.  If you do not know the Relationship Manager assigned to your entity, please call</w:t>
      </w:r>
      <w:r w:rsidRPr="00CE3B64">
        <w:rPr>
          <w:rFonts w:ascii="Arial" w:hAnsi="Arial" w:cs="Arial"/>
          <w:color w:val="000000" w:themeColor="text1"/>
          <w:sz w:val="23"/>
          <w:szCs w:val="23"/>
        </w:rPr>
        <w:t xml:space="preserve"> 1800 651 540 - Option 3 or email </w:t>
      </w:r>
      <w:hyperlink r:id="rId11" w:history="1">
        <w:r w:rsidRPr="00CE3B64">
          <w:rPr>
            <w:rStyle w:val="Hyperlink"/>
            <w:rFonts w:ascii="Arial" w:hAnsi="Arial" w:cs="Arial"/>
            <w:color w:val="0070C0"/>
            <w:sz w:val="23"/>
            <w:szCs w:val="23"/>
          </w:rPr>
          <w:t>comcover@comcover.com.au</w:t>
        </w:r>
      </w:hyperlink>
      <w:r w:rsidRPr="00CE3B64">
        <w:rPr>
          <w:rFonts w:ascii="Arial" w:hAnsi="Arial" w:cs="Arial"/>
          <w:color w:val="0070C0"/>
          <w:sz w:val="23"/>
          <w:szCs w:val="23"/>
        </w:rPr>
        <w:t>.</w:t>
      </w:r>
    </w:p>
    <w:sectPr w:rsidR="00457759" w:rsidRPr="00457759" w:rsidSect="00CE3B64">
      <w:type w:val="continuous"/>
      <w:pgSz w:w="11906" w:h="16838" w:code="9"/>
      <w:pgMar w:top="1418" w:right="720" w:bottom="284" w:left="72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5F8B" w14:textId="77777777" w:rsidR="00B44447" w:rsidRDefault="00B44447" w:rsidP="00403543">
      <w:r>
        <w:separator/>
      </w:r>
    </w:p>
  </w:endnote>
  <w:endnote w:type="continuationSeparator" w:id="0">
    <w:p w14:paraId="381E5E84" w14:textId="77777777" w:rsidR="00B44447" w:rsidRDefault="00B44447" w:rsidP="0040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7A0A4" w14:textId="77777777" w:rsidR="00B44447" w:rsidRDefault="00B44447" w:rsidP="00403543">
      <w:pPr>
        <w:pStyle w:val="FootnoteSeparator"/>
      </w:pPr>
    </w:p>
  </w:footnote>
  <w:footnote w:type="continuationSeparator" w:id="0">
    <w:p w14:paraId="33E236B8" w14:textId="77777777" w:rsidR="00B44447" w:rsidRDefault="00B44447" w:rsidP="0040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C253" w14:textId="77777777" w:rsidR="001E3916" w:rsidRPr="00C337B1" w:rsidRDefault="001E3916" w:rsidP="001E3916">
    <w:pPr>
      <w:pStyle w:val="Header"/>
      <w:jc w:val="left"/>
      <w:rPr>
        <w:sz w:val="20"/>
        <w:szCs w:val="20"/>
      </w:rPr>
    </w:pPr>
    <w:r>
      <w:rPr>
        <w:b/>
        <w:caps/>
        <w:noProof/>
        <w:sz w:val="24"/>
        <w:lang w:eastAsia="en-AU"/>
      </w:rPr>
      <w:drawing>
        <wp:anchor distT="0" distB="0" distL="114300" distR="114300" simplePos="0" relativeHeight="251657216" behindDoc="1" locked="0" layoutInCell="1" allowOverlap="1" wp14:anchorId="58071190" wp14:editId="2239A917">
          <wp:simplePos x="0" y="0"/>
          <wp:positionH relativeFrom="page">
            <wp:posOffset>1856</wp:posOffset>
          </wp:positionH>
          <wp:positionV relativeFrom="paragraph">
            <wp:posOffset>-375920</wp:posOffset>
          </wp:positionV>
          <wp:extent cx="7541537" cy="1081119"/>
          <wp:effectExtent l="0" t="0" r="2540" b="5080"/>
          <wp:wrapNone/>
          <wp:docPr id="20" name="Picture 20" descr="C:\Users\seabel\AppData\Local\Microsoft\Windows\INetCache\Content.Word\CI templates_newsletter blue 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abel\AppData\Local\Microsoft\Windows\INetCache\Content.Word\CI templates_newsletter blue 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537" cy="1081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759">
      <w:rPr>
        <w:sz w:val="20"/>
        <w:szCs w:val="20"/>
      </w:rPr>
      <w:t>Management of Indemnities</w:t>
    </w:r>
  </w:p>
  <w:p w14:paraId="3432D214" w14:textId="77777777" w:rsidR="00DB6D69" w:rsidRDefault="00DB6D69" w:rsidP="00403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B8BF" w14:textId="77777777" w:rsidR="000C2A48" w:rsidRDefault="008C25F0" w:rsidP="00403543">
    <w:pPr>
      <w:pStyle w:val="Header"/>
    </w:pPr>
    <w:r>
      <w:rPr>
        <w:noProof/>
      </w:rPr>
      <w:pict w14:anchorId="1918A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6pt;margin-top:-30.5pt;width:598.2pt;height:161.6pt;z-index:-251658240;mso-position-horizontal-relative:text;mso-position-vertical-relative:text;mso-width-relative:page;mso-height-relative:page">
          <v:imagedata r:id="rId1" o:title="CI templates_newsletter blue P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8CC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9A5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F88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EA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4CE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10B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6B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83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528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85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F3B"/>
    <w:multiLevelType w:val="hybridMultilevel"/>
    <w:tmpl w:val="865CE0D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364A7E"/>
    <w:multiLevelType w:val="multilevel"/>
    <w:tmpl w:val="E55C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A47286"/>
    <w:multiLevelType w:val="hybridMultilevel"/>
    <w:tmpl w:val="A22C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D60D7"/>
    <w:multiLevelType w:val="hybridMultilevel"/>
    <w:tmpl w:val="A3429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8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7"/>
  </w:num>
  <w:num w:numId="35">
    <w:abstractNumId w:val="1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21B85"/>
    <w:rsid w:val="0002782F"/>
    <w:rsid w:val="00054E4D"/>
    <w:rsid w:val="00060073"/>
    <w:rsid w:val="000A4B30"/>
    <w:rsid w:val="000A6A8B"/>
    <w:rsid w:val="000C2A48"/>
    <w:rsid w:val="000D60B1"/>
    <w:rsid w:val="00100CFA"/>
    <w:rsid w:val="001541EA"/>
    <w:rsid w:val="001612A4"/>
    <w:rsid w:val="001A327C"/>
    <w:rsid w:val="001E1DC0"/>
    <w:rsid w:val="001E3916"/>
    <w:rsid w:val="0020122A"/>
    <w:rsid w:val="00276781"/>
    <w:rsid w:val="0028602A"/>
    <w:rsid w:val="00301144"/>
    <w:rsid w:val="003148B7"/>
    <w:rsid w:val="003158C3"/>
    <w:rsid w:val="003274CD"/>
    <w:rsid w:val="00334075"/>
    <w:rsid w:val="0035119D"/>
    <w:rsid w:val="00370C2F"/>
    <w:rsid w:val="0037276D"/>
    <w:rsid w:val="003807A9"/>
    <w:rsid w:val="003B4F12"/>
    <w:rsid w:val="00403543"/>
    <w:rsid w:val="00423F31"/>
    <w:rsid w:val="00431899"/>
    <w:rsid w:val="00457759"/>
    <w:rsid w:val="00486804"/>
    <w:rsid w:val="004B3775"/>
    <w:rsid w:val="004E058F"/>
    <w:rsid w:val="004E3B87"/>
    <w:rsid w:val="00510921"/>
    <w:rsid w:val="00510AD3"/>
    <w:rsid w:val="00513348"/>
    <w:rsid w:val="00533B5D"/>
    <w:rsid w:val="005506BA"/>
    <w:rsid w:val="0057158D"/>
    <w:rsid w:val="005970EA"/>
    <w:rsid w:val="005A6C78"/>
    <w:rsid w:val="005B558D"/>
    <w:rsid w:val="005C0D6E"/>
    <w:rsid w:val="005C37F0"/>
    <w:rsid w:val="005E45E3"/>
    <w:rsid w:val="00623BA1"/>
    <w:rsid w:val="006346BC"/>
    <w:rsid w:val="006508E2"/>
    <w:rsid w:val="0066652A"/>
    <w:rsid w:val="00682167"/>
    <w:rsid w:val="006C42AF"/>
    <w:rsid w:val="006C4DD1"/>
    <w:rsid w:val="006E0265"/>
    <w:rsid w:val="00711D8E"/>
    <w:rsid w:val="00712672"/>
    <w:rsid w:val="0071288A"/>
    <w:rsid w:val="00734E3F"/>
    <w:rsid w:val="00736985"/>
    <w:rsid w:val="00771B45"/>
    <w:rsid w:val="00774982"/>
    <w:rsid w:val="00790435"/>
    <w:rsid w:val="007B061F"/>
    <w:rsid w:val="007B2B0D"/>
    <w:rsid w:val="007B6200"/>
    <w:rsid w:val="00801B9F"/>
    <w:rsid w:val="00802117"/>
    <w:rsid w:val="008609D4"/>
    <w:rsid w:val="008764DB"/>
    <w:rsid w:val="00880B3F"/>
    <w:rsid w:val="008B59F0"/>
    <w:rsid w:val="008C25F0"/>
    <w:rsid w:val="008E1BA5"/>
    <w:rsid w:val="009B4D3B"/>
    <w:rsid w:val="009B53C8"/>
    <w:rsid w:val="009C0FC2"/>
    <w:rsid w:val="009D7407"/>
    <w:rsid w:val="009E0866"/>
    <w:rsid w:val="009E524C"/>
    <w:rsid w:val="00A05DE4"/>
    <w:rsid w:val="00A0641A"/>
    <w:rsid w:val="00A20895"/>
    <w:rsid w:val="00A24A62"/>
    <w:rsid w:val="00A31C9F"/>
    <w:rsid w:val="00A44148"/>
    <w:rsid w:val="00A76378"/>
    <w:rsid w:val="00AC164A"/>
    <w:rsid w:val="00AE42BA"/>
    <w:rsid w:val="00AF2050"/>
    <w:rsid w:val="00B15108"/>
    <w:rsid w:val="00B31B22"/>
    <w:rsid w:val="00B44447"/>
    <w:rsid w:val="00B807B0"/>
    <w:rsid w:val="00BB26C5"/>
    <w:rsid w:val="00BD5F6F"/>
    <w:rsid w:val="00BF4DE6"/>
    <w:rsid w:val="00C26BF6"/>
    <w:rsid w:val="00C42CDE"/>
    <w:rsid w:val="00CA37B1"/>
    <w:rsid w:val="00CB1959"/>
    <w:rsid w:val="00CC1438"/>
    <w:rsid w:val="00CE3B64"/>
    <w:rsid w:val="00D0296C"/>
    <w:rsid w:val="00D06891"/>
    <w:rsid w:val="00D16FD1"/>
    <w:rsid w:val="00D31762"/>
    <w:rsid w:val="00D3714C"/>
    <w:rsid w:val="00DB35A3"/>
    <w:rsid w:val="00DB6D69"/>
    <w:rsid w:val="00DC430B"/>
    <w:rsid w:val="00E07F34"/>
    <w:rsid w:val="00E24DAC"/>
    <w:rsid w:val="00E357B7"/>
    <w:rsid w:val="00E53800"/>
    <w:rsid w:val="00E6081F"/>
    <w:rsid w:val="00EA04B2"/>
    <w:rsid w:val="00EA20F3"/>
    <w:rsid w:val="00EC50DA"/>
    <w:rsid w:val="00ED43D1"/>
    <w:rsid w:val="00EE4EE1"/>
    <w:rsid w:val="00EF4574"/>
    <w:rsid w:val="00F2684E"/>
    <w:rsid w:val="00F268CD"/>
    <w:rsid w:val="00F33736"/>
    <w:rsid w:val="00F47BBB"/>
    <w:rsid w:val="00F729EF"/>
    <w:rsid w:val="00F77CAE"/>
    <w:rsid w:val="00F96BB9"/>
    <w:rsid w:val="00FC730B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1B0114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43"/>
    <w:pPr>
      <w:suppressAutoHyphens/>
      <w:spacing w:before="180" w:after="60" w:line="280" w:lineRule="atLeast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DE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021B85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021B85"/>
    <w:pPr>
      <w:outlineLvl w:val="4"/>
    </w:pPr>
    <w:rPr>
      <w:i/>
      <w:color w:val="9CDBD9" w:themeColor="accent1"/>
      <w:sz w:val="22"/>
      <w14:textFill>
        <w14:solidFill>
          <w14:schemeClr w14:val="accent1">
            <w14:lumMod w14:val="75000"/>
            <w14:lumMod w14:val="75000"/>
            <w14:lumOff w14:val="25000"/>
          </w14:schemeClr>
        </w14:solidFill>
      </w14:textFill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14:textFill>
        <w14:solidFill>
          <w14:schemeClr w14:val="accent1">
            <w14:lumMod w14:val="50000"/>
            <w14:lumMod w14:val="75000"/>
            <w14:lumOff w14:val="25000"/>
          </w14:schemeClr>
        </w14:solidFill>
      </w14:textFill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000000" w:themeColor="text1"/>
      <w:sz w:val="21"/>
      <w:szCs w:val="2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DE4"/>
    <w:rPr>
      <w:rFonts w:asciiTheme="majorHAnsi" w:eastAsiaTheme="majorEastAsia" w:hAnsiTheme="majorHAnsi" w:cstheme="majorBidi"/>
      <w:bCs/>
      <w:color w:val="404040" w:themeColor="text1" w:themeTint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403543"/>
    <w:pPr>
      <w:keepNext w:val="0"/>
      <w:spacing w:line="480" w:lineRule="atLeast"/>
    </w:pPr>
    <w:rPr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3543"/>
    <w:rPr>
      <w:rFonts w:asciiTheme="majorHAnsi" w:eastAsiaTheme="majorEastAsia" w:hAnsiTheme="majorHAnsi" w:cstheme="majorBidi"/>
      <w:bCs/>
      <w:color w:val="404040" w:themeColor="text1" w:themeTint="BF"/>
      <w:kern w:val="28"/>
      <w:sz w:val="4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021B85"/>
    <w:pPr>
      <w:numPr>
        <w:numId w:val="33"/>
      </w:numPr>
    </w:pPr>
  </w:style>
  <w:style w:type="paragraph" w:customStyle="1" w:styleId="NumberedList2">
    <w:name w:val="Numbered List 2"/>
    <w:basedOn w:val="NumberedList1"/>
    <w:qFormat/>
    <w:rsid w:val="00021B85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021B85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85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403543"/>
    <w:pPr>
      <w:spacing w:line="360" w:lineRule="auto"/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rsid w:val="00021B85"/>
    <w:rPr>
      <w:b/>
      <w:bCs/>
    </w:rPr>
  </w:style>
  <w:style w:type="character" w:styleId="Emphasis">
    <w:name w:val="Emphasis"/>
    <w:basedOn w:val="DefaultParagraphFont"/>
    <w:uiPriority w:val="20"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rsid w:val="00021B85"/>
    <w:pPr>
      <w:spacing w:before="200" w:after="120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EBF7F7" w:themeColor="accent1" w:themeTint="33"/>
        <w:left w:val="single" w:sz="4" w:space="14" w:color="EBF7F7" w:themeColor="accent1" w:themeTint="33"/>
        <w:bottom w:val="single" w:sz="4" w:space="14" w:color="EBF7F7" w:themeColor="accent1" w:themeTint="33"/>
        <w:right w:val="single" w:sz="4" w:space="14" w:color="EBF7F7" w:themeColor="accent1" w:themeTint="33"/>
      </w:pBdr>
      <w:shd w:val="clear" w:color="auto" w:fill="EBF7F7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rsid w:val="005A6C78"/>
    <w:pPr>
      <w:spacing w:after="1200"/>
    </w:pPr>
  </w:style>
  <w:style w:type="paragraph" w:styleId="Date">
    <w:name w:val="Date"/>
    <w:basedOn w:val="Normal"/>
    <w:next w:val="Normal"/>
    <w:link w:val="DateChar"/>
    <w:uiPriority w:val="99"/>
    <w:unhideWhenUsed/>
    <w:rsid w:val="00B807B0"/>
    <w:pPr>
      <w:spacing w:before="280" w:after="600"/>
      <w:jc w:val="right"/>
    </w:pPr>
    <w:rPr>
      <w:color w:val="B4E4E2" w:themeColor="accent1" w:themeTint="BF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B807B0"/>
    <w:rPr>
      <w:color w:val="9CDBD9" w:themeColor="accent1"/>
      <w:sz w:val="28"/>
    </w:rPr>
  </w:style>
  <w:style w:type="paragraph" w:styleId="ListParagraph">
    <w:name w:val="List Paragraph"/>
    <w:basedOn w:val="Normal"/>
    <w:uiPriority w:val="34"/>
    <w:qFormat/>
    <w:rsid w:val="00457759"/>
    <w:pPr>
      <w:widowControl w:val="0"/>
      <w:suppressAutoHyphens w:val="0"/>
      <w:spacing w:before="0" w:after="200" w:line="276" w:lineRule="auto"/>
      <w:ind w:left="720"/>
      <w:contextualSpacing/>
    </w:pPr>
    <w:rPr>
      <w:color w:val="auto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5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F6F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F6F"/>
    <w:rPr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F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6F"/>
    <w:rPr>
      <w:rFonts w:ascii="Segoe UI" w:hAnsi="Segoe UI" w:cs="Segoe UI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cover@comcover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nance.gov.au/comcover/insuranc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7826-9449-46C8-A644-BFD5B5E1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- Management of Indemnities</dc:title>
  <dc:subject/>
  <dc:creator>Department of Finance</dc:creator>
  <cp:keywords/>
  <dc:description/>
  <cp:lastModifiedBy>Kapsalis, John</cp:lastModifiedBy>
  <cp:revision>8</cp:revision>
  <cp:lastPrinted>2020-11-20T04:13:00Z</cp:lastPrinted>
  <dcterms:created xsi:type="dcterms:W3CDTF">2021-10-06T01:00:00Z</dcterms:created>
  <dcterms:modified xsi:type="dcterms:W3CDTF">2022-12-06T02:46:00Z</dcterms:modified>
  <cp:contentStatus>Classification</cp:contentStatus>
</cp:coreProperties>
</file>