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1.xml" ContentType="application/vnd.openxmlformats-officedocument.wordprocessingml.header+xml"/>
  <Override PartName="/word/footer37.xml" ContentType="application/vnd.openxmlformats-officedocument.wordprocessingml.footer+xml"/>
  <Override PartName="/word/header42.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4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9.xml" ContentType="application/vnd.openxmlformats-officedocument.wordprocessingml.header+xml"/>
  <Override PartName="/word/footer45.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9DEAD" w14:textId="77777777" w:rsidR="0001438C" w:rsidRPr="001C6402" w:rsidRDefault="0001438C" w:rsidP="00213592">
      <w:pPr>
        <w:pStyle w:val="TPHeading1"/>
        <w:spacing w:before="960"/>
        <w:ind w:right="1134"/>
        <w:rPr>
          <w:rFonts w:ascii="Arial" w:hAnsi="Arial" w:cs="Arial"/>
          <w:b w:val="0"/>
          <w:bCs/>
          <w:caps w:val="0"/>
          <w:szCs w:val="32"/>
        </w:rPr>
      </w:pPr>
      <w:r w:rsidRPr="001C6402">
        <w:rPr>
          <w:rFonts w:ascii="Arial" w:hAnsi="Arial" w:cs="Arial"/>
          <w:b w:val="0"/>
          <w:bCs/>
          <w:szCs w:val="32"/>
        </w:rPr>
        <w:t xml:space="preserve">Portfolio Budget Statements </w:t>
      </w:r>
      <w:r w:rsidR="00400A8B" w:rsidRPr="001C6402">
        <w:rPr>
          <w:rFonts w:ascii="Arial" w:hAnsi="Arial" w:cs="Arial"/>
          <w:b w:val="0"/>
          <w:bCs/>
          <w:szCs w:val="32"/>
        </w:rPr>
        <w:t>2022</w:t>
      </w:r>
      <w:r w:rsidR="004E3B3F" w:rsidRPr="001C6402">
        <w:rPr>
          <w:rFonts w:ascii="Arial" w:hAnsi="Arial" w:cs="Arial"/>
          <w:b w:val="0"/>
          <w:bCs/>
          <w:szCs w:val="32"/>
        </w:rPr>
        <w:t>–</w:t>
      </w:r>
      <w:r w:rsidR="00400A8B" w:rsidRPr="001C6402">
        <w:rPr>
          <w:rFonts w:ascii="Arial" w:hAnsi="Arial" w:cs="Arial"/>
          <w:b w:val="0"/>
          <w:bCs/>
          <w:szCs w:val="32"/>
        </w:rPr>
        <w:t>23</w:t>
      </w:r>
    </w:p>
    <w:p w14:paraId="2239DEAE" w14:textId="611C7CC1" w:rsidR="0001438C" w:rsidRPr="001C6402" w:rsidRDefault="0001438C" w:rsidP="00213592">
      <w:pPr>
        <w:pStyle w:val="TPHeading1"/>
        <w:ind w:right="1134"/>
        <w:rPr>
          <w:rFonts w:ascii="Arial" w:hAnsi="Arial" w:cs="Arial"/>
          <w:b w:val="0"/>
          <w:bCs/>
          <w:szCs w:val="32"/>
        </w:rPr>
      </w:pPr>
      <w:r w:rsidRPr="001C6402">
        <w:rPr>
          <w:rFonts w:ascii="Arial" w:hAnsi="Arial" w:cs="Arial"/>
          <w:b w:val="0"/>
          <w:bCs/>
          <w:szCs w:val="32"/>
        </w:rPr>
        <w:t xml:space="preserve">Budget </w:t>
      </w:r>
      <w:r w:rsidR="00A70398" w:rsidRPr="001C6402">
        <w:rPr>
          <w:rFonts w:ascii="Arial" w:hAnsi="Arial" w:cs="Arial"/>
          <w:b w:val="0"/>
          <w:bCs/>
          <w:szCs w:val="32"/>
        </w:rPr>
        <w:t xml:space="preserve">Related Paper </w:t>
      </w:r>
      <w:r w:rsidRPr="001C6402">
        <w:rPr>
          <w:rFonts w:ascii="Arial" w:hAnsi="Arial" w:cs="Arial"/>
          <w:b w:val="0"/>
          <w:bCs/>
          <w:szCs w:val="32"/>
        </w:rPr>
        <w:t>No. 1.</w:t>
      </w:r>
      <w:r w:rsidR="001D67AC">
        <w:rPr>
          <w:rFonts w:ascii="Arial" w:hAnsi="Arial" w:cs="Arial"/>
          <w:b w:val="0"/>
          <w:bCs/>
          <w:szCs w:val="32"/>
        </w:rPr>
        <w:t>7</w:t>
      </w:r>
    </w:p>
    <w:p w14:paraId="2239DEAF" w14:textId="77777777" w:rsidR="00213592" w:rsidRPr="001C6402" w:rsidRDefault="00213592" w:rsidP="00213592">
      <w:pPr>
        <w:pStyle w:val="TPHeading1"/>
        <w:spacing w:after="240"/>
        <w:ind w:right="1134"/>
        <w:rPr>
          <w:rFonts w:ascii="Arial" w:hAnsi="Arial" w:cs="Arial"/>
          <w:b w:val="0"/>
          <w:bCs/>
          <w:caps w:val="0"/>
          <w:szCs w:val="32"/>
        </w:rPr>
      </w:pPr>
    </w:p>
    <w:p w14:paraId="2239DEB0" w14:textId="77777777" w:rsidR="004900FE" w:rsidRPr="001C6402" w:rsidRDefault="00940BBE" w:rsidP="00213592">
      <w:pPr>
        <w:pStyle w:val="TPHeading2"/>
        <w:ind w:right="1134"/>
        <w:rPr>
          <w:rFonts w:cs="Arial"/>
          <w:b/>
          <w:bCs/>
          <w:sz w:val="32"/>
          <w:szCs w:val="32"/>
        </w:rPr>
      </w:pPr>
      <w:r>
        <w:rPr>
          <w:rFonts w:cs="Arial"/>
          <w:b/>
          <w:bCs/>
          <w:sz w:val="32"/>
          <w:szCs w:val="32"/>
        </w:rPr>
        <w:t>Finance</w:t>
      </w:r>
      <w:r w:rsidR="00A956D5">
        <w:rPr>
          <w:rFonts w:cs="Arial"/>
          <w:b/>
          <w:bCs/>
          <w:sz w:val="32"/>
          <w:szCs w:val="32"/>
        </w:rPr>
        <w:t xml:space="preserve"> </w:t>
      </w:r>
      <w:r w:rsidR="00B30944" w:rsidRPr="001C6402">
        <w:rPr>
          <w:rFonts w:cs="Arial"/>
          <w:b/>
          <w:bCs/>
          <w:sz w:val="32"/>
          <w:szCs w:val="32"/>
        </w:rPr>
        <w:t>Portfolio</w:t>
      </w:r>
    </w:p>
    <w:p w14:paraId="2239DEB1" w14:textId="77777777" w:rsidR="00213592" w:rsidRDefault="00213592" w:rsidP="00213592"/>
    <w:p w14:paraId="2239DEB2" w14:textId="77777777" w:rsidR="00866EF3" w:rsidRDefault="00866EF3" w:rsidP="00213592"/>
    <w:p w14:paraId="2239DEB3" w14:textId="77777777" w:rsidR="00866EF3" w:rsidRPr="00AC530C" w:rsidRDefault="00866EF3" w:rsidP="00213592"/>
    <w:p w14:paraId="2239DEB4" w14:textId="77777777" w:rsidR="00213592" w:rsidRDefault="00213592" w:rsidP="00213592"/>
    <w:p w14:paraId="2239DEB5" w14:textId="77777777" w:rsidR="00213592" w:rsidRDefault="00213592" w:rsidP="00213592"/>
    <w:p w14:paraId="2239DEB6" w14:textId="77777777" w:rsidR="00213592" w:rsidRPr="00AC530C" w:rsidRDefault="00213592" w:rsidP="00213592"/>
    <w:p w14:paraId="2239DEB7" w14:textId="77777777" w:rsidR="00213592" w:rsidRPr="00AC530C" w:rsidRDefault="00213592" w:rsidP="00213592"/>
    <w:p w14:paraId="2239DEB8" w14:textId="77777777" w:rsidR="00213592" w:rsidRPr="00AC530C" w:rsidRDefault="00213592" w:rsidP="00213592"/>
    <w:p w14:paraId="2239DEB9" w14:textId="77777777" w:rsidR="00213592" w:rsidRPr="00AC530C" w:rsidRDefault="00213592" w:rsidP="00213592"/>
    <w:p w14:paraId="2239DEBA" w14:textId="77777777" w:rsidR="00213592" w:rsidRPr="00AC530C" w:rsidRDefault="00213592" w:rsidP="00213592"/>
    <w:p w14:paraId="2239DEBB" w14:textId="77777777" w:rsidR="00213592" w:rsidRPr="00AC530C" w:rsidRDefault="00213592" w:rsidP="00213592"/>
    <w:p w14:paraId="2239DEBC" w14:textId="77777777" w:rsidR="0001438C" w:rsidRPr="001C6402" w:rsidRDefault="009D6065" w:rsidP="00C24BB1">
      <w:pPr>
        <w:pStyle w:val="TPHeading3"/>
        <w:rPr>
          <w:rFonts w:cs="Arial"/>
        </w:rPr>
      </w:pPr>
      <w:r w:rsidRPr="001C6402">
        <w:rPr>
          <w:rFonts w:cs="Arial"/>
          <w:caps w:val="0"/>
          <w:szCs w:val="18"/>
        </w:rPr>
        <w:t xml:space="preserve">Budget Initiatives </w:t>
      </w:r>
      <w:r>
        <w:rPr>
          <w:rFonts w:cs="Arial"/>
          <w:caps w:val="0"/>
          <w:szCs w:val="18"/>
        </w:rPr>
        <w:t>a</w:t>
      </w:r>
      <w:r w:rsidRPr="001C6402">
        <w:rPr>
          <w:rFonts w:cs="Arial"/>
          <w:caps w:val="0"/>
          <w:szCs w:val="18"/>
        </w:rPr>
        <w:t xml:space="preserve">nd Explanations </w:t>
      </w:r>
      <w:r>
        <w:rPr>
          <w:rFonts w:cs="Arial"/>
          <w:caps w:val="0"/>
          <w:szCs w:val="18"/>
        </w:rPr>
        <w:t>o</w:t>
      </w:r>
      <w:r w:rsidRPr="001C6402">
        <w:rPr>
          <w:rFonts w:cs="Arial"/>
          <w:caps w:val="0"/>
          <w:szCs w:val="18"/>
        </w:rPr>
        <w:t>f</w:t>
      </w:r>
      <w:r>
        <w:rPr>
          <w:rFonts w:cs="Arial"/>
          <w:caps w:val="0"/>
          <w:szCs w:val="18"/>
        </w:rPr>
        <w:t xml:space="preserve"> </w:t>
      </w:r>
      <w:r w:rsidRPr="001C6402">
        <w:rPr>
          <w:rFonts w:cs="Arial"/>
          <w:caps w:val="0"/>
          <w:szCs w:val="18"/>
        </w:rPr>
        <w:t xml:space="preserve">Appropriations </w:t>
      </w:r>
      <w:r>
        <w:rPr>
          <w:rFonts w:cs="Arial"/>
          <w:caps w:val="0"/>
          <w:szCs w:val="18"/>
        </w:rPr>
        <w:br/>
      </w:r>
      <w:r w:rsidRPr="001C6402">
        <w:rPr>
          <w:rFonts w:cs="Arial"/>
          <w:caps w:val="0"/>
          <w:szCs w:val="18"/>
        </w:rPr>
        <w:t xml:space="preserve">Specified </w:t>
      </w:r>
      <w:r>
        <w:rPr>
          <w:rFonts w:cs="Arial"/>
          <w:caps w:val="0"/>
          <w:szCs w:val="18"/>
        </w:rPr>
        <w:t>b</w:t>
      </w:r>
      <w:r w:rsidRPr="001C6402">
        <w:rPr>
          <w:rFonts w:cs="Arial"/>
          <w:caps w:val="0"/>
          <w:szCs w:val="18"/>
        </w:rPr>
        <w:t>y Outcomes</w:t>
      </w:r>
      <w:r>
        <w:rPr>
          <w:rFonts w:cs="Arial"/>
          <w:caps w:val="0"/>
          <w:szCs w:val="18"/>
        </w:rPr>
        <w:t xml:space="preserve"> a</w:t>
      </w:r>
      <w:r w:rsidRPr="001C6402">
        <w:rPr>
          <w:rFonts w:cs="Arial"/>
          <w:caps w:val="0"/>
          <w:szCs w:val="18"/>
        </w:rPr>
        <w:t xml:space="preserve">nd Programs </w:t>
      </w:r>
      <w:r>
        <w:rPr>
          <w:rFonts w:cs="Arial"/>
          <w:caps w:val="0"/>
          <w:szCs w:val="18"/>
        </w:rPr>
        <w:t>b</w:t>
      </w:r>
      <w:r w:rsidRPr="001C6402">
        <w:rPr>
          <w:rFonts w:cs="Arial"/>
          <w:caps w:val="0"/>
          <w:szCs w:val="18"/>
        </w:rPr>
        <w:t>y Entity</w:t>
      </w:r>
    </w:p>
    <w:p w14:paraId="2239DEBD" w14:textId="77777777" w:rsidR="00D50C9B" w:rsidRDefault="00D50C9B" w:rsidP="00D50C9B">
      <w:pPr>
        <w:sectPr w:rsidR="00D50C9B" w:rsidSect="00213592">
          <w:headerReference w:type="default" r:id="rId14"/>
          <w:footerReference w:type="default" r:id="rId15"/>
          <w:pgSz w:w="11906" w:h="16838" w:code="9"/>
          <w:pgMar w:top="2835" w:right="2098" w:bottom="2466" w:left="2098" w:header="1814" w:footer="1814" w:gutter="0"/>
          <w:cols w:space="708"/>
          <w:vAlign w:val="bottom"/>
          <w:titlePg/>
          <w:docGrid w:linePitch="360"/>
        </w:sectPr>
      </w:pPr>
    </w:p>
    <w:p w14:paraId="2239DEBE" w14:textId="77777777" w:rsidR="00C42D37" w:rsidRPr="00982F10" w:rsidRDefault="0012022D" w:rsidP="00C42D37">
      <w:r w:rsidRPr="00982F10">
        <w:lastRenderedPageBreak/>
        <w:t>© Commonwealth of Australia</w:t>
      </w:r>
      <w:r w:rsidR="00340640">
        <w:t xml:space="preserve"> </w:t>
      </w:r>
      <w:r w:rsidR="00400A8B">
        <w:t>2022</w:t>
      </w:r>
    </w:p>
    <w:p w14:paraId="2239DEBF" w14:textId="77777777" w:rsidR="00C42D37" w:rsidRPr="00982F10" w:rsidRDefault="005731D3" w:rsidP="00C42D37">
      <w:r>
        <w:t>ISS</w:t>
      </w:r>
      <w:r w:rsidR="0012022D" w:rsidRPr="00982F10">
        <w:t xml:space="preserve">N </w:t>
      </w:r>
      <w:r w:rsidR="00940BBE">
        <w:t>2209-198X (Print); 2209-1998 (Online)</w:t>
      </w:r>
    </w:p>
    <w:p w14:paraId="2239DEC0" w14:textId="6E182C3A" w:rsidR="00C42D37" w:rsidRPr="00FA63B6" w:rsidRDefault="0012022D" w:rsidP="005D13ED">
      <w:pPr>
        <w:tabs>
          <w:tab w:val="left" w:pos="1650"/>
        </w:tabs>
        <w:spacing w:before="100" w:beforeAutospacing="1" w:after="100" w:afterAutospacing="1"/>
        <w:rPr>
          <w:rStyle w:val="A5"/>
          <w:rFonts w:ascii="Calibri" w:hAnsi="Calibri"/>
          <w:sz w:val="24"/>
          <w:szCs w:val="24"/>
        </w:rPr>
      </w:pPr>
      <w:r w:rsidRPr="00774A83">
        <w:t>This publication is available for your use under a</w:t>
      </w:r>
      <w:r w:rsidRPr="00774A83">
        <w:rPr>
          <w:rStyle w:val="A5"/>
          <w:rFonts w:ascii="Calibri" w:hAnsi="Calibri" w:cs="Calibri"/>
          <w:sz w:val="24"/>
          <w:szCs w:val="24"/>
        </w:rPr>
        <w:t xml:space="preserve"> </w:t>
      </w:r>
      <w:hyperlink r:id="rId16" w:history="1">
        <w:r w:rsidRPr="00774A83">
          <w:rPr>
            <w:rStyle w:val="Hyperlink"/>
          </w:rPr>
          <w:t>Creative Commons BY Attribution 3.0 Australia</w:t>
        </w:r>
      </w:hyperlink>
      <w:r w:rsidRPr="00774A83">
        <w:rPr>
          <w:rStyle w:val="A5"/>
          <w:rFonts w:ascii="Calibri" w:hAnsi="Calibri" w:cs="Calibri"/>
          <w:sz w:val="24"/>
          <w:szCs w:val="24"/>
        </w:rPr>
        <w:t xml:space="preserve"> </w:t>
      </w:r>
      <w:r w:rsidRPr="00774A83">
        <w:t xml:space="preserve">licence, with the exception of the Commonwealth Coat of Arms, the </w:t>
      </w:r>
      <w:r w:rsidR="00940BBE">
        <w:t>Department of Finance (Finance)</w:t>
      </w:r>
      <w:r w:rsidR="00B30D53">
        <w:t xml:space="preserve"> </w:t>
      </w:r>
      <w:r w:rsidRPr="00774A83">
        <w:t>logo, photographs, images, signatures and where otherwise stated. The full licence terms are available from</w:t>
      </w:r>
      <w:r w:rsidRPr="00774A83">
        <w:rPr>
          <w:rStyle w:val="A5"/>
          <w:rFonts w:ascii="Calibri" w:hAnsi="Calibri" w:cs="Calibri"/>
          <w:sz w:val="24"/>
          <w:szCs w:val="24"/>
        </w:rPr>
        <w:t xml:space="preserve"> </w:t>
      </w:r>
      <w:hyperlink r:id="rId17" w:history="1">
        <w:r w:rsidRPr="00774A83">
          <w:rPr>
            <w:rStyle w:val="Hyperlink"/>
          </w:rPr>
          <w:t>http://creativecommons.org/licenses/by/3.0/au/legalcode</w:t>
        </w:r>
      </w:hyperlink>
      <w:r w:rsidRPr="00774A83">
        <w:rPr>
          <w:rStyle w:val="Hyperlink"/>
        </w:rPr>
        <w:t>.</w:t>
      </w:r>
    </w:p>
    <w:p w14:paraId="2239DEC1" w14:textId="77777777" w:rsidR="00C42D37" w:rsidRPr="00FA63B6" w:rsidRDefault="00A35A91" w:rsidP="00C42D37">
      <w:pPr>
        <w:tabs>
          <w:tab w:val="left" w:pos="1650"/>
        </w:tabs>
        <w:spacing w:before="100" w:beforeAutospacing="1" w:after="100" w:afterAutospacing="1" w:line="240" w:lineRule="auto"/>
        <w:rPr>
          <w:rFonts w:cs="Calibri"/>
        </w:rPr>
      </w:pPr>
      <w:r w:rsidRPr="00434130">
        <w:rPr>
          <w:rFonts w:cs="Calibri"/>
          <w:noProof/>
          <w:lang w:eastAsia="zh-CN"/>
        </w:rPr>
        <w:drawing>
          <wp:inline distT="0" distB="0" distL="0" distR="0" wp14:anchorId="2239EAFB" wp14:editId="2239EAFC">
            <wp:extent cx="1055370" cy="358775"/>
            <wp:effectExtent l="0" t="0" r="0" b="0"/>
            <wp:docPr id="74"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5370" cy="358775"/>
                    </a:xfrm>
                    <a:prstGeom prst="rect">
                      <a:avLst/>
                    </a:prstGeom>
                    <a:noFill/>
                    <a:ln>
                      <a:noFill/>
                    </a:ln>
                  </pic:spPr>
                </pic:pic>
              </a:graphicData>
            </a:graphic>
          </wp:inline>
        </w:drawing>
      </w:r>
    </w:p>
    <w:p w14:paraId="2239DEC2" w14:textId="131868F4" w:rsidR="00C42D37" w:rsidRPr="00FA63B6" w:rsidRDefault="0012022D" w:rsidP="00C42D37">
      <w:pPr>
        <w:tabs>
          <w:tab w:val="left" w:pos="1650"/>
        </w:tabs>
        <w:spacing w:before="100" w:beforeAutospacing="1" w:after="100" w:afterAutospacing="1"/>
        <w:rPr>
          <w:sz w:val="22"/>
          <w:szCs w:val="22"/>
        </w:rPr>
      </w:pPr>
      <w:r w:rsidRPr="00774A83">
        <w:t xml:space="preserve">Use of </w:t>
      </w:r>
      <w:r w:rsidR="003E3302">
        <w:t xml:space="preserve">Department of Finance </w:t>
      </w:r>
      <w:r w:rsidR="005D034A">
        <w:t xml:space="preserve">(Finance) </w:t>
      </w:r>
      <w:r w:rsidRPr="00774A83">
        <w:t>material under a</w:t>
      </w:r>
      <w:r w:rsidRPr="00774A83">
        <w:rPr>
          <w:rFonts w:cs="Calibri"/>
          <w:color w:val="000000"/>
          <w:sz w:val="24"/>
          <w:szCs w:val="24"/>
        </w:rPr>
        <w:t xml:space="preserve"> </w:t>
      </w:r>
      <w:hyperlink r:id="rId19" w:history="1">
        <w:r w:rsidRPr="00774A83">
          <w:rPr>
            <w:rStyle w:val="Hyperlink"/>
          </w:rPr>
          <w:t>Creative Commons BY Attribution 3.0 Australia</w:t>
        </w:r>
      </w:hyperlink>
      <w:r w:rsidRPr="00774A83">
        <w:rPr>
          <w:rStyle w:val="Hyperlink"/>
        </w:rPr>
        <w:t xml:space="preserve"> </w:t>
      </w:r>
      <w:r w:rsidRPr="00774A83">
        <w:t xml:space="preserve">licence requires you to attribute the work (but not in any way that suggests that the </w:t>
      </w:r>
      <w:r w:rsidR="003E3302">
        <w:t>Finance</w:t>
      </w:r>
      <w:r w:rsidRPr="00774A83">
        <w:t xml:space="preserve"> endorses you or your use of the work).</w:t>
      </w:r>
    </w:p>
    <w:p w14:paraId="2239DEC3" w14:textId="77777777" w:rsidR="00C42D37" w:rsidRPr="002D6163" w:rsidRDefault="003E3302" w:rsidP="00116C76">
      <w:pPr>
        <w:spacing w:after="120"/>
        <w:rPr>
          <w:b/>
          <w:bCs/>
        </w:rPr>
      </w:pPr>
      <w:r w:rsidRPr="00A956D5">
        <w:rPr>
          <w:b/>
          <w:bCs/>
        </w:rPr>
        <w:t xml:space="preserve">Australian Government Department of Finance </w:t>
      </w:r>
      <w:r w:rsidR="0012022D" w:rsidRPr="00A956D5">
        <w:rPr>
          <w:b/>
          <w:bCs/>
        </w:rPr>
        <w:t>material</w:t>
      </w:r>
      <w:r w:rsidR="0012022D" w:rsidRPr="002D6163">
        <w:rPr>
          <w:b/>
          <w:bCs/>
        </w:rPr>
        <w:t xml:space="preserve"> used 'as supplied'</w:t>
      </w:r>
    </w:p>
    <w:p w14:paraId="2239DEC4" w14:textId="60834CFD" w:rsidR="00C42D37" w:rsidRPr="0053714C" w:rsidRDefault="0012022D" w:rsidP="00116C76">
      <w:pPr>
        <w:spacing w:before="120"/>
      </w:pPr>
      <w:r w:rsidRPr="00982F10">
        <w:t xml:space="preserve">Provided you have not modified or transformed </w:t>
      </w:r>
      <w:r w:rsidR="00EB2FCB">
        <w:t xml:space="preserve">Finance </w:t>
      </w:r>
      <w:r w:rsidRPr="00982F10">
        <w:t xml:space="preserve">material in any way including, for example, by changing the </w:t>
      </w:r>
      <w:r w:rsidR="004F1B48">
        <w:t>Finance</w:t>
      </w:r>
      <w:r w:rsidRPr="00982F10">
        <w:t xml:space="preserve"> text; calculating </w:t>
      </w:r>
      <w:r w:rsidRPr="0053714C">
        <w:t xml:space="preserve">percentage changes; graphing or charting data; or deriving new statistics from published </w:t>
      </w:r>
      <w:r w:rsidR="007416A1" w:rsidRPr="0053714C">
        <w:t xml:space="preserve">Finance </w:t>
      </w:r>
      <w:r w:rsidRPr="0053714C">
        <w:t xml:space="preserve">statistics – then </w:t>
      </w:r>
      <w:r w:rsidR="005B56E0" w:rsidRPr="0053714C">
        <w:t xml:space="preserve">Finance </w:t>
      </w:r>
      <w:r w:rsidRPr="0053714C">
        <w:t xml:space="preserve"> pre</w:t>
      </w:r>
      <w:r w:rsidR="00831489" w:rsidRPr="0053714C">
        <w:t>fers the following attribution:</w:t>
      </w:r>
    </w:p>
    <w:p w14:paraId="2239DEC5" w14:textId="77777777" w:rsidR="00C42D37" w:rsidRPr="0053714C" w:rsidRDefault="0012022D" w:rsidP="00423003">
      <w:pPr>
        <w:ind w:left="567"/>
      </w:pPr>
      <w:r w:rsidRPr="0053714C">
        <w:rPr>
          <w:i/>
        </w:rPr>
        <w:t xml:space="preserve">Source: The </w:t>
      </w:r>
      <w:r w:rsidRPr="0053714C">
        <w:rPr>
          <w:i/>
          <w:iCs/>
        </w:rPr>
        <w:t>Australian Government </w:t>
      </w:r>
      <w:r w:rsidR="00821FE7" w:rsidRPr="0053714C">
        <w:rPr>
          <w:i/>
          <w:iCs/>
        </w:rPr>
        <w:t>Department of Finance</w:t>
      </w:r>
    </w:p>
    <w:p w14:paraId="2239DEC6" w14:textId="77777777" w:rsidR="00C42D37" w:rsidRPr="0053714C" w:rsidRDefault="0012022D" w:rsidP="00116C76">
      <w:pPr>
        <w:spacing w:after="0"/>
        <w:rPr>
          <w:b/>
        </w:rPr>
      </w:pPr>
      <w:r w:rsidRPr="0053714C">
        <w:rPr>
          <w:b/>
        </w:rPr>
        <w:t>Derivative material</w:t>
      </w:r>
    </w:p>
    <w:p w14:paraId="2239DEC7" w14:textId="77777777" w:rsidR="00C42D37" w:rsidRPr="0053714C" w:rsidRDefault="0012022D" w:rsidP="00116C76">
      <w:pPr>
        <w:spacing w:before="120"/>
      </w:pPr>
      <w:r w:rsidRPr="0053714C">
        <w:t xml:space="preserve">If you have modified or transformed </w:t>
      </w:r>
      <w:r w:rsidR="007F2939" w:rsidRPr="0053714C">
        <w:t>Finance material</w:t>
      </w:r>
      <w:r w:rsidRPr="0053714C">
        <w:t xml:space="preserve">, or derived new material from those of the </w:t>
      </w:r>
      <w:r w:rsidR="007F2939" w:rsidRPr="0053714C">
        <w:t>Finance in</w:t>
      </w:r>
      <w:r w:rsidRPr="0053714C">
        <w:t xml:space="preserve"> any way, then </w:t>
      </w:r>
      <w:r w:rsidR="007F2939" w:rsidRPr="0053714C">
        <w:t>Finance prefers</w:t>
      </w:r>
      <w:r w:rsidR="00831489" w:rsidRPr="0053714C">
        <w:t xml:space="preserve"> the following attribution:</w:t>
      </w:r>
    </w:p>
    <w:p w14:paraId="2239DEC8" w14:textId="77777777" w:rsidR="00C42D37" w:rsidRPr="0053714C" w:rsidRDefault="0012022D" w:rsidP="00423003">
      <w:pPr>
        <w:ind w:left="567"/>
      </w:pPr>
      <w:r w:rsidRPr="0053714C">
        <w:rPr>
          <w:i/>
        </w:rPr>
        <w:t xml:space="preserve">Based on The Australian Government </w:t>
      </w:r>
      <w:r w:rsidR="00821FE7" w:rsidRPr="0053714C">
        <w:rPr>
          <w:i/>
        </w:rPr>
        <w:t xml:space="preserve">Department of </w:t>
      </w:r>
      <w:r w:rsidR="007F2939" w:rsidRPr="0053714C">
        <w:rPr>
          <w:i/>
        </w:rPr>
        <w:t>Finance data</w:t>
      </w:r>
      <w:r w:rsidRPr="0053714C">
        <w:t xml:space="preserve"> </w:t>
      </w:r>
    </w:p>
    <w:p w14:paraId="2239DEC9" w14:textId="77777777" w:rsidR="00C42D37" w:rsidRPr="00982F10" w:rsidRDefault="0012022D" w:rsidP="005731D3">
      <w:pPr>
        <w:spacing w:after="120"/>
        <w:rPr>
          <w:b/>
        </w:rPr>
      </w:pPr>
      <w:r w:rsidRPr="00982F10">
        <w:rPr>
          <w:b/>
        </w:rPr>
        <w:t>Use of the Coat of Arms</w:t>
      </w:r>
    </w:p>
    <w:p w14:paraId="2239DECA" w14:textId="1CA2EB65" w:rsidR="00C42D37" w:rsidRPr="00982F10" w:rsidRDefault="00C00B3B" w:rsidP="007416A1">
      <w:pPr>
        <w:spacing w:before="120"/>
      </w:pPr>
      <w:r w:rsidRPr="00C00B3B">
        <w:t>The terms under which the Coat of Arms can be used are set</w:t>
      </w:r>
      <w:r w:rsidR="00CC6371">
        <w:t xml:space="preserve"> </w:t>
      </w:r>
      <w:r w:rsidRPr="00C00B3B">
        <w:t>out</w:t>
      </w:r>
      <w:r w:rsidR="00CC6371">
        <w:t xml:space="preserve"> </w:t>
      </w:r>
      <w:r w:rsidRPr="00C00B3B">
        <w:t>on</w:t>
      </w:r>
      <w:r w:rsidR="00CC6371">
        <w:t xml:space="preserve"> </w:t>
      </w:r>
      <w:r w:rsidRPr="00C00B3B">
        <w:t>the Department</w:t>
      </w:r>
      <w:r w:rsidR="00CC6371">
        <w:t xml:space="preserve"> </w:t>
      </w:r>
      <w:r w:rsidRPr="00C00B3B">
        <w:t>of the Prime Minister and Cabinet website</w:t>
      </w:r>
      <w:r w:rsidR="00724257">
        <w:t xml:space="preserve"> </w:t>
      </w:r>
      <w:r w:rsidRPr="00C00B3B">
        <w:t>(see</w:t>
      </w:r>
      <w:r w:rsidR="007416A1">
        <w:t xml:space="preserve"> </w:t>
      </w:r>
      <w:hyperlink r:id="rId20" w:history="1">
        <w:r w:rsidRPr="007B2930">
          <w:rPr>
            <w:rStyle w:val="Hyperlink"/>
          </w:rPr>
          <w:t>www.pmc.gov.au/government/commonwealth-coat-arms</w:t>
        </w:r>
      </w:hyperlink>
      <w:r w:rsidR="0012022D" w:rsidRPr="00982F10">
        <w:t>)</w:t>
      </w:r>
      <w:r w:rsidR="00FE3DE9">
        <w:t>.</w:t>
      </w:r>
    </w:p>
    <w:p w14:paraId="2239DECB" w14:textId="77777777" w:rsidR="00C42D37" w:rsidRPr="00982F10" w:rsidRDefault="008E07C6" w:rsidP="005731D3">
      <w:pPr>
        <w:spacing w:after="120"/>
        <w:rPr>
          <w:b/>
        </w:rPr>
      </w:pPr>
      <w:r>
        <w:rPr>
          <w:b/>
        </w:rPr>
        <w:t xml:space="preserve">Other </w:t>
      </w:r>
      <w:r w:rsidR="00D81071">
        <w:rPr>
          <w:b/>
        </w:rPr>
        <w:t>u</w:t>
      </w:r>
      <w:r w:rsidR="00D81071" w:rsidRPr="00982F10">
        <w:rPr>
          <w:b/>
        </w:rPr>
        <w:t>ses</w:t>
      </w:r>
    </w:p>
    <w:p w14:paraId="2239DECC" w14:textId="77777777" w:rsidR="006A4FC0" w:rsidRPr="00514E5F" w:rsidRDefault="00EE22E3" w:rsidP="00514E5F">
      <w:pPr>
        <w:spacing w:before="0" w:after="0" w:line="260" w:lineRule="exact"/>
      </w:pPr>
      <w:r>
        <w:t>E</w:t>
      </w:r>
      <w:r w:rsidR="0012022D" w:rsidRPr="00982F10">
        <w:t>nquiries regarding this licence and any other use of this document are welcome at:</w:t>
      </w:r>
      <w:r w:rsidR="00A40FC3">
        <w:br/>
      </w:r>
      <w:r w:rsidR="006A4FC0" w:rsidRPr="00514E5F">
        <w:t>Copyright Coordinator</w:t>
      </w:r>
    </w:p>
    <w:p w14:paraId="2239DECD" w14:textId="77777777" w:rsidR="006A4FC0" w:rsidRPr="00514E5F" w:rsidRDefault="006A4FC0" w:rsidP="00514E5F">
      <w:pPr>
        <w:spacing w:before="0" w:after="0" w:line="260" w:lineRule="exact"/>
      </w:pPr>
      <w:r w:rsidRPr="00514E5F">
        <w:t>Department of</w:t>
      </w:r>
      <w:r w:rsidR="00A956D5" w:rsidRPr="00514E5F">
        <w:t xml:space="preserve"> </w:t>
      </w:r>
      <w:r w:rsidR="003632BE" w:rsidRPr="00514E5F">
        <w:t>Finance</w:t>
      </w:r>
    </w:p>
    <w:p w14:paraId="2239DECE" w14:textId="77777777" w:rsidR="006A4FC0" w:rsidRPr="00514E5F" w:rsidRDefault="006A4FC0" w:rsidP="00514E5F">
      <w:pPr>
        <w:spacing w:before="0" w:after="0" w:line="260" w:lineRule="exact"/>
      </w:pPr>
      <w:r w:rsidRPr="00514E5F">
        <w:t>One Canberra Avenue, FORREST ACT 2603</w:t>
      </w:r>
    </w:p>
    <w:p w14:paraId="2239DECF" w14:textId="5B2115C9" w:rsidR="00514E5F" w:rsidRDefault="006A4FC0" w:rsidP="00514E5F">
      <w:pPr>
        <w:spacing w:before="0" w:after="0" w:line="260" w:lineRule="exact"/>
      </w:pPr>
      <w:r w:rsidRPr="00514E5F">
        <w:t xml:space="preserve">Email: </w:t>
      </w:r>
      <w:hyperlink r:id="rId21" w:history="1">
        <w:r w:rsidR="007416A1" w:rsidRPr="0046438C">
          <w:rPr>
            <w:rStyle w:val="Hyperlink"/>
          </w:rPr>
          <w:t>publications@finance.gov.au</w:t>
        </w:r>
      </w:hyperlink>
    </w:p>
    <w:p w14:paraId="2239DED0" w14:textId="77777777" w:rsidR="00E20628" w:rsidRDefault="00E20628" w:rsidP="00514E5F">
      <w:pPr>
        <w:spacing w:before="0" w:after="0" w:line="260" w:lineRule="exact"/>
      </w:pPr>
    </w:p>
    <w:p w14:paraId="2229CF53" w14:textId="77777777" w:rsidR="00AC5A30" w:rsidRDefault="00AC5A30" w:rsidP="00AC5A30">
      <w:pPr>
        <w:pStyle w:val="TransmittalStyle1"/>
        <w:jc w:val="center"/>
        <w:rPr>
          <w:rFonts w:ascii="Times New Roman" w:hAnsi="Times New Roman"/>
          <w:sz w:val="28"/>
          <w:szCs w:val="28"/>
        </w:rPr>
      </w:pPr>
    </w:p>
    <w:p w14:paraId="514A9071" w14:textId="77777777" w:rsidR="00AC5A30" w:rsidRPr="00983225" w:rsidRDefault="00AC5A30" w:rsidP="00AC5A30">
      <w:pPr>
        <w:pStyle w:val="Header"/>
        <w:spacing w:line="276" w:lineRule="auto"/>
        <w:jc w:val="center"/>
        <w:rPr>
          <w:rFonts w:ascii="Helvetica" w:hAnsi="Helvetica" w:cstheme="minorHAnsi"/>
          <w:b/>
          <w:sz w:val="32"/>
          <w:szCs w:val="32"/>
        </w:rPr>
      </w:pPr>
      <w:r w:rsidRPr="00983225">
        <w:rPr>
          <w:rFonts w:ascii="Helvetica" w:hAnsi="Helvetica" w:cstheme="minorHAnsi"/>
          <w:b/>
          <w:sz w:val="32"/>
          <w:szCs w:val="32"/>
        </w:rPr>
        <w:t>Senator the Hon Katy Gallagher</w:t>
      </w:r>
    </w:p>
    <w:p w14:paraId="349422DB" w14:textId="77777777" w:rsidR="00AC5A30" w:rsidRPr="00983225" w:rsidRDefault="00AC5A30" w:rsidP="00AC5A30">
      <w:pPr>
        <w:pStyle w:val="Header"/>
        <w:contextualSpacing/>
        <w:jc w:val="center"/>
        <w:rPr>
          <w:rFonts w:ascii="Helvetica" w:hAnsi="Helvetica" w:cstheme="minorHAnsi"/>
          <w:sz w:val="22"/>
        </w:rPr>
      </w:pPr>
      <w:r w:rsidRPr="00983225">
        <w:rPr>
          <w:rFonts w:ascii="Helvetica" w:hAnsi="Helvetica" w:cstheme="minorHAnsi"/>
          <w:sz w:val="22"/>
        </w:rPr>
        <w:t>Minister for Finance</w:t>
      </w:r>
    </w:p>
    <w:p w14:paraId="320A034D" w14:textId="77777777" w:rsidR="00AC5A30" w:rsidRPr="00983225" w:rsidRDefault="00AC5A30" w:rsidP="00AC5A30">
      <w:pPr>
        <w:pStyle w:val="Header"/>
        <w:contextualSpacing/>
        <w:jc w:val="center"/>
        <w:rPr>
          <w:rFonts w:ascii="Helvetica" w:hAnsi="Helvetica" w:cstheme="minorHAnsi"/>
          <w:sz w:val="22"/>
        </w:rPr>
      </w:pPr>
      <w:r w:rsidRPr="00983225">
        <w:rPr>
          <w:rFonts w:ascii="Helvetica" w:hAnsi="Helvetica" w:cstheme="minorHAnsi"/>
          <w:sz w:val="22"/>
        </w:rPr>
        <w:t>Minister for Women</w:t>
      </w:r>
    </w:p>
    <w:p w14:paraId="452D6F59" w14:textId="77777777" w:rsidR="00AC5A30" w:rsidRPr="00983225" w:rsidRDefault="00AC5A30" w:rsidP="00AC5A30">
      <w:pPr>
        <w:pStyle w:val="Header"/>
        <w:contextualSpacing/>
        <w:jc w:val="center"/>
        <w:rPr>
          <w:rFonts w:ascii="Helvetica" w:hAnsi="Helvetica" w:cstheme="minorHAnsi"/>
          <w:sz w:val="22"/>
        </w:rPr>
      </w:pPr>
      <w:r w:rsidRPr="00983225">
        <w:rPr>
          <w:rFonts w:ascii="Helvetica" w:hAnsi="Helvetica" w:cstheme="minorHAnsi"/>
          <w:sz w:val="22"/>
        </w:rPr>
        <w:t>Minister for the Public Service</w:t>
      </w:r>
    </w:p>
    <w:p w14:paraId="7B158305" w14:textId="77777777" w:rsidR="00AC5A30" w:rsidRPr="00983225" w:rsidRDefault="00AC5A30" w:rsidP="00AC5A30">
      <w:pPr>
        <w:pStyle w:val="Header"/>
        <w:contextualSpacing/>
        <w:jc w:val="center"/>
        <w:rPr>
          <w:rFonts w:ascii="Helvetica" w:hAnsi="Helvetica" w:cstheme="minorHAnsi"/>
          <w:sz w:val="22"/>
        </w:rPr>
      </w:pPr>
      <w:r w:rsidRPr="00983225">
        <w:rPr>
          <w:rFonts w:ascii="Helvetica" w:hAnsi="Helvetica" w:cstheme="minorHAnsi"/>
          <w:sz w:val="22"/>
        </w:rPr>
        <w:t>Senator for the Australian Capital Territory</w:t>
      </w:r>
    </w:p>
    <w:p w14:paraId="741B9807" w14:textId="77777777" w:rsidR="00AC5A30" w:rsidRDefault="00AC5A30" w:rsidP="00021DA6">
      <w:pPr>
        <w:pStyle w:val="TransmittalAddressee"/>
      </w:pPr>
    </w:p>
    <w:p w14:paraId="3B18E436" w14:textId="77777777" w:rsidR="00AC5A30" w:rsidRDefault="00AC5A30" w:rsidP="00021DA6">
      <w:pPr>
        <w:pStyle w:val="TransmittalAddressee"/>
      </w:pPr>
    </w:p>
    <w:p w14:paraId="489D28E3" w14:textId="77777777" w:rsidR="00AC5A30" w:rsidRDefault="00AC5A30" w:rsidP="00021DA6">
      <w:pPr>
        <w:pStyle w:val="TransmittalAddressee"/>
      </w:pPr>
    </w:p>
    <w:p w14:paraId="7070A174"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Senator the Hon Sue Lines</w:t>
      </w:r>
    </w:p>
    <w:p w14:paraId="2BEEDFB8"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President of the Senate</w:t>
      </w:r>
    </w:p>
    <w:p w14:paraId="060963FF"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Australian Senate</w:t>
      </w:r>
    </w:p>
    <w:p w14:paraId="314DF26C"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Parliament House</w:t>
      </w:r>
    </w:p>
    <w:p w14:paraId="1659E956"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CANBERRA  ACT  2600</w:t>
      </w:r>
    </w:p>
    <w:p w14:paraId="12594264" w14:textId="77777777" w:rsidR="00AC5A30" w:rsidRPr="007476F2" w:rsidRDefault="00AC5A30" w:rsidP="00AC5A30">
      <w:pPr>
        <w:spacing w:before="0" w:after="0" w:line="240" w:lineRule="auto"/>
        <w:rPr>
          <w:rFonts w:cstheme="minorHAnsi"/>
          <w:color w:val="000000" w:themeColor="text1"/>
          <w:szCs w:val="22"/>
        </w:rPr>
      </w:pPr>
    </w:p>
    <w:p w14:paraId="0554A802"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 xml:space="preserve">The Hon Milton Dick MP </w:t>
      </w:r>
    </w:p>
    <w:p w14:paraId="1BBE189D"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Speaker</w:t>
      </w:r>
    </w:p>
    <w:p w14:paraId="66C3083D"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House of Representatives</w:t>
      </w:r>
    </w:p>
    <w:p w14:paraId="631FF7C1"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Parliament House</w:t>
      </w:r>
    </w:p>
    <w:p w14:paraId="5C70A105"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CANBERRA  ACT  2600</w:t>
      </w:r>
    </w:p>
    <w:p w14:paraId="67DE2AF5" w14:textId="77777777" w:rsidR="00AC5A30" w:rsidRPr="007476F2" w:rsidRDefault="00AC5A30" w:rsidP="00AC5A30">
      <w:pPr>
        <w:spacing w:before="0" w:after="0" w:line="240" w:lineRule="auto"/>
        <w:rPr>
          <w:rFonts w:cstheme="minorHAnsi"/>
          <w:color w:val="000000" w:themeColor="text1"/>
          <w:szCs w:val="22"/>
        </w:rPr>
      </w:pPr>
    </w:p>
    <w:p w14:paraId="5122F9A8" w14:textId="77777777" w:rsidR="00AC5A30" w:rsidRPr="007476F2" w:rsidRDefault="00AC5A30" w:rsidP="00AC5A30">
      <w:pPr>
        <w:spacing w:before="0" w:after="0" w:line="240" w:lineRule="auto"/>
        <w:rPr>
          <w:rFonts w:cstheme="minorHAnsi"/>
          <w:color w:val="000000" w:themeColor="text1"/>
          <w:szCs w:val="22"/>
        </w:rPr>
      </w:pPr>
    </w:p>
    <w:p w14:paraId="45D07726" w14:textId="77777777" w:rsidR="00AC5A30" w:rsidRPr="007476F2" w:rsidRDefault="00AC5A30" w:rsidP="00AC5A30">
      <w:pPr>
        <w:spacing w:before="0" w:after="0" w:line="240" w:lineRule="auto"/>
        <w:rPr>
          <w:rFonts w:cstheme="minorHAnsi"/>
          <w:color w:val="000000" w:themeColor="text1"/>
          <w:szCs w:val="22"/>
        </w:rPr>
      </w:pPr>
    </w:p>
    <w:p w14:paraId="6977D3D4" w14:textId="77777777" w:rsidR="00AC5A30" w:rsidRPr="007476F2" w:rsidRDefault="00AC5A30" w:rsidP="00AC5A30">
      <w:pPr>
        <w:spacing w:before="0" w:after="0" w:line="240" w:lineRule="auto"/>
        <w:rPr>
          <w:rFonts w:cstheme="minorHAnsi"/>
          <w:color w:val="000000" w:themeColor="text1"/>
          <w:szCs w:val="22"/>
        </w:rPr>
      </w:pPr>
    </w:p>
    <w:p w14:paraId="350662DA" w14:textId="7210A014"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 xml:space="preserve">Dear </w:t>
      </w:r>
      <w:r w:rsidR="00ED4EB2">
        <w:rPr>
          <w:rFonts w:cstheme="minorHAnsi"/>
          <w:color w:val="000000" w:themeColor="text1"/>
          <w:szCs w:val="22"/>
        </w:rPr>
        <w:t xml:space="preserve">Ms </w:t>
      </w:r>
      <w:r w:rsidRPr="007476F2">
        <w:rPr>
          <w:rFonts w:cstheme="minorHAnsi"/>
          <w:color w:val="000000" w:themeColor="text1"/>
          <w:szCs w:val="22"/>
        </w:rPr>
        <w:t>President</w:t>
      </w:r>
    </w:p>
    <w:p w14:paraId="510B222E" w14:textId="77777777" w:rsidR="00AC5A30" w:rsidRPr="007476F2" w:rsidRDefault="00AC5A30" w:rsidP="00AC5A30">
      <w:pPr>
        <w:spacing w:before="0" w:after="0" w:line="240" w:lineRule="auto"/>
        <w:rPr>
          <w:rFonts w:cstheme="minorHAnsi"/>
          <w:color w:val="000000" w:themeColor="text1"/>
          <w:szCs w:val="22"/>
        </w:rPr>
      </w:pPr>
    </w:p>
    <w:p w14:paraId="332B2883"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Dear Mr Speaker</w:t>
      </w:r>
    </w:p>
    <w:p w14:paraId="19BDEF5A" w14:textId="77777777" w:rsidR="00AC5A30" w:rsidRPr="007476F2" w:rsidRDefault="00AC5A30" w:rsidP="00AC5A30">
      <w:pPr>
        <w:spacing w:before="0" w:after="0" w:line="240" w:lineRule="auto"/>
        <w:rPr>
          <w:rFonts w:cstheme="minorHAnsi"/>
          <w:color w:val="000000" w:themeColor="text1"/>
          <w:szCs w:val="22"/>
        </w:rPr>
      </w:pPr>
    </w:p>
    <w:p w14:paraId="2694074B"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I hereby submit the October Portfolio Budget Statements in support of the 2022-23 October Budget for the Finance portfolio.</w:t>
      </w:r>
    </w:p>
    <w:p w14:paraId="17E8998C" w14:textId="77777777" w:rsidR="00AC5A30" w:rsidRPr="007476F2" w:rsidRDefault="00AC5A30" w:rsidP="00AC5A30">
      <w:pPr>
        <w:spacing w:before="0" w:after="0" w:line="240" w:lineRule="auto"/>
        <w:rPr>
          <w:rFonts w:cstheme="minorHAnsi"/>
          <w:color w:val="000000" w:themeColor="text1"/>
          <w:szCs w:val="22"/>
        </w:rPr>
      </w:pPr>
    </w:p>
    <w:p w14:paraId="51574668"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These statements have been developed, and are submitted to the Parliament, as a statement on the outcomes for the portfolio.</w:t>
      </w:r>
    </w:p>
    <w:p w14:paraId="1C34E69D" w14:textId="77777777" w:rsidR="00AC5A30" w:rsidRPr="007476F2" w:rsidRDefault="00AC5A30" w:rsidP="00AC5A30">
      <w:pPr>
        <w:spacing w:before="0" w:after="0" w:line="240" w:lineRule="auto"/>
        <w:rPr>
          <w:rFonts w:cstheme="minorHAnsi"/>
          <w:color w:val="000000" w:themeColor="text1"/>
          <w:szCs w:val="22"/>
        </w:rPr>
      </w:pPr>
    </w:p>
    <w:p w14:paraId="347FDEEA" w14:textId="77777777"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I present these statements to provide accountability to the Parliament and, through it, the public.</w:t>
      </w:r>
    </w:p>
    <w:p w14:paraId="5A6C2F43" w14:textId="77777777" w:rsidR="00AF6C79" w:rsidRPr="007476F2" w:rsidRDefault="00AF6C79" w:rsidP="00AC5A30">
      <w:pPr>
        <w:spacing w:before="0" w:after="0" w:line="240" w:lineRule="auto"/>
        <w:rPr>
          <w:rFonts w:cstheme="minorHAnsi"/>
          <w:color w:val="000000" w:themeColor="text1"/>
          <w:szCs w:val="22"/>
        </w:rPr>
      </w:pPr>
    </w:p>
    <w:p w14:paraId="28979498" w14:textId="34A9353D" w:rsidR="00AC5A30" w:rsidRPr="007476F2" w:rsidRDefault="00AC5A30" w:rsidP="00AC5A30">
      <w:pPr>
        <w:spacing w:before="0" w:after="0" w:line="240" w:lineRule="auto"/>
        <w:rPr>
          <w:rFonts w:cstheme="minorHAnsi"/>
          <w:color w:val="000000" w:themeColor="text1"/>
          <w:szCs w:val="22"/>
        </w:rPr>
      </w:pPr>
      <w:r w:rsidRPr="007476F2">
        <w:rPr>
          <w:rFonts w:cstheme="minorHAnsi"/>
          <w:color w:val="000000" w:themeColor="text1"/>
          <w:szCs w:val="22"/>
        </w:rPr>
        <w:t xml:space="preserve">Yours sincerely </w:t>
      </w:r>
    </w:p>
    <w:p w14:paraId="5A2C6009" w14:textId="77777777" w:rsidR="00AC5A30" w:rsidRPr="007476F2" w:rsidRDefault="00AC5A30" w:rsidP="00AC5A30">
      <w:pPr>
        <w:spacing w:before="0" w:after="0" w:line="240" w:lineRule="auto"/>
        <w:rPr>
          <w:rFonts w:cstheme="minorHAnsi"/>
          <w:color w:val="000000" w:themeColor="text1"/>
          <w:sz w:val="22"/>
          <w:szCs w:val="22"/>
        </w:rPr>
      </w:pPr>
    </w:p>
    <w:p w14:paraId="736D2AC8" w14:textId="77777777" w:rsidR="00AC5A30" w:rsidRPr="007476F2" w:rsidRDefault="00AC5A30" w:rsidP="00AC5A30">
      <w:pPr>
        <w:spacing w:before="0" w:after="0" w:line="240" w:lineRule="auto"/>
        <w:rPr>
          <w:rFonts w:cstheme="minorHAnsi"/>
          <w:color w:val="000000" w:themeColor="text1"/>
          <w:sz w:val="22"/>
          <w:szCs w:val="22"/>
        </w:rPr>
      </w:pPr>
    </w:p>
    <w:p w14:paraId="7CB5E07F" w14:textId="63504907" w:rsidR="0074249A" w:rsidRPr="007476F2" w:rsidRDefault="0074249A" w:rsidP="00AC5A30">
      <w:pPr>
        <w:spacing w:before="0" w:after="0" w:line="240" w:lineRule="auto"/>
        <w:rPr>
          <w:rFonts w:cstheme="minorHAnsi"/>
          <w:color w:val="000000" w:themeColor="text1"/>
          <w:sz w:val="22"/>
          <w:szCs w:val="22"/>
        </w:rPr>
      </w:pPr>
    </w:p>
    <w:p w14:paraId="6A62EF75" w14:textId="77777777" w:rsidR="00AC5A30" w:rsidRPr="007476F2" w:rsidRDefault="00AC5A30" w:rsidP="00AC5A30">
      <w:pPr>
        <w:spacing w:before="0" w:after="0" w:line="240" w:lineRule="auto"/>
        <w:rPr>
          <w:rFonts w:cstheme="minorHAnsi"/>
          <w:color w:val="000000" w:themeColor="text1"/>
          <w:sz w:val="22"/>
          <w:szCs w:val="22"/>
        </w:rPr>
      </w:pPr>
    </w:p>
    <w:p w14:paraId="2239DEE8" w14:textId="70893AF6" w:rsidR="009C0C48" w:rsidRPr="007476F2" w:rsidRDefault="00AC5A30" w:rsidP="00AC5A30">
      <w:pPr>
        <w:spacing w:before="0" w:after="0" w:line="240" w:lineRule="auto"/>
        <w:rPr>
          <w:rFonts w:cstheme="minorHAnsi"/>
          <w:b/>
          <w:sz w:val="22"/>
          <w:szCs w:val="22"/>
        </w:rPr>
      </w:pPr>
      <w:r w:rsidRPr="007476F2">
        <w:rPr>
          <w:rFonts w:cstheme="minorHAnsi"/>
          <w:b/>
          <w:sz w:val="22"/>
          <w:szCs w:val="22"/>
        </w:rPr>
        <w:t>Katy Gallagher</w:t>
      </w:r>
    </w:p>
    <w:p w14:paraId="2239DEEA" w14:textId="5CD4B112" w:rsidR="00FE3DE9" w:rsidRPr="00FE3DE9" w:rsidRDefault="00FE3DE9" w:rsidP="00FE3DE9">
      <w:pPr>
        <w:sectPr w:rsidR="00FE3DE9" w:rsidRPr="00FE3DE9" w:rsidSect="00782467">
          <w:footerReference w:type="first" r:id="rId22"/>
          <w:pgSz w:w="11906" w:h="16838" w:code="9"/>
          <w:pgMar w:top="2835" w:right="2098" w:bottom="2466" w:left="2098" w:header="1814" w:footer="1814" w:gutter="0"/>
          <w:pgNumType w:fmt="lowerRoman"/>
          <w:cols w:space="708"/>
          <w:titlePg/>
          <w:docGrid w:linePitch="360"/>
        </w:sectPr>
      </w:pPr>
    </w:p>
    <w:p w14:paraId="2239DEEB" w14:textId="77777777" w:rsidR="009C0C48" w:rsidRDefault="009C0C48" w:rsidP="00116C76">
      <w:pPr>
        <w:pStyle w:val="Heading4"/>
      </w:pPr>
      <w:r>
        <w:lastRenderedPageBreak/>
        <w:t>Abbreviations and conventions</w:t>
      </w:r>
    </w:p>
    <w:p w14:paraId="2239DEEC" w14:textId="77777777" w:rsidR="009C0C48" w:rsidRDefault="009C0C48" w:rsidP="009C0C48">
      <w:r>
        <w:t>The following notation may be used:</w:t>
      </w:r>
    </w:p>
    <w:p w14:paraId="2239DEED" w14:textId="77777777" w:rsidR="009C0C48" w:rsidRDefault="009C0C48" w:rsidP="009C0C48">
      <w:pPr>
        <w:pStyle w:val="SingleParagraph"/>
        <w:tabs>
          <w:tab w:val="left" w:pos="2268"/>
        </w:tabs>
        <w:ind w:left="567"/>
      </w:pPr>
      <w:r>
        <w:t>NEC/nec</w:t>
      </w:r>
      <w:r>
        <w:tab/>
        <w:t>not elsewhere classified</w:t>
      </w:r>
    </w:p>
    <w:p w14:paraId="2239DEEE" w14:textId="77777777" w:rsidR="009C0C48" w:rsidRDefault="00F403D6" w:rsidP="009C0C48">
      <w:pPr>
        <w:pStyle w:val="SingleParagraph"/>
        <w:tabs>
          <w:tab w:val="left" w:pos="2268"/>
        </w:tabs>
        <w:ind w:left="567"/>
      </w:pPr>
      <w:r>
        <w:t>-</w:t>
      </w:r>
      <w:r w:rsidR="009C0C48">
        <w:tab/>
        <w:t>nil</w:t>
      </w:r>
    </w:p>
    <w:p w14:paraId="2239DEEF" w14:textId="77777777" w:rsidR="009C0C48" w:rsidRDefault="009C0C48" w:rsidP="009C0C48">
      <w:pPr>
        <w:pStyle w:val="SingleParagraph"/>
        <w:tabs>
          <w:tab w:val="left" w:pos="2268"/>
        </w:tabs>
        <w:ind w:left="567"/>
      </w:pPr>
      <w:r>
        <w:t>..</w:t>
      </w:r>
      <w:r>
        <w:tab/>
        <w:t>not zero, but rounded to zero</w:t>
      </w:r>
    </w:p>
    <w:p w14:paraId="2239DEF0" w14:textId="77777777" w:rsidR="009C0C48" w:rsidRDefault="009C0C48" w:rsidP="009C0C48">
      <w:pPr>
        <w:pStyle w:val="SingleParagraph"/>
        <w:tabs>
          <w:tab w:val="left" w:pos="2268"/>
        </w:tabs>
        <w:ind w:left="567"/>
      </w:pPr>
      <w:r>
        <w:t>na</w:t>
      </w:r>
      <w:r>
        <w:tab/>
        <w:t>not applicable (unless otherwise specified)</w:t>
      </w:r>
      <w:bookmarkStart w:id="0" w:name="_GoBack"/>
      <w:bookmarkEnd w:id="0"/>
    </w:p>
    <w:p w14:paraId="2239DEF1" w14:textId="77777777" w:rsidR="009C0C48" w:rsidRDefault="009C0C48" w:rsidP="009C0C48">
      <w:pPr>
        <w:pStyle w:val="SingleParagraph"/>
        <w:tabs>
          <w:tab w:val="left" w:pos="2268"/>
        </w:tabs>
        <w:ind w:left="567"/>
      </w:pPr>
      <w:r>
        <w:t>nfp</w:t>
      </w:r>
      <w:r>
        <w:tab/>
        <w:t>not for publication</w:t>
      </w:r>
    </w:p>
    <w:p w14:paraId="035666D0" w14:textId="77777777" w:rsidR="007659E0" w:rsidRDefault="009C0C48" w:rsidP="007659E0">
      <w:pPr>
        <w:pStyle w:val="SingleParagraph"/>
        <w:tabs>
          <w:tab w:val="left" w:pos="2268"/>
        </w:tabs>
        <w:ind w:left="567"/>
      </w:pPr>
      <w:r>
        <w:t>$m</w:t>
      </w:r>
      <w:r>
        <w:tab/>
        <w:t>$ million</w:t>
      </w:r>
    </w:p>
    <w:p w14:paraId="2239DEF3" w14:textId="58E2795A" w:rsidR="009C0C48" w:rsidRDefault="009C0C48" w:rsidP="007659E0">
      <w:pPr>
        <w:pStyle w:val="SingleParagraph"/>
        <w:tabs>
          <w:tab w:val="left" w:pos="2268"/>
        </w:tabs>
        <w:ind w:left="567"/>
      </w:pPr>
      <w:r>
        <w:t>$b</w:t>
      </w:r>
      <w:r>
        <w:tab/>
        <w:t>$ billion</w:t>
      </w:r>
    </w:p>
    <w:p w14:paraId="2239DEF4" w14:textId="77777777" w:rsidR="009C0C48" w:rsidRDefault="009C0C48" w:rsidP="009C0C48">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2239DEF5" w14:textId="77777777" w:rsidR="009C0C48" w:rsidRPr="00116C76" w:rsidRDefault="009C0C48" w:rsidP="00116C76">
      <w:pPr>
        <w:pStyle w:val="Heading4"/>
      </w:pPr>
      <w:r w:rsidRPr="00116C76">
        <w:t>Enquiries</w:t>
      </w:r>
    </w:p>
    <w:p w14:paraId="2239DEF6" w14:textId="4C76F5F5" w:rsidR="009C0C48" w:rsidRDefault="009C0C48" w:rsidP="009C0C48">
      <w:r>
        <w:t xml:space="preserve">Should you have any enquiries regarding this publication please contact, </w:t>
      </w:r>
      <w:r w:rsidR="00EE0ACF">
        <w:t>Chief Financ</w:t>
      </w:r>
      <w:r w:rsidR="00B30D53">
        <w:t>ial</w:t>
      </w:r>
      <w:r w:rsidR="00EE0ACF">
        <w:t xml:space="preserve"> Officer</w:t>
      </w:r>
      <w:r>
        <w:t xml:space="preserve">, Department of </w:t>
      </w:r>
      <w:r w:rsidR="0072448D">
        <w:t>Finance</w:t>
      </w:r>
      <w:r>
        <w:t xml:space="preserve"> on (02)</w:t>
      </w:r>
      <w:r w:rsidR="006A1BA3">
        <w:t xml:space="preserve"> </w:t>
      </w:r>
      <w:r w:rsidR="0072448D">
        <w:t>6215 2222</w:t>
      </w:r>
      <w:r>
        <w:t>.</w:t>
      </w:r>
    </w:p>
    <w:p w14:paraId="2239DEF7" w14:textId="77777777" w:rsidR="008D7DFC" w:rsidRDefault="009D40C6" w:rsidP="009C0C48">
      <w:r>
        <w:t xml:space="preserve">Links to Portfolio Budget Statements (including Portfolio Additional Estimates Statements and Portfolio Supplementary Additional Statements) </w:t>
      </w:r>
      <w:r w:rsidR="009C0C48">
        <w:t>can be located on the Australian Government Budget website at</w:t>
      </w:r>
      <w:r w:rsidR="00D30CBA">
        <w:t xml:space="preserve">: </w:t>
      </w:r>
      <w:hyperlink r:id="rId23" w:history="1">
        <w:r w:rsidR="005F3506" w:rsidRPr="00F24527">
          <w:rPr>
            <w:rStyle w:val="Hyperlink"/>
          </w:rPr>
          <w:t>www.budget.gov.au</w:t>
        </w:r>
      </w:hyperlink>
      <w:r w:rsidR="009C0C48">
        <w:t>.</w:t>
      </w:r>
    </w:p>
    <w:p w14:paraId="2239DEF8" w14:textId="77777777" w:rsidR="00423003" w:rsidRPr="00174186" w:rsidRDefault="00423003" w:rsidP="00174186"/>
    <w:p w14:paraId="2239DEF9" w14:textId="77777777" w:rsidR="00174186" w:rsidRPr="00174186" w:rsidRDefault="00174186" w:rsidP="00174186"/>
    <w:p w14:paraId="2239DEFA" w14:textId="77777777" w:rsidR="00174186" w:rsidRPr="00174186" w:rsidRDefault="00174186" w:rsidP="00174186">
      <w:pPr>
        <w:sectPr w:rsidR="00174186" w:rsidRPr="00174186" w:rsidSect="00782467">
          <w:headerReference w:type="even" r:id="rId24"/>
          <w:headerReference w:type="default" r:id="rId25"/>
          <w:headerReference w:type="first" r:id="rId26"/>
          <w:footerReference w:type="first" r:id="rId27"/>
          <w:pgSz w:w="11906" w:h="16838" w:code="9"/>
          <w:pgMar w:top="2835" w:right="2098" w:bottom="2466" w:left="2098" w:header="1814" w:footer="1814" w:gutter="0"/>
          <w:pgNumType w:fmt="lowerRoman"/>
          <w:cols w:space="708"/>
          <w:titlePg/>
          <w:docGrid w:linePitch="360"/>
        </w:sectPr>
      </w:pPr>
    </w:p>
    <w:p w14:paraId="2239DEFB" w14:textId="77777777" w:rsidR="008D7DFC" w:rsidRPr="00883894" w:rsidRDefault="00883894" w:rsidP="00883894">
      <w:pPr>
        <w:pStyle w:val="PartHeading"/>
      </w:pPr>
      <w:bookmarkStart w:id="1" w:name="_Toc444523502"/>
      <w:r w:rsidRPr="00883894">
        <w:lastRenderedPageBreak/>
        <w:t>User Guide</w:t>
      </w:r>
      <w:bookmarkEnd w:id="1"/>
      <w:r w:rsidRPr="00883894">
        <w:br/>
      </w:r>
      <w:bookmarkStart w:id="2" w:name="_Toc444523503"/>
      <w:r w:rsidRPr="00883894">
        <w:t>To The</w:t>
      </w:r>
      <w:bookmarkEnd w:id="2"/>
      <w:r w:rsidRPr="00883894">
        <w:br/>
      </w:r>
      <w:bookmarkStart w:id="3" w:name="_Toc444523504"/>
      <w:r w:rsidRPr="00883894">
        <w:t>Portfolio Budget Statements</w:t>
      </w:r>
      <w:bookmarkEnd w:id="3"/>
    </w:p>
    <w:p w14:paraId="2239DEFC" w14:textId="77777777" w:rsidR="008D7DFC" w:rsidRPr="00883894" w:rsidRDefault="008D7DFC" w:rsidP="00883894">
      <w:pPr>
        <w:pStyle w:val="PartHeading"/>
        <w:sectPr w:rsidR="008D7DFC" w:rsidRPr="00883894" w:rsidSect="00782467">
          <w:headerReference w:type="first" r:id="rId28"/>
          <w:footerReference w:type="first" r:id="rId29"/>
          <w:pgSz w:w="11906" w:h="16838" w:code="9"/>
          <w:pgMar w:top="2835" w:right="2098" w:bottom="2466" w:left="2098" w:header="1814" w:footer="1814" w:gutter="0"/>
          <w:pgNumType w:fmt="lowerRoman"/>
          <w:cols w:space="708"/>
          <w:vAlign w:val="center"/>
          <w:titlePg/>
          <w:docGrid w:linePitch="360"/>
        </w:sectPr>
      </w:pPr>
    </w:p>
    <w:p w14:paraId="2239DEFD" w14:textId="77777777" w:rsidR="008D7DFC" w:rsidRDefault="008D7DFC" w:rsidP="006928E4">
      <w:pPr>
        <w:pStyle w:val="Heading1"/>
        <w:rPr>
          <w:lang w:val="en-US"/>
        </w:rPr>
      </w:pPr>
      <w:bookmarkStart w:id="4" w:name="_Toc112211948"/>
      <w:bookmarkStart w:id="5" w:name="_Toc112212042"/>
      <w:bookmarkStart w:id="6" w:name="_Toc112137860"/>
      <w:bookmarkStart w:id="7" w:name="_Toc112224367"/>
      <w:bookmarkStart w:id="8" w:name="_Toc112225828"/>
      <w:bookmarkStart w:id="9" w:name="_Toc116465541"/>
      <w:r w:rsidRPr="006928E4">
        <w:lastRenderedPageBreak/>
        <w:t>User</w:t>
      </w:r>
      <w:r>
        <w:rPr>
          <w:lang w:val="en-US"/>
        </w:rPr>
        <w:t xml:space="preserve"> </w:t>
      </w:r>
      <w:r w:rsidR="00CA2F21">
        <w:rPr>
          <w:lang w:val="en-US"/>
        </w:rPr>
        <w:t>g</w:t>
      </w:r>
      <w:r>
        <w:rPr>
          <w:lang w:val="en-US"/>
        </w:rPr>
        <w:t>uide</w:t>
      </w:r>
      <w:bookmarkEnd w:id="4"/>
      <w:bookmarkEnd w:id="5"/>
      <w:bookmarkEnd w:id="6"/>
      <w:bookmarkEnd w:id="7"/>
      <w:bookmarkEnd w:id="8"/>
      <w:bookmarkEnd w:id="9"/>
    </w:p>
    <w:p w14:paraId="2239DEFE" w14:textId="77777777" w:rsidR="008D7DFC" w:rsidRDefault="00A409BC" w:rsidP="008D7DFC">
      <w:r>
        <w:t xml:space="preserve">The purpose of the </w:t>
      </w:r>
      <w:r w:rsidR="007D5B26" w:rsidRPr="00716CCB">
        <w:t xml:space="preserve">October </w:t>
      </w:r>
      <w:r w:rsidR="00400A8B">
        <w:rPr>
          <w:i/>
        </w:rPr>
        <w:t>2022</w:t>
      </w:r>
      <w:r w:rsidR="007B5E45">
        <w:rPr>
          <w:i/>
        </w:rPr>
        <w:t>-</w:t>
      </w:r>
      <w:r w:rsidR="00400A8B">
        <w:rPr>
          <w:i/>
        </w:rPr>
        <w:t>23</w:t>
      </w:r>
      <w:r w:rsidR="00400A8B" w:rsidRPr="008E7DCC">
        <w:rPr>
          <w:i/>
        </w:rPr>
        <w:t xml:space="preserve"> </w:t>
      </w:r>
      <w:r w:rsidR="008D7DFC" w:rsidRPr="008E7DCC">
        <w:rPr>
          <w:i/>
        </w:rPr>
        <w:t>Portfolio Budget Statements</w:t>
      </w:r>
      <w:r w:rsidR="008D7DFC">
        <w:t xml:space="preserve"> (PB Statements) is to inform Senators and Members of Parliament of the proposed allocation of resources to </w:t>
      </w:r>
      <w:r w:rsidR="008F53F5">
        <w:t xml:space="preserve">government </w:t>
      </w:r>
      <w:r w:rsidR="008D7DFC">
        <w:t xml:space="preserve">outcomes by </w:t>
      </w:r>
      <w:r w:rsidR="007E6BBD">
        <w:t xml:space="preserve">entities </w:t>
      </w:r>
      <w:r w:rsidR="008D7DFC">
        <w:t xml:space="preserve">within the portfolio. </w:t>
      </w:r>
      <w:r w:rsidR="007E6BBD">
        <w:t xml:space="preserve">Entities </w:t>
      </w:r>
      <w:r w:rsidR="008D7DFC">
        <w:t>receive resources from the annual appropriations acts, special appropriations (including standing appropriations and special accounts), and revenue from other sources.</w:t>
      </w:r>
    </w:p>
    <w:p w14:paraId="2239DEFF" w14:textId="77777777" w:rsidR="008D7DFC" w:rsidRDefault="008D7DFC" w:rsidP="008D7DFC">
      <w:r>
        <w:t xml:space="preserve">A key role of the PB Statements is to facilitate the understanding of proposed annual appropriations in </w:t>
      </w:r>
      <w:r w:rsidRPr="003F3C77">
        <w:t>Appropriati</w:t>
      </w:r>
      <w:r w:rsidR="00C11F05" w:rsidRPr="003F3C77">
        <w:t xml:space="preserve">on Bills </w:t>
      </w:r>
      <w:r w:rsidR="005F4739" w:rsidRPr="003F3C77">
        <w:t>(</w:t>
      </w:r>
      <w:r w:rsidR="00C11F05" w:rsidRPr="003F3C77">
        <w:t>No. 1 and No. 2</w:t>
      </w:r>
      <w:r w:rsidR="005F4739" w:rsidRPr="003F3C77">
        <w:t>)</w:t>
      </w:r>
      <w:r w:rsidR="00C11F05" w:rsidRPr="003F3C77">
        <w:t xml:space="preserve"> </w:t>
      </w:r>
      <w:r w:rsidR="00400A8B">
        <w:t>2022</w:t>
      </w:r>
      <w:r w:rsidR="007B5E45">
        <w:t>-</w:t>
      </w:r>
      <w:r w:rsidR="00400A8B">
        <w:t xml:space="preserve">23 </w:t>
      </w:r>
      <w:r>
        <w:t xml:space="preserve">(or </w:t>
      </w:r>
      <w:r w:rsidRPr="003F3C77">
        <w:t xml:space="preserve">Appropriation </w:t>
      </w:r>
      <w:r w:rsidR="00F67A6B" w:rsidRPr="003F3C77">
        <w:t>(</w:t>
      </w:r>
      <w:r w:rsidRPr="003F3C77">
        <w:t>Parliamentary Departments</w:t>
      </w:r>
      <w:r w:rsidR="00F67A6B" w:rsidRPr="003F3C77">
        <w:t>)</w:t>
      </w:r>
      <w:r w:rsidRPr="003F3C77">
        <w:t xml:space="preserve"> </w:t>
      </w:r>
      <w:r w:rsidR="00F67A6B" w:rsidRPr="003F3C77">
        <w:t>Bill</w:t>
      </w:r>
      <w:r w:rsidR="00F67A6B" w:rsidRPr="00D81071">
        <w:rPr>
          <w:i/>
        </w:rPr>
        <w:t xml:space="preserve"> (</w:t>
      </w:r>
      <w:r w:rsidRPr="003F3C77">
        <w:t>No. 1</w:t>
      </w:r>
      <w:r w:rsidR="00F67A6B" w:rsidRPr="003F3C77">
        <w:t>)</w:t>
      </w:r>
      <w:r w:rsidRPr="003F3C77">
        <w:t xml:space="preserve"> </w:t>
      </w:r>
      <w:r w:rsidR="00400A8B">
        <w:t>2022</w:t>
      </w:r>
      <w:r w:rsidR="007B5E45">
        <w:t>-</w:t>
      </w:r>
      <w:r w:rsidR="00400A8B">
        <w:t xml:space="preserve">23 </w:t>
      </w:r>
      <w:r>
        <w:t>for the parliame</w:t>
      </w:r>
      <w:r w:rsidR="00705BC0">
        <w:t>ntary departments). In this sens</w:t>
      </w:r>
      <w:r>
        <w:t>e</w:t>
      </w:r>
      <w:r w:rsidR="00705BC0">
        <w:t>,</w:t>
      </w:r>
      <w:r>
        <w:t xml:space="preserve"> the PB Statements are Budget related papers and are declared by the Appropriation Acts to be ‘relevant documents’ to the interpretation of the Acts according to section 15AB of the </w:t>
      </w:r>
      <w:r>
        <w:rPr>
          <w:i/>
        </w:rPr>
        <w:t>Acts Interpretation Act 1901</w:t>
      </w:r>
      <w:r>
        <w:t>.</w:t>
      </w:r>
    </w:p>
    <w:p w14:paraId="2239DF00" w14:textId="77777777" w:rsidR="008D7DFC" w:rsidRDefault="008D7DFC" w:rsidP="008D7DFC">
      <w:r>
        <w:t>The PB Statements provide information, explanation and justification to enable Parliament to understand the purpose of each outcome proposed in the Bills.</w:t>
      </w:r>
    </w:p>
    <w:p w14:paraId="2239DF01" w14:textId="77777777" w:rsidR="008D7DFC" w:rsidRDefault="008D7DFC" w:rsidP="00834F9A">
      <w:r w:rsidRPr="00302A25">
        <w:t xml:space="preserve">As required under section 12 of the </w:t>
      </w:r>
      <w:r w:rsidRPr="00302A25">
        <w:rPr>
          <w:i/>
        </w:rPr>
        <w:t>Charter of Budget Honesty Act 1998</w:t>
      </w:r>
      <w:r w:rsidRPr="00302A25">
        <w:t xml:space="preserve">, </w:t>
      </w:r>
      <w:r w:rsidR="003F6209" w:rsidRPr="00302A25">
        <w:t>only</w:t>
      </w:r>
      <w:r w:rsidRPr="00302A25">
        <w:t xml:space="preserve"> </w:t>
      </w:r>
      <w:r w:rsidR="003F6209" w:rsidRPr="00302A25">
        <w:t xml:space="preserve">entities within the general government sector are included as part of the </w:t>
      </w:r>
      <w:r w:rsidRPr="00302A25">
        <w:t xml:space="preserve">Commonwealth general government sector fiscal estimates </w:t>
      </w:r>
      <w:r w:rsidR="003F6209" w:rsidRPr="00302A25">
        <w:t>and produce</w:t>
      </w:r>
      <w:r w:rsidRPr="00302A25">
        <w:t xml:space="preserve"> PB Statements</w:t>
      </w:r>
      <w:r w:rsidR="003F6209" w:rsidRPr="00302A25">
        <w:t xml:space="preserve"> where they receive funding </w:t>
      </w:r>
      <w:r w:rsidR="007A5E11" w:rsidRPr="00302A25">
        <w:t xml:space="preserve">(either directly or via portfolio departments) </w:t>
      </w:r>
      <w:r w:rsidR="003F6209" w:rsidRPr="00302A25">
        <w:t>through the annual appropriation acts</w:t>
      </w:r>
      <w:r w:rsidRPr="00302A25">
        <w:t>.</w:t>
      </w:r>
    </w:p>
    <w:p w14:paraId="2239DF02" w14:textId="77777777" w:rsidR="00AF3117" w:rsidRPr="005328A9" w:rsidRDefault="00AF3117" w:rsidP="005328A9">
      <w:pPr>
        <w:pStyle w:val="Heading2NoTOC"/>
      </w:pPr>
      <w:r w:rsidRPr="005328A9">
        <w:t>The Com</w:t>
      </w:r>
      <w:r w:rsidR="00834F9A" w:rsidRPr="005328A9">
        <w:t>monwealth Performance Framework</w:t>
      </w:r>
    </w:p>
    <w:p w14:paraId="2239DF03" w14:textId="77777777" w:rsidR="00AF3117" w:rsidRPr="00FD522D" w:rsidRDefault="00AF3117" w:rsidP="00FD522D">
      <w:r w:rsidRPr="00FD522D">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14:paraId="2239DF04" w14:textId="77777777" w:rsidR="004D0D6B" w:rsidRDefault="004D0D6B">
      <w:pPr>
        <w:spacing w:after="0" w:line="240" w:lineRule="auto"/>
        <w:rPr>
          <w:rFonts w:ascii="Arial" w:hAnsi="Arial"/>
        </w:rPr>
      </w:pPr>
      <w:r>
        <w:br w:type="page"/>
      </w:r>
    </w:p>
    <w:p w14:paraId="2239DF05" w14:textId="77777777" w:rsidR="005C46D8" w:rsidRPr="005C46D8" w:rsidRDefault="00A35A91" w:rsidP="003F1607">
      <w:pPr>
        <w:pStyle w:val="ChartGraphic"/>
      </w:pPr>
      <w:r>
        <w:rPr>
          <w:noProof/>
          <w:lang w:eastAsia="zh-CN"/>
        </w:rPr>
        <w:lastRenderedPageBreak/>
        <mc:AlternateContent>
          <mc:Choice Requires="wpg">
            <w:drawing>
              <wp:anchor distT="0" distB="0" distL="114300" distR="114300" simplePos="0" relativeHeight="251657728" behindDoc="0" locked="0" layoutInCell="1" allowOverlap="1" wp14:anchorId="2239EAFD" wp14:editId="2239EAFE">
                <wp:simplePos x="0" y="0"/>
                <wp:positionH relativeFrom="column">
                  <wp:posOffset>3810</wp:posOffset>
                </wp:positionH>
                <wp:positionV relativeFrom="paragraph">
                  <wp:posOffset>-3175</wp:posOffset>
                </wp:positionV>
                <wp:extent cx="4882515" cy="697357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2515" cy="6973570"/>
                          <a:chOff x="0" y="0"/>
                          <a:chExt cx="4882515" cy="6777990"/>
                        </a:xfrm>
                      </wpg:grpSpPr>
                      <wpg:grpSp>
                        <wpg:cNvPr id="94" name="Group 32"/>
                        <wpg:cNvGrpSpPr>
                          <a:grpSpLocks/>
                        </wpg:cNvGrpSpPr>
                        <wpg:grpSpPr bwMode="auto">
                          <a:xfrm>
                            <a:off x="0" y="0"/>
                            <a:ext cx="4882515" cy="6777990"/>
                            <a:chOff x="1063986" y="1064206"/>
                            <a:chExt cx="48825" cy="57214"/>
                          </a:xfrm>
                        </wpg:grpSpPr>
                        <wps:wsp>
                          <wps:cNvPr id="95" name="Rectangle 3"/>
                          <wps:cNvSpPr>
                            <a:spLocks noChangeArrowheads="1"/>
                          </wps:cNvSpPr>
                          <wps:spPr bwMode="auto">
                            <a:xfrm>
                              <a:off x="1063986" y="1064206"/>
                              <a:ext cx="48825" cy="57214"/>
                            </a:xfrm>
                            <a:prstGeom prst="rect">
                              <a:avLst/>
                            </a:prstGeom>
                            <a:noFill/>
                            <a:ln w="25400">
                              <a:solidFill>
                                <a:sysClr val="windowText" lastClr="000000">
                                  <a:lumMod val="0"/>
                                  <a:lumOff val="0"/>
                                </a:sysClr>
                              </a:solidFill>
                              <a:miter lim="800000"/>
                              <a:headEnd/>
                              <a:tailEnd/>
                            </a:ln>
                            <a:effectLst/>
                          </wps:spPr>
                          <wps:bodyPr rot="0" vert="horz" wrap="square" lIns="36576" tIns="36576" rIns="36576" bIns="36576" anchor="t" anchorCtr="0" upright="1">
                            <a:noAutofit/>
                          </wps:bodyPr>
                        </wps:wsp>
                        <wps:wsp>
                          <wps:cNvPr id="96" name="Rectangle 4"/>
                          <wps:cNvSpPr>
                            <a:spLocks noChangeArrowheads="1"/>
                          </wps:cNvSpPr>
                          <wps:spPr bwMode="auto">
                            <a:xfrm>
                              <a:off x="1067497" y="1065559"/>
                              <a:ext cx="41422" cy="4680"/>
                            </a:xfrm>
                            <a:prstGeom prst="rect">
                              <a:avLst/>
                            </a:prstGeom>
                            <a:solidFill>
                              <a:srgbClr val="0C0C0C"/>
                            </a:solidFill>
                            <a:ln w="25400">
                              <a:solidFill>
                                <a:sysClr val="windowText" lastClr="000000">
                                  <a:lumMod val="0"/>
                                  <a:lumOff val="0"/>
                                </a:sysClr>
                              </a:solidFill>
                              <a:miter lim="800000"/>
                              <a:headEnd/>
                              <a:tailEnd/>
                            </a:ln>
                            <a:effectLst/>
                          </wps:spPr>
                          <wps:txbx>
                            <w:txbxContent>
                              <w:p w14:paraId="2239ED1B" w14:textId="77777777" w:rsidR="008B04B6" w:rsidRDefault="008B04B6" w:rsidP="00071794">
                                <w:pPr>
                                  <w:widowControl w:val="0"/>
                                  <w:spacing w:before="12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2239ED1C" w14:textId="77777777" w:rsidR="008B04B6" w:rsidRDefault="008B04B6" w:rsidP="00A721F1">
                                <w:pPr>
                                  <w:widowControl w:val="0"/>
                                  <w:jc w:val="center"/>
                                  <w:rPr>
                                    <w:rFonts w:ascii="Arial" w:hAnsi="Arial" w:cs="Arial"/>
                                    <w:b/>
                                    <w:bCs/>
                                    <w:color w:val="FFFFFF"/>
                                    <w:sz w:val="18"/>
                                    <w:szCs w:val="18"/>
                                  </w:rPr>
                                </w:pPr>
                                <w:r>
                                  <w:rPr>
                                    <w:rFonts w:ascii="Arial" w:hAnsi="Arial" w:cs="Arial"/>
                                    <w:b/>
                                    <w:bCs/>
                                    <w:color w:val="FFFFFF"/>
                                    <w:sz w:val="18"/>
                                    <w:szCs w:val="18"/>
                                  </w:rPr>
                                  <w:t> </w:t>
                                </w:r>
                              </w:p>
                              <w:p w14:paraId="2239ED1D" w14:textId="77777777" w:rsidR="008B04B6" w:rsidRDefault="008B04B6" w:rsidP="00A721F1">
                                <w:pPr>
                                  <w:widowControl w:val="0"/>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a:noAutofit/>
                          </wps:bodyPr>
                        </wps:wsp>
                        <wps:wsp>
                          <wps:cNvPr id="97" name="Rectangle 5"/>
                          <wps:cNvSpPr>
                            <a:spLocks noChangeArrowheads="1"/>
                          </wps:cNvSpPr>
                          <wps:spPr bwMode="auto">
                            <a:xfrm>
                              <a:off x="1065754" y="1071635"/>
                              <a:ext cx="19739"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2239ED1E" w14:textId="77777777" w:rsidR="008B04B6" w:rsidRPr="005E1835" w:rsidRDefault="008B04B6" w:rsidP="00071794">
                                <w:pPr>
                                  <w:widowControl w:val="0"/>
                                  <w:spacing w:before="120"/>
                                  <w:jc w:val="center"/>
                                  <w:rPr>
                                    <w:rFonts w:ascii="Arial" w:hAnsi="Arial" w:cs="Arial"/>
                                    <w:color w:val="FFFFFF"/>
                                    <w:sz w:val="18"/>
                                    <w:szCs w:val="18"/>
                                  </w:rPr>
                                </w:pPr>
                                <w:r>
                                  <w:rPr>
                                    <w:rFonts w:ascii="Arial" w:hAnsi="Arial" w:cs="Arial"/>
                                    <w:color w:val="FFFFFF"/>
                                    <w:sz w:val="18"/>
                                    <w:szCs w:val="18"/>
                                  </w:rPr>
                                  <w:t xml:space="preserve">Portfolio Budget Statements (October) </w:t>
                                </w:r>
                                <w:r>
                                  <w:rPr>
                                    <w:rFonts w:ascii="Arial" w:hAnsi="Arial" w:cs="Arial"/>
                                    <w:color w:val="FFFFFF"/>
                                    <w:sz w:val="18"/>
                                    <w:szCs w:val="18"/>
                                  </w:rPr>
                                  <w:br/>
                                </w:r>
                                <w:r>
                                  <w:rPr>
                                    <w:i/>
                                    <w:iCs/>
                                    <w:color w:val="FFFFFF"/>
                                  </w:rPr>
                                  <w:t>Portfolio based</w:t>
                                </w:r>
                              </w:p>
                              <w:p w14:paraId="2239ED1F" w14:textId="77777777" w:rsidR="008B04B6" w:rsidRDefault="008B04B6"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98" name="Rectangle 6"/>
                          <wps:cNvSpPr>
                            <a:spLocks noChangeArrowheads="1"/>
                          </wps:cNvSpPr>
                          <wps:spPr bwMode="auto">
                            <a:xfrm>
                              <a:off x="1090949" y="1071635"/>
                              <a:ext cx="19802"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2239ED20" w14:textId="77777777" w:rsidR="008B04B6" w:rsidRPr="003548F4" w:rsidRDefault="008B04B6" w:rsidP="00071794">
                                <w:pPr>
                                  <w:widowControl w:val="0"/>
                                  <w:spacing w:before="12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14:paraId="2239ED21" w14:textId="77777777" w:rsidR="008B04B6" w:rsidRDefault="008B04B6"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99" name="Rectangle 7"/>
                          <wps:cNvSpPr>
                            <a:spLocks noChangeArrowheads="1"/>
                          </wps:cNvSpPr>
                          <wps:spPr bwMode="auto">
                            <a:xfrm>
                              <a:off x="1065754" y="1077225"/>
                              <a:ext cx="19800" cy="23627"/>
                            </a:xfrm>
                            <a:prstGeom prst="rect">
                              <a:avLst/>
                            </a:prstGeom>
                            <a:noFill/>
                            <a:ln w="6350">
                              <a:solidFill>
                                <a:sysClr val="windowText" lastClr="000000">
                                  <a:lumMod val="0"/>
                                  <a:lumOff val="0"/>
                                </a:sysClr>
                              </a:solidFill>
                              <a:miter lim="800000"/>
                              <a:headEnd/>
                              <a:tailEnd/>
                            </a:ln>
                            <a:effectLst/>
                          </wps:spPr>
                          <wps:txbx>
                            <w:txbxContent>
                              <w:p w14:paraId="2239ED22"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2239ED23"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2239ED24"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2239ED25"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txbxContent>
                          </wps:txbx>
                          <wps:bodyPr rot="0" vert="horz" wrap="square" lIns="36576" tIns="36576" rIns="36576" bIns="36576" anchor="t" anchorCtr="0" upright="1">
                            <a:noAutofit/>
                          </wps:bodyPr>
                        </wps:wsp>
                        <wps:wsp>
                          <wps:cNvPr id="100" name="Rectangle 8"/>
                          <wps:cNvSpPr>
                            <a:spLocks noChangeArrowheads="1"/>
                          </wps:cNvSpPr>
                          <wps:spPr bwMode="auto">
                            <a:xfrm>
                              <a:off x="1090951" y="1077225"/>
                              <a:ext cx="19800" cy="23627"/>
                            </a:xfrm>
                            <a:prstGeom prst="rect">
                              <a:avLst/>
                            </a:prstGeom>
                            <a:noFill/>
                            <a:ln w="6350">
                              <a:solidFill>
                                <a:sysClr val="windowText" lastClr="000000">
                                  <a:lumMod val="0"/>
                                  <a:lumOff val="0"/>
                                </a:sysClr>
                              </a:solidFill>
                              <a:miter lim="800000"/>
                              <a:headEnd/>
                              <a:tailEnd/>
                            </a:ln>
                            <a:effectLst/>
                          </wps:spPr>
                          <wps:txbx>
                            <w:txbxContent>
                              <w:p w14:paraId="2239ED26" w14:textId="77777777" w:rsidR="008B04B6" w:rsidRDefault="008B04B6" w:rsidP="00071794">
                                <w:pPr>
                                  <w:widowControl w:val="0"/>
                                  <w:spacing w:before="120" w:after="120" w:line="286"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2239ED27"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14:paraId="2239ED28"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14:paraId="2239ED29"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a:noAutofit/>
                          </wps:bodyPr>
                        </wps:wsp>
                        <wps:wsp>
                          <wps:cNvPr id="101" name="AutoShape 9"/>
                          <wps:cNvCnPr>
                            <a:cxnSpLocks noChangeShapeType="1"/>
                          </wps:cNvCnPr>
                          <wps:spPr bwMode="auto">
                            <a:xfrm>
                              <a:off x="1085493" y="1086342"/>
                              <a:ext cx="5425" cy="0"/>
                            </a:xfrm>
                            <a:prstGeom prst="straightConnector1">
                              <a:avLst/>
                            </a:prstGeom>
                            <a:noFill/>
                            <a:ln w="15875">
                              <a:solidFill>
                                <a:sysClr val="windowText" lastClr="000000">
                                  <a:lumMod val="0"/>
                                  <a:lumOff val="0"/>
                                </a:sysClr>
                              </a:solidFill>
                              <a:round/>
                              <a:headEnd type="triangle" w="med" len="med"/>
                              <a:tailEnd type="triangle" w="med" len="med"/>
                            </a:ln>
                            <a:effectLst/>
                          </wps:spPr>
                          <wps:bodyPr/>
                        </wps:wsp>
                        <wps:wsp>
                          <wps:cNvPr id="102" name="Rectangle 10"/>
                          <wps:cNvSpPr>
                            <a:spLocks noChangeArrowheads="1"/>
                          </wps:cNvSpPr>
                          <wps:spPr bwMode="auto">
                            <a:xfrm>
                              <a:off x="1070254" y="1104769"/>
                              <a:ext cx="36000" cy="3960"/>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2239ED2A" w14:textId="77777777" w:rsidR="008B04B6" w:rsidRDefault="008B04B6" w:rsidP="00071794">
                                <w:pPr>
                                  <w:widowControl w:val="0"/>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14:paraId="2239ED2B" w14:textId="77777777" w:rsidR="008B04B6" w:rsidRDefault="008B04B6"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03" name="Rectangle 11"/>
                          <wps:cNvSpPr>
                            <a:spLocks noChangeArrowheads="1"/>
                          </wps:cNvSpPr>
                          <wps:spPr bwMode="auto">
                            <a:xfrm>
                              <a:off x="1070254" y="1108947"/>
                              <a:ext cx="36000" cy="11603"/>
                            </a:xfrm>
                            <a:prstGeom prst="rect">
                              <a:avLst/>
                            </a:prstGeom>
                            <a:noFill/>
                            <a:ln w="6350">
                              <a:solidFill>
                                <a:sysClr val="windowText" lastClr="000000">
                                  <a:lumMod val="0"/>
                                  <a:lumOff val="0"/>
                                </a:sysClr>
                              </a:solidFill>
                              <a:miter lim="800000"/>
                              <a:headEnd/>
                              <a:tailEnd/>
                            </a:ln>
                            <a:effectLst/>
                          </wps:spPr>
                          <wps:txbx>
                            <w:txbxContent>
                              <w:p w14:paraId="2239ED2C"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2239ED2D"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14:paraId="2239ED2E"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wps:txbx>
                          <wps:bodyPr rot="0" vert="horz" wrap="square" lIns="36576" tIns="36576" rIns="36576" bIns="36576" anchor="t" anchorCtr="0" upright="1">
                            <a:noAutofit/>
                          </wps:bodyPr>
                        </wps:wsp>
                        <wps:wsp>
                          <wps:cNvPr id="104" name="AutoShape 12"/>
                          <wps:cNvCnPr>
                            <a:cxnSpLocks noChangeShapeType="1"/>
                          </wps:cNvCnPr>
                          <wps:spPr bwMode="auto">
                            <a:xfrm>
                              <a:off x="1075356" y="1100946"/>
                              <a:ext cx="0" cy="1800"/>
                            </a:xfrm>
                            <a:prstGeom prst="straightConnector1">
                              <a:avLst/>
                            </a:prstGeom>
                            <a:noFill/>
                            <a:ln w="15875">
                              <a:solidFill>
                                <a:sysClr val="windowText" lastClr="000000">
                                  <a:lumMod val="0"/>
                                  <a:lumOff val="0"/>
                                </a:sysClr>
                              </a:solidFill>
                              <a:round/>
                              <a:headEnd/>
                              <a:tailEnd/>
                            </a:ln>
                            <a:effectLst/>
                          </wps:spPr>
                          <wps:bodyPr/>
                        </wps:wsp>
                        <wps:wsp>
                          <wps:cNvPr id="105" name="AutoShape 14"/>
                          <wps:cNvCnPr>
                            <a:cxnSpLocks noChangeShapeType="1"/>
                          </wps:cNvCnPr>
                          <wps:spPr bwMode="auto">
                            <a:xfrm>
                              <a:off x="1075294" y="1102711"/>
                              <a:ext cx="25558" cy="0"/>
                            </a:xfrm>
                            <a:prstGeom prst="straightConnector1">
                              <a:avLst/>
                            </a:prstGeom>
                            <a:noFill/>
                            <a:ln w="15875">
                              <a:solidFill>
                                <a:sysClr val="windowText" lastClr="000000">
                                  <a:lumMod val="0"/>
                                  <a:lumOff val="0"/>
                                </a:sysClr>
                              </a:solidFill>
                              <a:round/>
                              <a:headEnd/>
                              <a:tailEnd/>
                            </a:ln>
                            <a:effectLst/>
                          </wps:spPr>
                          <wps:bodyPr/>
                        </wps:wsp>
                        <wps:wsp>
                          <wps:cNvPr id="106" name="AutoShape 15"/>
                          <wps:cNvCnPr>
                            <a:cxnSpLocks noChangeShapeType="1"/>
                          </wps:cNvCnPr>
                          <wps:spPr bwMode="auto">
                            <a:xfrm>
                              <a:off x="1088401" y="1102709"/>
                              <a:ext cx="0" cy="1945"/>
                            </a:xfrm>
                            <a:prstGeom prst="straightConnector1">
                              <a:avLst/>
                            </a:prstGeom>
                            <a:noFill/>
                            <a:ln w="15875">
                              <a:solidFill>
                                <a:sysClr val="windowText" lastClr="000000">
                                  <a:lumMod val="0"/>
                                  <a:lumOff val="0"/>
                                </a:sysClr>
                              </a:solidFill>
                              <a:round/>
                              <a:headEnd/>
                              <a:tailEnd type="triangle" w="med" len="med"/>
                            </a:ln>
                            <a:effectLst/>
                          </wps:spPr>
                          <wps:bodyPr/>
                        </wps:wsp>
                      </wpg:grpSp>
                      <wps:wsp>
                        <wps:cNvPr id="107" name="AutoShape 12"/>
                        <wps:cNvCnPr>
                          <a:cxnSpLocks noChangeShapeType="1"/>
                        </wps:cNvCnPr>
                        <wps:spPr bwMode="auto">
                          <a:xfrm>
                            <a:off x="3678572" y="4356012"/>
                            <a:ext cx="0" cy="212725"/>
                          </a:xfrm>
                          <a:prstGeom prst="straightConnector1">
                            <a:avLst/>
                          </a:prstGeom>
                          <a:noFill/>
                          <a:ln w="15875">
                            <a:solidFill>
                              <a:sysClr val="windowText" lastClr="000000">
                                <a:lumMod val="0"/>
                                <a:lumOff val="0"/>
                              </a:sysClr>
                            </a:solidFill>
                            <a:round/>
                            <a:headEnd/>
                            <a:tailEnd/>
                          </a:ln>
                          <a:effectLst/>
                        </wps:spPr>
                        <wps:bodyPr/>
                      </wps:wsp>
                    </wpg:wgp>
                  </a:graphicData>
                </a:graphic>
                <wp14:sizeRelH relativeFrom="page">
                  <wp14:pctWidth>0</wp14:pctWidth>
                </wp14:sizeRelH>
                <wp14:sizeRelV relativeFrom="margin">
                  <wp14:pctHeight>0</wp14:pctHeight>
                </wp14:sizeRelV>
              </wp:anchor>
            </w:drawing>
          </mc:Choice>
          <mc:Fallback>
            <w:pict>
              <v:group w14:anchorId="2239EAFD" id="Group 75" o:spid="_x0000_s1026" style="position:absolute;left:0;text-align:left;margin-left:.3pt;margin-top:-.25pt;width:384.45pt;height:549.1pt;z-index:251657728;mso-height-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">
                <v:group id="Group 32" o:spid="_x0000_s1027" style="position:absolute;width:48825;height:67779" coordorigin="10639,10642" coordsize="4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3" o:spid="_x0000_s1028" style="position:absolute;left:10639;top:10642;width:4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" filled="f" strokeweight="2pt">
                    <v:textbox inset="2.88pt,2.88pt,2.88pt,2.88pt"/>
                  </v:rect>
                  <v:rect id="Rectangle 4" o:spid="_x0000_s1029" style="position:absolute;left:10674;top:10655;width:415;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" fillcolor="#0c0c0c" strokeweight="2pt">
                    <v:textbox inset="2.88pt,2.88pt,2.88pt,2.88pt">
                      <w:txbxContent>
                        <w:p w14:paraId="2239ED1B" w14:textId="77777777" w:rsidR="008B04B6" w:rsidRDefault="008B04B6" w:rsidP="00071794">
                          <w:pPr>
                            <w:widowControl w:val="0"/>
                            <w:spacing w:before="12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2239ED1C" w14:textId="77777777" w:rsidR="008B04B6" w:rsidRDefault="008B04B6" w:rsidP="00A721F1">
                          <w:pPr>
                            <w:widowControl w:val="0"/>
                            <w:jc w:val="center"/>
                            <w:rPr>
                              <w:rFonts w:ascii="Arial" w:hAnsi="Arial" w:cs="Arial"/>
                              <w:b/>
                              <w:bCs/>
                              <w:color w:val="FFFFFF"/>
                              <w:sz w:val="18"/>
                              <w:szCs w:val="18"/>
                            </w:rPr>
                          </w:pPr>
                          <w:r>
                            <w:rPr>
                              <w:rFonts w:ascii="Arial" w:hAnsi="Arial" w:cs="Arial"/>
                              <w:b/>
                              <w:bCs/>
                              <w:color w:val="FFFFFF"/>
                              <w:sz w:val="18"/>
                              <w:szCs w:val="18"/>
                            </w:rPr>
                            <w:t> </w:t>
                          </w:r>
                        </w:p>
                        <w:p w14:paraId="2239ED1D" w14:textId="77777777" w:rsidR="008B04B6" w:rsidRDefault="008B04B6" w:rsidP="00A721F1">
                          <w:pPr>
                            <w:widowControl w:val="0"/>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5" o:spid="_x0000_s1030" style="position:absolute;left:10657;top:10716;width:197;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" fillcolor="black" strokeweight="1pt">
                    <v:textbox inset="2.88pt,2.88pt,2.88pt,2.88pt">
                      <w:txbxContent>
                        <w:p w14:paraId="2239ED1E" w14:textId="77777777" w:rsidR="008B04B6" w:rsidRPr="005E1835" w:rsidRDefault="008B04B6" w:rsidP="00071794">
                          <w:pPr>
                            <w:widowControl w:val="0"/>
                            <w:spacing w:before="120"/>
                            <w:jc w:val="center"/>
                            <w:rPr>
                              <w:rFonts w:ascii="Arial" w:hAnsi="Arial" w:cs="Arial"/>
                              <w:color w:val="FFFFFF"/>
                              <w:sz w:val="18"/>
                              <w:szCs w:val="18"/>
                            </w:rPr>
                          </w:pPr>
                          <w:r>
                            <w:rPr>
                              <w:rFonts w:ascii="Arial" w:hAnsi="Arial" w:cs="Arial"/>
                              <w:color w:val="FFFFFF"/>
                              <w:sz w:val="18"/>
                              <w:szCs w:val="18"/>
                            </w:rPr>
                            <w:t xml:space="preserve">Portfolio Budget Statements (October) </w:t>
                          </w:r>
                          <w:r>
                            <w:rPr>
                              <w:rFonts w:ascii="Arial" w:hAnsi="Arial" w:cs="Arial"/>
                              <w:color w:val="FFFFFF"/>
                              <w:sz w:val="18"/>
                              <w:szCs w:val="18"/>
                            </w:rPr>
                            <w:br/>
                          </w:r>
                          <w:r>
                            <w:rPr>
                              <w:i/>
                              <w:iCs/>
                              <w:color w:val="FFFFFF"/>
                            </w:rPr>
                            <w:t>Portfolio based</w:t>
                          </w:r>
                        </w:p>
                        <w:p w14:paraId="2239ED1F" w14:textId="77777777" w:rsidR="008B04B6" w:rsidRDefault="008B04B6" w:rsidP="00A721F1">
                          <w:pPr>
                            <w:widowControl w:val="0"/>
                            <w:jc w:val="center"/>
                            <w:rPr>
                              <w:color w:val="FFFFFF"/>
                            </w:rPr>
                          </w:pPr>
                          <w:r>
                            <w:rPr>
                              <w:color w:val="FFFFFF"/>
                            </w:rPr>
                            <w:t> </w:t>
                          </w:r>
                        </w:p>
                      </w:txbxContent>
                    </v:textbox>
                  </v:rect>
                  <v:rect id="Rectangle 6" o:spid="_x0000_s1031" style="position:absolute;left:10909;top:10716;width:19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" fillcolor="black" strokeweight="1pt">
                    <v:textbox inset="2.88pt,2.88pt,2.88pt,2.88pt">
                      <w:txbxContent>
                        <w:p w14:paraId="2239ED20" w14:textId="77777777" w:rsidR="008B04B6" w:rsidRPr="003548F4" w:rsidRDefault="008B04B6" w:rsidP="00071794">
                          <w:pPr>
                            <w:widowControl w:val="0"/>
                            <w:spacing w:before="12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14:paraId="2239ED21" w14:textId="77777777" w:rsidR="008B04B6" w:rsidRDefault="008B04B6" w:rsidP="00A721F1">
                          <w:pPr>
                            <w:widowControl w:val="0"/>
                            <w:jc w:val="center"/>
                            <w:rPr>
                              <w:color w:val="FFFFFF"/>
                            </w:rPr>
                          </w:pPr>
                          <w:r>
                            <w:rPr>
                              <w:color w:val="FFFFFF"/>
                            </w:rPr>
                            <w:t> </w:t>
                          </w:r>
                        </w:p>
                      </w:txbxContent>
                    </v:textbox>
                  </v:rect>
                  <v:rect id="Rectangle 7" o:spid="_x0000_s1032" style="position:absolute;left:10657;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" filled="f" strokeweight=".5pt">
                    <v:textbox inset="2.88pt,2.88pt,2.88pt,2.88pt">
                      <w:txbxContent>
                        <w:p w14:paraId="2239ED22"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2239ED23"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2239ED24"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2239ED25"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txbxContent>
                    </v:textbox>
                  </v:rect>
                  <v:rect id="Rectangle 8" o:spid="_x0000_s1033" style="position:absolute;left:10909;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" filled="f" strokeweight=".5pt">
                    <v:textbox inset="2.88pt,2.88pt,2.88pt,2.88pt">
                      <w:txbxContent>
                        <w:p w14:paraId="2239ED26" w14:textId="77777777" w:rsidR="008B04B6" w:rsidRDefault="008B04B6" w:rsidP="00071794">
                          <w:pPr>
                            <w:widowControl w:val="0"/>
                            <w:spacing w:before="120" w:after="120" w:line="286"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2239ED27"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14:paraId="2239ED28"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14:paraId="2239ED29"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10854;top:10863;width: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" strokeweight="1.25pt">
                    <v:stroke startarrow="block" endarrow="block"/>
                  </v:shape>
                  <v:rect id="Rectangle 10" o:spid="_x0000_s1035" style="position:absolute;left:10702;top:11047;width:3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" fillcolor="black" strokeweight="1pt">
                    <v:textbox inset="2.88pt,2.88pt,2.88pt,2.88pt">
                      <w:txbxContent>
                        <w:p w14:paraId="2239ED2A" w14:textId="77777777" w:rsidR="008B04B6" w:rsidRDefault="008B04B6" w:rsidP="00071794">
                          <w:pPr>
                            <w:widowControl w:val="0"/>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14:paraId="2239ED2B" w14:textId="77777777" w:rsidR="008B04B6" w:rsidRDefault="008B04B6" w:rsidP="00A721F1">
                          <w:pPr>
                            <w:widowControl w:val="0"/>
                            <w:jc w:val="center"/>
                            <w:rPr>
                              <w:color w:val="FFFFFF"/>
                            </w:rPr>
                          </w:pPr>
                          <w:r>
                            <w:rPr>
                              <w:color w:val="FFFFFF"/>
                            </w:rPr>
                            <w:t> </w:t>
                          </w:r>
                        </w:p>
                      </w:txbxContent>
                    </v:textbox>
                  </v:rect>
                  <v:rect id="Rectangle 11" o:spid="_x0000_s1036" style="position:absolute;left:10702;top:11089;width:360;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" filled="f" strokeweight=".5pt">
                    <v:textbox inset="2.88pt,2.88pt,2.88pt,2.88pt">
                      <w:txbxContent>
                        <w:p w14:paraId="2239ED2C"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2239ED2D"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14:paraId="2239ED2E" w14:textId="77777777" w:rsidR="008B04B6" w:rsidRDefault="008B04B6" w:rsidP="00071794">
                          <w:pPr>
                            <w:widowControl w:val="0"/>
                            <w:spacing w:before="120" w:after="120" w:line="286"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v:textbox>
                  </v:rect>
                  <v:shape id="AutoShape 12" o:spid="_x0000_s1037" type="#_x0000_t32" style="position:absolute;left:10753;top:11009;width: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" strokeweight="1.25pt"/>
                  <v:shape id="AutoShape 14" o:spid="_x0000_s1038" type="#_x0000_t32" style="position:absolute;left:10752;top:11027;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" strokeweight="1.25pt"/>
                  <v:shape id="AutoShape 15" o:spid="_x0000_s1039" type="#_x0000_t32" style="position:absolute;left:10884;top:11027;width:0;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" strokeweight="1.25pt">
                    <v:stroke endarrow="block"/>
                  </v:shape>
                </v:group>
                <v:shape id="AutoShape 12" o:spid="_x0000_s1040" type="#_x0000_t32" style="position:absolute;left:36785;top:43560;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" strokeweight="1.25pt"/>
              </v:group>
            </w:pict>
          </mc:Fallback>
        </mc:AlternateContent>
      </w:r>
    </w:p>
    <w:p w14:paraId="2239DF06" w14:textId="77777777" w:rsidR="005C46D8" w:rsidRPr="005C46D8" w:rsidRDefault="005C46D8" w:rsidP="005C46D8">
      <w:pPr>
        <w:sectPr w:rsidR="005C46D8" w:rsidRPr="005C46D8" w:rsidSect="00782467">
          <w:headerReference w:type="even" r:id="rId30"/>
          <w:headerReference w:type="default" r:id="rId31"/>
          <w:footerReference w:type="even" r:id="rId32"/>
          <w:footerReference w:type="default" r:id="rId33"/>
          <w:headerReference w:type="first" r:id="rId34"/>
          <w:footerReference w:type="first" r:id="rId35"/>
          <w:type w:val="oddPage"/>
          <w:pgSz w:w="11906" w:h="16838" w:code="9"/>
          <w:pgMar w:top="2835" w:right="2098" w:bottom="2466" w:left="2098" w:header="1814" w:footer="1814" w:gutter="0"/>
          <w:pgNumType w:fmt="lowerRoman"/>
          <w:cols w:space="708"/>
          <w:titlePg/>
          <w:docGrid w:linePitch="360"/>
        </w:sectPr>
      </w:pPr>
    </w:p>
    <w:p w14:paraId="2239DF07" w14:textId="77777777" w:rsidR="00AA27AA" w:rsidRPr="004C45F5" w:rsidRDefault="00AA27AA" w:rsidP="00E36F77">
      <w:pPr>
        <w:pStyle w:val="ContentsHeading"/>
      </w:pPr>
      <w:r w:rsidRPr="004C45F5">
        <w:lastRenderedPageBreak/>
        <w:t>Contents</w:t>
      </w:r>
    </w:p>
    <w:p w14:paraId="31E28733" w14:textId="4EB31299" w:rsidR="008B5B65" w:rsidRDefault="002A32FD">
      <w:pPr>
        <w:pStyle w:val="TOC1"/>
        <w:rPr>
          <w:rFonts w:asciiTheme="minorHAnsi" w:eastAsiaTheme="minorEastAsia" w:hAnsiTheme="minorHAnsi" w:cstheme="minorBidi"/>
          <w:b w:val="0"/>
          <w:noProof/>
          <w:sz w:val="22"/>
          <w:szCs w:val="22"/>
        </w:rPr>
      </w:pPr>
      <w:r>
        <w:rPr>
          <w:rFonts w:ascii="Arial" w:hAnsi="Arial"/>
          <w:b w:val="0"/>
          <w:caps/>
        </w:rPr>
        <w:fldChar w:fldCharType="begin"/>
      </w:r>
      <w:r>
        <w:rPr>
          <w:rFonts w:ascii="Arial" w:hAnsi="Arial"/>
          <w:b w:val="0"/>
        </w:rPr>
        <w:instrText xml:space="preserve"> TOC \h \z \t "Heading 1,1,Title,1,Title 2nd Level,1,Part,1,Heading 1 - TOC,2,Part Heading - TOC,1" </w:instrText>
      </w:r>
      <w:r>
        <w:rPr>
          <w:rFonts w:ascii="Arial" w:hAnsi="Arial"/>
          <w:b w:val="0"/>
          <w:caps/>
        </w:rPr>
        <w:fldChar w:fldCharType="separate"/>
      </w:r>
      <w:hyperlink w:anchor="_Toc116465541" w:history="1">
        <w:r w:rsidR="008B5B65" w:rsidRPr="000B0A44">
          <w:rPr>
            <w:rStyle w:val="Hyperlink"/>
            <w:noProof/>
          </w:rPr>
          <w:t>User</w:t>
        </w:r>
        <w:r w:rsidR="008B5B65" w:rsidRPr="000B0A44">
          <w:rPr>
            <w:rStyle w:val="Hyperlink"/>
            <w:noProof/>
            <w:lang w:val="en-US"/>
          </w:rPr>
          <w:t xml:space="preserve"> guide</w:t>
        </w:r>
        <w:r w:rsidR="008B5B65">
          <w:rPr>
            <w:noProof/>
            <w:webHidden/>
          </w:rPr>
          <w:tab/>
        </w:r>
        <w:r w:rsidR="008B5B65">
          <w:rPr>
            <w:noProof/>
            <w:webHidden/>
          </w:rPr>
          <w:fldChar w:fldCharType="begin"/>
        </w:r>
        <w:r w:rsidR="008B5B65">
          <w:rPr>
            <w:noProof/>
            <w:webHidden/>
          </w:rPr>
          <w:instrText xml:space="preserve"> PAGEREF _Toc116465541 \h </w:instrText>
        </w:r>
        <w:r w:rsidR="008B5B65">
          <w:rPr>
            <w:noProof/>
            <w:webHidden/>
          </w:rPr>
        </w:r>
        <w:r w:rsidR="008B5B65">
          <w:rPr>
            <w:noProof/>
            <w:webHidden/>
          </w:rPr>
          <w:fldChar w:fldCharType="separate"/>
        </w:r>
        <w:r w:rsidR="00E5337D">
          <w:rPr>
            <w:noProof/>
            <w:webHidden/>
          </w:rPr>
          <w:t>vii</w:t>
        </w:r>
        <w:r w:rsidR="008B5B65">
          <w:rPr>
            <w:noProof/>
            <w:webHidden/>
          </w:rPr>
          <w:fldChar w:fldCharType="end"/>
        </w:r>
      </w:hyperlink>
    </w:p>
    <w:p w14:paraId="5A698611" w14:textId="28868B31" w:rsidR="008B5B65" w:rsidRDefault="00F5323E">
      <w:pPr>
        <w:pStyle w:val="TOC1"/>
        <w:rPr>
          <w:rFonts w:asciiTheme="minorHAnsi" w:eastAsiaTheme="minorEastAsia" w:hAnsiTheme="minorHAnsi" w:cstheme="minorBidi"/>
          <w:b w:val="0"/>
          <w:noProof/>
          <w:sz w:val="22"/>
          <w:szCs w:val="22"/>
        </w:rPr>
      </w:pPr>
      <w:hyperlink w:anchor="_Toc116465542" w:history="1">
        <w:r w:rsidR="008B5B65" w:rsidRPr="000B0A44">
          <w:rPr>
            <w:rStyle w:val="Hyperlink"/>
            <w:noProof/>
          </w:rPr>
          <w:t>Finance Portfolio overview</w:t>
        </w:r>
        <w:r w:rsidR="008B5B65">
          <w:rPr>
            <w:noProof/>
            <w:webHidden/>
          </w:rPr>
          <w:tab/>
        </w:r>
        <w:r w:rsidR="008B5B65">
          <w:rPr>
            <w:noProof/>
            <w:webHidden/>
          </w:rPr>
          <w:fldChar w:fldCharType="begin"/>
        </w:r>
        <w:r w:rsidR="008B5B65">
          <w:rPr>
            <w:noProof/>
            <w:webHidden/>
          </w:rPr>
          <w:instrText xml:space="preserve"> PAGEREF _Toc116465542 \h </w:instrText>
        </w:r>
        <w:r w:rsidR="008B5B65">
          <w:rPr>
            <w:noProof/>
            <w:webHidden/>
          </w:rPr>
        </w:r>
        <w:r w:rsidR="008B5B65">
          <w:rPr>
            <w:noProof/>
            <w:webHidden/>
          </w:rPr>
          <w:fldChar w:fldCharType="separate"/>
        </w:r>
        <w:r w:rsidR="00E5337D">
          <w:rPr>
            <w:noProof/>
            <w:webHidden/>
          </w:rPr>
          <w:t>3</w:t>
        </w:r>
        <w:r w:rsidR="008B5B65">
          <w:rPr>
            <w:noProof/>
            <w:webHidden/>
          </w:rPr>
          <w:fldChar w:fldCharType="end"/>
        </w:r>
      </w:hyperlink>
    </w:p>
    <w:p w14:paraId="1C239A7E" w14:textId="497C9259" w:rsidR="008B5B65" w:rsidRDefault="00F5323E">
      <w:pPr>
        <w:pStyle w:val="TOC1"/>
        <w:rPr>
          <w:rFonts w:asciiTheme="minorHAnsi" w:eastAsiaTheme="minorEastAsia" w:hAnsiTheme="minorHAnsi" w:cstheme="minorBidi"/>
          <w:b w:val="0"/>
          <w:noProof/>
          <w:sz w:val="22"/>
          <w:szCs w:val="22"/>
        </w:rPr>
      </w:pPr>
      <w:hyperlink w:anchor="_Toc116465544" w:history="1">
        <w:r w:rsidR="008B5B65" w:rsidRPr="000B0A44">
          <w:rPr>
            <w:rStyle w:val="Hyperlink"/>
            <w:noProof/>
          </w:rPr>
          <w:t>Department of Finance</w:t>
        </w:r>
        <w:r w:rsidR="008B5B65">
          <w:rPr>
            <w:noProof/>
            <w:webHidden/>
          </w:rPr>
          <w:tab/>
        </w:r>
        <w:r w:rsidR="008B5B65">
          <w:rPr>
            <w:noProof/>
            <w:webHidden/>
          </w:rPr>
          <w:fldChar w:fldCharType="begin"/>
        </w:r>
        <w:r w:rsidR="008B5B65">
          <w:rPr>
            <w:noProof/>
            <w:webHidden/>
          </w:rPr>
          <w:instrText xml:space="preserve"> PAGEREF _Toc116465544 \h </w:instrText>
        </w:r>
        <w:r w:rsidR="008B5B65">
          <w:rPr>
            <w:noProof/>
            <w:webHidden/>
          </w:rPr>
        </w:r>
        <w:r w:rsidR="008B5B65">
          <w:rPr>
            <w:noProof/>
            <w:webHidden/>
          </w:rPr>
          <w:fldChar w:fldCharType="separate"/>
        </w:r>
        <w:r w:rsidR="00E5337D">
          <w:rPr>
            <w:noProof/>
            <w:webHidden/>
          </w:rPr>
          <w:t>13</w:t>
        </w:r>
        <w:r w:rsidR="008B5B65">
          <w:rPr>
            <w:noProof/>
            <w:webHidden/>
          </w:rPr>
          <w:fldChar w:fldCharType="end"/>
        </w:r>
      </w:hyperlink>
    </w:p>
    <w:p w14:paraId="1CEA9184" w14:textId="7038512E" w:rsidR="008B5B65" w:rsidRDefault="00F5323E">
      <w:pPr>
        <w:pStyle w:val="TOC1"/>
        <w:rPr>
          <w:rFonts w:asciiTheme="minorHAnsi" w:eastAsiaTheme="minorEastAsia" w:hAnsiTheme="minorHAnsi" w:cstheme="minorBidi"/>
          <w:b w:val="0"/>
          <w:noProof/>
          <w:sz w:val="22"/>
          <w:szCs w:val="22"/>
        </w:rPr>
      </w:pPr>
      <w:hyperlink w:anchor="_Toc116465545" w:history="1">
        <w:r w:rsidR="008B5B65" w:rsidRPr="000B0A44">
          <w:rPr>
            <w:rStyle w:val="Hyperlink"/>
            <w:noProof/>
          </w:rPr>
          <w:t>Australian Electoral Commission</w:t>
        </w:r>
        <w:r w:rsidR="008B5B65">
          <w:rPr>
            <w:noProof/>
            <w:webHidden/>
          </w:rPr>
          <w:tab/>
        </w:r>
        <w:r w:rsidR="008B5B65">
          <w:rPr>
            <w:noProof/>
            <w:webHidden/>
          </w:rPr>
          <w:fldChar w:fldCharType="begin"/>
        </w:r>
        <w:r w:rsidR="008B5B65">
          <w:rPr>
            <w:noProof/>
            <w:webHidden/>
          </w:rPr>
          <w:instrText xml:space="preserve"> PAGEREF _Toc116465545 \h </w:instrText>
        </w:r>
        <w:r w:rsidR="008B5B65">
          <w:rPr>
            <w:noProof/>
            <w:webHidden/>
          </w:rPr>
        </w:r>
        <w:r w:rsidR="008B5B65">
          <w:rPr>
            <w:noProof/>
            <w:webHidden/>
          </w:rPr>
          <w:fldChar w:fldCharType="separate"/>
        </w:r>
        <w:r w:rsidR="00E5337D">
          <w:rPr>
            <w:noProof/>
            <w:webHidden/>
          </w:rPr>
          <w:t>81</w:t>
        </w:r>
        <w:r w:rsidR="008B5B65">
          <w:rPr>
            <w:noProof/>
            <w:webHidden/>
          </w:rPr>
          <w:fldChar w:fldCharType="end"/>
        </w:r>
      </w:hyperlink>
    </w:p>
    <w:p w14:paraId="5C41A925" w14:textId="002D1F0A" w:rsidR="008B5B65" w:rsidRDefault="00F5323E">
      <w:pPr>
        <w:pStyle w:val="TOC1"/>
        <w:rPr>
          <w:rFonts w:asciiTheme="minorHAnsi" w:eastAsiaTheme="minorEastAsia" w:hAnsiTheme="minorHAnsi" w:cstheme="minorBidi"/>
          <w:b w:val="0"/>
          <w:noProof/>
          <w:sz w:val="22"/>
          <w:szCs w:val="22"/>
        </w:rPr>
      </w:pPr>
      <w:hyperlink w:anchor="_Toc116465547" w:history="1">
        <w:r w:rsidR="008B5B65" w:rsidRPr="000B0A44">
          <w:rPr>
            <w:rStyle w:val="Hyperlink"/>
            <w:noProof/>
          </w:rPr>
          <w:t>Commonwealth Superannuation Corporation</w:t>
        </w:r>
        <w:r w:rsidR="008B5B65">
          <w:rPr>
            <w:noProof/>
            <w:webHidden/>
          </w:rPr>
          <w:tab/>
        </w:r>
        <w:r w:rsidR="008B5B65">
          <w:rPr>
            <w:noProof/>
            <w:webHidden/>
          </w:rPr>
          <w:fldChar w:fldCharType="begin"/>
        </w:r>
        <w:r w:rsidR="008B5B65">
          <w:rPr>
            <w:noProof/>
            <w:webHidden/>
          </w:rPr>
          <w:instrText xml:space="preserve"> PAGEREF _Toc116465547 \h </w:instrText>
        </w:r>
        <w:r w:rsidR="008B5B65">
          <w:rPr>
            <w:noProof/>
            <w:webHidden/>
          </w:rPr>
        </w:r>
        <w:r w:rsidR="008B5B65">
          <w:rPr>
            <w:noProof/>
            <w:webHidden/>
          </w:rPr>
          <w:fldChar w:fldCharType="separate"/>
        </w:r>
        <w:r w:rsidR="00E5337D">
          <w:rPr>
            <w:noProof/>
            <w:webHidden/>
          </w:rPr>
          <w:t>107</w:t>
        </w:r>
        <w:r w:rsidR="008B5B65">
          <w:rPr>
            <w:noProof/>
            <w:webHidden/>
          </w:rPr>
          <w:fldChar w:fldCharType="end"/>
        </w:r>
      </w:hyperlink>
    </w:p>
    <w:p w14:paraId="5E02CBC7" w14:textId="1C951EF2" w:rsidR="008B5B65" w:rsidRDefault="00F5323E">
      <w:pPr>
        <w:pStyle w:val="TOC1"/>
        <w:rPr>
          <w:rFonts w:asciiTheme="minorHAnsi" w:eastAsiaTheme="minorEastAsia" w:hAnsiTheme="minorHAnsi" w:cstheme="minorBidi"/>
          <w:b w:val="0"/>
          <w:noProof/>
          <w:sz w:val="22"/>
          <w:szCs w:val="22"/>
        </w:rPr>
      </w:pPr>
      <w:hyperlink w:anchor="_Toc116465548" w:history="1">
        <w:r w:rsidR="008B5B65" w:rsidRPr="000B0A44">
          <w:rPr>
            <w:rStyle w:val="Hyperlink"/>
            <w:noProof/>
          </w:rPr>
          <w:t>Digital Transformation Agency</w:t>
        </w:r>
        <w:r w:rsidR="008B5B65">
          <w:rPr>
            <w:noProof/>
            <w:webHidden/>
          </w:rPr>
          <w:tab/>
        </w:r>
        <w:r w:rsidR="008B5B65">
          <w:rPr>
            <w:noProof/>
            <w:webHidden/>
          </w:rPr>
          <w:fldChar w:fldCharType="begin"/>
        </w:r>
        <w:r w:rsidR="008B5B65">
          <w:rPr>
            <w:noProof/>
            <w:webHidden/>
          </w:rPr>
          <w:instrText xml:space="preserve"> PAGEREF _Toc116465548 \h </w:instrText>
        </w:r>
        <w:r w:rsidR="008B5B65">
          <w:rPr>
            <w:noProof/>
            <w:webHidden/>
          </w:rPr>
        </w:r>
        <w:r w:rsidR="008B5B65">
          <w:rPr>
            <w:noProof/>
            <w:webHidden/>
          </w:rPr>
          <w:fldChar w:fldCharType="separate"/>
        </w:r>
        <w:r w:rsidR="00E5337D">
          <w:rPr>
            <w:noProof/>
            <w:webHidden/>
          </w:rPr>
          <w:t>129</w:t>
        </w:r>
        <w:r w:rsidR="008B5B65">
          <w:rPr>
            <w:noProof/>
            <w:webHidden/>
          </w:rPr>
          <w:fldChar w:fldCharType="end"/>
        </w:r>
      </w:hyperlink>
    </w:p>
    <w:p w14:paraId="2694CD38" w14:textId="2DDAD3B2" w:rsidR="008B5B65" w:rsidRDefault="00F5323E">
      <w:pPr>
        <w:pStyle w:val="TOC1"/>
        <w:rPr>
          <w:rFonts w:asciiTheme="minorHAnsi" w:eastAsiaTheme="minorEastAsia" w:hAnsiTheme="minorHAnsi" w:cstheme="minorBidi"/>
          <w:b w:val="0"/>
          <w:noProof/>
          <w:sz w:val="22"/>
          <w:szCs w:val="22"/>
        </w:rPr>
      </w:pPr>
      <w:hyperlink w:anchor="_Toc116465550" w:history="1">
        <w:r w:rsidR="008B5B65" w:rsidRPr="000B0A44">
          <w:rPr>
            <w:rStyle w:val="Hyperlink"/>
            <w:noProof/>
          </w:rPr>
          <w:t>Future Fund Management Agency</w:t>
        </w:r>
        <w:r w:rsidR="008B5B65">
          <w:rPr>
            <w:noProof/>
            <w:webHidden/>
          </w:rPr>
          <w:tab/>
        </w:r>
        <w:r w:rsidR="008B5B65">
          <w:rPr>
            <w:noProof/>
            <w:webHidden/>
          </w:rPr>
          <w:fldChar w:fldCharType="begin"/>
        </w:r>
        <w:r w:rsidR="008B5B65">
          <w:rPr>
            <w:noProof/>
            <w:webHidden/>
          </w:rPr>
          <w:instrText xml:space="preserve"> PAGEREF _Toc116465550 \h </w:instrText>
        </w:r>
        <w:r w:rsidR="008B5B65">
          <w:rPr>
            <w:noProof/>
            <w:webHidden/>
          </w:rPr>
        </w:r>
        <w:r w:rsidR="008B5B65">
          <w:rPr>
            <w:noProof/>
            <w:webHidden/>
          </w:rPr>
          <w:fldChar w:fldCharType="separate"/>
        </w:r>
        <w:r w:rsidR="00E5337D">
          <w:rPr>
            <w:noProof/>
            <w:webHidden/>
          </w:rPr>
          <w:t>153</w:t>
        </w:r>
        <w:r w:rsidR="008B5B65">
          <w:rPr>
            <w:noProof/>
            <w:webHidden/>
          </w:rPr>
          <w:fldChar w:fldCharType="end"/>
        </w:r>
      </w:hyperlink>
    </w:p>
    <w:p w14:paraId="318F3EDC" w14:textId="500535E8" w:rsidR="008B5B65" w:rsidRDefault="00F5323E">
      <w:pPr>
        <w:pStyle w:val="TOC1"/>
        <w:rPr>
          <w:rFonts w:asciiTheme="minorHAnsi" w:eastAsiaTheme="minorEastAsia" w:hAnsiTheme="minorHAnsi" w:cstheme="minorBidi"/>
          <w:b w:val="0"/>
          <w:noProof/>
          <w:sz w:val="22"/>
          <w:szCs w:val="22"/>
        </w:rPr>
      </w:pPr>
      <w:hyperlink w:anchor="_Toc116465552" w:history="1">
        <w:r w:rsidR="008B5B65" w:rsidRPr="000B0A44">
          <w:rPr>
            <w:rStyle w:val="Hyperlink"/>
            <w:noProof/>
          </w:rPr>
          <w:t>Independent Parliamentary Expenses Authority</w:t>
        </w:r>
        <w:r w:rsidR="008B5B65">
          <w:rPr>
            <w:noProof/>
            <w:webHidden/>
          </w:rPr>
          <w:tab/>
        </w:r>
        <w:r w:rsidR="008B5B65">
          <w:rPr>
            <w:noProof/>
            <w:webHidden/>
          </w:rPr>
          <w:fldChar w:fldCharType="begin"/>
        </w:r>
        <w:r w:rsidR="008B5B65">
          <w:rPr>
            <w:noProof/>
            <w:webHidden/>
          </w:rPr>
          <w:instrText xml:space="preserve"> PAGEREF _Toc116465552 \h </w:instrText>
        </w:r>
        <w:r w:rsidR="008B5B65">
          <w:rPr>
            <w:noProof/>
            <w:webHidden/>
          </w:rPr>
        </w:r>
        <w:r w:rsidR="008B5B65">
          <w:rPr>
            <w:noProof/>
            <w:webHidden/>
          </w:rPr>
          <w:fldChar w:fldCharType="separate"/>
        </w:r>
        <w:r w:rsidR="00E5337D">
          <w:rPr>
            <w:noProof/>
            <w:webHidden/>
          </w:rPr>
          <w:t>177</w:t>
        </w:r>
        <w:r w:rsidR="008B5B65">
          <w:rPr>
            <w:noProof/>
            <w:webHidden/>
          </w:rPr>
          <w:fldChar w:fldCharType="end"/>
        </w:r>
      </w:hyperlink>
    </w:p>
    <w:p w14:paraId="5F6B53CA" w14:textId="4753B40A" w:rsidR="008B5B65" w:rsidRDefault="00F5323E">
      <w:pPr>
        <w:pStyle w:val="TOC1"/>
        <w:rPr>
          <w:rFonts w:asciiTheme="minorHAnsi" w:eastAsiaTheme="minorEastAsia" w:hAnsiTheme="minorHAnsi" w:cstheme="minorBidi"/>
          <w:b w:val="0"/>
          <w:noProof/>
          <w:sz w:val="22"/>
          <w:szCs w:val="22"/>
        </w:rPr>
      </w:pPr>
      <w:hyperlink w:anchor="_Toc116465553" w:history="1">
        <w:r w:rsidR="008B5B65" w:rsidRPr="000B0A44">
          <w:rPr>
            <w:rStyle w:val="Hyperlink"/>
            <w:noProof/>
          </w:rPr>
          <w:t>Portfolio glossary</w:t>
        </w:r>
        <w:r w:rsidR="008B5B65">
          <w:rPr>
            <w:noProof/>
            <w:webHidden/>
          </w:rPr>
          <w:tab/>
        </w:r>
        <w:r w:rsidR="008B5B65">
          <w:rPr>
            <w:noProof/>
            <w:webHidden/>
          </w:rPr>
          <w:fldChar w:fldCharType="begin"/>
        </w:r>
        <w:r w:rsidR="008B5B65">
          <w:rPr>
            <w:noProof/>
            <w:webHidden/>
          </w:rPr>
          <w:instrText xml:space="preserve"> PAGEREF _Toc116465553 \h </w:instrText>
        </w:r>
        <w:r w:rsidR="008B5B65">
          <w:rPr>
            <w:noProof/>
            <w:webHidden/>
          </w:rPr>
        </w:r>
        <w:r w:rsidR="008B5B65">
          <w:rPr>
            <w:noProof/>
            <w:webHidden/>
          </w:rPr>
          <w:fldChar w:fldCharType="separate"/>
        </w:r>
        <w:r w:rsidR="00E5337D">
          <w:rPr>
            <w:noProof/>
            <w:webHidden/>
          </w:rPr>
          <w:t>197</w:t>
        </w:r>
        <w:r w:rsidR="008B5B65">
          <w:rPr>
            <w:noProof/>
            <w:webHidden/>
          </w:rPr>
          <w:fldChar w:fldCharType="end"/>
        </w:r>
      </w:hyperlink>
    </w:p>
    <w:p w14:paraId="2239DF12" w14:textId="70A981B9" w:rsidR="00CA4819" w:rsidRPr="00CA4819" w:rsidRDefault="002A32FD" w:rsidP="00CA4819">
      <w:r>
        <w:rPr>
          <w:rFonts w:ascii="Arial" w:hAnsi="Arial"/>
          <w:b/>
        </w:rPr>
        <w:fldChar w:fldCharType="end"/>
      </w:r>
    </w:p>
    <w:p w14:paraId="2239DF13" w14:textId="77777777" w:rsidR="00AA27AA" w:rsidRDefault="00AA27AA" w:rsidP="00AA27AA"/>
    <w:p w14:paraId="2239DF14" w14:textId="77777777" w:rsidR="00A225E3" w:rsidRPr="004C45F5" w:rsidRDefault="00A225E3" w:rsidP="004C45F5">
      <w:pPr>
        <w:pStyle w:val="Footer"/>
        <w:sectPr w:rsidR="00A225E3" w:rsidRPr="004C45F5" w:rsidSect="00782467">
          <w:footerReference w:type="first" r:id="rId36"/>
          <w:type w:val="oddPage"/>
          <w:pgSz w:w="11906" w:h="16838" w:code="9"/>
          <w:pgMar w:top="2835" w:right="2098" w:bottom="2466" w:left="2098" w:header="1814" w:footer="1814" w:gutter="0"/>
          <w:pgNumType w:fmt="lowerRoman"/>
          <w:cols w:space="708"/>
          <w:titlePg/>
          <w:docGrid w:linePitch="360"/>
        </w:sectPr>
      </w:pPr>
    </w:p>
    <w:p w14:paraId="2239DF15" w14:textId="77777777" w:rsidR="00AA27AA" w:rsidRDefault="00883894" w:rsidP="00883894">
      <w:pPr>
        <w:pStyle w:val="PartHeading"/>
      </w:pPr>
      <w:bookmarkStart w:id="10" w:name="_Toc190766147"/>
      <w:bookmarkStart w:id="11" w:name="_Toc444523505"/>
      <w:r>
        <w:lastRenderedPageBreak/>
        <w:t xml:space="preserve">Portfolio </w:t>
      </w:r>
      <w:bookmarkEnd w:id="10"/>
      <w:r>
        <w:t>Overview</w:t>
      </w:r>
      <w:bookmarkEnd w:id="11"/>
    </w:p>
    <w:p w14:paraId="2239DF16" w14:textId="77777777" w:rsidR="00081CBC" w:rsidRPr="00081CBC" w:rsidRDefault="00081CBC" w:rsidP="00081CBC"/>
    <w:p w14:paraId="2239DF17" w14:textId="77777777" w:rsidR="00AA27AA" w:rsidRDefault="00AA27AA" w:rsidP="00883894">
      <w:pPr>
        <w:pStyle w:val="PartHeading"/>
        <w:sectPr w:rsidR="00AA27AA" w:rsidSect="00782467">
          <w:headerReference w:type="even" r:id="rId37"/>
          <w:headerReference w:type="default" r:id="rId38"/>
          <w:headerReference w:type="first" r:id="rId39"/>
          <w:footerReference w:type="first" r:id="rId40"/>
          <w:type w:val="oddPage"/>
          <w:pgSz w:w="11906" w:h="16838" w:code="9"/>
          <w:pgMar w:top="2835" w:right="2098" w:bottom="2466" w:left="2098" w:header="1814" w:footer="1814" w:gutter="0"/>
          <w:pgNumType w:start="1"/>
          <w:cols w:space="708"/>
          <w:vAlign w:val="center"/>
          <w:titlePg/>
          <w:docGrid w:linePitch="360"/>
        </w:sectPr>
      </w:pPr>
    </w:p>
    <w:p w14:paraId="2239DF18" w14:textId="77777777" w:rsidR="00D46A7B" w:rsidRPr="00834F9A" w:rsidRDefault="006F2E99" w:rsidP="00CE4D05">
      <w:pPr>
        <w:pStyle w:val="Heading1"/>
      </w:pPr>
      <w:bookmarkStart w:id="12" w:name="_Toc190766148"/>
      <w:bookmarkStart w:id="13" w:name="_Toc116465542"/>
      <w:r>
        <w:lastRenderedPageBreak/>
        <w:t xml:space="preserve">Finance </w:t>
      </w:r>
      <w:r w:rsidR="00E5444F" w:rsidRPr="00834F9A">
        <w:t>P</w:t>
      </w:r>
      <w:r w:rsidR="00605163" w:rsidRPr="00834F9A">
        <w:t xml:space="preserve">ortfolio </w:t>
      </w:r>
      <w:r w:rsidR="00605163" w:rsidRPr="00CE4D05">
        <w:t>o</w:t>
      </w:r>
      <w:r w:rsidR="00D46A7B" w:rsidRPr="00CE4D05">
        <w:t>verview</w:t>
      </w:r>
      <w:bookmarkEnd w:id="12"/>
      <w:bookmarkEnd w:id="13"/>
    </w:p>
    <w:p w14:paraId="2239DF19" w14:textId="77777777" w:rsidR="00D46A7B" w:rsidRDefault="00D46A7B" w:rsidP="00F42F10">
      <w:pPr>
        <w:pStyle w:val="Heading2NoTOC"/>
      </w:pPr>
      <w:bookmarkStart w:id="14" w:name="_Toc190682306"/>
      <w:bookmarkStart w:id="15" w:name="_Toc444523506"/>
      <w:r>
        <w:t>Minister(</w:t>
      </w:r>
      <w:r w:rsidR="00DF1ADC">
        <w:t>s</w:t>
      </w:r>
      <w:r>
        <w:t xml:space="preserve">) and </w:t>
      </w:r>
      <w:r w:rsidR="00605163">
        <w:t>p</w:t>
      </w:r>
      <w:r>
        <w:t xml:space="preserve">ortfolio </w:t>
      </w:r>
      <w:r w:rsidR="00605163">
        <w:t>r</w:t>
      </w:r>
      <w:r>
        <w:t>esponsibilities</w:t>
      </w:r>
      <w:bookmarkEnd w:id="14"/>
      <w:bookmarkEnd w:id="15"/>
    </w:p>
    <w:p w14:paraId="519790D7" w14:textId="3EFFF03C" w:rsidR="00F42F10" w:rsidRDefault="00F42F10" w:rsidP="00F42F10">
      <w:pPr>
        <w:contextualSpacing/>
      </w:pPr>
      <w:r>
        <w:t>The Minister for Finance has overall responsibility for the Finance portfolio, and particular responsibility for the following:</w:t>
      </w:r>
    </w:p>
    <w:p w14:paraId="7BB00B87" w14:textId="77777777" w:rsidR="00F42F10" w:rsidRDefault="00F42F10" w:rsidP="00F42F10">
      <w:pPr>
        <w:contextualSpacing/>
      </w:pPr>
    </w:p>
    <w:p w14:paraId="3E9C5A14" w14:textId="77777777" w:rsidR="00F42F10" w:rsidRDefault="00F42F10" w:rsidP="0015142E">
      <w:pPr>
        <w:ind w:left="284" w:hanging="284"/>
        <w:contextualSpacing/>
      </w:pPr>
      <w:r>
        <w:t>•</w:t>
      </w:r>
      <w:r>
        <w:tab/>
        <w:t>Budget policy advice and process, and review of government programs.</w:t>
      </w:r>
    </w:p>
    <w:p w14:paraId="0F38802B" w14:textId="77777777" w:rsidR="00F42F10" w:rsidRDefault="00F42F10" w:rsidP="0015142E">
      <w:pPr>
        <w:ind w:left="284" w:hanging="284"/>
        <w:contextualSpacing/>
      </w:pPr>
      <w:r>
        <w:t>•</w:t>
      </w:r>
      <w:r>
        <w:tab/>
        <w:t>Government financial accountability, governance and financial management frameworks, including grants and procurement policy and services.</w:t>
      </w:r>
    </w:p>
    <w:p w14:paraId="0599AF5E" w14:textId="77777777" w:rsidR="00F42F10" w:rsidRDefault="00F42F10" w:rsidP="0015142E">
      <w:pPr>
        <w:ind w:left="284" w:hanging="284"/>
        <w:contextualSpacing/>
      </w:pPr>
      <w:r>
        <w:t>•</w:t>
      </w:r>
      <w:r>
        <w:tab/>
        <w:t>Shareholder advice on Government Business Enterprises (GBEs) and commercial entities treated as GBEs.</w:t>
      </w:r>
    </w:p>
    <w:p w14:paraId="73E95009" w14:textId="6768FB6D" w:rsidR="00F42F10" w:rsidRDefault="00F42F10" w:rsidP="0015142E">
      <w:pPr>
        <w:ind w:left="284" w:hanging="284"/>
        <w:contextualSpacing/>
      </w:pPr>
      <w:r>
        <w:t>•</w:t>
      </w:r>
      <w:r>
        <w:tab/>
        <w:t xml:space="preserve">The </w:t>
      </w:r>
      <w:r w:rsidRPr="00DD0B93">
        <w:rPr>
          <w:i/>
        </w:rPr>
        <w:t>Lands Acquisition Act</w:t>
      </w:r>
      <w:r w:rsidR="00DD0B93" w:rsidRPr="00DD0B93">
        <w:rPr>
          <w:i/>
        </w:rPr>
        <w:t xml:space="preserve"> 1989</w:t>
      </w:r>
      <w:r>
        <w:t>.</w:t>
      </w:r>
    </w:p>
    <w:p w14:paraId="58B04D86" w14:textId="77777777" w:rsidR="00F42F10" w:rsidRDefault="00F42F10" w:rsidP="0015142E">
      <w:pPr>
        <w:ind w:left="284" w:hanging="284"/>
        <w:contextualSpacing/>
      </w:pPr>
      <w:r>
        <w:t>•</w:t>
      </w:r>
      <w:r>
        <w:tab/>
        <w:t>Policy for, and management of, act of grace requests and waiver of debts owed to the Commonwealth.</w:t>
      </w:r>
    </w:p>
    <w:p w14:paraId="7E9AE904" w14:textId="77777777" w:rsidR="00F42F10" w:rsidRDefault="00F42F10" w:rsidP="0015142E">
      <w:pPr>
        <w:ind w:left="284" w:hanging="284"/>
        <w:contextualSpacing/>
      </w:pPr>
      <w:r>
        <w:t>•</w:t>
      </w:r>
      <w:r>
        <w:tab/>
        <w:t>Administration and policy for Comcover, the government’s self-managed insurance fund, and risk policy.</w:t>
      </w:r>
    </w:p>
    <w:p w14:paraId="17EA2868" w14:textId="77777777" w:rsidR="00F42F10" w:rsidRDefault="00F42F10" w:rsidP="0015142E">
      <w:pPr>
        <w:ind w:left="284" w:hanging="284"/>
        <w:contextualSpacing/>
      </w:pPr>
      <w:r>
        <w:t>•</w:t>
      </w:r>
      <w:r>
        <w:tab/>
        <w:t>General policy guidelines for Commonwealth statutory authorities.</w:t>
      </w:r>
    </w:p>
    <w:p w14:paraId="0D1CCB44" w14:textId="77777777" w:rsidR="00F42F10" w:rsidRDefault="00F42F10" w:rsidP="0015142E">
      <w:pPr>
        <w:ind w:left="284" w:hanging="284"/>
        <w:contextualSpacing/>
      </w:pPr>
      <w:r>
        <w:t>•</w:t>
      </w:r>
      <w:r>
        <w:tab/>
        <w:t>Superannuation arrangements for Australian Government civilian employees and parliamentarians, and retirement benefits for Governors-General, Federal Judges and Federal Court Judges.</w:t>
      </w:r>
    </w:p>
    <w:p w14:paraId="24AEACFF" w14:textId="77777777" w:rsidR="00F42F10" w:rsidRDefault="00F42F10" w:rsidP="0015142E">
      <w:pPr>
        <w:ind w:left="284" w:hanging="284"/>
        <w:contextualSpacing/>
      </w:pPr>
      <w:r>
        <w:t>•</w:t>
      </w:r>
      <w:r>
        <w:tab/>
        <w:t>Asset sales.</w:t>
      </w:r>
    </w:p>
    <w:p w14:paraId="5C2F7C71" w14:textId="77777777" w:rsidR="00F42F10" w:rsidRDefault="00F42F10" w:rsidP="0015142E">
      <w:pPr>
        <w:ind w:left="284" w:hanging="284"/>
        <w:contextualSpacing/>
      </w:pPr>
      <w:r>
        <w:t>•</w:t>
      </w:r>
      <w:r>
        <w:tab/>
        <w:t>Policy advice on the Future Fund and Australian Government Investment Funds, and authorisation of payments from Australian Government Investment Funds to entities.</w:t>
      </w:r>
    </w:p>
    <w:p w14:paraId="24C5D1AB" w14:textId="77777777" w:rsidR="00F42F10" w:rsidRDefault="00F42F10" w:rsidP="0015142E">
      <w:pPr>
        <w:ind w:left="284" w:hanging="284"/>
        <w:contextualSpacing/>
      </w:pPr>
      <w:r>
        <w:t>•</w:t>
      </w:r>
      <w:r>
        <w:tab/>
        <w:t>Government campaign advertising.</w:t>
      </w:r>
    </w:p>
    <w:p w14:paraId="5409660F" w14:textId="4C3BF1C2" w:rsidR="00F42F10" w:rsidRDefault="00F42F10" w:rsidP="0015142E">
      <w:pPr>
        <w:ind w:left="284" w:hanging="284"/>
        <w:contextualSpacing/>
      </w:pPr>
      <w:r>
        <w:t>•</w:t>
      </w:r>
      <w:r>
        <w:tab/>
        <w:t>Whole-of-Australian-Government property policy and administration, including non-Defence owned property.</w:t>
      </w:r>
    </w:p>
    <w:p w14:paraId="079D3E98" w14:textId="77777777" w:rsidR="00F42F10" w:rsidRDefault="00F42F10" w:rsidP="0015142E">
      <w:pPr>
        <w:ind w:left="284" w:hanging="284"/>
        <w:contextualSpacing/>
      </w:pPr>
      <w:r>
        <w:t>•</w:t>
      </w:r>
      <w:r>
        <w:tab/>
        <w:t>Regulatory reform.</w:t>
      </w:r>
    </w:p>
    <w:p w14:paraId="0FFAABFA" w14:textId="5064FEA8" w:rsidR="00F42F10" w:rsidRDefault="00F42F10" w:rsidP="0015142E">
      <w:pPr>
        <w:ind w:left="284" w:hanging="284"/>
        <w:contextualSpacing/>
      </w:pPr>
      <w:r>
        <w:t>•</w:t>
      </w:r>
      <w:r>
        <w:tab/>
        <w:t>Digital transformation and data.</w:t>
      </w:r>
    </w:p>
    <w:p w14:paraId="4D8A4FCB" w14:textId="77777777" w:rsidR="00F42F10" w:rsidRDefault="00F42F10" w:rsidP="00F42F10">
      <w:pPr>
        <w:ind w:left="284" w:hanging="284"/>
        <w:contextualSpacing/>
      </w:pPr>
    </w:p>
    <w:p w14:paraId="1EA43F1C" w14:textId="132B3E6A" w:rsidR="00F42F10" w:rsidRDefault="00F42F10" w:rsidP="00F42F10">
      <w:pPr>
        <w:spacing w:before="120" w:after="200" w:line="276" w:lineRule="auto"/>
        <w:contextualSpacing/>
        <w:jc w:val="both"/>
      </w:pPr>
      <w:r>
        <w:t>The Special Minister of State has particular responsibility for the following:</w:t>
      </w:r>
    </w:p>
    <w:p w14:paraId="7D062F89" w14:textId="77777777" w:rsidR="00F42F10" w:rsidRDefault="00F42F10" w:rsidP="00F42F10">
      <w:pPr>
        <w:spacing w:before="120" w:after="200" w:line="276" w:lineRule="auto"/>
        <w:contextualSpacing/>
        <w:jc w:val="both"/>
      </w:pPr>
    </w:p>
    <w:p w14:paraId="1E15CBDF" w14:textId="77777777" w:rsidR="00F42F10" w:rsidRDefault="00F42F10" w:rsidP="00F42F10">
      <w:pPr>
        <w:ind w:left="284" w:hanging="284"/>
        <w:contextualSpacing/>
      </w:pPr>
      <w:r>
        <w:t>•</w:t>
      </w:r>
      <w:r>
        <w:tab/>
      </w:r>
      <w:r w:rsidRPr="007659E0">
        <w:rPr>
          <w:i/>
        </w:rPr>
        <w:t>Parliamentary Business Resources Act 2017</w:t>
      </w:r>
      <w:r>
        <w:t xml:space="preserve"> expenses framework.</w:t>
      </w:r>
    </w:p>
    <w:p w14:paraId="453AF46A" w14:textId="204CEDBF" w:rsidR="00F42F10" w:rsidRDefault="00F42F10" w:rsidP="00F42F10">
      <w:pPr>
        <w:ind w:left="284" w:hanging="284"/>
        <w:contextualSpacing/>
      </w:pPr>
      <w:r>
        <w:t>•</w:t>
      </w:r>
      <w:r>
        <w:tab/>
      </w:r>
      <w:r w:rsidRPr="007659E0">
        <w:rPr>
          <w:i/>
        </w:rPr>
        <w:t>Members of Parliament (Staff) Act 1984</w:t>
      </w:r>
      <w:r>
        <w:t xml:space="preserve"> </w:t>
      </w:r>
      <w:r w:rsidR="00FB00DA">
        <w:t xml:space="preserve">(MOP(S) Act) </w:t>
      </w:r>
      <w:r>
        <w:t xml:space="preserve">employment framework. </w:t>
      </w:r>
    </w:p>
    <w:p w14:paraId="01BF6E83" w14:textId="77777777" w:rsidR="00F42F10" w:rsidRDefault="00F42F10" w:rsidP="00F42F10">
      <w:pPr>
        <w:ind w:left="284" w:hanging="284"/>
        <w:contextualSpacing/>
      </w:pPr>
      <w:r>
        <w:t>•</w:t>
      </w:r>
      <w:r>
        <w:tab/>
        <w:t xml:space="preserve">Electoral policy. </w:t>
      </w:r>
    </w:p>
    <w:p w14:paraId="27FF4F90" w14:textId="13C5FBDB" w:rsidR="00F42F10" w:rsidRDefault="00F42F10" w:rsidP="00F42F10">
      <w:pPr>
        <w:ind w:left="284" w:hanging="284"/>
        <w:contextualSpacing/>
      </w:pPr>
      <w:r>
        <w:t>•</w:t>
      </w:r>
      <w:r>
        <w:tab/>
        <w:t>Electoral matters (supported by the Australian Electoral Commission (AEC)).</w:t>
      </w:r>
    </w:p>
    <w:p w14:paraId="2D5BC6D8" w14:textId="77777777" w:rsidR="00F42F10" w:rsidRDefault="00F42F10" w:rsidP="00F42F10">
      <w:pPr>
        <w:ind w:left="284" w:hanging="284"/>
        <w:contextualSpacing/>
      </w:pPr>
    </w:p>
    <w:p w14:paraId="2239DF71" w14:textId="12C0A3B7" w:rsidR="00FE3DE9" w:rsidRDefault="00F42F10" w:rsidP="00B75523">
      <w:pPr>
        <w:contextualSpacing/>
      </w:pPr>
      <w:r>
        <w:t xml:space="preserve">For information on resourcing across the portfolio, please refer to Part 1: Agency Financial Resourcing in the October </w:t>
      </w:r>
      <w:r w:rsidRPr="007659E0">
        <w:rPr>
          <w:i/>
        </w:rPr>
        <w:t>Budget Paper No. 4: Agency Resourcing</w:t>
      </w:r>
      <w:r>
        <w:t>.</w:t>
      </w:r>
      <w:r w:rsidR="003015EB">
        <w:br w:type="page"/>
      </w:r>
      <w:r w:rsidR="00A1133E" w:rsidRPr="003015EB">
        <w:rPr>
          <w:rFonts w:ascii="Arial" w:hAnsi="Arial" w:cs="Arial"/>
          <w:b/>
          <w:sz w:val="20"/>
        </w:rPr>
        <w:lastRenderedPageBreak/>
        <w:t xml:space="preserve">Figure 1: </w:t>
      </w:r>
      <w:r w:rsidR="00873B1F" w:rsidRPr="003015EB">
        <w:rPr>
          <w:rFonts w:ascii="Arial" w:hAnsi="Arial" w:cs="Arial"/>
          <w:b/>
          <w:sz w:val="20"/>
        </w:rPr>
        <w:t xml:space="preserve">Finance </w:t>
      </w:r>
      <w:r w:rsidR="00CA2F21" w:rsidRPr="003015EB">
        <w:rPr>
          <w:rFonts w:ascii="Arial" w:hAnsi="Arial" w:cs="Arial"/>
          <w:b/>
          <w:sz w:val="20"/>
        </w:rPr>
        <w:t>p</w:t>
      </w:r>
      <w:r w:rsidR="00A1133E" w:rsidRPr="003015EB">
        <w:rPr>
          <w:rFonts w:ascii="Arial" w:hAnsi="Arial" w:cs="Arial"/>
          <w:b/>
          <w:sz w:val="20"/>
        </w:rPr>
        <w:t xml:space="preserve">ortfolio </w:t>
      </w:r>
      <w:r w:rsidR="00605163" w:rsidRPr="003015EB">
        <w:rPr>
          <w:rFonts w:ascii="Arial" w:hAnsi="Arial" w:cs="Arial"/>
          <w:b/>
          <w:sz w:val="20"/>
        </w:rPr>
        <w:t>structure and outcomes</w:t>
      </w:r>
    </w:p>
    <w:p w14:paraId="03556546" w14:textId="77777777" w:rsidR="003F231A" w:rsidRPr="003F231A" w:rsidRDefault="003F231A" w:rsidP="00B75523">
      <w:pPr>
        <w:contextualSpacing/>
      </w:pPr>
    </w:p>
    <w:tbl>
      <w:tblPr>
        <w:tblW w:w="8504" w:type="dxa"/>
        <w:tblInd w:w="-289" w:type="dxa"/>
        <w:tblLook w:val="04A0" w:firstRow="1" w:lastRow="0" w:firstColumn="1" w:lastColumn="0" w:noHBand="0" w:noVBand="1"/>
      </w:tblPr>
      <w:tblGrid>
        <w:gridCol w:w="4252"/>
        <w:gridCol w:w="4252"/>
      </w:tblGrid>
      <w:tr w:rsidR="00161D69" w:rsidRPr="00C24520" w14:paraId="22B639A8" w14:textId="77777777" w:rsidTr="001D3E15">
        <w:trPr>
          <w:trHeight w:val="482"/>
        </w:trPr>
        <w:tc>
          <w:tcPr>
            <w:tcW w:w="8504" w:type="dxa"/>
            <w:gridSpan w:val="2"/>
            <w:tcBorders>
              <w:top w:val="single" w:sz="4" w:space="0" w:color="auto"/>
              <w:left w:val="single" w:sz="4" w:space="0" w:color="auto"/>
              <w:bottom w:val="single" w:sz="4" w:space="0" w:color="auto"/>
              <w:right w:val="single" w:sz="4" w:space="0" w:color="auto"/>
            </w:tcBorders>
            <w:shd w:val="clear" w:color="auto" w:fill="DDDDDD"/>
          </w:tcPr>
          <w:p w14:paraId="3AB526CD" w14:textId="77777777" w:rsidR="00161D69" w:rsidRPr="00C24520" w:rsidRDefault="00161D69" w:rsidP="00C86050">
            <w:pPr>
              <w:spacing w:before="30" w:after="30" w:line="240" w:lineRule="auto"/>
              <w:jc w:val="center"/>
              <w:rPr>
                <w:rFonts w:ascii="Arial" w:eastAsia="+mn-ea" w:hAnsi="Arial" w:cs="Arial"/>
                <w:b/>
                <w:color w:val="000000"/>
                <w:sz w:val="16"/>
                <w:szCs w:val="16"/>
              </w:rPr>
            </w:pPr>
            <w:r w:rsidRPr="00C24520">
              <w:rPr>
                <w:rFonts w:ascii="Arial" w:eastAsia="+mn-ea" w:hAnsi="Arial" w:cs="Arial"/>
                <w:b/>
                <w:color w:val="000000"/>
                <w:sz w:val="16"/>
                <w:szCs w:val="16"/>
              </w:rPr>
              <w:t>Minister for Finance</w:t>
            </w:r>
          </w:p>
          <w:p w14:paraId="529E6C86" w14:textId="77777777" w:rsidR="00161D69" w:rsidRPr="00C24520" w:rsidRDefault="00161D69" w:rsidP="00C86050">
            <w:pPr>
              <w:spacing w:before="30" w:after="30" w:line="240" w:lineRule="auto"/>
              <w:jc w:val="center"/>
              <w:rPr>
                <w:rFonts w:ascii="Arial" w:eastAsia="+mn-ea" w:hAnsi="Arial" w:cs="Arial"/>
                <w:color w:val="000000"/>
                <w:sz w:val="16"/>
                <w:szCs w:val="16"/>
              </w:rPr>
            </w:pPr>
            <w:r w:rsidRPr="00C24520">
              <w:rPr>
                <w:rFonts w:ascii="Arial" w:eastAsia="+mn-ea" w:hAnsi="Arial" w:cs="Arial"/>
                <w:color w:val="000000"/>
                <w:sz w:val="16"/>
                <w:szCs w:val="16"/>
              </w:rPr>
              <w:t xml:space="preserve">Senator the Hon </w:t>
            </w:r>
            <w:r>
              <w:rPr>
                <w:rFonts w:ascii="Arial" w:eastAsia="+mn-ea" w:hAnsi="Arial" w:cs="Arial"/>
                <w:color w:val="000000"/>
                <w:sz w:val="16"/>
                <w:szCs w:val="16"/>
              </w:rPr>
              <w:t>Katy Gallagher</w:t>
            </w:r>
          </w:p>
        </w:tc>
      </w:tr>
      <w:tr w:rsidR="001D3E15" w:rsidRPr="00C24520" w14:paraId="36CA4128" w14:textId="77777777" w:rsidTr="001D3E15">
        <w:trPr>
          <w:trHeight w:val="352"/>
        </w:trPr>
        <w:tc>
          <w:tcPr>
            <w:tcW w:w="4252" w:type="dxa"/>
            <w:tcBorders>
              <w:top w:val="single" w:sz="4" w:space="0" w:color="auto"/>
              <w:bottom w:val="single" w:sz="4" w:space="0" w:color="auto"/>
              <w:right w:val="single" w:sz="4" w:space="0" w:color="auto"/>
            </w:tcBorders>
            <w:shd w:val="clear" w:color="auto" w:fill="auto"/>
          </w:tcPr>
          <w:p w14:paraId="43CEA7DD" w14:textId="77777777" w:rsidR="00161D69" w:rsidRPr="00C24520" w:rsidRDefault="00161D69" w:rsidP="00BF7B5E">
            <w:pPr>
              <w:spacing w:after="0" w:line="240" w:lineRule="auto"/>
              <w:jc w:val="center"/>
              <w:rPr>
                <w:sz w:val="12"/>
                <w:szCs w:val="12"/>
              </w:rPr>
            </w:pPr>
          </w:p>
        </w:tc>
        <w:tc>
          <w:tcPr>
            <w:tcW w:w="4252" w:type="dxa"/>
            <w:tcBorders>
              <w:top w:val="single" w:sz="4" w:space="0" w:color="auto"/>
              <w:left w:val="single" w:sz="4" w:space="0" w:color="auto"/>
              <w:bottom w:val="single" w:sz="4" w:space="0" w:color="auto"/>
            </w:tcBorders>
            <w:shd w:val="clear" w:color="auto" w:fill="auto"/>
          </w:tcPr>
          <w:p w14:paraId="6A0AAE36" w14:textId="77777777" w:rsidR="00161D69" w:rsidRPr="00C24520" w:rsidRDefault="00161D69" w:rsidP="00BF7B5E">
            <w:pPr>
              <w:spacing w:after="0" w:line="240" w:lineRule="auto"/>
              <w:jc w:val="center"/>
              <w:rPr>
                <w:sz w:val="12"/>
                <w:szCs w:val="12"/>
              </w:rPr>
            </w:pPr>
          </w:p>
        </w:tc>
      </w:tr>
      <w:tr w:rsidR="00161D69" w:rsidRPr="00C24520" w14:paraId="1351C93D" w14:textId="77777777" w:rsidTr="001D3E15">
        <w:trPr>
          <w:trHeight w:val="482"/>
        </w:trPr>
        <w:tc>
          <w:tcPr>
            <w:tcW w:w="8504" w:type="dxa"/>
            <w:gridSpan w:val="2"/>
            <w:tcBorders>
              <w:top w:val="single" w:sz="4" w:space="0" w:color="auto"/>
              <w:left w:val="single" w:sz="4" w:space="0" w:color="auto"/>
              <w:bottom w:val="single" w:sz="4" w:space="0" w:color="auto"/>
              <w:right w:val="single" w:sz="4" w:space="0" w:color="auto"/>
            </w:tcBorders>
            <w:shd w:val="clear" w:color="auto" w:fill="DDDDDD"/>
          </w:tcPr>
          <w:p w14:paraId="083278D2" w14:textId="77777777" w:rsidR="00161D69" w:rsidRPr="00C24520" w:rsidRDefault="00161D69" w:rsidP="00986128">
            <w:pPr>
              <w:spacing w:before="30" w:after="30" w:line="240" w:lineRule="auto"/>
              <w:jc w:val="center"/>
              <w:rPr>
                <w:rFonts w:ascii="Arial" w:eastAsia="+mn-ea" w:hAnsi="Arial" w:cs="Arial"/>
                <w:b/>
                <w:color w:val="000000"/>
                <w:sz w:val="16"/>
                <w:szCs w:val="16"/>
              </w:rPr>
            </w:pPr>
            <w:r w:rsidRPr="00C24520">
              <w:rPr>
                <w:rFonts w:ascii="Arial" w:eastAsia="+mn-ea" w:hAnsi="Arial" w:cs="Arial"/>
                <w:b/>
                <w:color w:val="000000"/>
                <w:sz w:val="16"/>
                <w:szCs w:val="16"/>
              </w:rPr>
              <w:t>Special Minister of State</w:t>
            </w:r>
            <w:r w:rsidRPr="00C24520" w:rsidDel="00C34870">
              <w:rPr>
                <w:rFonts w:ascii="Arial" w:eastAsia="+mn-ea" w:hAnsi="Arial" w:cs="Arial"/>
                <w:b/>
                <w:color w:val="000000"/>
                <w:sz w:val="16"/>
                <w:szCs w:val="16"/>
              </w:rPr>
              <w:t xml:space="preserve"> </w:t>
            </w:r>
            <w:r w:rsidRPr="00C24520">
              <w:rPr>
                <w:rFonts w:ascii="Arial" w:eastAsia="+mn-ea" w:hAnsi="Arial" w:cs="Arial"/>
                <w:b/>
                <w:color w:val="000000"/>
                <w:sz w:val="16"/>
                <w:szCs w:val="16"/>
              </w:rPr>
              <w:br/>
            </w:r>
            <w:r>
              <w:rPr>
                <w:rFonts w:ascii="Arial" w:eastAsia="+mn-ea" w:hAnsi="Arial" w:cs="Arial"/>
                <w:color w:val="000000"/>
                <w:sz w:val="16"/>
                <w:szCs w:val="16"/>
              </w:rPr>
              <w:t>Senator the Hon Don Farrell</w:t>
            </w:r>
          </w:p>
        </w:tc>
      </w:tr>
      <w:tr w:rsidR="00161D69" w:rsidRPr="00C83AED" w14:paraId="13060D3C" w14:textId="77777777" w:rsidTr="001D3E15">
        <w:trPr>
          <w:trHeight w:val="351"/>
        </w:trPr>
        <w:tc>
          <w:tcPr>
            <w:tcW w:w="4252" w:type="dxa"/>
            <w:tcBorders>
              <w:top w:val="single" w:sz="4" w:space="0" w:color="auto"/>
              <w:bottom w:val="single" w:sz="4" w:space="0" w:color="auto"/>
              <w:right w:val="single" w:sz="4" w:space="0" w:color="auto"/>
            </w:tcBorders>
            <w:shd w:val="clear" w:color="auto" w:fill="auto"/>
          </w:tcPr>
          <w:p w14:paraId="43A1DE6F" w14:textId="77777777" w:rsidR="00161D69" w:rsidRPr="00C83AED" w:rsidRDefault="00161D69" w:rsidP="00BF7B5E">
            <w:pPr>
              <w:spacing w:after="0" w:line="240" w:lineRule="auto"/>
              <w:jc w:val="center"/>
              <w:rPr>
                <w:sz w:val="12"/>
                <w:szCs w:val="12"/>
              </w:rPr>
            </w:pPr>
          </w:p>
        </w:tc>
        <w:tc>
          <w:tcPr>
            <w:tcW w:w="4252" w:type="dxa"/>
            <w:tcBorders>
              <w:top w:val="single" w:sz="4" w:space="0" w:color="auto"/>
              <w:left w:val="single" w:sz="4" w:space="0" w:color="auto"/>
              <w:bottom w:val="single" w:sz="4" w:space="0" w:color="auto"/>
            </w:tcBorders>
            <w:shd w:val="clear" w:color="auto" w:fill="auto"/>
          </w:tcPr>
          <w:p w14:paraId="33DF27C9" w14:textId="77777777" w:rsidR="00161D69" w:rsidRPr="00C83AED" w:rsidRDefault="00161D69" w:rsidP="00BF7B5E">
            <w:pPr>
              <w:spacing w:after="0" w:line="240" w:lineRule="auto"/>
              <w:jc w:val="center"/>
              <w:rPr>
                <w:sz w:val="12"/>
                <w:szCs w:val="12"/>
              </w:rPr>
            </w:pPr>
          </w:p>
        </w:tc>
      </w:tr>
      <w:tr w:rsidR="00161D69" w:rsidRPr="00C24520" w14:paraId="436379F4" w14:textId="77777777" w:rsidTr="001D3E15">
        <w:trPr>
          <w:trHeight w:val="850"/>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6A3667A6" w14:textId="77777777" w:rsidR="00161D69" w:rsidRPr="00C24520" w:rsidRDefault="00161D69" w:rsidP="003F231A">
            <w:pPr>
              <w:spacing w:before="30" w:after="30" w:line="240" w:lineRule="auto"/>
              <w:jc w:val="center"/>
              <w:rPr>
                <w:rFonts w:ascii="Arial" w:eastAsia="+mn-ea" w:hAnsi="Arial" w:cs="Arial"/>
                <w:b/>
                <w:color w:val="000000"/>
                <w:sz w:val="16"/>
                <w:szCs w:val="16"/>
              </w:rPr>
            </w:pPr>
            <w:r w:rsidRPr="00C24520">
              <w:rPr>
                <w:rFonts w:ascii="Arial" w:eastAsia="+mn-ea" w:hAnsi="Arial" w:cs="Arial"/>
                <w:b/>
                <w:color w:val="000000"/>
                <w:sz w:val="16"/>
                <w:szCs w:val="16"/>
              </w:rPr>
              <w:t>Department of Finance</w:t>
            </w:r>
          </w:p>
          <w:p w14:paraId="443335A1" w14:textId="77777777" w:rsidR="00161D69" w:rsidRPr="00C24520" w:rsidRDefault="00161D69" w:rsidP="003F231A">
            <w:pPr>
              <w:spacing w:before="30" w:after="30" w:line="240" w:lineRule="auto"/>
              <w:jc w:val="center"/>
              <w:rPr>
                <w:rFonts w:ascii="Arial" w:hAnsi="Arial" w:cs="Arial"/>
                <w:sz w:val="16"/>
                <w:szCs w:val="16"/>
              </w:rPr>
            </w:pPr>
            <w:r w:rsidRPr="00C24520">
              <w:rPr>
                <w:rFonts w:ascii="Arial" w:hAnsi="Arial" w:cs="Arial"/>
                <w:sz w:val="16"/>
                <w:szCs w:val="16"/>
              </w:rPr>
              <w:t xml:space="preserve">Portfolio Secretary: </w:t>
            </w:r>
            <w:r>
              <w:rPr>
                <w:rFonts w:ascii="Arial" w:hAnsi="Arial" w:cs="Arial"/>
                <w:sz w:val="16"/>
                <w:szCs w:val="16"/>
              </w:rPr>
              <w:t>Jenny Wilkinson</w:t>
            </w:r>
            <w:r w:rsidRPr="00C24520">
              <w:rPr>
                <w:rFonts w:ascii="Arial" w:hAnsi="Arial" w:cs="Arial"/>
                <w:sz w:val="16"/>
                <w:szCs w:val="16"/>
              </w:rPr>
              <w:t xml:space="preserve"> PSM</w:t>
            </w:r>
          </w:p>
          <w:p w14:paraId="7B9D31A9" w14:textId="77777777" w:rsidR="00161D69" w:rsidRDefault="00161D69" w:rsidP="00161D69">
            <w:pPr>
              <w:spacing w:before="30" w:afterLines="30" w:after="72" w:line="240" w:lineRule="auto"/>
              <w:rPr>
                <w:rFonts w:ascii="Arial" w:hAnsi="Arial" w:cs="Arial"/>
                <w:sz w:val="16"/>
                <w:szCs w:val="16"/>
              </w:rPr>
            </w:pPr>
            <w:r w:rsidRPr="00C24520">
              <w:rPr>
                <w:rFonts w:ascii="Arial" w:hAnsi="Arial" w:cs="Arial"/>
                <w:sz w:val="16"/>
                <w:szCs w:val="16"/>
              </w:rPr>
              <w:t>Outcome 1: Support sustainable Australian Government finances through providing high quality policy advice and operational support to the government and Commonwealth entities</w:t>
            </w:r>
            <w:r w:rsidRPr="00C24520">
              <w:rPr>
                <w:rFonts w:ascii="Arial" w:hAnsi="Arial" w:cs="Arial"/>
                <w:i/>
                <w:sz w:val="16"/>
                <w:szCs w:val="16"/>
              </w:rPr>
              <w:t xml:space="preserve"> </w:t>
            </w:r>
            <w:r w:rsidRPr="00C24520">
              <w:rPr>
                <w:rFonts w:ascii="Arial" w:hAnsi="Arial" w:cs="Arial"/>
                <w:sz w:val="16"/>
                <w:szCs w:val="16"/>
              </w:rPr>
              <w:t>to</w:t>
            </w:r>
            <w:r w:rsidRPr="00C24520">
              <w:rPr>
                <w:rFonts w:ascii="Arial" w:hAnsi="Arial" w:cs="Arial"/>
                <w:i/>
                <w:sz w:val="16"/>
                <w:szCs w:val="16"/>
              </w:rPr>
              <w:t xml:space="preserve"> </w:t>
            </w:r>
            <w:r w:rsidRPr="00C24520">
              <w:rPr>
                <w:rFonts w:ascii="Arial" w:hAnsi="Arial" w:cs="Arial"/>
                <w:sz w:val="16"/>
                <w:szCs w:val="16"/>
              </w:rPr>
              <w:t>maintain effective and efficient use of public resources.</w:t>
            </w:r>
          </w:p>
          <w:p w14:paraId="588707DF" w14:textId="77777777" w:rsidR="00161D69" w:rsidRPr="00C24520" w:rsidRDefault="00161D69" w:rsidP="00161D69">
            <w:pPr>
              <w:spacing w:before="30" w:afterLines="30" w:after="72" w:line="240" w:lineRule="auto"/>
              <w:rPr>
                <w:rFonts w:ascii="Arial" w:hAnsi="Arial" w:cs="Arial"/>
                <w:sz w:val="16"/>
                <w:szCs w:val="16"/>
              </w:rPr>
            </w:pPr>
            <w:r w:rsidRPr="00C24520">
              <w:rPr>
                <w:rFonts w:ascii="Arial" w:hAnsi="Arial" w:cs="Arial"/>
                <w:sz w:val="16"/>
                <w:szCs w:val="16"/>
              </w:rPr>
              <w:t>Outcome 2: Support an efficient and high-performing public sector through provid</w:t>
            </w:r>
            <w:r>
              <w:rPr>
                <w:rFonts w:ascii="Arial" w:hAnsi="Arial" w:cs="Arial"/>
                <w:sz w:val="16"/>
                <w:szCs w:val="16"/>
              </w:rPr>
              <w:t>ing leadership to</w:t>
            </w:r>
            <w:r w:rsidRPr="00C24520">
              <w:rPr>
                <w:rFonts w:ascii="Arial" w:hAnsi="Arial" w:cs="Arial"/>
                <w:sz w:val="16"/>
                <w:szCs w:val="16"/>
              </w:rPr>
              <w:t xml:space="preserve"> Commonwealth</w:t>
            </w:r>
            <w:r w:rsidRPr="00C24520">
              <w:rPr>
                <w:rFonts w:ascii="Arial" w:hAnsi="Arial" w:cs="Arial"/>
              </w:rPr>
              <w:t xml:space="preserve"> </w:t>
            </w:r>
            <w:r w:rsidRPr="00C24520">
              <w:rPr>
                <w:rFonts w:ascii="Arial" w:hAnsi="Arial" w:cs="Arial"/>
                <w:sz w:val="16"/>
                <w:szCs w:val="16"/>
              </w:rPr>
              <w:t>entities in ongoing improvements to public sector governance, including through systems, frameworks, policy, advice, and service delivery.</w:t>
            </w:r>
          </w:p>
          <w:p w14:paraId="4F45CA01" w14:textId="77777777" w:rsidR="00161D69" w:rsidRPr="00C24520" w:rsidRDefault="00161D69" w:rsidP="00161D69">
            <w:pPr>
              <w:spacing w:before="30" w:afterLines="30" w:after="72" w:line="240" w:lineRule="auto"/>
              <w:rPr>
                <w:rFonts w:ascii="Arial" w:eastAsia="+mn-ea" w:hAnsi="Arial" w:cs="Arial"/>
                <w:color w:val="000000"/>
                <w:sz w:val="24"/>
                <w:szCs w:val="24"/>
              </w:rPr>
            </w:pPr>
            <w:r w:rsidRPr="00C24520">
              <w:rPr>
                <w:rFonts w:ascii="Arial" w:hAnsi="Arial" w:cs="Arial"/>
                <w:sz w:val="16"/>
                <w:szCs w:val="16"/>
              </w:rPr>
              <w:t>Outcome 3: Support for parliamentarians and others</w:t>
            </w:r>
            <w:r w:rsidRPr="00C24520">
              <w:rPr>
                <w:rFonts w:ascii="Arial" w:hAnsi="Arial" w:cs="Arial"/>
              </w:rPr>
              <w:t xml:space="preserve"> </w:t>
            </w:r>
            <w:r w:rsidRPr="00C24520">
              <w:rPr>
                <w:rFonts w:ascii="Arial" w:hAnsi="Arial" w:cs="Arial"/>
                <w:sz w:val="16"/>
                <w:szCs w:val="16"/>
              </w:rPr>
              <w:t>as required by the Australian Government through the delivery of, and advice on, work</w:t>
            </w:r>
            <w:r w:rsidRPr="00C24520">
              <w:rPr>
                <w:rFonts w:ascii="Arial" w:hAnsi="Arial" w:cs="Arial"/>
              </w:rPr>
              <w:t xml:space="preserve"> </w:t>
            </w:r>
            <w:r w:rsidRPr="00C24520">
              <w:rPr>
                <w:rFonts w:ascii="Arial" w:hAnsi="Arial" w:cs="Arial"/>
                <w:sz w:val="16"/>
                <w:szCs w:val="16"/>
              </w:rPr>
              <w:t>expenses and allowances, entitlements and targeted programs.</w:t>
            </w:r>
          </w:p>
        </w:tc>
      </w:tr>
      <w:tr w:rsidR="00161D69" w:rsidRPr="00C24520" w14:paraId="423216E5" w14:textId="77777777" w:rsidTr="001D3E15">
        <w:trPr>
          <w:trHeight w:val="351"/>
        </w:trPr>
        <w:tc>
          <w:tcPr>
            <w:tcW w:w="4252" w:type="dxa"/>
            <w:tcBorders>
              <w:top w:val="single" w:sz="4" w:space="0" w:color="auto"/>
              <w:bottom w:val="single" w:sz="4" w:space="0" w:color="auto"/>
              <w:right w:val="single" w:sz="4" w:space="0" w:color="auto"/>
            </w:tcBorders>
            <w:shd w:val="clear" w:color="auto" w:fill="auto"/>
          </w:tcPr>
          <w:p w14:paraId="5A4A6D91" w14:textId="77777777" w:rsidR="00161D69" w:rsidRPr="00C24520" w:rsidRDefault="00161D69" w:rsidP="00BF7B5E">
            <w:pPr>
              <w:spacing w:after="0" w:line="240" w:lineRule="auto"/>
              <w:jc w:val="center"/>
              <w:rPr>
                <w:rFonts w:ascii="Arial" w:hAnsi="Arial" w:cs="Arial"/>
                <w:sz w:val="12"/>
                <w:szCs w:val="12"/>
              </w:rPr>
            </w:pPr>
          </w:p>
        </w:tc>
        <w:tc>
          <w:tcPr>
            <w:tcW w:w="4252" w:type="dxa"/>
            <w:tcBorders>
              <w:top w:val="single" w:sz="4" w:space="0" w:color="auto"/>
              <w:left w:val="single" w:sz="4" w:space="0" w:color="auto"/>
              <w:bottom w:val="single" w:sz="4" w:space="0" w:color="auto"/>
            </w:tcBorders>
            <w:shd w:val="clear" w:color="auto" w:fill="auto"/>
          </w:tcPr>
          <w:p w14:paraId="745A2B0A" w14:textId="77777777" w:rsidR="00161D69" w:rsidRPr="00C24520" w:rsidRDefault="00161D69" w:rsidP="00BF7B5E">
            <w:pPr>
              <w:spacing w:after="0" w:line="240" w:lineRule="auto"/>
              <w:jc w:val="center"/>
              <w:rPr>
                <w:rFonts w:ascii="Arial" w:hAnsi="Arial" w:cs="Arial"/>
                <w:sz w:val="12"/>
                <w:szCs w:val="12"/>
              </w:rPr>
            </w:pPr>
          </w:p>
        </w:tc>
      </w:tr>
      <w:tr w:rsidR="00161D69" w:rsidRPr="00C24520" w14:paraId="701AB87F" w14:textId="77777777" w:rsidTr="001D3E15">
        <w:trPr>
          <w:trHeight w:val="817"/>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16A51733" w14:textId="77777777" w:rsidR="00161D69" w:rsidRPr="00C24520" w:rsidRDefault="00161D69" w:rsidP="003F231A">
            <w:pPr>
              <w:spacing w:before="30" w:after="30" w:line="240" w:lineRule="auto"/>
              <w:jc w:val="center"/>
              <w:rPr>
                <w:rFonts w:ascii="Arial" w:hAnsi="Arial" w:cs="Arial"/>
                <w:b/>
                <w:sz w:val="16"/>
                <w:szCs w:val="16"/>
              </w:rPr>
            </w:pPr>
            <w:r w:rsidRPr="00C24520">
              <w:rPr>
                <w:rFonts w:ascii="Arial" w:hAnsi="Arial" w:cs="Arial"/>
                <w:b/>
                <w:sz w:val="16"/>
                <w:szCs w:val="16"/>
              </w:rPr>
              <w:t>Australian Electoral Commission</w:t>
            </w:r>
          </w:p>
          <w:p w14:paraId="5677C85B" w14:textId="77777777" w:rsidR="00161D69" w:rsidRPr="00C24520" w:rsidRDefault="00161D69" w:rsidP="003F231A">
            <w:pPr>
              <w:spacing w:before="30" w:after="30" w:line="240" w:lineRule="auto"/>
              <w:jc w:val="center"/>
              <w:rPr>
                <w:rFonts w:ascii="Arial" w:hAnsi="Arial" w:cs="Arial"/>
                <w:b/>
                <w:sz w:val="16"/>
                <w:szCs w:val="16"/>
              </w:rPr>
            </w:pPr>
            <w:r w:rsidRPr="00C24520">
              <w:rPr>
                <w:rFonts w:ascii="Arial" w:hAnsi="Arial" w:cs="Arial"/>
                <w:sz w:val="16"/>
                <w:szCs w:val="16"/>
              </w:rPr>
              <w:t>Electoral Commissioner: Tom Rogers</w:t>
            </w:r>
          </w:p>
          <w:p w14:paraId="4C4E3A2D" w14:textId="77777777" w:rsidR="00161D69" w:rsidRPr="00C24520" w:rsidRDefault="00161D69" w:rsidP="00161D69">
            <w:pPr>
              <w:tabs>
                <w:tab w:val="left" w:pos="0"/>
              </w:tabs>
              <w:spacing w:before="30" w:after="30" w:line="240" w:lineRule="auto"/>
              <w:rPr>
                <w:rFonts w:ascii="Arial" w:eastAsia="+mn-ea" w:hAnsi="Arial" w:cs="Arial"/>
                <w:color w:val="000000"/>
                <w:sz w:val="24"/>
                <w:szCs w:val="24"/>
              </w:rPr>
            </w:pPr>
            <w:r w:rsidRPr="00C24520">
              <w:rPr>
                <w:rFonts w:ascii="Arial" w:hAnsi="Arial" w:cs="Arial"/>
                <w:sz w:val="16"/>
                <w:szCs w:val="16"/>
              </w:rPr>
              <w:t>Outcome 1: Maintain an impartial and independent electoral system for eligible voters through active electoral roll management, efficient delivery of polling services, and targeted education and public awareness programs.</w:t>
            </w:r>
          </w:p>
        </w:tc>
      </w:tr>
      <w:tr w:rsidR="00161D69" w:rsidRPr="00C24520" w14:paraId="572AC523" w14:textId="77777777" w:rsidTr="001D3E15">
        <w:trPr>
          <w:trHeight w:val="351"/>
        </w:trPr>
        <w:tc>
          <w:tcPr>
            <w:tcW w:w="4252" w:type="dxa"/>
            <w:tcBorders>
              <w:top w:val="single" w:sz="4" w:space="0" w:color="auto"/>
              <w:bottom w:val="single" w:sz="4" w:space="0" w:color="auto"/>
              <w:right w:val="single" w:sz="4" w:space="0" w:color="auto"/>
            </w:tcBorders>
            <w:shd w:val="clear" w:color="auto" w:fill="auto"/>
          </w:tcPr>
          <w:p w14:paraId="4C24CC68" w14:textId="77777777" w:rsidR="00161D69" w:rsidRPr="00C24520" w:rsidRDefault="00161D69" w:rsidP="00BF7B5E">
            <w:pPr>
              <w:spacing w:after="0" w:line="240" w:lineRule="auto"/>
              <w:jc w:val="center"/>
              <w:rPr>
                <w:rFonts w:ascii="Arial" w:hAnsi="Arial" w:cs="Arial"/>
                <w:sz w:val="12"/>
                <w:szCs w:val="12"/>
              </w:rPr>
            </w:pPr>
          </w:p>
        </w:tc>
        <w:tc>
          <w:tcPr>
            <w:tcW w:w="4252" w:type="dxa"/>
            <w:tcBorders>
              <w:top w:val="single" w:sz="4" w:space="0" w:color="auto"/>
              <w:left w:val="single" w:sz="4" w:space="0" w:color="auto"/>
              <w:bottom w:val="single" w:sz="4" w:space="0" w:color="auto"/>
            </w:tcBorders>
            <w:shd w:val="clear" w:color="auto" w:fill="auto"/>
          </w:tcPr>
          <w:p w14:paraId="3AC29DC1" w14:textId="77777777" w:rsidR="00161D69" w:rsidRPr="00C24520" w:rsidRDefault="00161D69" w:rsidP="00BF7B5E">
            <w:pPr>
              <w:spacing w:after="0" w:line="240" w:lineRule="auto"/>
              <w:jc w:val="center"/>
              <w:rPr>
                <w:rFonts w:ascii="Arial" w:hAnsi="Arial" w:cs="Arial"/>
                <w:sz w:val="12"/>
                <w:szCs w:val="12"/>
              </w:rPr>
            </w:pPr>
          </w:p>
        </w:tc>
      </w:tr>
      <w:tr w:rsidR="00161D69" w:rsidRPr="003775DA" w14:paraId="57BD3A90" w14:textId="77777777" w:rsidTr="001D3E15">
        <w:trPr>
          <w:trHeight w:val="1012"/>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1ED9A942" w14:textId="77777777" w:rsidR="00161D69" w:rsidRPr="00C24520" w:rsidRDefault="00161D69" w:rsidP="003F231A">
            <w:pPr>
              <w:spacing w:before="30" w:after="30" w:line="240" w:lineRule="auto"/>
              <w:jc w:val="center"/>
              <w:rPr>
                <w:rFonts w:ascii="Arial" w:hAnsi="Arial" w:cs="Arial"/>
                <w:b/>
                <w:sz w:val="16"/>
                <w:szCs w:val="16"/>
              </w:rPr>
            </w:pPr>
            <w:r w:rsidRPr="00C24520">
              <w:rPr>
                <w:rFonts w:ascii="Arial" w:hAnsi="Arial" w:cs="Arial"/>
                <w:b/>
                <w:sz w:val="16"/>
                <w:szCs w:val="16"/>
              </w:rPr>
              <w:t>Commonwealth Superannuation Corporation</w:t>
            </w:r>
          </w:p>
          <w:p w14:paraId="1F3EFEC7" w14:textId="77777777" w:rsidR="00161D69" w:rsidRPr="00C24520" w:rsidRDefault="00161D69" w:rsidP="003F231A">
            <w:pPr>
              <w:spacing w:before="30" w:after="30" w:line="240" w:lineRule="auto"/>
              <w:jc w:val="center"/>
              <w:rPr>
                <w:rFonts w:ascii="Arial" w:hAnsi="Arial" w:cs="Arial"/>
                <w:sz w:val="16"/>
                <w:szCs w:val="16"/>
              </w:rPr>
            </w:pPr>
            <w:r w:rsidRPr="00C24520">
              <w:rPr>
                <w:rFonts w:ascii="Arial" w:hAnsi="Arial" w:cs="Arial"/>
                <w:sz w:val="16"/>
                <w:szCs w:val="16"/>
              </w:rPr>
              <w:t>Chair: Garry Hounsell</w:t>
            </w:r>
          </w:p>
          <w:p w14:paraId="4EC0DBCE" w14:textId="77777777" w:rsidR="00161D69" w:rsidRPr="003775DA" w:rsidRDefault="00161D69" w:rsidP="00161D69">
            <w:pPr>
              <w:tabs>
                <w:tab w:val="left" w:pos="0"/>
              </w:tabs>
              <w:spacing w:before="30" w:after="30" w:line="240" w:lineRule="auto"/>
              <w:rPr>
                <w:rFonts w:ascii="Arial" w:hAnsi="Arial" w:cs="Arial"/>
                <w:color w:val="000000"/>
                <w:sz w:val="16"/>
                <w:szCs w:val="16"/>
              </w:rPr>
            </w:pPr>
            <w:r w:rsidRPr="00C24520">
              <w:rPr>
                <w:rFonts w:ascii="Arial" w:hAnsi="Arial" w:cs="Arial"/>
                <w:sz w:val="16"/>
                <w:szCs w:val="16"/>
              </w:rPr>
              <w:t>Outcome 1: Retirement and</w:t>
            </w:r>
            <w:r w:rsidRPr="00C24520">
              <w:rPr>
                <w:rFonts w:ascii="Arial" w:hAnsi="Arial" w:cs="Arial"/>
              </w:rPr>
              <w:t xml:space="preserve"> </w:t>
            </w:r>
            <w:r w:rsidRPr="00C24520">
              <w:rPr>
                <w:rFonts w:ascii="Arial" w:hAnsi="Arial" w:cs="Arial"/>
                <w:sz w:val="16"/>
                <w:szCs w:val="16"/>
              </w:rPr>
              <w:t>insurance benefits for scheme members and</w:t>
            </w:r>
            <w:r w:rsidRPr="00C24520">
              <w:rPr>
                <w:rFonts w:ascii="Arial" w:hAnsi="Arial" w:cs="Arial"/>
                <w:color w:val="000000"/>
                <w:sz w:val="16"/>
                <w:szCs w:val="16"/>
              </w:rPr>
              <w:t xml:space="preserve"> beneficiaries, including past, present and future employees of the Australian Government and other eligible employers and members of the Australian Defence Force, through investment and administration of their superannuation funds and schemes.</w:t>
            </w:r>
          </w:p>
        </w:tc>
      </w:tr>
      <w:tr w:rsidR="00161D69" w:rsidRPr="00C24520" w14:paraId="284D06FC" w14:textId="77777777" w:rsidTr="001D3E15">
        <w:trPr>
          <w:trHeight w:val="351"/>
        </w:trPr>
        <w:tc>
          <w:tcPr>
            <w:tcW w:w="4252" w:type="dxa"/>
            <w:tcBorders>
              <w:top w:val="single" w:sz="4" w:space="0" w:color="auto"/>
              <w:bottom w:val="single" w:sz="4" w:space="0" w:color="auto"/>
              <w:right w:val="single" w:sz="4" w:space="0" w:color="auto"/>
            </w:tcBorders>
            <w:shd w:val="clear" w:color="auto" w:fill="auto"/>
          </w:tcPr>
          <w:p w14:paraId="2286C62C" w14:textId="77777777" w:rsidR="00161D69" w:rsidRPr="00C24520" w:rsidRDefault="00161D69" w:rsidP="00BF7B5E">
            <w:pPr>
              <w:spacing w:after="0" w:line="240" w:lineRule="auto"/>
              <w:rPr>
                <w:rFonts w:ascii="Arial" w:hAnsi="Arial" w:cs="Arial"/>
                <w:sz w:val="12"/>
                <w:szCs w:val="12"/>
              </w:rPr>
            </w:pPr>
          </w:p>
        </w:tc>
        <w:tc>
          <w:tcPr>
            <w:tcW w:w="4252" w:type="dxa"/>
            <w:tcBorders>
              <w:top w:val="single" w:sz="4" w:space="0" w:color="auto"/>
              <w:left w:val="single" w:sz="4" w:space="0" w:color="auto"/>
              <w:bottom w:val="single" w:sz="4" w:space="0" w:color="auto"/>
            </w:tcBorders>
            <w:shd w:val="clear" w:color="auto" w:fill="auto"/>
          </w:tcPr>
          <w:p w14:paraId="276D5470" w14:textId="77777777" w:rsidR="00161D69" w:rsidRPr="00C24520" w:rsidRDefault="00161D69" w:rsidP="00BF7B5E">
            <w:pPr>
              <w:spacing w:after="0" w:line="240" w:lineRule="auto"/>
              <w:jc w:val="center"/>
              <w:rPr>
                <w:rFonts w:ascii="Arial" w:hAnsi="Arial" w:cs="Arial"/>
                <w:sz w:val="12"/>
                <w:szCs w:val="12"/>
              </w:rPr>
            </w:pPr>
          </w:p>
        </w:tc>
      </w:tr>
      <w:tr w:rsidR="00161D69" w:rsidRPr="003775DA" w14:paraId="45944FEC" w14:textId="77777777" w:rsidTr="001D3E15">
        <w:trPr>
          <w:trHeight w:val="882"/>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18A04775" w14:textId="77777777" w:rsidR="00161D69" w:rsidRDefault="00161D69" w:rsidP="003F231A">
            <w:pPr>
              <w:spacing w:before="30" w:after="30" w:line="240" w:lineRule="auto"/>
              <w:jc w:val="center"/>
              <w:rPr>
                <w:rFonts w:ascii="Arial" w:hAnsi="Arial" w:cs="Arial"/>
                <w:b/>
                <w:sz w:val="16"/>
                <w:szCs w:val="16"/>
              </w:rPr>
            </w:pPr>
            <w:r w:rsidRPr="00081141">
              <w:rPr>
                <w:rFonts w:ascii="Arial" w:hAnsi="Arial" w:cs="Arial"/>
                <w:b/>
                <w:sz w:val="16"/>
                <w:szCs w:val="16"/>
              </w:rPr>
              <w:t>Digital Transformation Agency</w:t>
            </w:r>
          </w:p>
          <w:p w14:paraId="57E21404" w14:textId="77777777" w:rsidR="00161D69" w:rsidRDefault="00161D69" w:rsidP="003F231A">
            <w:pPr>
              <w:spacing w:before="30" w:after="30" w:line="240" w:lineRule="auto"/>
              <w:jc w:val="center"/>
              <w:rPr>
                <w:rFonts w:ascii="Arial" w:hAnsi="Arial" w:cs="Arial"/>
                <w:sz w:val="16"/>
                <w:szCs w:val="16"/>
              </w:rPr>
            </w:pPr>
            <w:r>
              <w:rPr>
                <w:rFonts w:ascii="Arial" w:hAnsi="Arial" w:cs="Arial"/>
                <w:sz w:val="16"/>
                <w:szCs w:val="16"/>
              </w:rPr>
              <w:t>Chief Executive Officer: Chris Fechner</w:t>
            </w:r>
          </w:p>
          <w:p w14:paraId="1726C65B" w14:textId="77777777" w:rsidR="00161D69" w:rsidRPr="003775DA" w:rsidRDefault="00161D69" w:rsidP="00161D69">
            <w:pPr>
              <w:spacing w:before="30" w:after="30" w:line="240" w:lineRule="auto"/>
              <w:rPr>
                <w:rFonts w:ascii="Arial" w:hAnsi="Arial" w:cs="Arial"/>
                <w:sz w:val="16"/>
                <w:szCs w:val="16"/>
              </w:rPr>
            </w:pPr>
            <w:r>
              <w:rPr>
                <w:rFonts w:ascii="Arial" w:hAnsi="Arial" w:cs="Arial"/>
                <w:sz w:val="16"/>
                <w:szCs w:val="16"/>
              </w:rPr>
              <w:t>Outcome 1:</w:t>
            </w:r>
            <w:r w:rsidRPr="00087C7D">
              <w:rPr>
                <w:rFonts w:ascii="Arial" w:hAnsi="Arial" w:cs="Arial"/>
                <w:sz w:val="16"/>
                <w:szCs w:val="16"/>
              </w:rPr>
              <w:t xml:space="preserve"> </w:t>
            </w:r>
            <w:r>
              <w:rPr>
                <w:rFonts w:ascii="Arial" w:hAnsi="Arial" w:cs="Arial"/>
                <w:sz w:val="16"/>
                <w:szCs w:val="16"/>
              </w:rPr>
              <w:t>P</w:t>
            </w:r>
            <w:r w:rsidRPr="00087C7D">
              <w:rPr>
                <w:rFonts w:ascii="Arial" w:hAnsi="Arial" w:cs="Arial"/>
                <w:sz w:val="16"/>
                <w:szCs w:val="16"/>
              </w:rPr>
              <w:t>rovide digital and ICT strategy, policy and architecture leadership, investment advice, delivery oversight, and strategic sourcing to drive government’s digital transformation and deliver benefits to all Australians.</w:t>
            </w:r>
          </w:p>
        </w:tc>
      </w:tr>
      <w:tr w:rsidR="00161D69" w:rsidRPr="00C24520" w14:paraId="65D83918" w14:textId="77777777" w:rsidTr="001D3E15">
        <w:trPr>
          <w:trHeight w:val="351"/>
        </w:trPr>
        <w:tc>
          <w:tcPr>
            <w:tcW w:w="4252" w:type="dxa"/>
            <w:tcBorders>
              <w:top w:val="single" w:sz="4" w:space="0" w:color="auto"/>
              <w:bottom w:val="single" w:sz="4" w:space="0" w:color="auto"/>
              <w:right w:val="single" w:sz="4" w:space="0" w:color="auto"/>
            </w:tcBorders>
            <w:shd w:val="clear" w:color="auto" w:fill="auto"/>
          </w:tcPr>
          <w:p w14:paraId="65CAF9C8" w14:textId="77777777" w:rsidR="00161D69" w:rsidRPr="00C24520" w:rsidRDefault="00161D69" w:rsidP="00BF7B5E">
            <w:pPr>
              <w:spacing w:after="0" w:line="240" w:lineRule="auto"/>
              <w:rPr>
                <w:rFonts w:ascii="Arial" w:hAnsi="Arial" w:cs="Arial"/>
                <w:sz w:val="12"/>
                <w:szCs w:val="12"/>
              </w:rPr>
            </w:pPr>
          </w:p>
        </w:tc>
        <w:tc>
          <w:tcPr>
            <w:tcW w:w="4252" w:type="dxa"/>
            <w:tcBorders>
              <w:top w:val="single" w:sz="4" w:space="0" w:color="auto"/>
              <w:left w:val="single" w:sz="4" w:space="0" w:color="auto"/>
              <w:bottom w:val="single" w:sz="4" w:space="0" w:color="auto"/>
            </w:tcBorders>
            <w:shd w:val="clear" w:color="auto" w:fill="auto"/>
          </w:tcPr>
          <w:p w14:paraId="36DD60D2" w14:textId="77777777" w:rsidR="00161D69" w:rsidRPr="00C24520" w:rsidRDefault="00161D69" w:rsidP="00BF7B5E">
            <w:pPr>
              <w:spacing w:after="0" w:line="240" w:lineRule="auto"/>
              <w:jc w:val="center"/>
              <w:rPr>
                <w:rFonts w:ascii="Arial" w:hAnsi="Arial" w:cs="Arial"/>
                <w:sz w:val="12"/>
                <w:szCs w:val="12"/>
              </w:rPr>
            </w:pPr>
          </w:p>
        </w:tc>
      </w:tr>
      <w:tr w:rsidR="00161D69" w:rsidRPr="00C24520" w14:paraId="170EBFF5" w14:textId="77777777" w:rsidTr="001D3E15">
        <w:trPr>
          <w:trHeight w:val="817"/>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331341A2" w14:textId="77777777" w:rsidR="00161D69" w:rsidRPr="00C24520" w:rsidRDefault="00161D69" w:rsidP="003F231A">
            <w:pPr>
              <w:spacing w:before="30" w:after="30" w:line="240" w:lineRule="auto"/>
              <w:jc w:val="center"/>
              <w:rPr>
                <w:rFonts w:ascii="Arial" w:hAnsi="Arial" w:cs="Arial"/>
                <w:b/>
                <w:sz w:val="16"/>
                <w:szCs w:val="16"/>
              </w:rPr>
            </w:pPr>
            <w:r w:rsidRPr="00C24520">
              <w:rPr>
                <w:rFonts w:ascii="Arial" w:hAnsi="Arial" w:cs="Arial"/>
                <w:b/>
                <w:sz w:val="16"/>
                <w:szCs w:val="16"/>
              </w:rPr>
              <w:t>Future Fund Management Agency</w:t>
            </w:r>
          </w:p>
          <w:p w14:paraId="04C9BD9F" w14:textId="77777777" w:rsidR="00161D69" w:rsidRPr="00C24520" w:rsidRDefault="00161D69" w:rsidP="003F231A">
            <w:pPr>
              <w:spacing w:before="30" w:after="30" w:line="240" w:lineRule="auto"/>
              <w:jc w:val="center"/>
              <w:rPr>
                <w:rFonts w:ascii="Arial" w:hAnsi="Arial" w:cs="Arial"/>
                <w:sz w:val="16"/>
                <w:szCs w:val="16"/>
              </w:rPr>
            </w:pPr>
            <w:r w:rsidRPr="00C24520">
              <w:rPr>
                <w:rFonts w:ascii="Arial" w:hAnsi="Arial" w:cs="Arial"/>
                <w:sz w:val="16"/>
                <w:szCs w:val="16"/>
              </w:rPr>
              <w:t>Chair: Hon Peter Costello AC</w:t>
            </w:r>
          </w:p>
          <w:p w14:paraId="4A7C211A" w14:textId="77777777" w:rsidR="00161D69" w:rsidRPr="00C24520" w:rsidRDefault="00161D69" w:rsidP="00161D69">
            <w:pPr>
              <w:tabs>
                <w:tab w:val="left" w:pos="0"/>
              </w:tabs>
              <w:spacing w:before="30" w:afterLines="30" w:after="72" w:line="240" w:lineRule="auto"/>
              <w:rPr>
                <w:rFonts w:ascii="Arial" w:eastAsia="+mn-ea" w:hAnsi="Arial" w:cs="Arial"/>
                <w:color w:val="000000"/>
                <w:sz w:val="24"/>
                <w:szCs w:val="24"/>
              </w:rPr>
            </w:pPr>
            <w:r w:rsidRPr="00C24520">
              <w:rPr>
                <w:rFonts w:ascii="Arial" w:hAnsi="Arial" w:cs="Arial"/>
                <w:sz w:val="16"/>
                <w:szCs w:val="16"/>
              </w:rPr>
              <w:t>Outcome 1: Strengthen the Commonwealth’s financial position for the benefit of the Australian people, by managing the investment activities of the Future Fund and certain other Australian Government Investment Funds in line with their Investment Mandates</w:t>
            </w:r>
            <w:r w:rsidRPr="00C24520">
              <w:rPr>
                <w:rFonts w:ascii="Arial" w:hAnsi="Arial" w:cs="Arial"/>
                <w:b/>
                <w:sz w:val="16"/>
                <w:szCs w:val="16"/>
              </w:rPr>
              <w:t>.</w:t>
            </w:r>
          </w:p>
        </w:tc>
      </w:tr>
    </w:tbl>
    <w:p w14:paraId="043D1D84" w14:textId="77777777" w:rsidR="00161D69" w:rsidRPr="00BF0029" w:rsidRDefault="00161D69" w:rsidP="00BF0029">
      <w:pPr>
        <w:spacing w:before="120" w:after="20" w:line="240" w:lineRule="auto"/>
        <w:contextualSpacing/>
        <w:rPr>
          <w:rFonts w:ascii="Arial" w:hAnsi="Arial" w:cs="Arial"/>
          <w:sz w:val="20"/>
        </w:rPr>
        <w:sectPr w:rsidR="00161D69" w:rsidRPr="00BF0029" w:rsidSect="00782467">
          <w:headerReference w:type="even" r:id="rId41"/>
          <w:headerReference w:type="default" r:id="rId42"/>
          <w:footerReference w:type="even" r:id="rId43"/>
          <w:headerReference w:type="first" r:id="rId44"/>
          <w:footerReference w:type="first" r:id="rId45"/>
          <w:type w:val="oddPage"/>
          <w:pgSz w:w="11906" w:h="16838" w:code="9"/>
          <w:pgMar w:top="2835" w:right="2098" w:bottom="2466" w:left="2098" w:header="1814" w:footer="1814" w:gutter="0"/>
          <w:pgNumType w:start="2"/>
          <w:cols w:space="708"/>
          <w:titlePg/>
          <w:docGrid w:linePitch="360"/>
        </w:sectPr>
      </w:pPr>
    </w:p>
    <w:p w14:paraId="78A73B1B" w14:textId="77777777" w:rsidR="00C86050" w:rsidRPr="009D375A" w:rsidRDefault="003F231A" w:rsidP="009D375A">
      <w:pPr>
        <w:pStyle w:val="BodyText"/>
        <w:rPr>
          <w:rFonts w:ascii="Arial" w:eastAsia="Times New Roman" w:hAnsi="Arial" w:cs="Arial"/>
          <w:b/>
          <w:sz w:val="20"/>
          <w:szCs w:val="20"/>
          <w:lang w:val="en-AU" w:eastAsia="en-AU"/>
        </w:rPr>
      </w:pPr>
      <w:bookmarkStart w:id="16" w:name="_Toc190766149"/>
      <w:bookmarkStart w:id="17" w:name="_Toc444523507"/>
      <w:r w:rsidRPr="009D375A">
        <w:rPr>
          <w:rFonts w:ascii="Arial" w:eastAsia="Times New Roman" w:hAnsi="Arial" w:cs="Arial"/>
          <w:b/>
          <w:sz w:val="20"/>
          <w:szCs w:val="20"/>
          <w:lang w:val="en-AU" w:eastAsia="en-AU"/>
        </w:rPr>
        <w:lastRenderedPageBreak/>
        <w:t>Figure 1: Finance portfolio structure and outcomes (continued)</w:t>
      </w:r>
    </w:p>
    <w:tbl>
      <w:tblPr>
        <w:tblW w:w="8504" w:type="dxa"/>
        <w:tblInd w:w="-289" w:type="dxa"/>
        <w:tblLook w:val="04A0" w:firstRow="1" w:lastRow="0" w:firstColumn="1" w:lastColumn="0" w:noHBand="0" w:noVBand="1"/>
      </w:tblPr>
      <w:tblGrid>
        <w:gridCol w:w="4252"/>
        <w:gridCol w:w="4252"/>
      </w:tblGrid>
      <w:tr w:rsidR="00C86050" w:rsidRPr="00C24520" w14:paraId="7323F664" w14:textId="77777777" w:rsidTr="00BF7B5E">
        <w:trPr>
          <w:trHeight w:val="746"/>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4293819B" w14:textId="77777777" w:rsidR="00C86050" w:rsidRPr="00C24520" w:rsidRDefault="00C86050" w:rsidP="00C86050">
            <w:pPr>
              <w:pStyle w:val="NormalWeb"/>
              <w:spacing w:before="30" w:beforeAutospacing="0" w:after="30" w:afterAutospacing="0"/>
              <w:jc w:val="center"/>
              <w:rPr>
                <w:rFonts w:ascii="Arial" w:hAnsi="Arial" w:cs="Arial"/>
                <w:b/>
                <w:bCs/>
                <w:sz w:val="16"/>
                <w:szCs w:val="16"/>
              </w:rPr>
            </w:pPr>
            <w:r w:rsidRPr="00C24520">
              <w:rPr>
                <w:rFonts w:ascii="Arial" w:hAnsi="Arial" w:cs="Arial"/>
                <w:b/>
                <w:bCs/>
                <w:sz w:val="16"/>
                <w:szCs w:val="16"/>
              </w:rPr>
              <w:t>Independent Parliamentary Expenses Authority</w:t>
            </w:r>
          </w:p>
          <w:p w14:paraId="2FDFE875" w14:textId="2CCA3EA7" w:rsidR="00C86050" w:rsidRPr="00C24520" w:rsidRDefault="00B30D53" w:rsidP="00C86050">
            <w:pPr>
              <w:pStyle w:val="NormalWeb"/>
              <w:spacing w:before="30" w:beforeAutospacing="0" w:after="30" w:afterAutospacing="0"/>
              <w:jc w:val="center"/>
              <w:rPr>
                <w:rFonts w:ascii="Arial" w:hAnsi="Arial" w:cs="Arial"/>
                <w:sz w:val="16"/>
                <w:szCs w:val="16"/>
              </w:rPr>
            </w:pPr>
            <w:r>
              <w:rPr>
                <w:rFonts w:ascii="Arial" w:hAnsi="Arial" w:cs="Arial"/>
                <w:sz w:val="16"/>
                <w:szCs w:val="16"/>
              </w:rPr>
              <w:t>Chief Executive Officer</w:t>
            </w:r>
            <w:r w:rsidR="00C86050" w:rsidRPr="00C24520">
              <w:rPr>
                <w:rFonts w:ascii="Arial" w:hAnsi="Arial" w:cs="Arial"/>
                <w:sz w:val="16"/>
                <w:szCs w:val="16"/>
              </w:rPr>
              <w:t>: Annwyn Godwin</w:t>
            </w:r>
          </w:p>
          <w:p w14:paraId="3BE59F7B" w14:textId="77777777" w:rsidR="00C86050" w:rsidRPr="00C24520" w:rsidRDefault="00C86050" w:rsidP="00C86050">
            <w:pPr>
              <w:pStyle w:val="NormalWeb"/>
              <w:tabs>
                <w:tab w:val="left" w:pos="0"/>
              </w:tabs>
              <w:spacing w:before="30" w:beforeAutospacing="0" w:after="30" w:afterAutospacing="0"/>
              <w:rPr>
                <w:rFonts w:ascii="Arial" w:eastAsia="+mn-ea" w:hAnsi="Arial" w:cs="Arial"/>
                <w:color w:val="000000"/>
              </w:rPr>
            </w:pPr>
            <w:r w:rsidRPr="00C24520">
              <w:rPr>
                <w:rFonts w:ascii="Arial" w:hAnsi="Arial" w:cs="Arial"/>
                <w:bCs/>
                <w:sz w:val="16"/>
                <w:szCs w:val="16"/>
              </w:rPr>
              <w:t xml:space="preserve">Outcome 1: </w:t>
            </w:r>
            <w:r w:rsidRPr="00C24520">
              <w:rPr>
                <w:rFonts w:ascii="Arial" w:hAnsi="Arial" w:cs="Arial"/>
                <w:color w:val="000000"/>
                <w:sz w:val="16"/>
                <w:szCs w:val="16"/>
              </w:rPr>
              <w:t>Support for current and former parliamentarians and others as required by the Australian Government through the delivery of, independent oversight and advice on, work resources and travel resources.</w:t>
            </w:r>
          </w:p>
        </w:tc>
      </w:tr>
      <w:tr w:rsidR="00C86050" w:rsidRPr="00C24520" w14:paraId="6443CC09" w14:textId="77777777" w:rsidTr="001D3E15">
        <w:trPr>
          <w:trHeight w:val="351"/>
        </w:trPr>
        <w:tc>
          <w:tcPr>
            <w:tcW w:w="4252" w:type="dxa"/>
            <w:tcBorders>
              <w:top w:val="single" w:sz="4" w:space="0" w:color="auto"/>
              <w:bottom w:val="single" w:sz="4" w:space="0" w:color="auto"/>
              <w:right w:val="single" w:sz="4" w:space="0" w:color="auto"/>
            </w:tcBorders>
            <w:shd w:val="clear" w:color="auto" w:fill="auto"/>
          </w:tcPr>
          <w:p w14:paraId="45B049D2" w14:textId="77777777" w:rsidR="00C86050" w:rsidRPr="00C24520" w:rsidRDefault="00C86050" w:rsidP="00BF7B5E">
            <w:pPr>
              <w:spacing w:before="30" w:after="30" w:line="240" w:lineRule="auto"/>
              <w:jc w:val="center"/>
              <w:rPr>
                <w:rFonts w:ascii="Arial" w:hAnsi="Arial" w:cs="Arial"/>
                <w:sz w:val="12"/>
                <w:szCs w:val="12"/>
              </w:rPr>
            </w:pPr>
          </w:p>
        </w:tc>
        <w:tc>
          <w:tcPr>
            <w:tcW w:w="4252" w:type="dxa"/>
            <w:tcBorders>
              <w:top w:val="single" w:sz="4" w:space="0" w:color="auto"/>
              <w:left w:val="single" w:sz="4" w:space="0" w:color="auto"/>
              <w:bottom w:val="single" w:sz="4" w:space="0" w:color="auto"/>
            </w:tcBorders>
            <w:shd w:val="clear" w:color="auto" w:fill="auto"/>
          </w:tcPr>
          <w:p w14:paraId="170CE1EC" w14:textId="77777777" w:rsidR="00C86050" w:rsidRPr="00C24520" w:rsidRDefault="00C86050" w:rsidP="00BF7B5E">
            <w:pPr>
              <w:spacing w:before="0" w:after="0" w:line="240" w:lineRule="auto"/>
              <w:jc w:val="center"/>
              <w:rPr>
                <w:rFonts w:ascii="Arial" w:hAnsi="Arial" w:cs="Arial"/>
                <w:sz w:val="12"/>
                <w:szCs w:val="12"/>
              </w:rPr>
            </w:pPr>
          </w:p>
        </w:tc>
      </w:tr>
      <w:tr w:rsidR="00C86050" w:rsidRPr="00C24520" w14:paraId="405F0AF0" w14:textId="77777777" w:rsidTr="00BF7B5E">
        <w:trPr>
          <w:trHeight w:val="1454"/>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17F7630B" w14:textId="77777777" w:rsidR="00C86050" w:rsidRPr="00C24520" w:rsidRDefault="00C86050" w:rsidP="00BF7B5E">
            <w:pPr>
              <w:pStyle w:val="SingleParagraph"/>
              <w:tabs>
                <w:tab w:val="left" w:pos="1080"/>
              </w:tabs>
              <w:spacing w:before="30" w:after="30"/>
              <w:jc w:val="center"/>
              <w:rPr>
                <w:rFonts w:ascii="Arial" w:hAnsi="Arial" w:cs="Arial"/>
                <w:b/>
                <w:color w:val="000000"/>
                <w:sz w:val="16"/>
                <w:szCs w:val="16"/>
              </w:rPr>
            </w:pPr>
            <w:r w:rsidRPr="00C24520">
              <w:rPr>
                <w:rFonts w:ascii="Arial" w:hAnsi="Arial" w:cs="Arial"/>
                <w:b/>
                <w:color w:val="000000"/>
                <w:sz w:val="16"/>
                <w:szCs w:val="16"/>
              </w:rPr>
              <w:t>ASC Pty Ltd</w:t>
            </w:r>
          </w:p>
          <w:p w14:paraId="089F5472" w14:textId="77777777" w:rsidR="00C86050" w:rsidRPr="009D2BB8" w:rsidRDefault="00C86050" w:rsidP="00BF7B5E">
            <w:pPr>
              <w:pStyle w:val="NormalWeb"/>
              <w:spacing w:before="30" w:beforeAutospacing="0" w:after="30" w:afterAutospacing="0"/>
              <w:jc w:val="center"/>
              <w:rPr>
                <w:rFonts w:ascii="Arial" w:hAnsi="Arial" w:cs="Arial"/>
                <w:color w:val="000000"/>
                <w:sz w:val="16"/>
                <w:szCs w:val="16"/>
              </w:rPr>
            </w:pPr>
            <w:r w:rsidRPr="00C24520">
              <w:rPr>
                <w:rFonts w:ascii="Arial" w:hAnsi="Arial" w:cs="Arial"/>
                <w:position w:val="4"/>
                <w:sz w:val="16"/>
                <w:szCs w:val="16"/>
              </w:rPr>
              <w:t>Chair: Bruce Carter</w:t>
            </w:r>
          </w:p>
          <w:p w14:paraId="63775CC6" w14:textId="77777777" w:rsidR="00C86050" w:rsidRPr="00C24520" w:rsidRDefault="00C86050" w:rsidP="00BF7B5E">
            <w:pPr>
              <w:pStyle w:val="SingleParagraph"/>
              <w:tabs>
                <w:tab w:val="left" w:pos="0"/>
              </w:tabs>
              <w:spacing w:before="30" w:after="30"/>
              <w:ind w:hanging="31"/>
              <w:rPr>
                <w:rFonts w:ascii="Arial" w:hAnsi="Arial" w:cs="Arial"/>
                <w:color w:val="000000"/>
                <w:sz w:val="16"/>
                <w:szCs w:val="16"/>
              </w:rPr>
            </w:pPr>
            <w:r w:rsidRPr="00C24520">
              <w:rPr>
                <w:rFonts w:ascii="Arial" w:hAnsi="Arial" w:cs="Arial"/>
                <w:color w:val="000000"/>
                <w:sz w:val="16"/>
                <w:szCs w:val="16"/>
              </w:rPr>
              <w:t>Purpose: The objectives of the company, as set out in the Government’s Statement of Expectation to ASC are:</w:t>
            </w:r>
          </w:p>
          <w:p w14:paraId="752EFD14" w14:textId="77777777" w:rsidR="00C86050" w:rsidRPr="009D2BB8" w:rsidRDefault="00C86050" w:rsidP="00C8474A">
            <w:pPr>
              <w:pStyle w:val="ChartandTableFootnoteAlphaSmall"/>
              <w:numPr>
                <w:ilvl w:val="0"/>
                <w:numId w:val="69"/>
              </w:numPr>
              <w:spacing w:before="30" w:after="30"/>
              <w:jc w:val="left"/>
              <w:rPr>
                <w:rFonts w:eastAsia="+mn-ea" w:cs="Arial"/>
                <w:color w:val="000000"/>
                <w:sz w:val="16"/>
                <w:szCs w:val="16"/>
              </w:rPr>
            </w:pPr>
            <w:r w:rsidRPr="00C24520">
              <w:rPr>
                <w:rFonts w:cs="Arial"/>
                <w:sz w:val="16"/>
                <w:szCs w:val="16"/>
              </w:rPr>
              <w:t>to enhance and maintain the Australian Defence Force’s maritime capabilities</w:t>
            </w:r>
          </w:p>
          <w:p w14:paraId="26AFF0B6" w14:textId="77777777" w:rsidR="00C86050" w:rsidRPr="009D2BB8" w:rsidRDefault="00C86050" w:rsidP="00C8474A">
            <w:pPr>
              <w:pStyle w:val="ChartandTableFootnoteAlphaSmall"/>
              <w:numPr>
                <w:ilvl w:val="0"/>
                <w:numId w:val="69"/>
              </w:numPr>
              <w:spacing w:before="30" w:after="30"/>
              <w:jc w:val="left"/>
              <w:rPr>
                <w:rFonts w:eastAsia="+mn-ea" w:cs="Arial"/>
                <w:color w:val="000000"/>
                <w:sz w:val="16"/>
                <w:szCs w:val="16"/>
              </w:rPr>
            </w:pPr>
            <w:r w:rsidRPr="00C24520">
              <w:rPr>
                <w:rFonts w:cs="Arial"/>
                <w:sz w:val="16"/>
                <w:szCs w:val="16"/>
              </w:rPr>
              <w:t>support Australian Government policies in relation to the Australian naval shipbuilding and repair industry</w:t>
            </w:r>
          </w:p>
          <w:p w14:paraId="46B2471D" w14:textId="77777777" w:rsidR="00C86050" w:rsidRPr="00C24520" w:rsidRDefault="00C86050" w:rsidP="00C8474A">
            <w:pPr>
              <w:pStyle w:val="ChartandTableFootnoteAlphaSmall"/>
              <w:numPr>
                <w:ilvl w:val="0"/>
                <w:numId w:val="69"/>
              </w:numPr>
              <w:spacing w:before="30" w:after="30"/>
              <w:jc w:val="left"/>
              <w:rPr>
                <w:rFonts w:eastAsia="+mn-ea" w:cs="Arial"/>
                <w:color w:val="000000"/>
                <w:sz w:val="24"/>
                <w:szCs w:val="24"/>
              </w:rPr>
            </w:pPr>
            <w:r w:rsidRPr="00C24520">
              <w:rPr>
                <w:rFonts w:cs="Arial"/>
                <w:sz w:val="16"/>
                <w:szCs w:val="16"/>
              </w:rPr>
              <w:t>continue to be Australia’s source of sovereign submarine industrial expertise and a key contributor to the broader naval shipbuilding enterprise.</w:t>
            </w:r>
          </w:p>
        </w:tc>
      </w:tr>
      <w:tr w:rsidR="00C86050" w:rsidRPr="00C24520" w14:paraId="790FE32C" w14:textId="77777777" w:rsidTr="001D3E15">
        <w:trPr>
          <w:trHeight w:val="369"/>
        </w:trPr>
        <w:tc>
          <w:tcPr>
            <w:tcW w:w="4252" w:type="dxa"/>
            <w:tcBorders>
              <w:top w:val="single" w:sz="4" w:space="0" w:color="auto"/>
              <w:bottom w:val="single" w:sz="4" w:space="0" w:color="auto"/>
              <w:right w:val="single" w:sz="4" w:space="0" w:color="auto"/>
            </w:tcBorders>
            <w:shd w:val="clear" w:color="auto" w:fill="auto"/>
          </w:tcPr>
          <w:p w14:paraId="19336624" w14:textId="77777777" w:rsidR="00C86050" w:rsidRPr="00C24520" w:rsidRDefault="00C86050" w:rsidP="00BF7B5E">
            <w:pPr>
              <w:spacing w:after="0" w:line="240" w:lineRule="auto"/>
              <w:jc w:val="center"/>
              <w:rPr>
                <w:rFonts w:ascii="Arial" w:hAnsi="Arial" w:cs="Arial"/>
                <w:sz w:val="12"/>
                <w:szCs w:val="12"/>
              </w:rPr>
            </w:pPr>
          </w:p>
        </w:tc>
        <w:tc>
          <w:tcPr>
            <w:tcW w:w="4252" w:type="dxa"/>
            <w:tcBorders>
              <w:top w:val="single" w:sz="4" w:space="0" w:color="auto"/>
              <w:left w:val="single" w:sz="4" w:space="0" w:color="auto"/>
              <w:bottom w:val="single" w:sz="4" w:space="0" w:color="auto"/>
            </w:tcBorders>
            <w:shd w:val="clear" w:color="auto" w:fill="auto"/>
          </w:tcPr>
          <w:p w14:paraId="63E23B75" w14:textId="77777777" w:rsidR="00C86050" w:rsidRPr="00C24520" w:rsidRDefault="00C86050" w:rsidP="00BF7B5E">
            <w:pPr>
              <w:spacing w:after="0" w:line="240" w:lineRule="auto"/>
              <w:jc w:val="center"/>
              <w:rPr>
                <w:rFonts w:ascii="Arial" w:hAnsi="Arial" w:cs="Arial"/>
                <w:sz w:val="12"/>
                <w:szCs w:val="12"/>
              </w:rPr>
            </w:pPr>
          </w:p>
        </w:tc>
      </w:tr>
      <w:tr w:rsidR="00C86050" w:rsidRPr="00C24520" w14:paraId="1A0B58B2" w14:textId="77777777" w:rsidTr="00BF7B5E">
        <w:trPr>
          <w:trHeight w:val="1640"/>
        </w:trPr>
        <w:tc>
          <w:tcPr>
            <w:tcW w:w="8504" w:type="dxa"/>
            <w:gridSpan w:val="2"/>
            <w:tcBorders>
              <w:top w:val="single" w:sz="4" w:space="0" w:color="auto"/>
              <w:left w:val="single" w:sz="4" w:space="0" w:color="auto"/>
              <w:bottom w:val="single" w:sz="4" w:space="0" w:color="auto"/>
              <w:right w:val="single" w:sz="4" w:space="0" w:color="auto"/>
            </w:tcBorders>
            <w:shd w:val="clear" w:color="auto" w:fill="auto"/>
          </w:tcPr>
          <w:p w14:paraId="718B0FDC" w14:textId="77777777" w:rsidR="00C86050" w:rsidRPr="00C24520" w:rsidRDefault="00C86050" w:rsidP="00BF7B5E">
            <w:pPr>
              <w:spacing w:before="30" w:after="30" w:line="240" w:lineRule="auto"/>
              <w:jc w:val="center"/>
              <w:rPr>
                <w:rFonts w:ascii="Arial" w:hAnsi="Arial" w:cs="Arial"/>
                <w:b/>
                <w:bCs/>
                <w:position w:val="4"/>
                <w:sz w:val="16"/>
                <w:szCs w:val="16"/>
              </w:rPr>
            </w:pPr>
            <w:r w:rsidRPr="00C24520">
              <w:rPr>
                <w:rFonts w:ascii="Arial" w:hAnsi="Arial" w:cs="Arial"/>
                <w:b/>
                <w:bCs/>
                <w:position w:val="4"/>
                <w:sz w:val="16"/>
                <w:szCs w:val="16"/>
              </w:rPr>
              <w:t>Australian Naval Infrastructure Pty Ltd</w:t>
            </w:r>
          </w:p>
          <w:p w14:paraId="7EEC54F1" w14:textId="77777777" w:rsidR="00C86050" w:rsidRPr="00C24520" w:rsidRDefault="00C86050" w:rsidP="00BF7B5E">
            <w:pPr>
              <w:spacing w:before="30" w:after="30" w:line="240" w:lineRule="auto"/>
              <w:jc w:val="center"/>
              <w:rPr>
                <w:rFonts w:ascii="Arial" w:hAnsi="Arial" w:cs="Arial"/>
                <w:position w:val="4"/>
                <w:sz w:val="16"/>
                <w:szCs w:val="16"/>
              </w:rPr>
            </w:pPr>
            <w:r>
              <w:rPr>
                <w:rFonts w:ascii="Arial" w:hAnsi="Arial" w:cs="Arial"/>
                <w:position w:val="4"/>
                <w:sz w:val="16"/>
                <w:szCs w:val="16"/>
              </w:rPr>
              <w:t>Chair: Lucio Di Bartolomeo</w:t>
            </w:r>
          </w:p>
          <w:p w14:paraId="4B83A2A7" w14:textId="77777777" w:rsidR="00C86050" w:rsidRPr="00C24520" w:rsidRDefault="00C86050" w:rsidP="00BF7B5E">
            <w:pPr>
              <w:spacing w:before="30" w:after="30" w:line="240" w:lineRule="auto"/>
              <w:rPr>
                <w:rFonts w:ascii="Arial" w:hAnsi="Arial" w:cs="Arial"/>
                <w:sz w:val="16"/>
                <w:szCs w:val="16"/>
              </w:rPr>
            </w:pPr>
            <w:r w:rsidRPr="00C24520">
              <w:rPr>
                <w:rFonts w:ascii="Arial" w:hAnsi="Arial" w:cs="Arial"/>
                <w:sz w:val="16"/>
                <w:szCs w:val="16"/>
              </w:rPr>
              <w:t xml:space="preserve">Purpose: </w:t>
            </w:r>
            <w:r w:rsidRPr="00C24520">
              <w:rPr>
                <w:rFonts w:ascii="Arial" w:hAnsi="Arial" w:cs="Arial"/>
                <w:color w:val="000000"/>
                <w:sz w:val="16"/>
                <w:szCs w:val="16"/>
              </w:rPr>
              <w:t xml:space="preserve">The objective of the company, as set out in its constitution, is </w:t>
            </w:r>
            <w:r w:rsidRPr="00C24520">
              <w:rPr>
                <w:rFonts w:ascii="Arial" w:hAnsi="Arial" w:cs="Arial"/>
                <w:sz w:val="16"/>
                <w:szCs w:val="16"/>
              </w:rPr>
              <w:t>to support the Commonwealth’s continuous naval shipbuilding program through:</w:t>
            </w:r>
          </w:p>
          <w:p w14:paraId="1403B950" w14:textId="77777777" w:rsidR="00C86050" w:rsidRPr="00C24520" w:rsidRDefault="00C86050" w:rsidP="00C8474A">
            <w:pPr>
              <w:pStyle w:val="ChartandTableFootnoteAlphaSmall"/>
              <w:numPr>
                <w:ilvl w:val="0"/>
                <w:numId w:val="70"/>
              </w:numPr>
              <w:spacing w:before="30" w:after="30"/>
              <w:jc w:val="left"/>
              <w:rPr>
                <w:rFonts w:cs="Arial"/>
                <w:sz w:val="16"/>
                <w:szCs w:val="16"/>
              </w:rPr>
            </w:pPr>
            <w:r w:rsidRPr="00C24520">
              <w:rPr>
                <w:rFonts w:cs="Arial"/>
                <w:position w:val="4"/>
                <w:sz w:val="16"/>
                <w:szCs w:val="16"/>
              </w:rPr>
              <w:t>acquiring, holding, managing and developing the infrastructure, and related facilities used in connection with this program</w:t>
            </w:r>
          </w:p>
          <w:p w14:paraId="6DE8E0F7" w14:textId="77777777" w:rsidR="00C86050" w:rsidRPr="00C24520" w:rsidRDefault="00C86050" w:rsidP="00C8474A">
            <w:pPr>
              <w:pStyle w:val="ChartandTableFootnoteAlphaSmall"/>
              <w:numPr>
                <w:ilvl w:val="0"/>
                <w:numId w:val="70"/>
              </w:numPr>
              <w:spacing w:before="30" w:after="30"/>
              <w:jc w:val="left"/>
              <w:rPr>
                <w:rFonts w:cs="Arial"/>
                <w:sz w:val="16"/>
                <w:szCs w:val="16"/>
              </w:rPr>
            </w:pPr>
            <w:r w:rsidRPr="00C24520">
              <w:rPr>
                <w:rFonts w:cs="Arial"/>
                <w:position w:val="4"/>
                <w:sz w:val="16"/>
                <w:szCs w:val="16"/>
              </w:rPr>
              <w:t>efficiently and effectively managing this infrastructure (including providing access) in a manner that ensures an integrated and co-ordinated approach to the delivery of all elements of this program.</w:t>
            </w:r>
          </w:p>
        </w:tc>
      </w:tr>
    </w:tbl>
    <w:p w14:paraId="47AB7B69" w14:textId="46A30FF0" w:rsidR="003F231A" w:rsidRPr="003F231A" w:rsidRDefault="003F231A" w:rsidP="00C86050">
      <w:pPr>
        <w:rPr>
          <w:rFonts w:ascii="Arial" w:hAnsi="Arial" w:cs="Arial"/>
          <w:b/>
          <w:sz w:val="20"/>
        </w:rPr>
        <w:sectPr w:rsidR="003F231A" w:rsidRPr="003F231A" w:rsidSect="00782467">
          <w:footerReference w:type="first" r:id="rId46"/>
          <w:type w:val="oddPage"/>
          <w:pgSz w:w="11906" w:h="16838" w:code="9"/>
          <w:pgMar w:top="2835" w:right="2098" w:bottom="2466" w:left="2098" w:header="1814" w:footer="1814" w:gutter="0"/>
          <w:cols w:space="708"/>
          <w:titlePg/>
          <w:docGrid w:linePitch="360"/>
        </w:sectPr>
      </w:pPr>
    </w:p>
    <w:p w14:paraId="2239DF72" w14:textId="35802B8C" w:rsidR="00F20B6E" w:rsidRPr="002A32FD" w:rsidRDefault="007E6BBD" w:rsidP="00E36F77">
      <w:pPr>
        <w:pStyle w:val="ContentsHeading"/>
      </w:pPr>
      <w:r w:rsidRPr="002A32FD">
        <w:lastRenderedPageBreak/>
        <w:t xml:space="preserve">Entity </w:t>
      </w:r>
      <w:r w:rsidR="00605163" w:rsidRPr="002A32FD">
        <w:t>resources and</w:t>
      </w:r>
      <w:r w:rsidR="00605163" w:rsidRPr="002A32FD">
        <w:br/>
        <w:t>planned performance</w:t>
      </w:r>
      <w:bookmarkEnd w:id="16"/>
      <w:bookmarkEnd w:id="17"/>
    </w:p>
    <w:p w14:paraId="2239DF73" w14:textId="6779F4EB" w:rsidR="00AB76EC" w:rsidRDefault="00AB76EC" w:rsidP="00AB76EC">
      <w:pPr>
        <w:pStyle w:val="TOC1"/>
      </w:pPr>
      <w:r>
        <w:t xml:space="preserve">Department of </w:t>
      </w:r>
      <w:r w:rsidR="0025755E">
        <w:t>Finance</w:t>
      </w:r>
      <w:r>
        <w:tab/>
      </w:r>
      <w:r w:rsidR="00E82CB9">
        <w:t>1</w:t>
      </w:r>
      <w:r w:rsidR="00AC1657">
        <w:t>3</w:t>
      </w:r>
    </w:p>
    <w:p w14:paraId="2239DF74" w14:textId="3C77DD50" w:rsidR="00AB76EC" w:rsidRDefault="0025755E" w:rsidP="00AB76EC">
      <w:pPr>
        <w:pStyle w:val="TOC1"/>
      </w:pPr>
      <w:r>
        <w:t>Australian Electoral Commission</w:t>
      </w:r>
      <w:r w:rsidR="00AB76EC">
        <w:tab/>
      </w:r>
      <w:r w:rsidR="000D63AF">
        <w:t>81</w:t>
      </w:r>
    </w:p>
    <w:p w14:paraId="2239DF75" w14:textId="1AC4CD2F" w:rsidR="00AB76EC" w:rsidRDefault="0025755E" w:rsidP="00AB76EC">
      <w:pPr>
        <w:pStyle w:val="TOC1"/>
      </w:pPr>
      <w:r>
        <w:t>Commonwealth Superannuation Corporation</w:t>
      </w:r>
      <w:r w:rsidR="00AB76EC">
        <w:tab/>
      </w:r>
      <w:r w:rsidR="000D63AF">
        <w:t>107</w:t>
      </w:r>
    </w:p>
    <w:p w14:paraId="2239DF76" w14:textId="2A46A800" w:rsidR="00AB76EC" w:rsidRDefault="0025755E" w:rsidP="00AB76EC">
      <w:pPr>
        <w:pStyle w:val="TOC1"/>
      </w:pPr>
      <w:r>
        <w:t>Digital Transformation Agency</w:t>
      </w:r>
      <w:r w:rsidR="00AB76EC">
        <w:tab/>
      </w:r>
      <w:r w:rsidR="000D63AF">
        <w:t>129</w:t>
      </w:r>
    </w:p>
    <w:p w14:paraId="2239DF77" w14:textId="78F97AF2" w:rsidR="00AB76EC" w:rsidRDefault="0025755E" w:rsidP="00AB76EC">
      <w:pPr>
        <w:pStyle w:val="TOC1"/>
      </w:pPr>
      <w:r>
        <w:t>Future Fund Management Agency</w:t>
      </w:r>
      <w:r w:rsidR="00AB76EC">
        <w:tab/>
      </w:r>
      <w:r w:rsidR="00BC0DC3">
        <w:t>153</w:t>
      </w:r>
    </w:p>
    <w:p w14:paraId="2239DF78" w14:textId="3800700A" w:rsidR="0025755E" w:rsidRDefault="0025755E" w:rsidP="0025755E">
      <w:pPr>
        <w:pStyle w:val="TOC1"/>
      </w:pPr>
      <w:r>
        <w:t>Independent Pa</w:t>
      </w:r>
      <w:r w:rsidR="00E82CB9">
        <w:t>rl</w:t>
      </w:r>
      <w:r w:rsidR="00BC0DC3">
        <w:t>iamentary Expenses Authority</w:t>
      </w:r>
      <w:r w:rsidR="00BC0DC3">
        <w:tab/>
        <w:t>177</w:t>
      </w:r>
    </w:p>
    <w:p w14:paraId="2239DF79" w14:textId="77777777" w:rsidR="0025755E" w:rsidRDefault="0025755E" w:rsidP="0025755E"/>
    <w:p w14:paraId="2239DF7A" w14:textId="77777777" w:rsidR="0025755E" w:rsidRPr="0025755E" w:rsidRDefault="0025755E" w:rsidP="002513E4"/>
    <w:p w14:paraId="2239DF7B" w14:textId="77777777" w:rsidR="0025755E" w:rsidRPr="0025755E" w:rsidRDefault="0025755E" w:rsidP="0025755E"/>
    <w:p w14:paraId="2239DF7C" w14:textId="77777777" w:rsidR="00AB76EC" w:rsidRDefault="00AB76EC" w:rsidP="00AB76EC"/>
    <w:p w14:paraId="2239DF7D" w14:textId="77777777" w:rsidR="00257FF4" w:rsidRDefault="00257FF4" w:rsidP="00AB76EC"/>
    <w:p w14:paraId="2239DF7E" w14:textId="77777777" w:rsidR="005A7C0B" w:rsidRDefault="005A7C0B" w:rsidP="00AB76EC">
      <w:pPr>
        <w:sectPr w:rsidR="005A7C0B" w:rsidSect="00782467">
          <w:headerReference w:type="first" r:id="rId47"/>
          <w:footerReference w:type="first" r:id="rId48"/>
          <w:type w:val="oddPage"/>
          <w:pgSz w:w="11906" w:h="16838" w:code="9"/>
          <w:pgMar w:top="2835" w:right="2098" w:bottom="2466" w:left="2098" w:header="1814" w:footer="1814" w:gutter="0"/>
          <w:cols w:space="708"/>
          <w:titlePg/>
          <w:docGrid w:linePitch="360"/>
        </w:sectPr>
      </w:pPr>
    </w:p>
    <w:p w14:paraId="2239DF7F" w14:textId="77777777" w:rsidR="00257FF4" w:rsidRPr="005A7C0B" w:rsidRDefault="00257FF4" w:rsidP="005A7C0B">
      <w:pPr>
        <w:pStyle w:val="PartHeading"/>
      </w:pPr>
      <w:r w:rsidRPr="005A7C0B">
        <w:lastRenderedPageBreak/>
        <w:t xml:space="preserve">Department of </w:t>
      </w:r>
      <w:r w:rsidR="004B772F">
        <w:t>Finance</w:t>
      </w:r>
    </w:p>
    <w:p w14:paraId="2239DF80" w14:textId="77777777" w:rsidR="005A7C0B" w:rsidRDefault="005A7C0B" w:rsidP="005A7C0B">
      <w:pPr>
        <w:pStyle w:val="PartHeading"/>
      </w:pPr>
    </w:p>
    <w:p w14:paraId="2239DF81" w14:textId="77777777" w:rsidR="00257FF4" w:rsidRDefault="007E6BBD" w:rsidP="006B7542">
      <w:pPr>
        <w:pStyle w:val="PartHeading-TOC"/>
      </w:pPr>
      <w:bookmarkStart w:id="18" w:name="_Toc116465543"/>
      <w:r>
        <w:t xml:space="preserve">Entity </w:t>
      </w:r>
      <w:r w:rsidR="00605163">
        <w:t>resources and planned performance</w:t>
      </w:r>
      <w:bookmarkEnd w:id="18"/>
    </w:p>
    <w:p w14:paraId="2239DF82" w14:textId="77777777" w:rsidR="00257FF4" w:rsidRDefault="00257FF4" w:rsidP="005A7C0B">
      <w:pPr>
        <w:pStyle w:val="PartHeading"/>
        <w:sectPr w:rsidR="00257FF4" w:rsidSect="00782467">
          <w:footerReference w:type="first" r:id="rId49"/>
          <w:type w:val="oddPage"/>
          <w:pgSz w:w="11906" w:h="16838" w:code="9"/>
          <w:pgMar w:top="2835" w:right="2098" w:bottom="2466" w:left="2098" w:header="1814" w:footer="1814" w:gutter="0"/>
          <w:cols w:space="708"/>
          <w:vAlign w:val="center"/>
          <w:titlePg/>
          <w:docGrid w:linePitch="360"/>
        </w:sectPr>
      </w:pPr>
    </w:p>
    <w:p w14:paraId="2239DF83" w14:textId="77777777" w:rsidR="00257FF4" w:rsidRPr="00E36F77" w:rsidRDefault="00257FF4" w:rsidP="00E36F77">
      <w:pPr>
        <w:pStyle w:val="ContentsHeading"/>
      </w:pPr>
      <w:bookmarkStart w:id="19" w:name="_Toc190766150"/>
      <w:r w:rsidRPr="00E36F77">
        <w:lastRenderedPageBreak/>
        <w:t>Department of</w:t>
      </w:r>
      <w:r w:rsidR="004B772F">
        <w:t xml:space="preserve"> Finance</w:t>
      </w:r>
      <w:bookmarkEnd w:id="19"/>
    </w:p>
    <w:p w14:paraId="751F15B3" w14:textId="09DAB095" w:rsidR="009D7FAB" w:rsidRDefault="00915F49">
      <w:pPr>
        <w:pStyle w:val="TOC1"/>
        <w:rPr>
          <w:rFonts w:asciiTheme="minorHAnsi" w:eastAsiaTheme="minorEastAsia" w:hAnsiTheme="minorHAnsi" w:cstheme="minorBidi"/>
          <w:b w:val="0"/>
          <w:noProof/>
          <w:sz w:val="22"/>
          <w:szCs w:val="22"/>
        </w:rPr>
      </w:pPr>
      <w:r>
        <w:fldChar w:fldCharType="begin"/>
      </w:r>
      <w:r>
        <w:instrText xml:space="preserve"> TOC \h \z \t "Heading 2,1,Heading 3,2"</w:instrText>
      </w:r>
      <w:r w:rsidR="00E71F73">
        <w:instrText xml:space="preserve"> \b FINANCE</w:instrText>
      </w:r>
      <w:r>
        <w:instrText xml:space="preserve"> </w:instrText>
      </w:r>
      <w:r>
        <w:fldChar w:fldCharType="separate"/>
      </w:r>
      <w:hyperlink w:anchor="_Toc117027154" w:history="1">
        <w:r w:rsidR="009D7FAB" w:rsidRPr="00386A3A">
          <w:rPr>
            <w:rStyle w:val="Hyperlink"/>
            <w:noProof/>
          </w:rPr>
          <w:t>Section 1: Entity overview and resources</w:t>
        </w:r>
        <w:r w:rsidR="009D7FAB">
          <w:rPr>
            <w:noProof/>
            <w:webHidden/>
          </w:rPr>
          <w:tab/>
        </w:r>
        <w:r w:rsidR="009D7FAB">
          <w:rPr>
            <w:noProof/>
            <w:webHidden/>
          </w:rPr>
          <w:fldChar w:fldCharType="begin"/>
        </w:r>
        <w:r w:rsidR="009D7FAB">
          <w:rPr>
            <w:noProof/>
            <w:webHidden/>
          </w:rPr>
          <w:instrText xml:space="preserve"> PAGEREF _Toc117027154 \h </w:instrText>
        </w:r>
        <w:r w:rsidR="009D7FAB">
          <w:rPr>
            <w:noProof/>
            <w:webHidden/>
          </w:rPr>
        </w:r>
        <w:r w:rsidR="009D7FAB">
          <w:rPr>
            <w:noProof/>
            <w:webHidden/>
          </w:rPr>
          <w:fldChar w:fldCharType="separate"/>
        </w:r>
        <w:r w:rsidR="00E5337D">
          <w:rPr>
            <w:noProof/>
            <w:webHidden/>
          </w:rPr>
          <w:t>13</w:t>
        </w:r>
        <w:r w:rsidR="009D7FAB">
          <w:rPr>
            <w:noProof/>
            <w:webHidden/>
          </w:rPr>
          <w:fldChar w:fldCharType="end"/>
        </w:r>
      </w:hyperlink>
    </w:p>
    <w:p w14:paraId="449061A6" w14:textId="28558076" w:rsidR="009D7FAB" w:rsidRDefault="00F5323E">
      <w:pPr>
        <w:pStyle w:val="TOC2"/>
        <w:rPr>
          <w:rFonts w:asciiTheme="minorHAnsi" w:eastAsiaTheme="minorEastAsia" w:hAnsiTheme="minorHAnsi" w:cstheme="minorBidi"/>
          <w:noProof/>
          <w:sz w:val="22"/>
          <w:szCs w:val="22"/>
        </w:rPr>
      </w:pPr>
      <w:hyperlink w:anchor="_Toc117027155" w:history="1">
        <w:r w:rsidR="009D7FAB" w:rsidRPr="00386A3A">
          <w:rPr>
            <w:rStyle w:val="Hyperlink"/>
            <w:noProof/>
          </w:rPr>
          <w:t>1.1</w:t>
        </w:r>
        <w:r w:rsidR="009D7FAB">
          <w:rPr>
            <w:rFonts w:asciiTheme="minorHAnsi" w:eastAsiaTheme="minorEastAsia" w:hAnsiTheme="minorHAnsi" w:cstheme="minorBidi"/>
            <w:noProof/>
            <w:sz w:val="22"/>
            <w:szCs w:val="22"/>
          </w:rPr>
          <w:tab/>
        </w:r>
        <w:r w:rsidR="009D7FAB" w:rsidRPr="00386A3A">
          <w:rPr>
            <w:rStyle w:val="Hyperlink"/>
            <w:noProof/>
          </w:rPr>
          <w:t>Strategic direction statement</w:t>
        </w:r>
        <w:r w:rsidR="009D7FAB">
          <w:rPr>
            <w:noProof/>
            <w:webHidden/>
          </w:rPr>
          <w:tab/>
        </w:r>
        <w:r w:rsidR="009D7FAB">
          <w:rPr>
            <w:noProof/>
            <w:webHidden/>
          </w:rPr>
          <w:fldChar w:fldCharType="begin"/>
        </w:r>
        <w:r w:rsidR="009D7FAB">
          <w:rPr>
            <w:noProof/>
            <w:webHidden/>
          </w:rPr>
          <w:instrText xml:space="preserve"> PAGEREF _Toc117027155 \h </w:instrText>
        </w:r>
        <w:r w:rsidR="009D7FAB">
          <w:rPr>
            <w:noProof/>
            <w:webHidden/>
          </w:rPr>
        </w:r>
        <w:r w:rsidR="009D7FAB">
          <w:rPr>
            <w:noProof/>
            <w:webHidden/>
          </w:rPr>
          <w:fldChar w:fldCharType="separate"/>
        </w:r>
        <w:r w:rsidR="00E5337D">
          <w:rPr>
            <w:noProof/>
            <w:webHidden/>
          </w:rPr>
          <w:t>13</w:t>
        </w:r>
        <w:r w:rsidR="009D7FAB">
          <w:rPr>
            <w:noProof/>
            <w:webHidden/>
          </w:rPr>
          <w:fldChar w:fldCharType="end"/>
        </w:r>
      </w:hyperlink>
    </w:p>
    <w:p w14:paraId="71FEED40" w14:textId="432E71AF" w:rsidR="009D7FAB" w:rsidRDefault="00F5323E">
      <w:pPr>
        <w:pStyle w:val="TOC2"/>
        <w:rPr>
          <w:rFonts w:asciiTheme="minorHAnsi" w:eastAsiaTheme="minorEastAsia" w:hAnsiTheme="minorHAnsi" w:cstheme="minorBidi"/>
          <w:noProof/>
          <w:sz w:val="22"/>
          <w:szCs w:val="22"/>
        </w:rPr>
      </w:pPr>
      <w:hyperlink w:anchor="_Toc117027156" w:history="1">
        <w:r w:rsidR="009D7FAB" w:rsidRPr="00386A3A">
          <w:rPr>
            <w:rStyle w:val="Hyperlink"/>
            <w:noProof/>
          </w:rPr>
          <w:t>1.2</w:t>
        </w:r>
        <w:r w:rsidR="009D7FAB">
          <w:rPr>
            <w:rFonts w:asciiTheme="minorHAnsi" w:eastAsiaTheme="minorEastAsia" w:hAnsiTheme="minorHAnsi" w:cstheme="minorBidi"/>
            <w:noProof/>
            <w:sz w:val="22"/>
            <w:szCs w:val="22"/>
          </w:rPr>
          <w:tab/>
        </w:r>
        <w:r w:rsidR="009D7FAB" w:rsidRPr="00386A3A">
          <w:rPr>
            <w:rStyle w:val="Hyperlink"/>
            <w:noProof/>
          </w:rPr>
          <w:t>Entity resource statement</w:t>
        </w:r>
        <w:r w:rsidR="009D7FAB">
          <w:rPr>
            <w:noProof/>
            <w:webHidden/>
          </w:rPr>
          <w:tab/>
        </w:r>
        <w:r w:rsidR="009D7FAB">
          <w:rPr>
            <w:noProof/>
            <w:webHidden/>
          </w:rPr>
          <w:fldChar w:fldCharType="begin"/>
        </w:r>
        <w:r w:rsidR="009D7FAB">
          <w:rPr>
            <w:noProof/>
            <w:webHidden/>
          </w:rPr>
          <w:instrText xml:space="preserve"> PAGEREF _Toc117027156 \h </w:instrText>
        </w:r>
        <w:r w:rsidR="009D7FAB">
          <w:rPr>
            <w:noProof/>
            <w:webHidden/>
          </w:rPr>
        </w:r>
        <w:r w:rsidR="009D7FAB">
          <w:rPr>
            <w:noProof/>
            <w:webHidden/>
          </w:rPr>
          <w:fldChar w:fldCharType="separate"/>
        </w:r>
        <w:r w:rsidR="00E5337D">
          <w:rPr>
            <w:noProof/>
            <w:webHidden/>
          </w:rPr>
          <w:t>15</w:t>
        </w:r>
        <w:r w:rsidR="009D7FAB">
          <w:rPr>
            <w:noProof/>
            <w:webHidden/>
          </w:rPr>
          <w:fldChar w:fldCharType="end"/>
        </w:r>
      </w:hyperlink>
    </w:p>
    <w:p w14:paraId="5BE0A92F" w14:textId="1B6666CE" w:rsidR="009D7FAB" w:rsidRDefault="00F5323E">
      <w:pPr>
        <w:pStyle w:val="TOC2"/>
        <w:rPr>
          <w:rFonts w:asciiTheme="minorHAnsi" w:eastAsiaTheme="minorEastAsia" w:hAnsiTheme="minorHAnsi" w:cstheme="minorBidi"/>
          <w:noProof/>
          <w:sz w:val="22"/>
          <w:szCs w:val="22"/>
        </w:rPr>
      </w:pPr>
      <w:hyperlink w:anchor="_Toc117027157" w:history="1">
        <w:r w:rsidR="009D7FAB" w:rsidRPr="00386A3A">
          <w:rPr>
            <w:rStyle w:val="Hyperlink"/>
            <w:noProof/>
          </w:rPr>
          <w:t>1.3</w:t>
        </w:r>
        <w:r w:rsidR="009D7FAB">
          <w:rPr>
            <w:rFonts w:asciiTheme="minorHAnsi" w:eastAsiaTheme="minorEastAsia" w:hAnsiTheme="minorHAnsi" w:cstheme="minorBidi"/>
            <w:noProof/>
            <w:sz w:val="22"/>
            <w:szCs w:val="22"/>
          </w:rPr>
          <w:tab/>
        </w:r>
        <w:r w:rsidR="009D7FAB" w:rsidRPr="00386A3A">
          <w:rPr>
            <w:rStyle w:val="Hyperlink"/>
            <w:noProof/>
          </w:rPr>
          <w:t>Budget measures</w:t>
        </w:r>
        <w:r w:rsidR="009D7FAB">
          <w:rPr>
            <w:noProof/>
            <w:webHidden/>
          </w:rPr>
          <w:tab/>
        </w:r>
        <w:r w:rsidR="009D7FAB">
          <w:rPr>
            <w:noProof/>
            <w:webHidden/>
          </w:rPr>
          <w:fldChar w:fldCharType="begin"/>
        </w:r>
        <w:r w:rsidR="009D7FAB">
          <w:rPr>
            <w:noProof/>
            <w:webHidden/>
          </w:rPr>
          <w:instrText xml:space="preserve"> PAGEREF _Toc117027157 \h </w:instrText>
        </w:r>
        <w:r w:rsidR="009D7FAB">
          <w:rPr>
            <w:noProof/>
            <w:webHidden/>
          </w:rPr>
        </w:r>
        <w:r w:rsidR="009D7FAB">
          <w:rPr>
            <w:noProof/>
            <w:webHidden/>
          </w:rPr>
          <w:fldChar w:fldCharType="separate"/>
        </w:r>
        <w:r w:rsidR="00E5337D">
          <w:rPr>
            <w:noProof/>
            <w:webHidden/>
          </w:rPr>
          <w:t>19</w:t>
        </w:r>
        <w:r w:rsidR="009D7FAB">
          <w:rPr>
            <w:noProof/>
            <w:webHidden/>
          </w:rPr>
          <w:fldChar w:fldCharType="end"/>
        </w:r>
      </w:hyperlink>
    </w:p>
    <w:p w14:paraId="54C75082" w14:textId="2AED9079" w:rsidR="009D7FAB" w:rsidRDefault="00F5323E">
      <w:pPr>
        <w:pStyle w:val="TOC1"/>
        <w:rPr>
          <w:rFonts w:asciiTheme="minorHAnsi" w:eastAsiaTheme="minorEastAsia" w:hAnsiTheme="minorHAnsi" w:cstheme="minorBidi"/>
          <w:b w:val="0"/>
          <w:noProof/>
          <w:sz w:val="22"/>
          <w:szCs w:val="22"/>
        </w:rPr>
      </w:pPr>
      <w:hyperlink w:anchor="_Toc117027158" w:history="1">
        <w:r w:rsidR="009D7FAB" w:rsidRPr="00386A3A">
          <w:rPr>
            <w:rStyle w:val="Hyperlink"/>
            <w:noProof/>
          </w:rPr>
          <w:t>Section 2: Outcomes and planned performance</w:t>
        </w:r>
        <w:r w:rsidR="009D7FAB">
          <w:rPr>
            <w:noProof/>
            <w:webHidden/>
          </w:rPr>
          <w:tab/>
        </w:r>
        <w:r w:rsidR="009D7FAB">
          <w:rPr>
            <w:noProof/>
            <w:webHidden/>
          </w:rPr>
          <w:fldChar w:fldCharType="begin"/>
        </w:r>
        <w:r w:rsidR="009D7FAB">
          <w:rPr>
            <w:noProof/>
            <w:webHidden/>
          </w:rPr>
          <w:instrText xml:space="preserve"> PAGEREF _Toc117027158 \h </w:instrText>
        </w:r>
        <w:r w:rsidR="009D7FAB">
          <w:rPr>
            <w:noProof/>
            <w:webHidden/>
          </w:rPr>
        </w:r>
        <w:r w:rsidR="009D7FAB">
          <w:rPr>
            <w:noProof/>
            <w:webHidden/>
          </w:rPr>
          <w:fldChar w:fldCharType="separate"/>
        </w:r>
        <w:r w:rsidR="00E5337D">
          <w:rPr>
            <w:noProof/>
            <w:webHidden/>
          </w:rPr>
          <w:t>21</w:t>
        </w:r>
        <w:r w:rsidR="009D7FAB">
          <w:rPr>
            <w:noProof/>
            <w:webHidden/>
          </w:rPr>
          <w:fldChar w:fldCharType="end"/>
        </w:r>
      </w:hyperlink>
    </w:p>
    <w:p w14:paraId="7D685C4C" w14:textId="15AA2C9D" w:rsidR="009D7FAB" w:rsidRDefault="00F5323E">
      <w:pPr>
        <w:pStyle w:val="TOC2"/>
        <w:rPr>
          <w:rFonts w:asciiTheme="minorHAnsi" w:eastAsiaTheme="minorEastAsia" w:hAnsiTheme="minorHAnsi" w:cstheme="minorBidi"/>
          <w:noProof/>
          <w:sz w:val="22"/>
          <w:szCs w:val="22"/>
        </w:rPr>
      </w:pPr>
      <w:hyperlink w:anchor="_Toc117027159" w:history="1">
        <w:r w:rsidR="009D7FAB" w:rsidRPr="00386A3A">
          <w:rPr>
            <w:rStyle w:val="Hyperlink"/>
            <w:noProof/>
          </w:rPr>
          <w:t xml:space="preserve">2.1 </w:t>
        </w:r>
        <w:r w:rsidR="009D7FAB">
          <w:rPr>
            <w:rFonts w:asciiTheme="minorHAnsi" w:eastAsiaTheme="minorEastAsia" w:hAnsiTheme="minorHAnsi" w:cstheme="minorBidi"/>
            <w:noProof/>
            <w:sz w:val="22"/>
            <w:szCs w:val="22"/>
          </w:rPr>
          <w:tab/>
        </w:r>
        <w:r w:rsidR="009D7FAB" w:rsidRPr="00386A3A">
          <w:rPr>
            <w:rStyle w:val="Hyperlink"/>
            <w:noProof/>
          </w:rPr>
          <w:t>Budgeted expenses and performance for Outcome 1</w:t>
        </w:r>
        <w:r w:rsidR="009D7FAB">
          <w:rPr>
            <w:noProof/>
            <w:webHidden/>
          </w:rPr>
          <w:tab/>
        </w:r>
        <w:r w:rsidR="009D7FAB">
          <w:rPr>
            <w:noProof/>
            <w:webHidden/>
          </w:rPr>
          <w:fldChar w:fldCharType="begin"/>
        </w:r>
        <w:r w:rsidR="009D7FAB">
          <w:rPr>
            <w:noProof/>
            <w:webHidden/>
          </w:rPr>
          <w:instrText xml:space="preserve"> PAGEREF _Toc117027159 \h </w:instrText>
        </w:r>
        <w:r w:rsidR="009D7FAB">
          <w:rPr>
            <w:noProof/>
            <w:webHidden/>
          </w:rPr>
        </w:r>
        <w:r w:rsidR="009D7FAB">
          <w:rPr>
            <w:noProof/>
            <w:webHidden/>
          </w:rPr>
          <w:fldChar w:fldCharType="separate"/>
        </w:r>
        <w:r w:rsidR="00E5337D">
          <w:rPr>
            <w:noProof/>
            <w:webHidden/>
          </w:rPr>
          <w:t>22</w:t>
        </w:r>
        <w:r w:rsidR="009D7FAB">
          <w:rPr>
            <w:noProof/>
            <w:webHidden/>
          </w:rPr>
          <w:fldChar w:fldCharType="end"/>
        </w:r>
      </w:hyperlink>
    </w:p>
    <w:p w14:paraId="27A9BDFB" w14:textId="51E406EA" w:rsidR="009D7FAB" w:rsidRDefault="00F5323E">
      <w:pPr>
        <w:pStyle w:val="TOC2"/>
        <w:rPr>
          <w:rFonts w:asciiTheme="minorHAnsi" w:eastAsiaTheme="minorEastAsia" w:hAnsiTheme="minorHAnsi" w:cstheme="minorBidi"/>
          <w:noProof/>
          <w:sz w:val="22"/>
          <w:szCs w:val="22"/>
        </w:rPr>
      </w:pPr>
      <w:hyperlink w:anchor="_Toc117027160" w:history="1">
        <w:r w:rsidR="009D7FAB" w:rsidRPr="00386A3A">
          <w:rPr>
            <w:rStyle w:val="Hyperlink"/>
            <w:noProof/>
          </w:rPr>
          <w:t xml:space="preserve">2.2 </w:t>
        </w:r>
        <w:r w:rsidR="009D7FAB">
          <w:rPr>
            <w:rFonts w:asciiTheme="minorHAnsi" w:eastAsiaTheme="minorEastAsia" w:hAnsiTheme="minorHAnsi" w:cstheme="minorBidi"/>
            <w:noProof/>
            <w:sz w:val="22"/>
            <w:szCs w:val="22"/>
          </w:rPr>
          <w:tab/>
        </w:r>
        <w:r w:rsidR="009D7FAB" w:rsidRPr="00386A3A">
          <w:rPr>
            <w:rStyle w:val="Hyperlink"/>
            <w:noProof/>
          </w:rPr>
          <w:t>Budgeted expenses and performance for Outcome 2</w:t>
        </w:r>
        <w:r w:rsidR="009D7FAB">
          <w:rPr>
            <w:noProof/>
            <w:webHidden/>
          </w:rPr>
          <w:tab/>
        </w:r>
        <w:r w:rsidR="009D7FAB">
          <w:rPr>
            <w:noProof/>
            <w:webHidden/>
          </w:rPr>
          <w:fldChar w:fldCharType="begin"/>
        </w:r>
        <w:r w:rsidR="009D7FAB">
          <w:rPr>
            <w:noProof/>
            <w:webHidden/>
          </w:rPr>
          <w:instrText xml:space="preserve"> PAGEREF _Toc117027160 \h </w:instrText>
        </w:r>
        <w:r w:rsidR="009D7FAB">
          <w:rPr>
            <w:noProof/>
            <w:webHidden/>
          </w:rPr>
        </w:r>
        <w:r w:rsidR="009D7FAB">
          <w:rPr>
            <w:noProof/>
            <w:webHidden/>
          </w:rPr>
          <w:fldChar w:fldCharType="separate"/>
        </w:r>
        <w:r w:rsidR="00E5337D">
          <w:rPr>
            <w:noProof/>
            <w:webHidden/>
          </w:rPr>
          <w:t>26</w:t>
        </w:r>
        <w:r w:rsidR="009D7FAB">
          <w:rPr>
            <w:noProof/>
            <w:webHidden/>
          </w:rPr>
          <w:fldChar w:fldCharType="end"/>
        </w:r>
      </w:hyperlink>
    </w:p>
    <w:p w14:paraId="35EA0F17" w14:textId="390CB461" w:rsidR="009D7FAB" w:rsidRDefault="00F5323E">
      <w:pPr>
        <w:pStyle w:val="TOC2"/>
        <w:rPr>
          <w:rFonts w:asciiTheme="minorHAnsi" w:eastAsiaTheme="minorEastAsia" w:hAnsiTheme="minorHAnsi" w:cstheme="minorBidi"/>
          <w:noProof/>
          <w:sz w:val="22"/>
          <w:szCs w:val="22"/>
        </w:rPr>
      </w:pPr>
      <w:hyperlink w:anchor="_Toc117027161" w:history="1">
        <w:r w:rsidR="009D7FAB" w:rsidRPr="00386A3A">
          <w:rPr>
            <w:rStyle w:val="Hyperlink"/>
            <w:noProof/>
          </w:rPr>
          <w:t xml:space="preserve">2.3 </w:t>
        </w:r>
        <w:r w:rsidR="009D7FAB">
          <w:rPr>
            <w:rFonts w:asciiTheme="minorHAnsi" w:eastAsiaTheme="minorEastAsia" w:hAnsiTheme="minorHAnsi" w:cstheme="minorBidi"/>
            <w:noProof/>
            <w:sz w:val="22"/>
            <w:szCs w:val="22"/>
          </w:rPr>
          <w:tab/>
        </w:r>
        <w:r w:rsidR="009D7FAB" w:rsidRPr="00386A3A">
          <w:rPr>
            <w:rStyle w:val="Hyperlink"/>
            <w:noProof/>
          </w:rPr>
          <w:t>Budgeted expenses and performance for Outcome 3</w:t>
        </w:r>
        <w:r w:rsidR="009D7FAB">
          <w:rPr>
            <w:noProof/>
            <w:webHidden/>
          </w:rPr>
          <w:tab/>
        </w:r>
        <w:r w:rsidR="009D7FAB">
          <w:rPr>
            <w:noProof/>
            <w:webHidden/>
          </w:rPr>
          <w:fldChar w:fldCharType="begin"/>
        </w:r>
        <w:r w:rsidR="009D7FAB">
          <w:rPr>
            <w:noProof/>
            <w:webHidden/>
          </w:rPr>
          <w:instrText xml:space="preserve"> PAGEREF _Toc117027161 \h </w:instrText>
        </w:r>
        <w:r w:rsidR="009D7FAB">
          <w:rPr>
            <w:noProof/>
            <w:webHidden/>
          </w:rPr>
        </w:r>
        <w:r w:rsidR="009D7FAB">
          <w:rPr>
            <w:noProof/>
            <w:webHidden/>
          </w:rPr>
          <w:fldChar w:fldCharType="separate"/>
        </w:r>
        <w:r w:rsidR="00E5337D">
          <w:rPr>
            <w:noProof/>
            <w:webHidden/>
          </w:rPr>
          <w:t>55</w:t>
        </w:r>
        <w:r w:rsidR="009D7FAB">
          <w:rPr>
            <w:noProof/>
            <w:webHidden/>
          </w:rPr>
          <w:fldChar w:fldCharType="end"/>
        </w:r>
      </w:hyperlink>
    </w:p>
    <w:p w14:paraId="6F51B514" w14:textId="7E3B88CB" w:rsidR="009D7FAB" w:rsidRDefault="00F5323E">
      <w:pPr>
        <w:pStyle w:val="TOC1"/>
        <w:rPr>
          <w:rFonts w:asciiTheme="minorHAnsi" w:eastAsiaTheme="minorEastAsia" w:hAnsiTheme="minorHAnsi" w:cstheme="minorBidi"/>
          <w:b w:val="0"/>
          <w:noProof/>
          <w:sz w:val="22"/>
          <w:szCs w:val="22"/>
        </w:rPr>
      </w:pPr>
      <w:hyperlink w:anchor="_Toc117027162" w:history="1">
        <w:r w:rsidR="009D7FAB" w:rsidRPr="00386A3A">
          <w:rPr>
            <w:rStyle w:val="Hyperlink"/>
            <w:noProof/>
          </w:rPr>
          <w:t>Section 3: Budgeted financial statements</w:t>
        </w:r>
        <w:r w:rsidR="009D7FAB">
          <w:rPr>
            <w:noProof/>
            <w:webHidden/>
          </w:rPr>
          <w:tab/>
        </w:r>
        <w:r w:rsidR="009D7FAB">
          <w:rPr>
            <w:noProof/>
            <w:webHidden/>
          </w:rPr>
          <w:fldChar w:fldCharType="begin"/>
        </w:r>
        <w:r w:rsidR="009D7FAB">
          <w:rPr>
            <w:noProof/>
            <w:webHidden/>
          </w:rPr>
          <w:instrText xml:space="preserve"> PAGEREF _Toc117027162 \h </w:instrText>
        </w:r>
        <w:r w:rsidR="009D7FAB">
          <w:rPr>
            <w:noProof/>
            <w:webHidden/>
          </w:rPr>
        </w:r>
        <w:r w:rsidR="009D7FAB">
          <w:rPr>
            <w:noProof/>
            <w:webHidden/>
          </w:rPr>
          <w:fldChar w:fldCharType="separate"/>
        </w:r>
        <w:r w:rsidR="00E5337D">
          <w:rPr>
            <w:noProof/>
            <w:webHidden/>
          </w:rPr>
          <w:t>60</w:t>
        </w:r>
        <w:r w:rsidR="009D7FAB">
          <w:rPr>
            <w:noProof/>
            <w:webHidden/>
          </w:rPr>
          <w:fldChar w:fldCharType="end"/>
        </w:r>
      </w:hyperlink>
    </w:p>
    <w:p w14:paraId="2C9CA44C" w14:textId="74831D12" w:rsidR="009D7FAB" w:rsidRDefault="00F5323E">
      <w:pPr>
        <w:pStyle w:val="TOC2"/>
        <w:rPr>
          <w:rFonts w:asciiTheme="minorHAnsi" w:eastAsiaTheme="minorEastAsia" w:hAnsiTheme="minorHAnsi" w:cstheme="minorBidi"/>
          <w:noProof/>
          <w:sz w:val="22"/>
          <w:szCs w:val="22"/>
        </w:rPr>
      </w:pPr>
      <w:hyperlink w:anchor="_Toc117027163" w:history="1">
        <w:r w:rsidR="009D7FAB" w:rsidRPr="00386A3A">
          <w:rPr>
            <w:rStyle w:val="Hyperlink"/>
            <w:noProof/>
          </w:rPr>
          <w:t>3.1</w:t>
        </w:r>
        <w:r w:rsidR="009D7FAB">
          <w:rPr>
            <w:rFonts w:asciiTheme="minorHAnsi" w:eastAsiaTheme="minorEastAsia" w:hAnsiTheme="minorHAnsi" w:cstheme="minorBidi"/>
            <w:noProof/>
            <w:sz w:val="22"/>
            <w:szCs w:val="22"/>
          </w:rPr>
          <w:tab/>
        </w:r>
        <w:r w:rsidR="009D7FAB" w:rsidRPr="00386A3A">
          <w:rPr>
            <w:rStyle w:val="Hyperlink"/>
            <w:noProof/>
          </w:rPr>
          <w:t>Budgeted financial statements</w:t>
        </w:r>
        <w:r w:rsidR="009D7FAB">
          <w:rPr>
            <w:noProof/>
            <w:webHidden/>
          </w:rPr>
          <w:tab/>
        </w:r>
        <w:r w:rsidR="009D7FAB">
          <w:rPr>
            <w:noProof/>
            <w:webHidden/>
          </w:rPr>
          <w:fldChar w:fldCharType="begin"/>
        </w:r>
        <w:r w:rsidR="009D7FAB">
          <w:rPr>
            <w:noProof/>
            <w:webHidden/>
          </w:rPr>
          <w:instrText xml:space="preserve"> PAGEREF _Toc117027163 \h </w:instrText>
        </w:r>
        <w:r w:rsidR="009D7FAB">
          <w:rPr>
            <w:noProof/>
            <w:webHidden/>
          </w:rPr>
        </w:r>
        <w:r w:rsidR="009D7FAB">
          <w:rPr>
            <w:noProof/>
            <w:webHidden/>
          </w:rPr>
          <w:fldChar w:fldCharType="separate"/>
        </w:r>
        <w:r w:rsidR="00E5337D">
          <w:rPr>
            <w:noProof/>
            <w:webHidden/>
          </w:rPr>
          <w:t>60</w:t>
        </w:r>
        <w:r w:rsidR="009D7FAB">
          <w:rPr>
            <w:noProof/>
            <w:webHidden/>
          </w:rPr>
          <w:fldChar w:fldCharType="end"/>
        </w:r>
      </w:hyperlink>
    </w:p>
    <w:p w14:paraId="1057BDF8" w14:textId="2FF40A91" w:rsidR="009D7FAB" w:rsidRDefault="00F5323E">
      <w:pPr>
        <w:pStyle w:val="TOC2"/>
        <w:rPr>
          <w:rFonts w:asciiTheme="minorHAnsi" w:eastAsiaTheme="minorEastAsia" w:hAnsiTheme="minorHAnsi" w:cstheme="minorBidi"/>
          <w:noProof/>
          <w:sz w:val="22"/>
          <w:szCs w:val="22"/>
        </w:rPr>
      </w:pPr>
      <w:hyperlink w:anchor="_Toc117027164" w:history="1">
        <w:r w:rsidR="009D7FAB" w:rsidRPr="00386A3A">
          <w:rPr>
            <w:rStyle w:val="Hyperlink"/>
            <w:noProof/>
          </w:rPr>
          <w:t>3.2</w:t>
        </w:r>
        <w:r w:rsidR="009D7FAB">
          <w:rPr>
            <w:rFonts w:asciiTheme="minorHAnsi" w:eastAsiaTheme="minorEastAsia" w:hAnsiTheme="minorHAnsi" w:cstheme="minorBidi"/>
            <w:noProof/>
            <w:sz w:val="22"/>
            <w:szCs w:val="22"/>
          </w:rPr>
          <w:tab/>
        </w:r>
        <w:r w:rsidR="009D7FAB" w:rsidRPr="00386A3A">
          <w:rPr>
            <w:rStyle w:val="Hyperlink"/>
            <w:noProof/>
          </w:rPr>
          <w:t>Budgeted financial statements tables</w:t>
        </w:r>
        <w:r w:rsidR="009D7FAB">
          <w:rPr>
            <w:noProof/>
            <w:webHidden/>
          </w:rPr>
          <w:tab/>
        </w:r>
        <w:r w:rsidR="009D7FAB">
          <w:rPr>
            <w:noProof/>
            <w:webHidden/>
          </w:rPr>
          <w:fldChar w:fldCharType="begin"/>
        </w:r>
        <w:r w:rsidR="009D7FAB">
          <w:rPr>
            <w:noProof/>
            <w:webHidden/>
          </w:rPr>
          <w:instrText xml:space="preserve"> PAGEREF _Toc117027164 \h </w:instrText>
        </w:r>
        <w:r w:rsidR="009D7FAB">
          <w:rPr>
            <w:noProof/>
            <w:webHidden/>
          </w:rPr>
        </w:r>
        <w:r w:rsidR="009D7FAB">
          <w:rPr>
            <w:noProof/>
            <w:webHidden/>
          </w:rPr>
          <w:fldChar w:fldCharType="separate"/>
        </w:r>
        <w:r w:rsidR="00E5337D">
          <w:rPr>
            <w:noProof/>
            <w:webHidden/>
          </w:rPr>
          <w:t>62</w:t>
        </w:r>
        <w:r w:rsidR="009D7FAB">
          <w:rPr>
            <w:noProof/>
            <w:webHidden/>
          </w:rPr>
          <w:fldChar w:fldCharType="end"/>
        </w:r>
      </w:hyperlink>
    </w:p>
    <w:p w14:paraId="2BB49B1F" w14:textId="7A6E50CF" w:rsidR="00D6631A" w:rsidRDefault="00915F49" w:rsidP="00D6631A">
      <w:pPr>
        <w:pStyle w:val="TOC1"/>
      </w:pPr>
      <w:r>
        <w:fldChar w:fldCharType="end"/>
      </w:r>
    </w:p>
    <w:p w14:paraId="55998C15" w14:textId="1056F254" w:rsidR="00257FF4" w:rsidRPr="00D6631A" w:rsidRDefault="00D6631A" w:rsidP="00D6631A">
      <w:pPr>
        <w:tabs>
          <w:tab w:val="left" w:pos="585"/>
        </w:tabs>
        <w:sectPr w:rsidR="00257FF4" w:rsidRPr="00D6631A" w:rsidSect="003606D1">
          <w:footerReference w:type="first" r:id="rId50"/>
          <w:type w:val="oddPage"/>
          <w:pgSz w:w="11906" w:h="16838" w:code="9"/>
          <w:pgMar w:top="2835" w:right="2098" w:bottom="2466" w:left="2098" w:header="1814" w:footer="1814" w:gutter="0"/>
          <w:cols w:space="708"/>
          <w:titlePg/>
          <w:docGrid w:linePitch="360"/>
        </w:sectPr>
      </w:pPr>
      <w:r>
        <w:tab/>
      </w:r>
    </w:p>
    <w:p w14:paraId="2239DF91" w14:textId="4F856CF0" w:rsidR="00257FF4" w:rsidRDefault="00257FF4" w:rsidP="00834F9A">
      <w:pPr>
        <w:pStyle w:val="Heading1"/>
      </w:pPr>
      <w:bookmarkStart w:id="20" w:name="_Toc116465544"/>
      <w:bookmarkStart w:id="21" w:name="FINANCE"/>
      <w:r>
        <w:lastRenderedPageBreak/>
        <w:t xml:space="preserve">Department of </w:t>
      </w:r>
      <w:r w:rsidR="004C63EA">
        <w:t>Finance</w:t>
      </w:r>
      <w:bookmarkEnd w:id="20"/>
    </w:p>
    <w:p w14:paraId="2239DF92" w14:textId="77777777" w:rsidR="00257FF4" w:rsidRPr="002C4D41" w:rsidRDefault="00257FF4" w:rsidP="00257FF4">
      <w:pPr>
        <w:pStyle w:val="Heading2"/>
      </w:pPr>
      <w:bookmarkStart w:id="22" w:name="_Toc190682308"/>
      <w:bookmarkStart w:id="23" w:name="_Toc190682526"/>
      <w:bookmarkStart w:id="24" w:name="_Toc444523508"/>
      <w:bookmarkStart w:id="25" w:name="_Toc116742490"/>
      <w:bookmarkStart w:id="26" w:name="_Toc117027154"/>
      <w:bookmarkStart w:id="27" w:name="_Toc117070780"/>
      <w:bookmarkStart w:id="28" w:name="_Toc117071034"/>
      <w:bookmarkStart w:id="29" w:name="_Toc117078068"/>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22"/>
      <w:bookmarkEnd w:id="23"/>
      <w:bookmarkEnd w:id="24"/>
      <w:bookmarkEnd w:id="25"/>
      <w:bookmarkEnd w:id="26"/>
      <w:bookmarkEnd w:id="27"/>
      <w:bookmarkEnd w:id="28"/>
      <w:bookmarkEnd w:id="29"/>
    </w:p>
    <w:p w14:paraId="2239DF93" w14:textId="77777777" w:rsidR="00257FF4" w:rsidRDefault="00257FF4" w:rsidP="00257FF4">
      <w:pPr>
        <w:pStyle w:val="Heading3"/>
      </w:pPr>
      <w:bookmarkStart w:id="30" w:name="_Toc190682309"/>
      <w:bookmarkStart w:id="31" w:name="_Toc190682527"/>
      <w:bookmarkStart w:id="32" w:name="_Toc444523509"/>
      <w:bookmarkStart w:id="33" w:name="_Toc116742491"/>
      <w:bookmarkStart w:id="34" w:name="_Toc117027155"/>
      <w:bookmarkStart w:id="35" w:name="_Toc117070781"/>
      <w:bookmarkStart w:id="36" w:name="_Toc117071035"/>
      <w:bookmarkStart w:id="37" w:name="_Toc117078069"/>
      <w:r>
        <w:t>1.1</w:t>
      </w:r>
      <w:r>
        <w:tab/>
        <w:t xml:space="preserve">Strategic </w:t>
      </w:r>
      <w:r w:rsidR="00D81071">
        <w:t>direction</w:t>
      </w:r>
      <w:bookmarkEnd w:id="30"/>
      <w:bookmarkEnd w:id="31"/>
      <w:r w:rsidR="00D81071">
        <w:t xml:space="preserve"> </w:t>
      </w:r>
      <w:r w:rsidR="00605163">
        <w:t>statement</w:t>
      </w:r>
      <w:bookmarkEnd w:id="32"/>
      <w:bookmarkEnd w:id="33"/>
      <w:bookmarkEnd w:id="34"/>
      <w:bookmarkEnd w:id="35"/>
      <w:bookmarkEnd w:id="36"/>
      <w:bookmarkEnd w:id="37"/>
    </w:p>
    <w:p w14:paraId="4D6052FA" w14:textId="77777777" w:rsidR="00FF7133" w:rsidRPr="00F717BF" w:rsidRDefault="00FF7133" w:rsidP="00FF7133">
      <w:pPr>
        <w:autoSpaceDE w:val="0"/>
        <w:autoSpaceDN w:val="0"/>
        <w:spacing w:before="0" w:after="200" w:line="240" w:lineRule="auto"/>
        <w:contextualSpacing/>
        <w:jc w:val="both"/>
        <w:rPr>
          <w:rFonts w:eastAsia="Calibri"/>
          <w:lang w:val="en-US"/>
        </w:rPr>
      </w:pPr>
      <w:bookmarkStart w:id="38" w:name="_Toc190682310"/>
      <w:bookmarkStart w:id="39" w:name="_Toc190682528"/>
      <w:bookmarkStart w:id="40" w:name="_Toc444523510"/>
    </w:p>
    <w:p w14:paraId="00CF5BA9" w14:textId="77777777" w:rsidR="008F1E0E" w:rsidRDefault="008F1E0E" w:rsidP="008F1E0E">
      <w:r>
        <w:t xml:space="preserve">The Department of Finance’s (Finance) purpose is to assist the Government to achieve its fiscal and policy objectives by advising on expenditure, providing effective governance and stewardship of public sector resourcing and reporting, driving public sector transformation, and delivering efficient, cost-effective services to, and for, government. </w:t>
      </w:r>
    </w:p>
    <w:p w14:paraId="2DFC0995" w14:textId="145807CD" w:rsidR="008F1E0E" w:rsidRDefault="008F1E0E" w:rsidP="008F1E0E">
      <w:r>
        <w:t>Our work supports sustainable Australian Government finances, an efficient and high performing public sector and</w:t>
      </w:r>
      <w:r w:rsidR="00C92E3C">
        <w:t xml:space="preserve"> supports</w:t>
      </w:r>
      <w:r>
        <w:t xml:space="preserve"> parliamentarians and others</w:t>
      </w:r>
      <w:r w:rsidR="00C92E3C">
        <w:t xml:space="preserve"> as required by the Australian Government</w:t>
      </w:r>
      <w:r>
        <w:t xml:space="preserve">. </w:t>
      </w:r>
    </w:p>
    <w:p w14:paraId="390872E5" w14:textId="080788AC" w:rsidR="008F1E0E" w:rsidRDefault="008F1E0E" w:rsidP="008F1E0E">
      <w:r>
        <w:t>Finance achieves this by providing considered and meaningful policy, budgetary and financial advice and administration, fostering leadership in public sector governance and accountability, the delivering of professional services, and promoting a whole-of-government approach to data and digital policy coordination and regulatory policy and reform. Finance supports entities across the A</w:t>
      </w:r>
      <w:r w:rsidR="002076B4">
        <w:t xml:space="preserve">ustralian </w:t>
      </w:r>
      <w:r>
        <w:t>P</w:t>
      </w:r>
      <w:r w:rsidR="002076B4">
        <w:t xml:space="preserve">ublic </w:t>
      </w:r>
      <w:r>
        <w:t>S</w:t>
      </w:r>
      <w:r w:rsidR="002076B4">
        <w:t>ervice (APS)</w:t>
      </w:r>
      <w:r>
        <w:t xml:space="preserve"> to achieve their objectives, to improve outcomes for the Government and the Australian community. </w:t>
      </w:r>
    </w:p>
    <w:p w14:paraId="142C9166" w14:textId="77777777" w:rsidR="008F1E0E" w:rsidRDefault="008F1E0E" w:rsidP="00BC1269">
      <w:pPr>
        <w:contextualSpacing/>
      </w:pPr>
      <w:r>
        <w:t xml:space="preserve">Our priorities to achieve this over 2022-23 include: </w:t>
      </w:r>
    </w:p>
    <w:p w14:paraId="12D54981" w14:textId="549D877D" w:rsidR="006610FF" w:rsidRPr="006610FF" w:rsidRDefault="006610FF" w:rsidP="00C8474A">
      <w:pPr>
        <w:pStyle w:val="Exampletextbullet"/>
        <w:numPr>
          <w:ilvl w:val="0"/>
          <w:numId w:val="79"/>
        </w:numPr>
        <w:ind w:left="400"/>
        <w:contextualSpacing/>
        <w:rPr>
          <w:i w:val="0"/>
          <w:color w:val="auto"/>
        </w:rPr>
      </w:pPr>
      <w:r w:rsidRPr="006610FF">
        <w:rPr>
          <w:i w:val="0"/>
          <w:color w:val="auto"/>
        </w:rPr>
        <w:t>Supporting the delivery of the Budget and key economic updates</w:t>
      </w:r>
      <w:r w:rsidR="00C67F8C">
        <w:rPr>
          <w:i w:val="0"/>
          <w:color w:val="auto"/>
          <w:lang w:val="en-AU"/>
        </w:rPr>
        <w:t>.</w:t>
      </w:r>
    </w:p>
    <w:p w14:paraId="13F115EA" w14:textId="492E7C49" w:rsidR="009453AF" w:rsidRPr="006610FF" w:rsidRDefault="006610FF" w:rsidP="00C8474A">
      <w:pPr>
        <w:pStyle w:val="Exampletextbullet"/>
        <w:numPr>
          <w:ilvl w:val="0"/>
          <w:numId w:val="79"/>
        </w:numPr>
        <w:ind w:left="400"/>
        <w:contextualSpacing/>
        <w:rPr>
          <w:i w:val="0"/>
          <w:color w:val="auto"/>
        </w:rPr>
      </w:pPr>
      <w:r>
        <w:rPr>
          <w:i w:val="0"/>
          <w:color w:val="auto"/>
          <w:lang w:val="en-AU"/>
        </w:rPr>
        <w:t>Establishing a Future Made in Australia Office</w:t>
      </w:r>
      <w:r w:rsidR="00C67F8C">
        <w:rPr>
          <w:i w:val="0"/>
          <w:color w:val="auto"/>
          <w:lang w:val="en-AU"/>
        </w:rPr>
        <w:t>.</w:t>
      </w:r>
    </w:p>
    <w:p w14:paraId="7DEFACE4" w14:textId="5F02C2C6" w:rsidR="006610FF" w:rsidRPr="00BC1269" w:rsidRDefault="006610FF" w:rsidP="00C8474A">
      <w:pPr>
        <w:pStyle w:val="Exampletextbullet"/>
        <w:numPr>
          <w:ilvl w:val="0"/>
          <w:numId w:val="79"/>
        </w:numPr>
        <w:ind w:left="400"/>
        <w:contextualSpacing/>
        <w:rPr>
          <w:i w:val="0"/>
          <w:color w:val="auto"/>
        </w:rPr>
      </w:pPr>
      <w:r>
        <w:rPr>
          <w:i w:val="0"/>
          <w:color w:val="auto"/>
        </w:rPr>
        <w:t xml:space="preserve">Conducting the </w:t>
      </w:r>
      <w:r>
        <w:rPr>
          <w:i w:val="0"/>
          <w:color w:val="auto"/>
          <w:lang w:val="en-AU"/>
        </w:rPr>
        <w:t xml:space="preserve">Government Spending Audit </w:t>
      </w:r>
      <w:r>
        <w:rPr>
          <w:i w:val="0"/>
          <w:color w:val="auto"/>
        </w:rPr>
        <w:t>and Audit of E</w:t>
      </w:r>
      <w:r w:rsidR="002A79D5">
        <w:rPr>
          <w:i w:val="0"/>
          <w:color w:val="auto"/>
        </w:rPr>
        <w:t>mployment within the APS</w:t>
      </w:r>
      <w:r w:rsidR="00C67F8C">
        <w:rPr>
          <w:i w:val="0"/>
          <w:color w:val="auto"/>
          <w:lang w:val="en-AU"/>
        </w:rPr>
        <w:t>.</w:t>
      </w:r>
    </w:p>
    <w:p w14:paraId="1D896AD9" w14:textId="340B3583" w:rsidR="006610FF" w:rsidRPr="00BC1269" w:rsidRDefault="006610FF" w:rsidP="00C8474A">
      <w:pPr>
        <w:pStyle w:val="Exampletextbullet"/>
        <w:numPr>
          <w:ilvl w:val="0"/>
          <w:numId w:val="79"/>
        </w:numPr>
        <w:ind w:left="400"/>
        <w:contextualSpacing/>
        <w:rPr>
          <w:i w:val="0"/>
          <w:color w:val="auto"/>
        </w:rPr>
      </w:pPr>
      <w:r w:rsidRPr="00BC1269">
        <w:rPr>
          <w:i w:val="0"/>
          <w:color w:val="auto"/>
        </w:rPr>
        <w:t xml:space="preserve">Working with agencies to support commercial investment decisions </w:t>
      </w:r>
      <w:r>
        <w:rPr>
          <w:i w:val="0"/>
          <w:color w:val="auto"/>
          <w:lang w:val="en-AU"/>
        </w:rPr>
        <w:t xml:space="preserve">and major transactions including </w:t>
      </w:r>
      <w:r w:rsidR="00105E1A" w:rsidRPr="00BC1269">
        <w:rPr>
          <w:i w:val="0"/>
          <w:color w:val="auto"/>
        </w:rPr>
        <w:t>supporting key secto</w:t>
      </w:r>
      <w:r w:rsidR="00105E1A">
        <w:rPr>
          <w:i w:val="0"/>
          <w:color w:val="auto"/>
        </w:rPr>
        <w:t xml:space="preserve">rs in South East Asia/Pacific, </w:t>
      </w:r>
      <w:r w:rsidR="00105E1A">
        <w:rPr>
          <w:i w:val="0"/>
          <w:color w:val="auto"/>
          <w:lang w:val="en-AU"/>
        </w:rPr>
        <w:t xml:space="preserve">Australia’s Nuclear Science and </w:t>
      </w:r>
      <w:r w:rsidR="00105E1A">
        <w:rPr>
          <w:i w:val="0"/>
          <w:color w:val="auto"/>
        </w:rPr>
        <w:t>Technology Organisation</w:t>
      </w:r>
      <w:r w:rsidR="00105E1A" w:rsidRPr="00BC1269">
        <w:rPr>
          <w:i w:val="0"/>
          <w:color w:val="auto"/>
        </w:rPr>
        <w:t xml:space="preserve"> and Defence Capabilities including submar</w:t>
      </w:r>
      <w:r w:rsidR="00105E1A">
        <w:rPr>
          <w:i w:val="0"/>
          <w:color w:val="auto"/>
        </w:rPr>
        <w:t>ines and related infrastructure</w:t>
      </w:r>
      <w:r w:rsidR="00C67F8C">
        <w:rPr>
          <w:i w:val="0"/>
          <w:color w:val="auto"/>
          <w:lang w:val="en-AU"/>
        </w:rPr>
        <w:t>.</w:t>
      </w:r>
    </w:p>
    <w:p w14:paraId="390F3E81" w14:textId="47CBD307" w:rsidR="006610FF" w:rsidRPr="00BC1269" w:rsidRDefault="006610FF" w:rsidP="00C8474A">
      <w:pPr>
        <w:pStyle w:val="Exampletextbullet"/>
        <w:numPr>
          <w:ilvl w:val="0"/>
          <w:numId w:val="79"/>
        </w:numPr>
        <w:ind w:left="400"/>
        <w:contextualSpacing/>
        <w:rPr>
          <w:i w:val="0"/>
          <w:color w:val="auto"/>
        </w:rPr>
      </w:pPr>
      <w:r w:rsidRPr="00BC1269">
        <w:rPr>
          <w:i w:val="0"/>
          <w:color w:val="auto"/>
        </w:rPr>
        <w:t xml:space="preserve">Establishing and managing new investment funds </w:t>
      </w:r>
      <w:r w:rsidR="00866FA7" w:rsidRPr="00866FA7">
        <w:rPr>
          <w:i w:val="0"/>
          <w:color w:val="auto"/>
        </w:rPr>
        <w:t>including the Housing Australia Future Fund and the Disaster Ready Fund</w:t>
      </w:r>
      <w:r w:rsidR="00C67F8C">
        <w:rPr>
          <w:i w:val="0"/>
          <w:color w:val="auto"/>
          <w:lang w:val="en-AU"/>
        </w:rPr>
        <w:t>.</w:t>
      </w:r>
    </w:p>
    <w:p w14:paraId="2B862689" w14:textId="08FD1A67" w:rsidR="006610FF" w:rsidRPr="00BC1269" w:rsidRDefault="006610FF" w:rsidP="00C8474A">
      <w:pPr>
        <w:pStyle w:val="Exampletextbullet"/>
        <w:numPr>
          <w:ilvl w:val="0"/>
          <w:numId w:val="79"/>
        </w:numPr>
        <w:ind w:left="400"/>
        <w:contextualSpacing/>
        <w:rPr>
          <w:i w:val="0"/>
          <w:color w:val="auto"/>
        </w:rPr>
      </w:pPr>
      <w:r w:rsidRPr="00BC1269">
        <w:rPr>
          <w:i w:val="0"/>
          <w:color w:val="auto"/>
        </w:rPr>
        <w:t xml:space="preserve">Enhancing the governance framework for </w:t>
      </w:r>
      <w:r>
        <w:rPr>
          <w:i w:val="0"/>
          <w:color w:val="auto"/>
          <w:lang w:val="en-AU"/>
        </w:rPr>
        <w:t>GBEs</w:t>
      </w:r>
      <w:r w:rsidR="00C67F8C">
        <w:rPr>
          <w:i w:val="0"/>
          <w:color w:val="auto"/>
          <w:lang w:val="en-AU"/>
        </w:rPr>
        <w:t>.</w:t>
      </w:r>
      <w:r w:rsidRPr="00BC1269">
        <w:rPr>
          <w:i w:val="0"/>
          <w:color w:val="auto"/>
        </w:rPr>
        <w:t xml:space="preserve"> </w:t>
      </w:r>
    </w:p>
    <w:p w14:paraId="72FB67C1" w14:textId="4AC65177" w:rsidR="006610FF" w:rsidRPr="00BC1269" w:rsidRDefault="006610FF" w:rsidP="00C8474A">
      <w:pPr>
        <w:pStyle w:val="Exampletextbullet"/>
        <w:numPr>
          <w:ilvl w:val="0"/>
          <w:numId w:val="79"/>
        </w:numPr>
        <w:ind w:left="400"/>
        <w:contextualSpacing/>
        <w:rPr>
          <w:i w:val="0"/>
          <w:color w:val="auto"/>
        </w:rPr>
      </w:pPr>
      <w:r w:rsidRPr="00BC1269">
        <w:rPr>
          <w:i w:val="0"/>
          <w:color w:val="auto"/>
        </w:rPr>
        <w:t>Managing the Commonwealth’s investment in purpose-built quarantine centres</w:t>
      </w:r>
      <w:r w:rsidR="00C67F8C">
        <w:rPr>
          <w:i w:val="0"/>
          <w:color w:val="auto"/>
          <w:lang w:val="en-AU"/>
        </w:rPr>
        <w:t>.</w:t>
      </w:r>
    </w:p>
    <w:p w14:paraId="21AEC269" w14:textId="0A04185E" w:rsidR="006610FF" w:rsidRDefault="006610FF" w:rsidP="00C8474A">
      <w:pPr>
        <w:pStyle w:val="Exampletextbullet"/>
        <w:numPr>
          <w:ilvl w:val="0"/>
          <w:numId w:val="79"/>
        </w:numPr>
        <w:ind w:left="400"/>
        <w:contextualSpacing/>
        <w:rPr>
          <w:i w:val="0"/>
          <w:color w:val="auto"/>
        </w:rPr>
      </w:pPr>
      <w:r w:rsidRPr="009453AF">
        <w:rPr>
          <w:i w:val="0"/>
          <w:color w:val="auto"/>
        </w:rPr>
        <w:t>Progressing a National Security Office Precinct in Barton, Australian Capital Territory</w:t>
      </w:r>
      <w:r w:rsidR="00C67F8C">
        <w:rPr>
          <w:i w:val="0"/>
          <w:color w:val="auto"/>
          <w:lang w:val="en-AU"/>
        </w:rPr>
        <w:t>.</w:t>
      </w:r>
      <w:r w:rsidRPr="009453AF">
        <w:rPr>
          <w:i w:val="0"/>
          <w:color w:val="auto"/>
        </w:rPr>
        <w:t xml:space="preserve">  </w:t>
      </w:r>
    </w:p>
    <w:p w14:paraId="36B8D7C0" w14:textId="0420883C" w:rsidR="009453AF" w:rsidRPr="00866FA7" w:rsidRDefault="009453AF" w:rsidP="00C8474A">
      <w:pPr>
        <w:pStyle w:val="Exampletextbullet"/>
        <w:numPr>
          <w:ilvl w:val="0"/>
          <w:numId w:val="79"/>
        </w:numPr>
        <w:ind w:left="400"/>
        <w:contextualSpacing/>
        <w:rPr>
          <w:i w:val="0"/>
          <w:color w:val="auto"/>
        </w:rPr>
      </w:pPr>
      <w:r w:rsidRPr="009453AF">
        <w:rPr>
          <w:i w:val="0"/>
          <w:color w:val="auto"/>
        </w:rPr>
        <w:t xml:space="preserve">Supporting the </w:t>
      </w:r>
      <w:r w:rsidR="00866FA7" w:rsidRPr="00866FA7">
        <w:rPr>
          <w:i w:val="0"/>
          <w:color w:val="auto"/>
        </w:rPr>
        <w:t xml:space="preserve">delivery </w:t>
      </w:r>
      <w:r w:rsidRPr="009453AF">
        <w:rPr>
          <w:i w:val="0"/>
          <w:color w:val="auto"/>
        </w:rPr>
        <w:t>of a First Nations</w:t>
      </w:r>
      <w:r>
        <w:rPr>
          <w:i w:val="0"/>
          <w:color w:val="auto"/>
        </w:rPr>
        <w:t xml:space="preserve"> Voice to Parliament Referendum</w:t>
      </w:r>
      <w:r w:rsidR="00C67F8C">
        <w:rPr>
          <w:i w:val="0"/>
          <w:color w:val="auto"/>
          <w:lang w:val="en-AU"/>
        </w:rPr>
        <w:t>.</w:t>
      </w:r>
    </w:p>
    <w:p w14:paraId="08E8C3E9" w14:textId="3ED95622" w:rsidR="00105E1A" w:rsidRPr="00866FA7" w:rsidRDefault="00105E1A" w:rsidP="00C8474A">
      <w:pPr>
        <w:pStyle w:val="Exampletextbullet"/>
        <w:numPr>
          <w:ilvl w:val="0"/>
          <w:numId w:val="79"/>
        </w:numPr>
        <w:ind w:left="400"/>
        <w:contextualSpacing/>
        <w:rPr>
          <w:i w:val="0"/>
          <w:color w:val="auto"/>
        </w:rPr>
      </w:pPr>
      <w:r w:rsidRPr="00866FA7">
        <w:rPr>
          <w:i w:val="0"/>
          <w:color w:val="auto"/>
        </w:rPr>
        <w:t xml:space="preserve">Updating the </w:t>
      </w:r>
      <w:r w:rsidRPr="00866FA7">
        <w:rPr>
          <w:color w:val="auto"/>
        </w:rPr>
        <w:t>Commonwealth Grants Rules and Guidelines</w:t>
      </w:r>
      <w:r w:rsidRPr="00866FA7">
        <w:rPr>
          <w:i w:val="0"/>
          <w:color w:val="auto"/>
        </w:rPr>
        <w:t xml:space="preserve"> </w:t>
      </w:r>
      <w:r w:rsidR="00866FA7">
        <w:rPr>
          <w:i w:val="0"/>
          <w:color w:val="auto"/>
        </w:rPr>
        <w:t xml:space="preserve">and </w:t>
      </w:r>
      <w:r w:rsidR="00866FA7">
        <w:rPr>
          <w:i w:val="0"/>
          <w:color w:val="auto"/>
          <w:lang w:val="en-AU"/>
        </w:rPr>
        <w:t xml:space="preserve">continuing </w:t>
      </w:r>
      <w:r w:rsidR="00866FA7" w:rsidRPr="00866FA7">
        <w:rPr>
          <w:i w:val="0"/>
          <w:color w:val="auto"/>
        </w:rPr>
        <w:t>to improve the Shared Services grants hub model</w:t>
      </w:r>
      <w:r w:rsidR="00C67F8C">
        <w:rPr>
          <w:i w:val="0"/>
          <w:color w:val="auto"/>
          <w:lang w:val="en-AU"/>
        </w:rPr>
        <w:t>.</w:t>
      </w:r>
      <w:r w:rsidR="00866FA7" w:rsidRPr="00866FA7">
        <w:rPr>
          <w:i w:val="0"/>
          <w:color w:val="auto"/>
        </w:rPr>
        <w:t xml:space="preserve"> </w:t>
      </w:r>
    </w:p>
    <w:p w14:paraId="6C0755ED" w14:textId="23714B3C" w:rsidR="00105E1A" w:rsidRPr="00BC1269" w:rsidRDefault="00105E1A" w:rsidP="00C8474A">
      <w:pPr>
        <w:pStyle w:val="Exampletextbullet"/>
        <w:numPr>
          <w:ilvl w:val="0"/>
          <w:numId w:val="79"/>
        </w:numPr>
        <w:ind w:left="400"/>
        <w:contextualSpacing/>
        <w:rPr>
          <w:i w:val="0"/>
          <w:color w:val="auto"/>
        </w:rPr>
      </w:pPr>
      <w:r w:rsidRPr="00BC1269">
        <w:rPr>
          <w:i w:val="0"/>
          <w:color w:val="auto"/>
        </w:rPr>
        <w:t xml:space="preserve">Delivering the </w:t>
      </w:r>
      <w:r>
        <w:rPr>
          <w:i w:val="0"/>
          <w:color w:val="auto"/>
          <w:lang w:val="en-AU"/>
        </w:rPr>
        <w:t>w</w:t>
      </w:r>
      <w:r w:rsidRPr="00C92E3C">
        <w:rPr>
          <w:i w:val="0"/>
          <w:color w:val="auto"/>
        </w:rPr>
        <w:t>hole-of-Australian-Government</w:t>
      </w:r>
      <w:r w:rsidRPr="00BC1269">
        <w:rPr>
          <w:i w:val="0"/>
          <w:color w:val="auto"/>
        </w:rPr>
        <w:t xml:space="preserve"> Management Advisory Services and People Panels</w:t>
      </w:r>
      <w:r w:rsidR="00C67F8C">
        <w:rPr>
          <w:i w:val="0"/>
          <w:color w:val="auto"/>
          <w:lang w:val="en-AU"/>
        </w:rPr>
        <w:t>.</w:t>
      </w:r>
    </w:p>
    <w:p w14:paraId="676C82CA" w14:textId="21F59F7C" w:rsidR="00105E1A" w:rsidRPr="00BC1269" w:rsidRDefault="00105E1A" w:rsidP="00C8474A">
      <w:pPr>
        <w:pStyle w:val="Exampletextbullet"/>
        <w:numPr>
          <w:ilvl w:val="0"/>
          <w:numId w:val="79"/>
        </w:numPr>
        <w:ind w:left="400"/>
        <w:contextualSpacing/>
        <w:rPr>
          <w:i w:val="0"/>
          <w:color w:val="auto"/>
        </w:rPr>
      </w:pPr>
      <w:r w:rsidRPr="00BC1269">
        <w:rPr>
          <w:i w:val="0"/>
          <w:color w:val="auto"/>
        </w:rPr>
        <w:t xml:space="preserve">Delivering the revised </w:t>
      </w:r>
      <w:r w:rsidRPr="001A65D2">
        <w:rPr>
          <w:color w:val="auto"/>
        </w:rPr>
        <w:t>Commonwealth Risk Management Policy</w:t>
      </w:r>
      <w:r w:rsidR="00C67F8C" w:rsidRPr="00C67F8C">
        <w:rPr>
          <w:i w:val="0"/>
          <w:color w:val="auto"/>
          <w:lang w:val="en-AU"/>
        </w:rPr>
        <w:t>.</w:t>
      </w:r>
      <w:r w:rsidRPr="00BC1269">
        <w:rPr>
          <w:i w:val="0"/>
          <w:color w:val="auto"/>
        </w:rPr>
        <w:t xml:space="preserve"> </w:t>
      </w:r>
    </w:p>
    <w:p w14:paraId="1309DDFD" w14:textId="52A5C906" w:rsidR="00105E1A" w:rsidRPr="009453AF" w:rsidRDefault="00105E1A" w:rsidP="00C8474A">
      <w:pPr>
        <w:pStyle w:val="Exampletextbullet"/>
        <w:numPr>
          <w:ilvl w:val="0"/>
          <w:numId w:val="79"/>
        </w:numPr>
        <w:ind w:left="400"/>
        <w:contextualSpacing/>
        <w:rPr>
          <w:i w:val="0"/>
          <w:color w:val="auto"/>
        </w:rPr>
      </w:pPr>
      <w:r w:rsidRPr="009453AF">
        <w:rPr>
          <w:i w:val="0"/>
          <w:color w:val="auto"/>
        </w:rPr>
        <w:t>Supporting the implementation of the Government’s commitment to APS Reform</w:t>
      </w:r>
      <w:r w:rsidR="00C67F8C">
        <w:rPr>
          <w:i w:val="0"/>
          <w:color w:val="auto"/>
          <w:lang w:val="en-AU"/>
        </w:rPr>
        <w:t>.</w:t>
      </w:r>
    </w:p>
    <w:p w14:paraId="2CF66384" w14:textId="1D586623" w:rsidR="00105E1A" w:rsidRPr="00BC1269" w:rsidRDefault="00105E1A" w:rsidP="00C8474A">
      <w:pPr>
        <w:pStyle w:val="Exampletextbullet"/>
        <w:numPr>
          <w:ilvl w:val="0"/>
          <w:numId w:val="79"/>
        </w:numPr>
        <w:ind w:left="400"/>
        <w:contextualSpacing/>
        <w:rPr>
          <w:i w:val="0"/>
          <w:color w:val="auto"/>
        </w:rPr>
      </w:pPr>
      <w:r w:rsidRPr="00BC1269">
        <w:rPr>
          <w:i w:val="0"/>
          <w:color w:val="auto"/>
        </w:rPr>
        <w:t>Supporting the implementation of the Set the Standard Report recommendations</w:t>
      </w:r>
      <w:r w:rsidR="00C67F8C">
        <w:rPr>
          <w:i w:val="0"/>
          <w:color w:val="auto"/>
          <w:lang w:val="en-AU"/>
        </w:rPr>
        <w:t>.</w:t>
      </w:r>
      <w:r w:rsidRPr="00BC1269">
        <w:rPr>
          <w:i w:val="0"/>
          <w:color w:val="auto"/>
        </w:rPr>
        <w:t xml:space="preserve"> </w:t>
      </w:r>
    </w:p>
    <w:p w14:paraId="106E5BF4" w14:textId="627EED62" w:rsidR="00105E1A" w:rsidRPr="00BC1269" w:rsidRDefault="00105E1A" w:rsidP="00C8474A">
      <w:pPr>
        <w:pStyle w:val="Exampletextbullet"/>
        <w:numPr>
          <w:ilvl w:val="0"/>
          <w:numId w:val="79"/>
        </w:numPr>
        <w:ind w:left="400"/>
        <w:contextualSpacing/>
        <w:rPr>
          <w:i w:val="0"/>
          <w:color w:val="auto"/>
        </w:rPr>
      </w:pPr>
      <w:r>
        <w:rPr>
          <w:i w:val="0"/>
          <w:color w:val="auto"/>
          <w:lang w:val="en-AU"/>
        </w:rPr>
        <w:lastRenderedPageBreak/>
        <w:t>Progressing the</w:t>
      </w:r>
      <w:r w:rsidRPr="00BC1269">
        <w:rPr>
          <w:i w:val="0"/>
          <w:color w:val="auto"/>
        </w:rPr>
        <w:t xml:space="preserve"> Government’s commitment to reduce APS emissions to net zero by </w:t>
      </w:r>
      <w:r w:rsidR="00C67F8C" w:rsidRPr="00BC1269">
        <w:rPr>
          <w:i w:val="0"/>
          <w:color w:val="auto"/>
        </w:rPr>
        <w:t xml:space="preserve">2030 </w:t>
      </w:r>
      <w:r w:rsidR="00C67F8C">
        <w:rPr>
          <w:i w:val="0"/>
          <w:color w:val="auto"/>
          <w:lang w:val="en-AU"/>
        </w:rPr>
        <w:t>and implementing the low emissions vehicle target for the Commonwealth fleet.</w:t>
      </w:r>
    </w:p>
    <w:p w14:paraId="72354739" w14:textId="25E29823" w:rsidR="00105E1A" w:rsidRPr="00C67F8C" w:rsidRDefault="00105E1A" w:rsidP="00C67F8C">
      <w:pPr>
        <w:pStyle w:val="Exampletextbullet"/>
        <w:numPr>
          <w:ilvl w:val="0"/>
          <w:numId w:val="79"/>
        </w:numPr>
        <w:ind w:left="400"/>
        <w:contextualSpacing/>
        <w:rPr>
          <w:i w:val="0"/>
          <w:color w:val="auto"/>
        </w:rPr>
      </w:pPr>
      <w:r w:rsidRPr="00BC1269">
        <w:rPr>
          <w:i w:val="0"/>
          <w:color w:val="auto"/>
        </w:rPr>
        <w:t>Progressing</w:t>
      </w:r>
      <w:r w:rsidR="00C67F8C">
        <w:rPr>
          <w:i w:val="0"/>
          <w:color w:val="auto"/>
        </w:rPr>
        <w:t xml:space="preserve"> Shared Services transformation.</w:t>
      </w:r>
    </w:p>
    <w:p w14:paraId="2CDF6F4D" w14:textId="4AA778CE" w:rsidR="00105E1A" w:rsidRPr="00BC1269" w:rsidRDefault="00105E1A" w:rsidP="00C8474A">
      <w:pPr>
        <w:pStyle w:val="Exampletextbullet"/>
        <w:numPr>
          <w:ilvl w:val="0"/>
          <w:numId w:val="79"/>
        </w:numPr>
        <w:ind w:left="400"/>
        <w:contextualSpacing/>
        <w:rPr>
          <w:i w:val="0"/>
          <w:color w:val="auto"/>
        </w:rPr>
      </w:pPr>
      <w:r w:rsidRPr="00BC1269">
        <w:rPr>
          <w:i w:val="0"/>
          <w:color w:val="auto"/>
        </w:rPr>
        <w:t xml:space="preserve">Implementing the </w:t>
      </w:r>
      <w:r w:rsidRPr="001A65D2">
        <w:rPr>
          <w:color w:val="auto"/>
        </w:rPr>
        <w:t>Data Availability and Transparency Act 2022</w:t>
      </w:r>
      <w:r w:rsidR="00C67F8C">
        <w:rPr>
          <w:color w:val="auto"/>
          <w:lang w:val="en-AU"/>
        </w:rPr>
        <w:t>.</w:t>
      </w:r>
    </w:p>
    <w:p w14:paraId="52749429" w14:textId="371CA925" w:rsidR="00105E1A" w:rsidRPr="00BC1269" w:rsidRDefault="00105E1A" w:rsidP="00C8474A">
      <w:pPr>
        <w:pStyle w:val="Exampletextbullet"/>
        <w:numPr>
          <w:ilvl w:val="0"/>
          <w:numId w:val="79"/>
        </w:numPr>
        <w:ind w:left="400"/>
        <w:contextualSpacing/>
        <w:rPr>
          <w:i w:val="0"/>
          <w:color w:val="auto"/>
        </w:rPr>
      </w:pPr>
      <w:r w:rsidRPr="00BC1269">
        <w:rPr>
          <w:i w:val="0"/>
          <w:color w:val="auto"/>
        </w:rPr>
        <w:t>Implementing the National Data Sharing Work Program</w:t>
      </w:r>
      <w:r w:rsidR="00C67F8C">
        <w:rPr>
          <w:i w:val="0"/>
          <w:color w:val="auto"/>
          <w:lang w:val="en-AU"/>
        </w:rPr>
        <w:t>.</w:t>
      </w:r>
      <w:r w:rsidRPr="00BC1269">
        <w:rPr>
          <w:i w:val="0"/>
          <w:color w:val="auto"/>
        </w:rPr>
        <w:t xml:space="preserve"> </w:t>
      </w:r>
    </w:p>
    <w:p w14:paraId="0D8D964A" w14:textId="6124649A" w:rsidR="00866FA7" w:rsidRPr="00C67F8C" w:rsidRDefault="00105E1A" w:rsidP="00C67F8C">
      <w:pPr>
        <w:pStyle w:val="Exampletextbullet"/>
        <w:numPr>
          <w:ilvl w:val="0"/>
          <w:numId w:val="79"/>
        </w:numPr>
        <w:ind w:left="400"/>
        <w:contextualSpacing/>
        <w:rPr>
          <w:i w:val="0"/>
          <w:color w:val="auto"/>
        </w:rPr>
      </w:pPr>
      <w:r w:rsidRPr="00BC1269">
        <w:rPr>
          <w:i w:val="0"/>
          <w:color w:val="auto"/>
        </w:rPr>
        <w:t xml:space="preserve">Progressing regulatory reform to improve productivity </w:t>
      </w:r>
      <w:r w:rsidR="00C67F8C">
        <w:rPr>
          <w:i w:val="0"/>
          <w:color w:val="auto"/>
          <w:lang w:val="en-AU"/>
        </w:rPr>
        <w:t>.</w:t>
      </w:r>
    </w:p>
    <w:p w14:paraId="59DB2961" w14:textId="1A035982" w:rsidR="00BC1269" w:rsidRPr="00C67F8C" w:rsidRDefault="00BC1269" w:rsidP="00C67F8C">
      <w:r w:rsidRPr="00BC1269">
        <w:t>Following the 1 July 2022 machinery-of-government changes, the Finance portfolio assumed responsibility for whole-of-government data and digital policy coordination, and delivery of a whole-of-government approach to regulatory policy and regulatory reform. These changes are reflected in new performance measures under Section 2: Outcomes and planned performance:</w:t>
      </w:r>
    </w:p>
    <w:p w14:paraId="267514A9" w14:textId="2D7FD7B5" w:rsidR="008F1E0E" w:rsidRPr="007D477A" w:rsidRDefault="008F1E0E" w:rsidP="00BC1269">
      <w:pPr>
        <w:pStyle w:val="Exampletextbullet"/>
        <w:tabs>
          <w:tab w:val="num" w:pos="284"/>
        </w:tabs>
        <w:ind w:left="284" w:hanging="284"/>
        <w:contextualSpacing/>
        <w:rPr>
          <w:i w:val="0"/>
          <w:color w:val="auto"/>
        </w:rPr>
      </w:pPr>
      <w:r w:rsidRPr="007D477A">
        <w:rPr>
          <w:i w:val="0"/>
          <w:color w:val="auto"/>
        </w:rPr>
        <w:t>•</w:t>
      </w:r>
      <w:r w:rsidRPr="007D477A">
        <w:rPr>
          <w:i w:val="0"/>
          <w:color w:val="auto"/>
        </w:rPr>
        <w:tab/>
        <w:t>Whole-of-government approach to regulatory policy and re</w:t>
      </w:r>
      <w:r w:rsidR="00BC1269">
        <w:rPr>
          <w:i w:val="0"/>
          <w:color w:val="auto"/>
        </w:rPr>
        <w:t>gulatory reform (Table 2.2.2</w:t>
      </w:r>
      <w:r w:rsidR="00BC1269" w:rsidRPr="00BC1269">
        <w:rPr>
          <w:i w:val="0"/>
          <w:color w:val="auto"/>
        </w:rPr>
        <w:t>,</w:t>
      </w:r>
      <w:r w:rsidR="00BC1269">
        <w:rPr>
          <w:i w:val="0"/>
          <w:color w:val="auto"/>
        </w:rPr>
        <w:t xml:space="preserve"> </w:t>
      </w:r>
      <w:r w:rsidR="00F6694E">
        <w:rPr>
          <w:i w:val="0"/>
          <w:color w:val="auto"/>
        </w:rPr>
        <w:t xml:space="preserve">page </w:t>
      </w:r>
      <w:r w:rsidR="00E014DB">
        <w:rPr>
          <w:i w:val="0"/>
          <w:color w:val="auto"/>
        </w:rPr>
        <w:t>37</w:t>
      </w:r>
      <w:r w:rsidR="00C67F8C">
        <w:rPr>
          <w:i w:val="0"/>
          <w:color w:val="auto"/>
        </w:rPr>
        <w:t>).</w:t>
      </w:r>
    </w:p>
    <w:p w14:paraId="1ECAE641" w14:textId="5F8E55E0" w:rsidR="00CB2DCA" w:rsidRDefault="008F1E0E" w:rsidP="00BC1269">
      <w:pPr>
        <w:pStyle w:val="Exampletextbullet"/>
        <w:tabs>
          <w:tab w:val="num" w:pos="284"/>
        </w:tabs>
        <w:ind w:left="284" w:hanging="284"/>
        <w:contextualSpacing/>
      </w:pPr>
      <w:r w:rsidRPr="007D477A">
        <w:rPr>
          <w:i w:val="0"/>
          <w:color w:val="auto"/>
        </w:rPr>
        <w:t>•</w:t>
      </w:r>
      <w:r w:rsidRPr="007D477A">
        <w:rPr>
          <w:i w:val="0"/>
          <w:color w:val="auto"/>
        </w:rPr>
        <w:tab/>
        <w:t>Participation in</w:t>
      </w:r>
      <w:r w:rsidR="00BC1269">
        <w:rPr>
          <w:i w:val="0"/>
          <w:color w:val="auto"/>
        </w:rPr>
        <w:t xml:space="preserve"> the DATA Scheme (Table 2.2.2,</w:t>
      </w:r>
      <w:r w:rsidRPr="007D477A">
        <w:rPr>
          <w:i w:val="0"/>
          <w:color w:val="auto"/>
        </w:rPr>
        <w:t xml:space="preserve"> </w:t>
      </w:r>
      <w:r w:rsidR="00F6694E">
        <w:rPr>
          <w:i w:val="0"/>
          <w:color w:val="auto"/>
        </w:rPr>
        <w:t xml:space="preserve">page </w:t>
      </w:r>
      <w:r w:rsidR="00E014DB">
        <w:rPr>
          <w:i w:val="0"/>
          <w:color w:val="auto"/>
          <w:lang w:val="en-AU"/>
        </w:rPr>
        <w:t>40</w:t>
      </w:r>
      <w:r w:rsidRPr="007D477A">
        <w:rPr>
          <w:i w:val="0"/>
          <w:color w:val="auto"/>
        </w:rPr>
        <w:t>).</w:t>
      </w:r>
      <w:r w:rsidR="00CB2DCA">
        <w:br w:type="page"/>
      </w:r>
    </w:p>
    <w:p w14:paraId="2239DFA7" w14:textId="362AB0BC" w:rsidR="00257FF4" w:rsidRDefault="00257FF4" w:rsidP="00CB2DCA">
      <w:pPr>
        <w:pStyle w:val="Heading3"/>
      </w:pPr>
      <w:bookmarkStart w:id="41" w:name="_Toc116742492"/>
      <w:bookmarkStart w:id="42" w:name="_Toc117027156"/>
      <w:bookmarkStart w:id="43" w:name="_Toc117070782"/>
      <w:bookmarkStart w:id="44" w:name="_Toc117071036"/>
      <w:bookmarkStart w:id="45" w:name="_Toc117078070"/>
      <w:r>
        <w:lastRenderedPageBreak/>
        <w:t>1.2</w:t>
      </w:r>
      <w:r>
        <w:tab/>
      </w:r>
      <w:r w:rsidR="007E6BBD">
        <w:t xml:space="preserve">Entity </w:t>
      </w:r>
      <w:r>
        <w:t>resource statement</w:t>
      </w:r>
      <w:bookmarkEnd w:id="38"/>
      <w:bookmarkEnd w:id="39"/>
      <w:bookmarkEnd w:id="40"/>
      <w:bookmarkEnd w:id="41"/>
      <w:bookmarkEnd w:id="42"/>
      <w:bookmarkEnd w:id="43"/>
      <w:bookmarkEnd w:id="44"/>
      <w:bookmarkEnd w:id="45"/>
    </w:p>
    <w:p w14:paraId="2239DFA8" w14:textId="77777777" w:rsidR="00E1129E" w:rsidRDefault="00257FF4" w:rsidP="00257FF4">
      <w:bookmarkStart w:id="46" w:name="OLE_LINK11"/>
      <w:bookmarkStart w:id="47"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2239DFA9"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2239DFAA" w14:textId="77777777" w:rsidR="009F43CB" w:rsidRDefault="00331B40" w:rsidP="00257FF4">
      <w:r>
        <w:t>For more detailed information on special accounts and special appropriations, please refer to</w:t>
      </w:r>
      <w:r w:rsidR="007D5B26">
        <w:t xml:space="preserve"> the </w:t>
      </w:r>
      <w:r w:rsidR="007D5B26" w:rsidRPr="00B47998">
        <w:t>October</w:t>
      </w:r>
      <w:r>
        <w:t xml:space="preserve"> </w:t>
      </w:r>
      <w:r w:rsidRPr="00412C0B">
        <w:rPr>
          <w:i/>
        </w:rPr>
        <w:t>Budget Paper No. 4 – Agency Resourcing</w:t>
      </w:r>
      <w:r>
        <w:t>.</w:t>
      </w:r>
    </w:p>
    <w:p w14:paraId="2239DFAB" w14:textId="0D8BB70D"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691CA6">
        <w:t>Outcome</w:t>
      </w:r>
      <w:r w:rsidR="00E7371B">
        <w:t xml:space="preserve">’ </w:t>
      </w:r>
      <w:r>
        <w:t>tables in Section 2 and the financial statements in Section 3 are</w:t>
      </w:r>
      <w:r w:rsidR="00831489">
        <w:t xml:space="preserve"> presented on an accrual basis.</w:t>
      </w:r>
    </w:p>
    <w:bookmarkEnd w:id="46"/>
    <w:bookmarkEnd w:id="47"/>
    <w:p w14:paraId="2239DFAD" w14:textId="636199BC" w:rsidR="002567A5" w:rsidRPr="008A056A" w:rsidRDefault="00E92644" w:rsidP="008A056A">
      <w:pPr>
        <w:pStyle w:val="TableHeading"/>
      </w:pPr>
      <w:r>
        <w:br w:type="page"/>
      </w:r>
      <w:r w:rsidR="00741BF8" w:rsidRPr="00D44150">
        <w:lastRenderedPageBreak/>
        <w:t xml:space="preserve">Table 1.1: </w:t>
      </w:r>
      <w:r w:rsidR="00B94B09">
        <w:t xml:space="preserve">Department of Finance </w:t>
      </w:r>
      <w:r w:rsidR="00741BF8" w:rsidRPr="00D44150">
        <w:t>resource statement</w:t>
      </w:r>
      <w:r w:rsidR="0066176D">
        <w:t xml:space="preserve"> — Budget estimates for </w:t>
      </w:r>
      <w:r w:rsidR="00400A8B">
        <w:t>2022</w:t>
      </w:r>
      <w:r w:rsidR="00FC6CF3">
        <w:t>-</w:t>
      </w:r>
      <w:r w:rsidR="00400A8B">
        <w:t xml:space="preserve">23 </w:t>
      </w:r>
      <w:r w:rsidR="00741BF8" w:rsidRPr="00D44150">
        <w:t xml:space="preserve">as at </w:t>
      </w:r>
      <w:r w:rsidR="00B47998">
        <w:t>October</w:t>
      </w:r>
      <w:r w:rsidR="00B47998" w:rsidRPr="00D44150">
        <w:t xml:space="preserve"> </w:t>
      </w:r>
      <w:r w:rsidR="00741BF8" w:rsidRPr="00D44150">
        <w:t xml:space="preserve">Budget </w:t>
      </w:r>
      <w:r w:rsidR="00400A8B">
        <w:t>2022</w:t>
      </w:r>
      <w:r w:rsidR="003344AE" w:rsidRPr="003344AE">
        <w:rPr>
          <w:noProof/>
          <w:lang w:eastAsia="zh-CN"/>
        </w:rPr>
        <w:drawing>
          <wp:inline distT="0" distB="0" distL="0" distR="0" wp14:anchorId="17865C0C" wp14:editId="06D65823">
            <wp:extent cx="4895850" cy="4682751"/>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95850" cy="4682751"/>
                    </a:xfrm>
                    <a:prstGeom prst="rect">
                      <a:avLst/>
                    </a:prstGeom>
                    <a:noFill/>
                    <a:ln>
                      <a:noFill/>
                    </a:ln>
                  </pic:spPr>
                </pic:pic>
              </a:graphicData>
            </a:graphic>
          </wp:inline>
        </w:drawing>
      </w:r>
    </w:p>
    <w:p w14:paraId="2239DFAE" w14:textId="17776EE2" w:rsidR="002567A5" w:rsidRPr="00321EC0" w:rsidRDefault="002567A5" w:rsidP="009D6A68">
      <w:pPr>
        <w:pStyle w:val="ChartandTableFootnoteAlpha"/>
      </w:pPr>
      <w:r w:rsidRPr="00082FED">
        <w:t>Table continues on next page</w:t>
      </w:r>
    </w:p>
    <w:p w14:paraId="2239DFAF" w14:textId="77777777" w:rsidR="002567A5" w:rsidRPr="002567A5" w:rsidRDefault="002567A5" w:rsidP="002567A5">
      <w:pPr>
        <w:rPr>
          <w:lang w:val="x-none" w:eastAsia="x-none"/>
        </w:rPr>
      </w:pPr>
    </w:p>
    <w:p w14:paraId="2239DFB2" w14:textId="1FAC48CD" w:rsidR="002567A5" w:rsidRDefault="00D44150" w:rsidP="00FC031B">
      <w:pPr>
        <w:pStyle w:val="TableHeading"/>
      </w:pPr>
      <w:r w:rsidRPr="002567A5">
        <w:br w:type="page"/>
      </w:r>
      <w:r w:rsidR="0066176D" w:rsidRPr="00D44150">
        <w:lastRenderedPageBreak/>
        <w:t xml:space="preserve">Table 1.1: </w:t>
      </w:r>
      <w:r w:rsidR="00553A03">
        <w:t xml:space="preserve">Department of Finance </w:t>
      </w:r>
      <w:r w:rsidR="0066176D" w:rsidRPr="00D44150">
        <w:t>resource statement</w:t>
      </w:r>
      <w:r w:rsidR="0066176D">
        <w:t xml:space="preserve"> — Budget estimates for </w:t>
      </w:r>
      <w:r w:rsidR="00400A8B">
        <w:t>2022</w:t>
      </w:r>
      <w:r w:rsidR="00FC6CF3">
        <w:t>-</w:t>
      </w:r>
      <w:r w:rsidR="00400A8B">
        <w:t xml:space="preserve">23 </w:t>
      </w:r>
      <w:r w:rsidR="0066176D" w:rsidRPr="00D44150">
        <w:t xml:space="preserve">as at </w:t>
      </w:r>
      <w:r w:rsidR="00B47998">
        <w:t xml:space="preserve">October </w:t>
      </w:r>
      <w:r w:rsidR="0066176D" w:rsidRPr="00D44150">
        <w:t xml:space="preserve">Budget </w:t>
      </w:r>
      <w:r w:rsidR="00400A8B">
        <w:t xml:space="preserve">2022 </w:t>
      </w:r>
      <w:r w:rsidR="0066176D">
        <w:t>(continued)</w:t>
      </w:r>
      <w:r w:rsidR="00FC031B" w:rsidRPr="00FC031B">
        <w:rPr>
          <w:b w:val="0"/>
        </w:rPr>
        <w:t xml:space="preserve"> </w:t>
      </w:r>
      <w:bookmarkStart w:id="48" w:name="OLE_LINK2"/>
      <w:r w:rsidR="003344AE" w:rsidRPr="003344AE">
        <w:rPr>
          <w:b w:val="0"/>
          <w:noProof/>
          <w:lang w:eastAsia="zh-CN"/>
        </w:rPr>
        <w:drawing>
          <wp:inline distT="0" distB="0" distL="0" distR="0" wp14:anchorId="672D7184" wp14:editId="7B814873">
            <wp:extent cx="4895850" cy="2050099"/>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95850" cy="2050099"/>
                    </a:xfrm>
                    <a:prstGeom prst="rect">
                      <a:avLst/>
                    </a:prstGeom>
                    <a:noFill/>
                    <a:ln>
                      <a:noFill/>
                    </a:ln>
                  </pic:spPr>
                </pic:pic>
              </a:graphicData>
            </a:graphic>
          </wp:inline>
        </w:drawing>
      </w:r>
      <w:r w:rsidR="00BB5356" w:rsidRPr="00FC031B">
        <w:rPr>
          <w:b w:val="0"/>
          <w:color w:val="000000"/>
          <w:sz w:val="16"/>
        </w:rPr>
        <w:t>All figures shown above</w:t>
      </w:r>
      <w:r w:rsidR="002567A5" w:rsidRPr="00FC031B">
        <w:rPr>
          <w:b w:val="0"/>
          <w:color w:val="000000"/>
          <w:sz w:val="16"/>
        </w:rPr>
        <w:t xml:space="preserve"> exclusive </w:t>
      </w:r>
      <w:r w:rsidR="00BB5356" w:rsidRPr="00FC031B">
        <w:rPr>
          <w:b w:val="0"/>
          <w:color w:val="000000"/>
          <w:sz w:val="16"/>
        </w:rPr>
        <w:t xml:space="preserve">of goods and services tax (GST) </w:t>
      </w:r>
      <w:r w:rsidR="002567A5" w:rsidRPr="00FC031B">
        <w:rPr>
          <w:b w:val="0"/>
          <w:color w:val="000000"/>
          <w:sz w:val="16"/>
        </w:rPr>
        <w:t>- these may not match figures in the cash flow statement.</w:t>
      </w:r>
    </w:p>
    <w:p w14:paraId="2239DFB3" w14:textId="77777777" w:rsidR="002567A5" w:rsidRPr="004111A7" w:rsidRDefault="002567A5" w:rsidP="00FB00DA">
      <w:pPr>
        <w:pStyle w:val="ChartandTableFootnote"/>
        <w:spacing w:before="60"/>
      </w:pPr>
      <w:r>
        <w:t>Prepared</w:t>
      </w:r>
      <w:r w:rsidRPr="004111A7">
        <w:t xml:space="preserve"> on a resourcing (that is, appropriations available) basis</w:t>
      </w:r>
      <w:bookmarkEnd w:id="48"/>
      <w:r w:rsidRPr="004111A7">
        <w:t>.</w:t>
      </w:r>
    </w:p>
    <w:p w14:paraId="2239DFB4" w14:textId="78006E0B" w:rsidR="002567A5" w:rsidRPr="004111A7" w:rsidRDefault="002567A5" w:rsidP="00BA1132">
      <w:pPr>
        <w:pStyle w:val="ChartandTableFootnoteAlpha"/>
        <w:numPr>
          <w:ilvl w:val="0"/>
          <w:numId w:val="11"/>
        </w:numPr>
        <w:spacing w:before="60"/>
        <w:ind w:left="284" w:hanging="284"/>
      </w:pPr>
      <w:r>
        <w:t>Appropriation Bill (No. 1) 2022-23</w:t>
      </w:r>
      <w:r w:rsidR="007476F2">
        <w:t xml:space="preserve">, Supply Bill (No. 3) 2022-23 and </w:t>
      </w:r>
      <w:r w:rsidR="007476F2" w:rsidRPr="00084B16">
        <w:rPr>
          <w:i/>
        </w:rPr>
        <w:t>Supply Act (No.</w:t>
      </w:r>
      <w:r w:rsidR="006B1DD8">
        <w:rPr>
          <w:i/>
        </w:rPr>
        <w:t xml:space="preserve"> </w:t>
      </w:r>
      <w:r w:rsidR="007476F2" w:rsidRPr="00084B16">
        <w:rPr>
          <w:i/>
        </w:rPr>
        <w:t>1) 2022-</w:t>
      </w:r>
      <w:r w:rsidR="00084B16" w:rsidRPr="00084B16">
        <w:rPr>
          <w:i/>
        </w:rPr>
        <w:t>20</w:t>
      </w:r>
      <w:r w:rsidR="007476F2" w:rsidRPr="00084B16">
        <w:rPr>
          <w:i/>
        </w:rPr>
        <w:t>23</w:t>
      </w:r>
      <w:r w:rsidR="007476F2">
        <w:t>.</w:t>
      </w:r>
    </w:p>
    <w:p w14:paraId="2239DFB5" w14:textId="01E8AD8C" w:rsidR="002567A5" w:rsidRPr="004111A7" w:rsidRDefault="002567A5" w:rsidP="00BA1132">
      <w:pPr>
        <w:pStyle w:val="ChartandTableFootnoteAlpha"/>
        <w:numPr>
          <w:ilvl w:val="0"/>
          <w:numId w:val="11"/>
        </w:numPr>
        <w:spacing w:before="60"/>
        <w:ind w:left="284" w:hanging="284"/>
      </w:pPr>
      <w:bookmarkStart w:id="49" w:name="OLE_LINK3"/>
      <w:r w:rsidRPr="004111A7">
        <w:t>Represents estimated unspent ap</w:t>
      </w:r>
      <w:r>
        <w:t>pro</w:t>
      </w:r>
      <w:r w:rsidR="007476F2">
        <w:t>priations available from 2021-22</w:t>
      </w:r>
      <w:r w:rsidR="00084B16">
        <w:t xml:space="preserve">, excluding $200.0m withheld under section 51 of the </w:t>
      </w:r>
      <w:r w:rsidR="00084B16" w:rsidRPr="00BB5356">
        <w:rPr>
          <w:i/>
        </w:rPr>
        <w:t>Public Governance, Performance and Accountability Act 2013</w:t>
      </w:r>
      <w:r w:rsidR="00084B16" w:rsidRPr="004111A7">
        <w:t xml:space="preserve"> (PGPA Act)</w:t>
      </w:r>
      <w:r w:rsidR="00084B16">
        <w:t>.</w:t>
      </w:r>
    </w:p>
    <w:p w14:paraId="2239DFB6" w14:textId="4BF879CA" w:rsidR="002567A5" w:rsidRPr="004111A7" w:rsidRDefault="002567A5" w:rsidP="00BA1132">
      <w:pPr>
        <w:pStyle w:val="ChartandTableFootnoteAlpha"/>
        <w:numPr>
          <w:ilvl w:val="0"/>
          <w:numId w:val="11"/>
        </w:numPr>
        <w:spacing w:before="60"/>
        <w:ind w:left="284" w:hanging="284"/>
      </w:pPr>
      <w:r w:rsidRPr="004111A7">
        <w:t>Excludes de</w:t>
      </w:r>
      <w:r>
        <w:t>partmental capital budget (DCB).</w:t>
      </w:r>
    </w:p>
    <w:p w14:paraId="2239DFB7" w14:textId="41134B8A" w:rsidR="002567A5" w:rsidRPr="004111A7" w:rsidRDefault="002567A5" w:rsidP="00BA1132">
      <w:pPr>
        <w:pStyle w:val="ChartandTableFootnoteAlpha"/>
        <w:numPr>
          <w:ilvl w:val="0"/>
          <w:numId w:val="11"/>
        </w:numPr>
        <w:spacing w:before="60"/>
        <w:ind w:left="284" w:hanging="284"/>
      </w:pPr>
      <w:r w:rsidRPr="004111A7">
        <w:t>Estimated retained revenue receipts under section 74 of the PGPA Act.</w:t>
      </w:r>
    </w:p>
    <w:p w14:paraId="2239DFB8" w14:textId="0CF7C33E" w:rsidR="002567A5" w:rsidRPr="004111A7" w:rsidRDefault="002567A5" w:rsidP="00BA1132">
      <w:pPr>
        <w:pStyle w:val="ChartandTableFootnoteAlpha"/>
        <w:numPr>
          <w:ilvl w:val="0"/>
          <w:numId w:val="11"/>
        </w:numPr>
        <w:spacing w:before="60"/>
        <w:ind w:left="284" w:hanging="284"/>
      </w:pPr>
      <w:r w:rsidRPr="004111A7">
        <w:t>D</w:t>
      </w:r>
      <w:r w:rsidR="007476F2">
        <w:t xml:space="preserve">CBs </w:t>
      </w:r>
      <w:r w:rsidRPr="004111A7">
        <w:t>are not separately identified in Appropriation Bill (No.</w:t>
      </w:r>
      <w:r w:rsidR="006B1DD8">
        <w:t xml:space="preserve"> </w:t>
      </w:r>
      <w:r w:rsidRPr="004111A7">
        <w:t>1) and form part of ordinary annual services items. Please refer to Table 3.5 for further details. For accounting purposes, this amount has been designated as a 'contribution by owner'.</w:t>
      </w:r>
    </w:p>
    <w:p w14:paraId="2239DFB9" w14:textId="5AC3CE97" w:rsidR="002567A5" w:rsidRPr="004111A7" w:rsidRDefault="002567A5" w:rsidP="00BA1132">
      <w:pPr>
        <w:pStyle w:val="ChartandTableFootnoteAlpha"/>
        <w:numPr>
          <w:ilvl w:val="0"/>
          <w:numId w:val="11"/>
        </w:numPr>
        <w:spacing w:before="60"/>
        <w:ind w:left="284" w:hanging="284"/>
      </w:pPr>
      <w:r>
        <w:t>Appropriation Bill (No. 2) 2022-23</w:t>
      </w:r>
      <w:r w:rsidR="007476F2">
        <w:t xml:space="preserve">, Supply Bill (No. 4) 2022-23 and </w:t>
      </w:r>
      <w:r w:rsidR="007476F2" w:rsidRPr="00084B16">
        <w:rPr>
          <w:i/>
        </w:rPr>
        <w:t>Supply Act (No.</w:t>
      </w:r>
      <w:r w:rsidR="006B1DD8">
        <w:rPr>
          <w:i/>
        </w:rPr>
        <w:t xml:space="preserve"> </w:t>
      </w:r>
      <w:r w:rsidR="007476F2" w:rsidRPr="00084B16">
        <w:rPr>
          <w:i/>
        </w:rPr>
        <w:t>2) 2022-</w:t>
      </w:r>
      <w:r w:rsidR="00084B16" w:rsidRPr="00084B16">
        <w:rPr>
          <w:i/>
        </w:rPr>
        <w:t>20</w:t>
      </w:r>
      <w:r w:rsidR="007476F2" w:rsidRPr="00084B16">
        <w:rPr>
          <w:i/>
        </w:rPr>
        <w:t>23</w:t>
      </w:r>
      <w:r w:rsidR="00084B16">
        <w:t>.</w:t>
      </w:r>
    </w:p>
    <w:p w14:paraId="2239DFBA" w14:textId="36B5D920" w:rsidR="002567A5" w:rsidRPr="004111A7" w:rsidRDefault="002567A5" w:rsidP="00BA1132">
      <w:pPr>
        <w:pStyle w:val="ChartandTableFootnoteAlpha"/>
        <w:numPr>
          <w:ilvl w:val="0"/>
          <w:numId w:val="11"/>
        </w:numPr>
        <w:spacing w:before="60"/>
        <w:ind w:left="284" w:hanging="284"/>
      </w:pPr>
      <w:r w:rsidRPr="004111A7">
        <w:t xml:space="preserve">For further information on special appropriations and special accounts, please refer to </w:t>
      </w:r>
      <w:r w:rsidR="006B1DD8">
        <w:rPr>
          <w:i/>
        </w:rPr>
        <w:t>Budget Paper No. </w:t>
      </w:r>
      <w:r w:rsidRPr="00BB5356">
        <w:rPr>
          <w:i/>
        </w:rPr>
        <w:t>4 - Agency Resourcing</w:t>
      </w:r>
      <w:r w:rsidRPr="004111A7">
        <w:t>. Please also refer to Table 2.1.1, 2.2.1 and 2.3.1 for further information on outcome and program expenses broken down by various funding sources, e.g. annual appropriations, special appropriations and special accounts.</w:t>
      </w:r>
    </w:p>
    <w:p w14:paraId="2239DFBB" w14:textId="77777777" w:rsidR="002567A5" w:rsidRPr="004111A7" w:rsidRDefault="002567A5" w:rsidP="00BA1132">
      <w:pPr>
        <w:pStyle w:val="ChartandTableFootnoteAlpha"/>
        <w:numPr>
          <w:ilvl w:val="0"/>
          <w:numId w:val="11"/>
        </w:numPr>
        <w:spacing w:before="60"/>
        <w:ind w:left="284" w:hanging="284"/>
      </w:pPr>
      <w:r w:rsidRPr="004111A7">
        <w:t>Amounts credited to the special account(s) from Finance’s annual and special appropriations.</w:t>
      </w:r>
    </w:p>
    <w:p w14:paraId="062D4FFF" w14:textId="60FE574F" w:rsidR="00A61B84" w:rsidRDefault="002567A5" w:rsidP="00BA1132">
      <w:pPr>
        <w:pStyle w:val="ChartandTableFootnoteAlpha"/>
        <w:numPr>
          <w:ilvl w:val="0"/>
          <w:numId w:val="11"/>
        </w:numPr>
        <w:spacing w:before="60"/>
        <w:ind w:left="284" w:hanging="284"/>
      </w:pPr>
      <w:r w:rsidRPr="004111A7">
        <w:t xml:space="preserve">Administered capital budgets </w:t>
      </w:r>
      <w:r w:rsidR="00084B16">
        <w:t xml:space="preserve">(ACB) </w:t>
      </w:r>
      <w:r w:rsidRPr="004111A7">
        <w:t>are not separately identified in Appropriation Bill (No. 1) and form part of ordinary annual services items. Please refer to Table 3.10 for further details. For accounting purposes, this amount is designated as a 'contribution by owner'</w:t>
      </w:r>
      <w:bookmarkEnd w:id="49"/>
      <w:r w:rsidR="00A61B84">
        <w:t>.</w:t>
      </w:r>
      <w:r w:rsidR="00A61B84">
        <w:br w:type="page"/>
      </w:r>
    </w:p>
    <w:p w14:paraId="2239DFBD" w14:textId="2AF7F98D" w:rsidR="007B20B0" w:rsidRPr="00A61B84" w:rsidRDefault="007B20B0" w:rsidP="00A61B84">
      <w:pPr>
        <w:pStyle w:val="ChartandTableFootnoteAlpha"/>
        <w:jc w:val="both"/>
      </w:pPr>
      <w:r w:rsidRPr="00A61B84">
        <w:rPr>
          <w:b/>
          <w:color w:val="auto"/>
          <w:sz w:val="20"/>
        </w:rPr>
        <w:lastRenderedPageBreak/>
        <w:t>Table 1.1: Department of Finance resource statement — Budget estimates for 2022-23 as at October Budget 2022 (continued)</w:t>
      </w:r>
    </w:p>
    <w:p w14:paraId="2239DFC0" w14:textId="23A4E212" w:rsidR="007B20B0" w:rsidRPr="0044701E" w:rsidRDefault="00C7638D" w:rsidP="003F388C">
      <w:pPr>
        <w:pStyle w:val="TableHeading"/>
        <w:spacing w:before="60" w:after="0"/>
      </w:pPr>
      <w:r w:rsidRPr="005C4BEE">
        <w:t xml:space="preserve">Third party payments from and on behalf of other </w:t>
      </w:r>
      <w:bookmarkStart w:id="50" w:name="_Toc190682311"/>
      <w:bookmarkStart w:id="51" w:name="_Toc190682529"/>
      <w:r w:rsidR="00A61B84">
        <w:t>entitie</w:t>
      </w:r>
      <w:r w:rsidR="00A90EB6">
        <w:rPr>
          <w:noProof/>
        </w:rPr>
        <w:t>s</w:t>
      </w:r>
      <w:r w:rsidR="00AF0ACA" w:rsidRPr="00AF0ACA">
        <w:rPr>
          <w:noProof/>
          <w:lang w:eastAsia="zh-CN"/>
        </w:rPr>
        <w:drawing>
          <wp:inline distT="0" distB="0" distL="0" distR="0" wp14:anchorId="6C5940E1" wp14:editId="04502936">
            <wp:extent cx="4895850" cy="478960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895850" cy="4789602"/>
                    </a:xfrm>
                    <a:prstGeom prst="rect">
                      <a:avLst/>
                    </a:prstGeom>
                    <a:noFill/>
                    <a:ln>
                      <a:noFill/>
                    </a:ln>
                  </pic:spPr>
                </pic:pic>
              </a:graphicData>
            </a:graphic>
          </wp:inline>
        </w:drawing>
      </w:r>
      <w:r w:rsidR="007B20B0" w:rsidRPr="003F388C">
        <w:rPr>
          <w:b w:val="0"/>
          <w:sz w:val="16"/>
          <w:szCs w:val="16"/>
        </w:rPr>
        <w:t>All figures shown above are GST exclusive - these may not match figures in the cash flow statement.</w:t>
      </w:r>
    </w:p>
    <w:p w14:paraId="2239DFC1" w14:textId="77777777" w:rsidR="007B20B0" w:rsidRPr="0044701E" w:rsidRDefault="007B20B0" w:rsidP="00FB00DA">
      <w:pPr>
        <w:pStyle w:val="ChartandTableFootnote"/>
        <w:spacing w:before="60"/>
        <w:rPr>
          <w:color w:val="auto"/>
        </w:rPr>
      </w:pPr>
      <w:r w:rsidRPr="0044701E">
        <w:rPr>
          <w:color w:val="auto"/>
        </w:rPr>
        <w:t>Prepared on a resourcing (that is, appropriations available) basis.</w:t>
      </w:r>
    </w:p>
    <w:p w14:paraId="2239DFC2" w14:textId="77777777" w:rsidR="007B20B0" w:rsidRPr="0044701E" w:rsidRDefault="007B20B0" w:rsidP="00BA1132">
      <w:pPr>
        <w:pStyle w:val="ChartandTableFootnoteAlpha"/>
        <w:numPr>
          <w:ilvl w:val="0"/>
          <w:numId w:val="12"/>
        </w:numPr>
        <w:spacing w:before="60"/>
        <w:ind w:left="284" w:hanging="284"/>
      </w:pPr>
      <w:bookmarkStart w:id="52" w:name="OLE_LINK4"/>
      <w:r w:rsidRPr="0044701E">
        <w:t>Compensation and legal payments.</w:t>
      </w:r>
    </w:p>
    <w:p w14:paraId="2239DFC3" w14:textId="77777777" w:rsidR="007B20B0" w:rsidRPr="0044701E" w:rsidRDefault="007B20B0" w:rsidP="00BA1132">
      <w:pPr>
        <w:pStyle w:val="ChartandTableFootnoteAlpha"/>
        <w:numPr>
          <w:ilvl w:val="0"/>
          <w:numId w:val="12"/>
        </w:numPr>
        <w:spacing w:before="60"/>
        <w:ind w:left="284" w:hanging="284"/>
      </w:pPr>
      <w:r w:rsidRPr="0044701E">
        <w:t>Act of grace payments</w:t>
      </w:r>
      <w:bookmarkEnd w:id="52"/>
      <w:r w:rsidRPr="0044701E">
        <w:t>.</w:t>
      </w:r>
    </w:p>
    <w:p w14:paraId="2239DFC4" w14:textId="77777777" w:rsidR="007B20B0" w:rsidRPr="007B20B0" w:rsidRDefault="007B20B0" w:rsidP="007B20B0">
      <w:pPr>
        <w:pStyle w:val="ChartandTableFootnoteAlpha"/>
        <w:spacing w:before="0"/>
        <w:ind w:left="360"/>
        <w:jc w:val="both"/>
      </w:pPr>
    </w:p>
    <w:p w14:paraId="2239DFC5" w14:textId="77777777" w:rsidR="0008449F" w:rsidRPr="005A7C0B" w:rsidRDefault="00E06F9F" w:rsidP="00AD42E2">
      <w:pPr>
        <w:pStyle w:val="Heading3"/>
        <w:spacing w:before="0"/>
      </w:pPr>
      <w:r>
        <w:br w:type="page"/>
      </w:r>
      <w:bookmarkStart w:id="53" w:name="_Toc444523511"/>
      <w:bookmarkStart w:id="54" w:name="_Toc116742493"/>
      <w:bookmarkStart w:id="55" w:name="_Toc117027157"/>
      <w:bookmarkStart w:id="56" w:name="_Toc117070783"/>
      <w:bookmarkStart w:id="57" w:name="_Toc117071037"/>
      <w:bookmarkStart w:id="58" w:name="_Toc117078071"/>
      <w:r w:rsidR="0008449F" w:rsidRPr="005A7C0B">
        <w:lastRenderedPageBreak/>
        <w:t>1.3</w:t>
      </w:r>
      <w:r w:rsidR="0008449F" w:rsidRPr="005A7C0B">
        <w:tab/>
        <w:t>Budget measures</w:t>
      </w:r>
      <w:bookmarkEnd w:id="50"/>
      <w:bookmarkEnd w:id="51"/>
      <w:bookmarkEnd w:id="53"/>
      <w:bookmarkEnd w:id="54"/>
      <w:bookmarkEnd w:id="55"/>
      <w:bookmarkEnd w:id="56"/>
      <w:bookmarkEnd w:id="57"/>
      <w:bookmarkEnd w:id="58"/>
    </w:p>
    <w:p w14:paraId="2239DFC6" w14:textId="77777777" w:rsidR="00F20B6E" w:rsidRDefault="00DC32EC" w:rsidP="0008449F">
      <w:r w:rsidRPr="00DC32EC">
        <w:t xml:space="preserve">Budget measures </w:t>
      </w:r>
      <w:r w:rsidR="005C4BEE">
        <w:t xml:space="preserve">in Part 1 </w:t>
      </w:r>
      <w:r w:rsidRPr="00DC32EC">
        <w:t>relating to</w:t>
      </w:r>
      <w:r w:rsidR="001B03CC">
        <w:t xml:space="preserve"> entity </w:t>
      </w:r>
      <w:r w:rsidR="0049437D">
        <w:t>Finance</w:t>
      </w:r>
      <w:r w:rsidRPr="00DC32EC">
        <w:t xml:space="preserve"> a</w:t>
      </w:r>
      <w:r w:rsidR="00CB4589">
        <w:t xml:space="preserve">re detailed in </w:t>
      </w:r>
      <w:r w:rsidR="00B47998">
        <w:t xml:space="preserve">the October </w:t>
      </w:r>
      <w:r w:rsidR="00CB4589">
        <w:t>Budget Paper No. </w:t>
      </w:r>
      <w:r w:rsidRPr="00DC32EC">
        <w:t>2</w:t>
      </w:r>
      <w:r w:rsidR="00C2641F">
        <w:t xml:space="preserve"> and are summarised </w:t>
      </w:r>
      <w:r w:rsidR="002C7703">
        <w:t>below</w:t>
      </w:r>
      <w:r w:rsidR="003D4188">
        <w:t>.</w:t>
      </w:r>
    </w:p>
    <w:p w14:paraId="211E02D9" w14:textId="77777777" w:rsidR="00EB3169" w:rsidRPr="009A40DD" w:rsidRDefault="00EB3169" w:rsidP="00EB3169">
      <w:pPr>
        <w:pStyle w:val="TableHeading"/>
      </w:pPr>
      <w:r w:rsidRPr="009A40DD">
        <w:t xml:space="preserve">Table 1.2: </w:t>
      </w:r>
      <w:r>
        <w:t>Department of Finance</w:t>
      </w:r>
      <w:r w:rsidRPr="009A40DD">
        <w:t xml:space="preserve"> </w:t>
      </w:r>
      <w:r>
        <w:t xml:space="preserve">October 2022-23 </w:t>
      </w:r>
      <w:r w:rsidRPr="009A40DD">
        <w:t>Budget measures</w:t>
      </w:r>
    </w:p>
    <w:p w14:paraId="4910CF1B" w14:textId="6CD00EE2" w:rsidR="00E83DA4" w:rsidRDefault="00EB3169" w:rsidP="005545DF">
      <w:pPr>
        <w:spacing w:before="0" w:after="0" w:line="240" w:lineRule="auto"/>
        <w:rPr>
          <w:rFonts w:ascii="Arial Bold" w:hAnsi="Arial Bold"/>
          <w:b/>
        </w:rPr>
      </w:pPr>
      <w:r>
        <w:rPr>
          <w:rFonts w:ascii="Arial Bold" w:hAnsi="Arial Bold"/>
          <w:b/>
        </w:rPr>
        <w:t xml:space="preserve">Part 1: </w:t>
      </w:r>
      <w:r w:rsidRPr="007F6CAD">
        <w:rPr>
          <w:rFonts w:ascii="Arial Bold" w:hAnsi="Arial Bold"/>
          <w:b/>
        </w:rPr>
        <w:t xml:space="preserve">Measures announced </w:t>
      </w:r>
      <w:r>
        <w:rPr>
          <w:rFonts w:ascii="Arial Bold" w:hAnsi="Arial Bold"/>
          <w:b/>
        </w:rPr>
        <w:t>since</w:t>
      </w:r>
      <w:r w:rsidRPr="007F6CAD">
        <w:rPr>
          <w:rFonts w:ascii="Arial Bold" w:hAnsi="Arial Bold"/>
          <w:b/>
        </w:rPr>
        <w:t xml:space="preserve"> the</w:t>
      </w:r>
      <w:r>
        <w:rPr>
          <w:rFonts w:ascii="Arial Bold" w:hAnsi="Arial Bold"/>
          <w:b/>
        </w:rPr>
        <w:t xml:space="preserve"> 2022-23 March Budget</w:t>
      </w:r>
    </w:p>
    <w:p w14:paraId="20A2A09D" w14:textId="485C14C8" w:rsidR="00EB3169" w:rsidRPr="005545DF" w:rsidRDefault="00E54E35" w:rsidP="008B10FE">
      <w:pPr>
        <w:spacing w:before="30" w:after="0" w:line="240" w:lineRule="auto"/>
        <w:rPr>
          <w:rFonts w:ascii="Arial Bold" w:hAnsi="Arial Bold"/>
          <w:b/>
        </w:rPr>
      </w:pPr>
      <w:r w:rsidRPr="00E54E35">
        <w:rPr>
          <w:rFonts w:ascii="Arial" w:hAnsi="Arial" w:cs="Arial"/>
          <w:noProof/>
          <w:sz w:val="16"/>
          <w:szCs w:val="16"/>
          <w:lang w:eastAsia="zh-CN"/>
        </w:rPr>
        <w:drawing>
          <wp:inline distT="0" distB="0" distL="0" distR="0" wp14:anchorId="188DF440" wp14:editId="5FA9EE9C">
            <wp:extent cx="4762500" cy="6075550"/>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70153" cy="6085313"/>
                    </a:xfrm>
                    <a:prstGeom prst="rect">
                      <a:avLst/>
                    </a:prstGeom>
                    <a:noFill/>
                    <a:ln>
                      <a:noFill/>
                    </a:ln>
                  </pic:spPr>
                </pic:pic>
              </a:graphicData>
            </a:graphic>
          </wp:inline>
        </w:drawing>
      </w:r>
      <w:r w:rsidR="00EB3169" w:rsidRPr="00E83DA4">
        <w:rPr>
          <w:rFonts w:ascii="Arial" w:hAnsi="Arial" w:cs="Arial"/>
          <w:sz w:val="16"/>
          <w:szCs w:val="16"/>
        </w:rPr>
        <w:t>Table continues on next page</w:t>
      </w:r>
      <w:r w:rsidR="00EB3169">
        <w:br w:type="page"/>
      </w:r>
    </w:p>
    <w:p w14:paraId="2239DFC7" w14:textId="779EC2C3" w:rsidR="00AF3811" w:rsidRPr="00EB3169" w:rsidRDefault="00AF3811" w:rsidP="00EB3169">
      <w:pPr>
        <w:pStyle w:val="TableHeading"/>
      </w:pPr>
      <w:r w:rsidRPr="009A40DD">
        <w:lastRenderedPageBreak/>
        <w:t xml:space="preserve">Table 1.2: </w:t>
      </w:r>
      <w:r w:rsidR="0049437D">
        <w:t>Department of Finance</w:t>
      </w:r>
      <w:r w:rsidR="007E6BBD" w:rsidRPr="009A40DD">
        <w:t xml:space="preserve"> </w:t>
      </w:r>
      <w:r w:rsidR="00B47998">
        <w:t xml:space="preserve">October </w:t>
      </w:r>
      <w:r w:rsidR="00400A8B">
        <w:t>2022</w:t>
      </w:r>
      <w:r w:rsidR="00FC6CF3">
        <w:t>-</w:t>
      </w:r>
      <w:r w:rsidR="00400A8B">
        <w:t xml:space="preserve">23 </w:t>
      </w:r>
      <w:r w:rsidRPr="009A40DD">
        <w:t>Budget measures</w:t>
      </w:r>
      <w:r w:rsidR="00EB3169">
        <w:t xml:space="preserve"> (continued)</w:t>
      </w:r>
    </w:p>
    <w:p w14:paraId="1A433DDB" w14:textId="1291E96C" w:rsidR="00196223" w:rsidRPr="00875189" w:rsidRDefault="00C65397" w:rsidP="00196223">
      <w:pPr>
        <w:pStyle w:val="TableHeading"/>
        <w:spacing w:before="60" w:after="0"/>
        <w:rPr>
          <w:sz w:val="19"/>
          <w:szCs w:val="19"/>
        </w:rPr>
      </w:pPr>
      <w:r w:rsidRPr="00875189">
        <w:rPr>
          <w:sz w:val="19"/>
          <w:szCs w:val="19"/>
        </w:rPr>
        <w:t xml:space="preserve">Part 1: </w:t>
      </w:r>
      <w:r w:rsidR="007F6CAD" w:rsidRPr="00875189">
        <w:rPr>
          <w:sz w:val="19"/>
          <w:szCs w:val="19"/>
        </w:rPr>
        <w:t xml:space="preserve">Measures announced </w:t>
      </w:r>
      <w:r w:rsidR="00FC6CF3" w:rsidRPr="00875189">
        <w:rPr>
          <w:sz w:val="19"/>
          <w:szCs w:val="19"/>
        </w:rPr>
        <w:t xml:space="preserve">since </w:t>
      </w:r>
      <w:r w:rsidR="007F6CAD" w:rsidRPr="00875189">
        <w:rPr>
          <w:sz w:val="19"/>
          <w:szCs w:val="19"/>
        </w:rPr>
        <w:t xml:space="preserve">the </w:t>
      </w:r>
      <w:r w:rsidR="00400A8B" w:rsidRPr="00875189">
        <w:rPr>
          <w:sz w:val="19"/>
          <w:szCs w:val="19"/>
        </w:rPr>
        <w:t>202</w:t>
      </w:r>
      <w:r w:rsidR="00772A9B" w:rsidRPr="00875189">
        <w:rPr>
          <w:sz w:val="19"/>
          <w:szCs w:val="19"/>
        </w:rPr>
        <w:t>2</w:t>
      </w:r>
      <w:r w:rsidR="00FC6CF3" w:rsidRPr="00875189">
        <w:rPr>
          <w:sz w:val="19"/>
          <w:szCs w:val="19"/>
        </w:rPr>
        <w:t>-</w:t>
      </w:r>
      <w:r w:rsidR="002E59C4" w:rsidRPr="00875189">
        <w:rPr>
          <w:sz w:val="19"/>
          <w:szCs w:val="19"/>
        </w:rPr>
        <w:t>2</w:t>
      </w:r>
      <w:r w:rsidR="00772A9B" w:rsidRPr="00875189">
        <w:rPr>
          <w:sz w:val="19"/>
          <w:szCs w:val="19"/>
        </w:rPr>
        <w:t>3</w:t>
      </w:r>
      <w:r w:rsidR="002E59C4" w:rsidRPr="00875189">
        <w:rPr>
          <w:sz w:val="19"/>
          <w:szCs w:val="19"/>
        </w:rPr>
        <w:t xml:space="preserve"> </w:t>
      </w:r>
      <w:r w:rsidR="00772A9B" w:rsidRPr="00875189">
        <w:rPr>
          <w:sz w:val="19"/>
          <w:szCs w:val="19"/>
        </w:rPr>
        <w:t>March Budget</w:t>
      </w:r>
    </w:p>
    <w:p w14:paraId="02B4986C" w14:textId="77777777" w:rsidR="003F6675" w:rsidRPr="003F6675" w:rsidRDefault="003F6675" w:rsidP="003F6675">
      <w:pPr>
        <w:pStyle w:val="TableGraphic"/>
      </w:pPr>
    </w:p>
    <w:p w14:paraId="0EF336AA" w14:textId="77777777" w:rsidR="00196223" w:rsidRPr="00196223" w:rsidRDefault="00196223" w:rsidP="00DD0B93">
      <w:pPr>
        <w:pStyle w:val="TableGraphic"/>
        <w:spacing w:before="60"/>
        <w:ind w:right="0"/>
        <w:rPr>
          <w:rFonts w:ascii="Arial" w:hAnsi="Arial" w:cs="Arial"/>
          <w:sz w:val="16"/>
          <w:szCs w:val="16"/>
        </w:rPr>
      </w:pPr>
      <w:r w:rsidRPr="00196223">
        <w:rPr>
          <w:rFonts w:ascii="Arial" w:hAnsi="Arial" w:cs="Arial"/>
          <w:sz w:val="16"/>
          <w:szCs w:val="16"/>
        </w:rPr>
        <w:t>"Prepared on a Government Financial Statistics (Underlying Cash) basis. Figures displayed as a negative (-) represent a decrease in funds and a positive (+) represent an increase in funds."</w:t>
      </w:r>
    </w:p>
    <w:p w14:paraId="14F12AA5" w14:textId="7350F4A5" w:rsidR="00622DDE" w:rsidRPr="00622DDE" w:rsidRDefault="00622DDE" w:rsidP="00BA1132">
      <w:pPr>
        <w:pStyle w:val="TableGraphic"/>
        <w:spacing w:before="60"/>
        <w:ind w:left="284" w:right="0" w:hanging="284"/>
        <w:rPr>
          <w:rFonts w:ascii="Arial" w:hAnsi="Arial" w:cs="Arial"/>
          <w:sz w:val="16"/>
          <w:szCs w:val="16"/>
        </w:rPr>
      </w:pPr>
      <w:bookmarkStart w:id="59" w:name="_Toc444523512"/>
      <w:bookmarkStart w:id="60" w:name="_Toc116742494"/>
      <w:bookmarkStart w:id="61" w:name="_Toc190682312"/>
      <w:bookmarkStart w:id="62" w:name="_Toc190682530"/>
      <w:r>
        <w:t>a</w:t>
      </w:r>
      <w:r w:rsidRPr="00622DDE">
        <w:rPr>
          <w:rFonts w:ascii="Arial" w:hAnsi="Arial" w:cs="Arial"/>
          <w:sz w:val="16"/>
          <w:szCs w:val="16"/>
        </w:rPr>
        <w:t>)</w:t>
      </w:r>
      <w:r w:rsidRPr="00622DDE">
        <w:rPr>
          <w:rFonts w:ascii="Arial" w:hAnsi="Arial" w:cs="Arial"/>
          <w:sz w:val="16"/>
          <w:szCs w:val="16"/>
        </w:rPr>
        <w:tab/>
      </w:r>
      <w:r w:rsidR="00606300" w:rsidRPr="00606300">
        <w:rPr>
          <w:rFonts w:ascii="Arial" w:hAnsi="Arial" w:cs="Arial"/>
          <w:sz w:val="16"/>
          <w:szCs w:val="16"/>
        </w:rPr>
        <w:t xml:space="preserve">The lead entity for measure titled </w:t>
      </w:r>
      <w:r w:rsidR="00606300" w:rsidRPr="00606300">
        <w:rPr>
          <w:rFonts w:ascii="Arial" w:hAnsi="Arial" w:cs="Arial"/>
          <w:i/>
          <w:sz w:val="16"/>
          <w:szCs w:val="16"/>
        </w:rPr>
        <w:t>Safer and More Affordable Housing</w:t>
      </w:r>
      <w:r w:rsidR="00606300" w:rsidRPr="00606300">
        <w:rPr>
          <w:rFonts w:ascii="Arial" w:hAnsi="Arial" w:cs="Arial"/>
          <w:sz w:val="16"/>
          <w:szCs w:val="16"/>
        </w:rPr>
        <w:t xml:space="preserve"> is the Department of the Treasury a</w:t>
      </w:r>
      <w:r w:rsidR="006A7227">
        <w:rPr>
          <w:rFonts w:ascii="Arial" w:hAnsi="Arial" w:cs="Arial"/>
          <w:sz w:val="16"/>
          <w:szCs w:val="16"/>
        </w:rPr>
        <w:t>nd the amounts are held in the contingency r</w:t>
      </w:r>
      <w:r w:rsidR="00606300" w:rsidRPr="00606300">
        <w:rPr>
          <w:rFonts w:ascii="Arial" w:hAnsi="Arial" w:cs="Arial"/>
          <w:sz w:val="16"/>
          <w:szCs w:val="16"/>
        </w:rPr>
        <w:t>eserve. The full measure description and package details appear in the October Budget Paper No.</w:t>
      </w:r>
      <w:r w:rsidR="0075199B">
        <w:rPr>
          <w:rFonts w:ascii="Arial" w:hAnsi="Arial" w:cs="Arial"/>
          <w:sz w:val="16"/>
          <w:szCs w:val="16"/>
        </w:rPr>
        <w:t xml:space="preserve"> </w:t>
      </w:r>
      <w:r w:rsidR="00312D77">
        <w:rPr>
          <w:rFonts w:ascii="Arial" w:hAnsi="Arial" w:cs="Arial"/>
          <w:sz w:val="16"/>
          <w:szCs w:val="16"/>
        </w:rPr>
        <w:t>2 under the Treasury p</w:t>
      </w:r>
      <w:r w:rsidR="00606300" w:rsidRPr="00606300">
        <w:rPr>
          <w:rFonts w:ascii="Arial" w:hAnsi="Arial" w:cs="Arial"/>
          <w:sz w:val="16"/>
          <w:szCs w:val="16"/>
        </w:rPr>
        <w:t>ortfolio.</w:t>
      </w:r>
    </w:p>
    <w:p w14:paraId="02FDC41A" w14:textId="77777777"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b)</w:t>
      </w:r>
      <w:r w:rsidRPr="00622DDE">
        <w:rPr>
          <w:rFonts w:ascii="Arial" w:hAnsi="Arial" w:cs="Arial"/>
          <w:sz w:val="16"/>
          <w:szCs w:val="16"/>
        </w:rPr>
        <w:tab/>
        <w:t xml:space="preserve">The lead entity for measure titled </w:t>
      </w:r>
      <w:r w:rsidRPr="00040818">
        <w:rPr>
          <w:rFonts w:ascii="Arial" w:hAnsi="Arial" w:cs="Arial"/>
          <w:i/>
          <w:sz w:val="16"/>
          <w:szCs w:val="16"/>
        </w:rPr>
        <w:t>Abolish the Cashless Debit Card</w:t>
      </w:r>
      <w:r w:rsidRPr="00622DDE">
        <w:rPr>
          <w:rFonts w:ascii="Arial" w:hAnsi="Arial" w:cs="Arial"/>
          <w:sz w:val="16"/>
          <w:szCs w:val="16"/>
        </w:rPr>
        <w:t xml:space="preserve"> is the Department of Social Services. The full measure description and package details appear in the October Budget Paper No. 2 under the Social Services portfolio. </w:t>
      </w:r>
    </w:p>
    <w:p w14:paraId="5C58C9D9" w14:textId="1CEAA9AC"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c)</w:t>
      </w:r>
      <w:r w:rsidRPr="00622DDE">
        <w:rPr>
          <w:rFonts w:ascii="Arial" w:hAnsi="Arial" w:cs="Arial"/>
          <w:sz w:val="16"/>
          <w:szCs w:val="16"/>
        </w:rPr>
        <w:tab/>
      </w:r>
      <w:r w:rsidR="00250B66" w:rsidRPr="00250B66">
        <w:rPr>
          <w:rFonts w:ascii="Arial" w:hAnsi="Arial" w:cs="Arial"/>
          <w:sz w:val="16"/>
          <w:szCs w:val="16"/>
        </w:rPr>
        <w:t xml:space="preserve">The lead entity for measure titled </w:t>
      </w:r>
      <w:r w:rsidR="00250B66" w:rsidRPr="00250B66">
        <w:rPr>
          <w:rFonts w:ascii="Arial" w:hAnsi="Arial" w:cs="Arial"/>
          <w:i/>
          <w:sz w:val="16"/>
          <w:szCs w:val="16"/>
        </w:rPr>
        <w:t>An Ambitious and Enduring APS Reform Plan</w:t>
      </w:r>
      <w:r w:rsidR="00250B66" w:rsidRPr="00250B66">
        <w:rPr>
          <w:rFonts w:ascii="Arial" w:hAnsi="Arial" w:cs="Arial"/>
          <w:sz w:val="16"/>
          <w:szCs w:val="16"/>
        </w:rPr>
        <w:t xml:space="preserve"> is the Department of the Prime Minister and Cabinet. The full measure description and package details appear in the October Budget Paper No. 2 under the Prime Minister and Cabinet portfolio.</w:t>
      </w:r>
    </w:p>
    <w:p w14:paraId="554470B6" w14:textId="77777777"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d)</w:t>
      </w:r>
      <w:r w:rsidRPr="00622DDE">
        <w:rPr>
          <w:rFonts w:ascii="Arial" w:hAnsi="Arial" w:cs="Arial"/>
          <w:sz w:val="16"/>
          <w:szCs w:val="16"/>
        </w:rPr>
        <w:tab/>
        <w:t xml:space="preserve">The lead entity for measure titled </w:t>
      </w:r>
      <w:r w:rsidRPr="00040818">
        <w:rPr>
          <w:rFonts w:ascii="Arial" w:hAnsi="Arial" w:cs="Arial"/>
          <w:i/>
          <w:sz w:val="16"/>
          <w:szCs w:val="16"/>
        </w:rPr>
        <w:t>Buy Australian Plan</w:t>
      </w:r>
      <w:r w:rsidRPr="00622DDE">
        <w:rPr>
          <w:rFonts w:ascii="Arial" w:hAnsi="Arial" w:cs="Arial"/>
          <w:sz w:val="16"/>
          <w:szCs w:val="16"/>
        </w:rPr>
        <w:t xml:space="preserve"> is the Department of Finance. The full measure description and package details appear in the October Budget Paper No. 2 under the Finance portfolio. </w:t>
      </w:r>
    </w:p>
    <w:p w14:paraId="3DA4CFA8" w14:textId="3AB4947E"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e)</w:t>
      </w:r>
      <w:r w:rsidRPr="00622DDE">
        <w:rPr>
          <w:rFonts w:ascii="Arial" w:hAnsi="Arial" w:cs="Arial"/>
          <w:sz w:val="16"/>
          <w:szCs w:val="16"/>
        </w:rPr>
        <w:tab/>
      </w:r>
      <w:r w:rsidR="00471520" w:rsidRPr="00471520">
        <w:rPr>
          <w:rFonts w:ascii="Arial" w:hAnsi="Arial" w:cs="Arial"/>
          <w:sz w:val="16"/>
          <w:szCs w:val="16"/>
        </w:rPr>
        <w:t xml:space="preserve">The lead entity for measure titled </w:t>
      </w:r>
      <w:r w:rsidR="00471520" w:rsidRPr="00471520">
        <w:rPr>
          <w:rFonts w:ascii="Arial" w:hAnsi="Arial" w:cs="Arial"/>
          <w:i/>
          <w:sz w:val="16"/>
          <w:szCs w:val="16"/>
        </w:rPr>
        <w:t>Delivery of a First Nations Voice to Parliament Referendum</w:t>
      </w:r>
      <w:r w:rsidR="00431B84">
        <w:rPr>
          <w:rFonts w:ascii="Arial" w:hAnsi="Arial" w:cs="Arial"/>
          <w:i/>
          <w:sz w:val="16"/>
          <w:szCs w:val="16"/>
        </w:rPr>
        <w:t xml:space="preserve"> –</w:t>
      </w:r>
      <w:r w:rsidR="00471520" w:rsidRPr="00471520">
        <w:rPr>
          <w:rFonts w:ascii="Arial" w:hAnsi="Arial" w:cs="Arial"/>
          <w:i/>
          <w:sz w:val="16"/>
          <w:szCs w:val="16"/>
        </w:rPr>
        <w:t xml:space="preserve"> preparatory work</w:t>
      </w:r>
      <w:r w:rsidR="00471520" w:rsidRPr="00471520">
        <w:rPr>
          <w:rFonts w:ascii="Arial" w:hAnsi="Arial" w:cs="Arial"/>
          <w:sz w:val="16"/>
          <w:szCs w:val="16"/>
        </w:rPr>
        <w:t xml:space="preserve"> is the Australian Electoral Commission. The full measure description and package details appear in the October Budget Paper No. 2 under the Prime Minister and Cabinet portfolio.</w:t>
      </w:r>
    </w:p>
    <w:p w14:paraId="76BF3C31" w14:textId="77777777"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f)</w:t>
      </w:r>
      <w:r w:rsidRPr="00622DDE">
        <w:rPr>
          <w:rFonts w:ascii="Arial" w:hAnsi="Arial" w:cs="Arial"/>
          <w:sz w:val="16"/>
          <w:szCs w:val="16"/>
        </w:rPr>
        <w:tab/>
        <w:t xml:space="preserve">The lead entity for measure titled </w:t>
      </w:r>
      <w:r w:rsidRPr="00040818">
        <w:rPr>
          <w:rFonts w:ascii="Arial" w:hAnsi="Arial" w:cs="Arial"/>
          <w:i/>
          <w:sz w:val="16"/>
          <w:szCs w:val="16"/>
        </w:rPr>
        <w:t>Implementing Aged Care Reform</w:t>
      </w:r>
      <w:r w:rsidRPr="00622DDE">
        <w:rPr>
          <w:rFonts w:ascii="Arial" w:hAnsi="Arial" w:cs="Arial"/>
          <w:sz w:val="16"/>
          <w:szCs w:val="16"/>
        </w:rPr>
        <w:t xml:space="preserve"> is the Department of Health and Aged Care. The full measure description and package details appear in the October Budget Paper No. 2 under the Health and Aged Care portfolio. </w:t>
      </w:r>
    </w:p>
    <w:p w14:paraId="21750DAD" w14:textId="7321F15D"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g)</w:t>
      </w:r>
      <w:r w:rsidRPr="00622DDE">
        <w:rPr>
          <w:rFonts w:ascii="Arial" w:hAnsi="Arial" w:cs="Arial"/>
          <w:sz w:val="16"/>
          <w:szCs w:val="16"/>
        </w:rPr>
        <w:tab/>
        <w:t xml:space="preserve">The lead entity for measure titled </w:t>
      </w:r>
      <w:r w:rsidR="00431B84">
        <w:rPr>
          <w:rFonts w:ascii="Arial" w:hAnsi="Arial" w:cs="Arial"/>
          <w:i/>
          <w:sz w:val="16"/>
          <w:szCs w:val="16"/>
        </w:rPr>
        <w:t xml:space="preserve">National Reconstruction Fund </w:t>
      </w:r>
      <w:r w:rsidR="00431B84" w:rsidRPr="00431B84">
        <w:rPr>
          <w:rFonts w:ascii="Arial" w:hAnsi="Arial" w:cs="Arial"/>
          <w:i/>
          <w:sz w:val="16"/>
          <w:szCs w:val="16"/>
        </w:rPr>
        <w:t xml:space="preserve">– </w:t>
      </w:r>
      <w:r w:rsidRPr="00040818">
        <w:rPr>
          <w:rFonts w:ascii="Arial" w:hAnsi="Arial" w:cs="Arial"/>
          <w:i/>
          <w:sz w:val="16"/>
          <w:szCs w:val="16"/>
        </w:rPr>
        <w:t>establishment</w:t>
      </w:r>
      <w:r w:rsidRPr="00622DDE">
        <w:rPr>
          <w:rFonts w:ascii="Arial" w:hAnsi="Arial" w:cs="Arial"/>
          <w:sz w:val="16"/>
          <w:szCs w:val="16"/>
        </w:rPr>
        <w:t xml:space="preserve"> is the Department of Industry, Science and Resources. The full measure description and package details appear in the October Budget Paper No. 2 under the Industry, Science and Resources portfolio. </w:t>
      </w:r>
    </w:p>
    <w:p w14:paraId="229A72A7" w14:textId="77777777"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h)</w:t>
      </w:r>
      <w:r w:rsidRPr="00622DDE">
        <w:rPr>
          <w:rFonts w:ascii="Arial" w:hAnsi="Arial" w:cs="Arial"/>
          <w:sz w:val="16"/>
          <w:szCs w:val="16"/>
        </w:rPr>
        <w:tab/>
        <w:t xml:space="preserve">The lead entity for measure titled </w:t>
      </w:r>
      <w:r w:rsidRPr="00040818">
        <w:rPr>
          <w:rFonts w:ascii="Arial" w:hAnsi="Arial" w:cs="Arial"/>
          <w:i/>
          <w:sz w:val="16"/>
          <w:szCs w:val="16"/>
        </w:rPr>
        <w:t>National Security Office Precinct</w:t>
      </w:r>
      <w:r w:rsidRPr="00622DDE">
        <w:rPr>
          <w:rFonts w:ascii="Arial" w:hAnsi="Arial" w:cs="Arial"/>
          <w:sz w:val="16"/>
          <w:szCs w:val="16"/>
        </w:rPr>
        <w:t xml:space="preserve"> is the Department of Finance. The full measure description and package details appear in the October Budget Paper No. 2 under the Finance portfolio. The financials are not for publication due to commercial and national security sensitivities.</w:t>
      </w:r>
    </w:p>
    <w:p w14:paraId="1A2D2B1D" w14:textId="77777777"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i)</w:t>
      </w:r>
      <w:r w:rsidRPr="00622DDE">
        <w:rPr>
          <w:rFonts w:ascii="Arial" w:hAnsi="Arial" w:cs="Arial"/>
          <w:sz w:val="16"/>
          <w:szCs w:val="16"/>
        </w:rPr>
        <w:tab/>
        <w:t xml:space="preserve">The lead entity for measure titled </w:t>
      </w:r>
      <w:r w:rsidRPr="00040818">
        <w:rPr>
          <w:rFonts w:ascii="Arial" w:hAnsi="Arial" w:cs="Arial"/>
          <w:i/>
          <w:sz w:val="16"/>
          <w:szCs w:val="16"/>
        </w:rPr>
        <w:t>Pacific Security and Engagement Initiatives</w:t>
      </w:r>
      <w:r w:rsidRPr="00622DDE">
        <w:rPr>
          <w:rFonts w:ascii="Arial" w:hAnsi="Arial" w:cs="Arial"/>
          <w:sz w:val="16"/>
          <w:szCs w:val="16"/>
        </w:rPr>
        <w:t xml:space="preserve"> is the Department of Foreign Affairs and Trade. The full measure description and package details appear in the October Budget Paper No. 2 under the Foreign Affairs and Trade portfolio. The financials are not for publication due to commercial sensitivities.</w:t>
      </w:r>
    </w:p>
    <w:p w14:paraId="51DBC516" w14:textId="21EE13B9"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j)</w:t>
      </w:r>
      <w:r w:rsidRPr="00622DDE">
        <w:rPr>
          <w:rFonts w:ascii="Arial" w:hAnsi="Arial" w:cs="Arial"/>
          <w:sz w:val="16"/>
          <w:szCs w:val="16"/>
        </w:rPr>
        <w:tab/>
        <w:t xml:space="preserve">The lead entity for the measure </w:t>
      </w:r>
      <w:r w:rsidR="00AD5F5E">
        <w:rPr>
          <w:rFonts w:ascii="Arial" w:hAnsi="Arial" w:cs="Arial"/>
          <w:sz w:val="16"/>
          <w:szCs w:val="16"/>
        </w:rPr>
        <w:t xml:space="preserve">titled </w:t>
      </w:r>
      <w:r w:rsidRPr="00040818">
        <w:rPr>
          <w:rFonts w:ascii="Arial" w:hAnsi="Arial" w:cs="Arial"/>
          <w:i/>
          <w:sz w:val="16"/>
          <w:szCs w:val="16"/>
        </w:rPr>
        <w:t>Powering Australia – Commonwealth Fleet Leases</w:t>
      </w:r>
      <w:r w:rsidRPr="00622DDE">
        <w:rPr>
          <w:rFonts w:ascii="Arial" w:hAnsi="Arial" w:cs="Arial"/>
          <w:sz w:val="16"/>
          <w:szCs w:val="16"/>
        </w:rPr>
        <w:t xml:space="preserve"> is the Department of Finance. The measure includes $15.5 million provisioned in the contingency reserve to be a</w:t>
      </w:r>
      <w:r w:rsidR="00AD5F5E">
        <w:rPr>
          <w:rFonts w:ascii="Arial" w:hAnsi="Arial" w:cs="Arial"/>
          <w:sz w:val="16"/>
          <w:szCs w:val="16"/>
        </w:rPr>
        <w:t xml:space="preserve">llocated to eligible entities. </w:t>
      </w:r>
      <w:r w:rsidRPr="00622DDE">
        <w:rPr>
          <w:rFonts w:ascii="Arial" w:hAnsi="Arial" w:cs="Arial"/>
          <w:sz w:val="16"/>
          <w:szCs w:val="16"/>
        </w:rPr>
        <w:t>The full measure description and package details appear in the October Budget Paper No.</w:t>
      </w:r>
      <w:r w:rsidR="00CE44E1">
        <w:rPr>
          <w:rFonts w:ascii="Arial" w:hAnsi="Arial" w:cs="Arial"/>
          <w:sz w:val="16"/>
          <w:szCs w:val="16"/>
        </w:rPr>
        <w:t xml:space="preserve"> </w:t>
      </w:r>
      <w:r w:rsidRPr="00622DDE">
        <w:rPr>
          <w:rFonts w:ascii="Arial" w:hAnsi="Arial" w:cs="Arial"/>
          <w:sz w:val="16"/>
          <w:szCs w:val="16"/>
        </w:rPr>
        <w:t>2 under the Finance portfolio</w:t>
      </w:r>
    </w:p>
    <w:p w14:paraId="7724B6C1" w14:textId="77777777"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k)</w:t>
      </w:r>
      <w:r w:rsidRPr="00622DDE">
        <w:rPr>
          <w:rFonts w:ascii="Arial" w:hAnsi="Arial" w:cs="Arial"/>
          <w:sz w:val="16"/>
          <w:szCs w:val="16"/>
        </w:rPr>
        <w:tab/>
        <w:t xml:space="preserve">The lead entity for measure titled </w:t>
      </w:r>
      <w:r w:rsidRPr="00040818">
        <w:rPr>
          <w:rFonts w:ascii="Arial" w:hAnsi="Arial" w:cs="Arial"/>
          <w:i/>
          <w:sz w:val="16"/>
          <w:szCs w:val="16"/>
        </w:rPr>
        <w:t>Purpose-Built Quarantine Facilities – maintenance</w:t>
      </w:r>
      <w:r w:rsidRPr="00622DDE">
        <w:rPr>
          <w:rFonts w:ascii="Arial" w:hAnsi="Arial" w:cs="Arial"/>
          <w:sz w:val="16"/>
          <w:szCs w:val="16"/>
        </w:rPr>
        <w:t xml:space="preserve"> is the Department of Finance. The full measure description and package details appear in the October Budget Paper No. 2 under the Finance portfolio. The financials are not for publication due to commercial sensitivities.</w:t>
      </w:r>
    </w:p>
    <w:p w14:paraId="5683FB2E" w14:textId="4626B493" w:rsidR="00622DDE" w:rsidRPr="00622DDE" w:rsidRDefault="00622DDE" w:rsidP="00BA1132">
      <w:pPr>
        <w:pStyle w:val="TableGraphic"/>
        <w:spacing w:before="60"/>
        <w:ind w:left="284" w:right="0" w:hanging="284"/>
        <w:rPr>
          <w:rFonts w:ascii="Arial" w:hAnsi="Arial" w:cs="Arial"/>
          <w:sz w:val="16"/>
          <w:szCs w:val="16"/>
        </w:rPr>
      </w:pPr>
      <w:r w:rsidRPr="00622DDE">
        <w:rPr>
          <w:rFonts w:ascii="Arial" w:hAnsi="Arial" w:cs="Arial"/>
          <w:sz w:val="16"/>
          <w:szCs w:val="16"/>
        </w:rPr>
        <w:t>l)</w:t>
      </w:r>
      <w:r w:rsidRPr="00622DDE">
        <w:rPr>
          <w:rFonts w:ascii="Arial" w:hAnsi="Arial" w:cs="Arial"/>
          <w:sz w:val="16"/>
          <w:szCs w:val="16"/>
        </w:rPr>
        <w:tab/>
      </w:r>
      <w:r w:rsidR="00AF6F0D" w:rsidRPr="00AF6F0D">
        <w:rPr>
          <w:rFonts w:ascii="Arial" w:hAnsi="Arial" w:cs="Arial"/>
          <w:sz w:val="16"/>
          <w:szCs w:val="16"/>
        </w:rPr>
        <w:t xml:space="preserve">The lead entity for measure titled </w:t>
      </w:r>
      <w:r w:rsidR="00AF6F0D" w:rsidRPr="00AF6F0D">
        <w:rPr>
          <w:rFonts w:ascii="Arial" w:hAnsi="Arial" w:cs="Arial"/>
          <w:i/>
          <w:sz w:val="16"/>
          <w:szCs w:val="16"/>
        </w:rPr>
        <w:t>Savings from External Labour, and Savings from Advertising, Travel and Legal Expenses</w:t>
      </w:r>
      <w:r w:rsidR="00AF6F0D" w:rsidRPr="00AF6F0D">
        <w:rPr>
          <w:rFonts w:ascii="Arial" w:hAnsi="Arial" w:cs="Arial"/>
          <w:sz w:val="16"/>
          <w:szCs w:val="16"/>
        </w:rPr>
        <w:t xml:space="preserve"> is the Department of the Prime Minister and Cabinet. The full measure description and package details appear in the October Budget Paper No. 2 under the Prime Minister and Cabinet portfolio.</w:t>
      </w:r>
    </w:p>
    <w:p w14:paraId="4EB480EB" w14:textId="74E5B575" w:rsidR="00196223" w:rsidRPr="00667F67" w:rsidRDefault="00622DDE" w:rsidP="00667F67">
      <w:pPr>
        <w:pStyle w:val="TableGraphic"/>
        <w:spacing w:before="60"/>
        <w:ind w:left="284" w:right="0" w:hanging="284"/>
        <w:rPr>
          <w:rFonts w:ascii="Arial" w:hAnsi="Arial" w:cs="Arial"/>
          <w:sz w:val="16"/>
          <w:szCs w:val="16"/>
        </w:rPr>
      </w:pPr>
      <w:r w:rsidRPr="00622DDE">
        <w:rPr>
          <w:rFonts w:ascii="Arial" w:hAnsi="Arial" w:cs="Arial"/>
          <w:sz w:val="16"/>
          <w:szCs w:val="16"/>
        </w:rPr>
        <w:t>m)</w:t>
      </w:r>
      <w:r w:rsidRPr="00622DDE">
        <w:rPr>
          <w:rFonts w:ascii="Arial" w:hAnsi="Arial" w:cs="Arial"/>
          <w:sz w:val="16"/>
          <w:szCs w:val="16"/>
        </w:rPr>
        <w:tab/>
        <w:t xml:space="preserve">The lead entity for measure titled </w:t>
      </w:r>
      <w:r w:rsidRPr="00040818">
        <w:rPr>
          <w:rFonts w:ascii="Arial" w:hAnsi="Arial" w:cs="Arial"/>
          <w:i/>
          <w:sz w:val="16"/>
          <w:szCs w:val="16"/>
        </w:rPr>
        <w:t>Supporting Australia's Resources</w:t>
      </w:r>
      <w:r w:rsidRPr="00622DDE">
        <w:rPr>
          <w:rFonts w:ascii="Arial" w:hAnsi="Arial" w:cs="Arial"/>
          <w:sz w:val="16"/>
          <w:szCs w:val="16"/>
        </w:rPr>
        <w:t xml:space="preserve"> is the Department of Industry, Science and Resources. The full measure description and package details appear in the October Budget Paper No. 2 under the Industry, Science and Resources portfolio. The financials are not for publication due to commercial sensitivities.</w:t>
      </w:r>
      <w:r w:rsidR="00196223">
        <w:br w:type="page"/>
      </w:r>
    </w:p>
    <w:p w14:paraId="2239DFD8" w14:textId="01E1CE50" w:rsidR="00BE7D58" w:rsidRPr="00FB5B69" w:rsidRDefault="00BE7D58" w:rsidP="009D7FAB">
      <w:pPr>
        <w:pStyle w:val="Heading2"/>
      </w:pPr>
      <w:bookmarkStart w:id="63" w:name="_Toc117027158"/>
      <w:bookmarkStart w:id="64" w:name="_Toc117070784"/>
      <w:bookmarkStart w:id="65" w:name="_Toc117071038"/>
      <w:bookmarkStart w:id="66" w:name="_Toc117078072"/>
      <w:r w:rsidRPr="00FB5B69">
        <w:lastRenderedPageBreak/>
        <w:t xml:space="preserve">Section 2: Outcomes and </w:t>
      </w:r>
      <w:r w:rsidR="00CD3382" w:rsidRPr="00FB5B69">
        <w:t>p</w:t>
      </w:r>
      <w:r w:rsidR="0069466B" w:rsidRPr="00FB5B69">
        <w:t>lanned</w:t>
      </w:r>
      <w:r w:rsidRPr="00FB5B69">
        <w:t xml:space="preserve"> performance</w:t>
      </w:r>
      <w:bookmarkEnd w:id="59"/>
      <w:bookmarkEnd w:id="60"/>
      <w:bookmarkEnd w:id="63"/>
      <w:bookmarkEnd w:id="64"/>
      <w:bookmarkEnd w:id="65"/>
      <w:bookmarkEnd w:id="66"/>
    </w:p>
    <w:p w14:paraId="2239DFD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2239DFDA" w14:textId="3DB8665F" w:rsidR="00A61BD0" w:rsidRPr="00084B16" w:rsidRDefault="00BE7D58" w:rsidP="00BE7D58">
      <w:pPr>
        <w:rPr>
          <w:i/>
        </w:rPr>
      </w:pPr>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 xml:space="preserve">The following provides detailed </w:t>
      </w:r>
      <w:r w:rsidR="00A61BD0" w:rsidRPr="00084B16">
        <w:t>information on expenses for each outcome</w:t>
      </w:r>
      <w:r w:rsidR="001D1903" w:rsidRPr="00084B16">
        <w:t xml:space="preserve"> and </w:t>
      </w:r>
      <w:r w:rsidR="00290933" w:rsidRPr="00084B16">
        <w:t>program,</w:t>
      </w:r>
      <w:r w:rsidR="001D1903" w:rsidRPr="00084B16">
        <w:t xml:space="preserve"> further broken down by funding source</w:t>
      </w:r>
      <w:r w:rsidR="003959E6">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CE4D05" w:rsidRPr="001C6402" w14:paraId="2239DFDF" w14:textId="77777777" w:rsidTr="001C6402">
        <w:tc>
          <w:tcPr>
            <w:tcW w:w="7700" w:type="dxa"/>
            <w:shd w:val="clear" w:color="auto" w:fill="auto"/>
          </w:tcPr>
          <w:p w14:paraId="2239DFDB" w14:textId="77777777" w:rsidR="00CE4D05" w:rsidRPr="001C6402" w:rsidRDefault="00CE4D05" w:rsidP="001C6402">
            <w:pPr>
              <w:spacing w:before="120" w:after="120" w:line="240" w:lineRule="auto"/>
              <w:jc w:val="both"/>
              <w:rPr>
                <w:b/>
              </w:rPr>
            </w:pPr>
            <w:r w:rsidRPr="001C6402">
              <w:rPr>
                <w:b/>
              </w:rPr>
              <w:t>Note:</w:t>
            </w:r>
          </w:p>
          <w:p w14:paraId="2239DFDC" w14:textId="38DA32AD" w:rsidR="00CE4D05" w:rsidRPr="001C6402" w:rsidRDefault="00CE4D05" w:rsidP="001C6402">
            <w:pPr>
              <w:jc w:val="both"/>
            </w:pPr>
            <w:r w:rsidRPr="001C6402">
              <w:t>Performance reporting requirements in the Portfolio Budget Statements are part of the Commonwealth performance framework established by the</w:t>
            </w:r>
            <w:r w:rsidRPr="00BB5356">
              <w:t xml:space="preserve"> </w:t>
            </w:r>
            <w:r w:rsidR="00BB5356" w:rsidRPr="00BB5356">
              <w:t>PGPA Act</w:t>
            </w:r>
            <w:r w:rsidRPr="001C6402">
              <w:t xml:space="preserve">. It is anticipated that the performance </w:t>
            </w:r>
            <w:r w:rsidR="001A50DE" w:rsidRPr="001C6402">
              <w:t xml:space="preserve">measure </w:t>
            </w:r>
            <w:r w:rsidRPr="001C6402">
              <w:t>described in Portfolio Budget Statements will be read with broader information provided in an entity’s corporate plans and annual performance statements – included in Annual Reports - to provide a complete picture of an entity’s planned and actual performance.</w:t>
            </w:r>
          </w:p>
          <w:p w14:paraId="2239DFDD" w14:textId="19FF2177" w:rsidR="00F66EA4" w:rsidRPr="00836544" w:rsidRDefault="00F66EA4" w:rsidP="00F66EA4">
            <w:r w:rsidRPr="00836544">
              <w:t xml:space="preserve">The most recent corporate plan for Finance can be found at: </w:t>
            </w:r>
            <w:r w:rsidRPr="00A21EC8">
              <w:rPr>
                <w:u w:val="single"/>
              </w:rPr>
              <w:t>https://www.finance.gov.au/publications/corpo</w:t>
            </w:r>
            <w:r w:rsidR="00F71C70">
              <w:rPr>
                <w:u w:val="single"/>
              </w:rPr>
              <w:t>rate-plan/corporate-plan-2022-23</w:t>
            </w:r>
            <w:r w:rsidRPr="00836544">
              <w:t>.</w:t>
            </w:r>
          </w:p>
          <w:p w14:paraId="2239DFDE" w14:textId="1E214DE9" w:rsidR="00CE4D05" w:rsidRPr="001C6402" w:rsidRDefault="00F66EA4" w:rsidP="00F66EA4">
            <w:pPr>
              <w:jc w:val="both"/>
            </w:pPr>
            <w:r w:rsidRPr="00836544">
              <w:t xml:space="preserve">The most recent annual performance statement can be found at: </w:t>
            </w:r>
            <w:r w:rsidRPr="00A21EC8">
              <w:rPr>
                <w:u w:val="single"/>
              </w:rPr>
              <w:t>https://www.finance.gov.au/publications/ann</w:t>
            </w:r>
            <w:r w:rsidR="00084B16">
              <w:rPr>
                <w:u w:val="single"/>
              </w:rPr>
              <w:t>ual-report/annual-report-2021-22</w:t>
            </w:r>
            <w:r w:rsidRPr="00836544">
              <w:t xml:space="preserve"> and </w:t>
            </w:r>
            <w:r w:rsidRPr="00A21EC8">
              <w:rPr>
                <w:u w:val="single"/>
              </w:rPr>
              <w:t>https://www.transparency.gov.au/annual</w:t>
            </w:r>
            <w:r w:rsidRPr="00A21EC8">
              <w:rPr>
                <w:u w:val="single"/>
              </w:rPr>
              <w:noBreakHyphen/>
              <w:t>reports/departmen</w:t>
            </w:r>
            <w:r w:rsidR="00084B16">
              <w:rPr>
                <w:u w:val="single"/>
              </w:rPr>
              <w:t>t</w:t>
            </w:r>
            <w:r w:rsidR="00084B16">
              <w:rPr>
                <w:u w:val="single"/>
              </w:rPr>
              <w:noBreakHyphen/>
              <w:t>finance/reporting-year/2021-22</w:t>
            </w:r>
            <w:r w:rsidRPr="00836544">
              <w:t>.</w:t>
            </w:r>
          </w:p>
        </w:tc>
      </w:tr>
    </w:tbl>
    <w:p w14:paraId="46C279B5" w14:textId="77777777" w:rsidR="002025E5" w:rsidRDefault="002025E5" w:rsidP="00EB75B0">
      <w:pPr>
        <w:pStyle w:val="Heading3"/>
        <w:spacing w:after="20"/>
      </w:pPr>
      <w:bookmarkStart w:id="67" w:name="_Toc444523513"/>
      <w:bookmarkStart w:id="68" w:name="_Toc116742495"/>
      <w:r>
        <w:br w:type="page"/>
      </w:r>
    </w:p>
    <w:p w14:paraId="1BC2A6A7" w14:textId="0ADA8F9A" w:rsidR="007D2376" w:rsidRPr="007D2376" w:rsidRDefault="008462FB" w:rsidP="00203FE6">
      <w:pPr>
        <w:pStyle w:val="Heading3"/>
      </w:pPr>
      <w:bookmarkStart w:id="69" w:name="_Toc117027159"/>
      <w:bookmarkStart w:id="70" w:name="_Toc117070785"/>
      <w:bookmarkStart w:id="71" w:name="_Toc117071039"/>
      <w:bookmarkStart w:id="72" w:name="_Toc117078073"/>
      <w:r>
        <w:lastRenderedPageBreak/>
        <w:t>2.1</w:t>
      </w:r>
      <w:r w:rsidR="003876AB" w:rsidRPr="00F743D8">
        <w:t xml:space="preserve"> </w:t>
      </w:r>
      <w:r w:rsidR="003876AB" w:rsidRPr="00F743D8">
        <w:tab/>
        <w:t xml:space="preserve">Budgeted expenses and performance for Outcome </w:t>
      </w:r>
      <w:r w:rsidR="00E21F7C">
        <w:t>1</w:t>
      </w:r>
      <w:bookmarkEnd w:id="67"/>
      <w:bookmarkEnd w:id="68"/>
      <w:bookmarkEnd w:id="69"/>
      <w:bookmarkEnd w:id="70"/>
      <w:bookmarkEnd w:id="71"/>
      <w:bookmarkEnd w:id="72"/>
    </w:p>
    <w:tbl>
      <w:tblPr>
        <w:tblW w:w="7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7D2376" w:rsidRPr="005E6F2B" w14:paraId="07CAF36D" w14:textId="77777777" w:rsidTr="00DB35A1">
        <w:tc>
          <w:tcPr>
            <w:tcW w:w="7705" w:type="dxa"/>
            <w:shd w:val="clear" w:color="auto" w:fill="E6E6E6"/>
          </w:tcPr>
          <w:p w14:paraId="2758769C" w14:textId="79F0A2ED" w:rsidR="007D2376" w:rsidRPr="005E6F2B" w:rsidRDefault="007D2376" w:rsidP="00674B58">
            <w:pPr>
              <w:pStyle w:val="TableColumnHeadingLeft"/>
              <w:spacing w:before="60" w:after="60"/>
            </w:pPr>
            <w:r w:rsidRPr="007D2376">
              <w:t>Outcome 1: Support sustainable Australian Government finances through providing high quality policy advice and operational support to the government and Commonwealth entities to maintain effective and efficient use of public resources.</w:t>
            </w:r>
          </w:p>
        </w:tc>
      </w:tr>
    </w:tbl>
    <w:p w14:paraId="2239DFE7" w14:textId="7A879588" w:rsidR="00E21F7C" w:rsidRPr="005E6F2B" w:rsidRDefault="00E21F7C" w:rsidP="00451501">
      <w:pPr>
        <w:pStyle w:val="NoSpacing"/>
      </w:pPr>
    </w:p>
    <w:p w14:paraId="2239DFE8" w14:textId="77777777" w:rsidR="00B86CCD" w:rsidRPr="00446612" w:rsidRDefault="00B86CCD" w:rsidP="00F00984">
      <w:pPr>
        <w:pStyle w:val="Heading5"/>
      </w:pPr>
      <w:r w:rsidRPr="00446612">
        <w:t xml:space="preserve">Budgeted expenses for Outcome </w:t>
      </w:r>
      <w:r w:rsidR="0096136C">
        <w:t>1</w:t>
      </w:r>
    </w:p>
    <w:p w14:paraId="2239DFE9"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2239DFEB" w14:textId="42434218" w:rsidR="00DF2C5D" w:rsidRDefault="006E4DF1" w:rsidP="00D5334A">
      <w:pPr>
        <w:pStyle w:val="TableHeading"/>
      </w:pPr>
      <w:r w:rsidRPr="006E4DF1">
        <w:t>Table 2.</w:t>
      </w:r>
      <w:r w:rsidR="0096136C">
        <w:t>1</w:t>
      </w:r>
      <w:r w:rsidRPr="006E4DF1">
        <w:t xml:space="preserve">.1: Budgeted expenses for Outcome </w:t>
      </w:r>
      <w:r w:rsidR="0096136C">
        <w:t>1</w:t>
      </w:r>
      <w:r w:rsidR="00EC0A97" w:rsidRPr="00EC0A97">
        <w:rPr>
          <w:noProof/>
          <w:lang w:eastAsia="zh-CN"/>
        </w:rPr>
        <w:drawing>
          <wp:inline distT="0" distB="0" distL="0" distR="0" wp14:anchorId="624C6BF9" wp14:editId="03806F81">
            <wp:extent cx="4895850" cy="295620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95850" cy="2956209"/>
                    </a:xfrm>
                    <a:prstGeom prst="rect">
                      <a:avLst/>
                    </a:prstGeom>
                    <a:noFill/>
                    <a:ln>
                      <a:noFill/>
                    </a:ln>
                  </pic:spPr>
                </pic:pic>
              </a:graphicData>
            </a:graphic>
          </wp:inline>
        </w:drawing>
      </w:r>
    </w:p>
    <w:p w14:paraId="32F3562D" w14:textId="77777777" w:rsidR="00442D9D" w:rsidRPr="00680496" w:rsidRDefault="00442D9D" w:rsidP="00C8474A">
      <w:pPr>
        <w:pStyle w:val="ChartandTableFootnoteAlpha"/>
        <w:numPr>
          <w:ilvl w:val="0"/>
          <w:numId w:val="13"/>
        </w:numPr>
        <w:spacing w:before="60"/>
        <w:ind w:left="284" w:hanging="284"/>
        <w:rPr>
          <w:lang w:val="x-none" w:eastAsia="x-none"/>
        </w:rPr>
      </w:pPr>
      <w:r>
        <w:rPr>
          <w:lang w:eastAsia="x-none"/>
        </w:rPr>
        <w:t>Includes estimated expenses in relation to receipts retained under</w:t>
      </w:r>
      <w:r w:rsidRPr="00680496">
        <w:rPr>
          <w:lang w:val="x-none" w:eastAsia="x-none"/>
        </w:rPr>
        <w:t xml:space="preserve"> section 74 of the PGPA Act.</w:t>
      </w:r>
    </w:p>
    <w:p w14:paraId="2239DFED" w14:textId="77777777" w:rsidR="008A0B42" w:rsidRPr="00865D8C" w:rsidRDefault="008A0B42" w:rsidP="00C8474A">
      <w:pPr>
        <w:pStyle w:val="ChartandTableFootnoteAlpha"/>
        <w:numPr>
          <w:ilvl w:val="0"/>
          <w:numId w:val="13"/>
        </w:numPr>
        <w:spacing w:before="60"/>
        <w:ind w:left="284" w:hanging="284"/>
        <w:rPr>
          <w:lang w:val="x-none" w:eastAsia="x-none"/>
        </w:rPr>
      </w:pPr>
      <w:r w:rsidRPr="009D50FC">
        <w:rPr>
          <w:lang w:val="x-none" w:eastAsia="x-none"/>
        </w:rPr>
        <w:t>Expenses not requiring appropriation in the Budget year is made up of depreciation expenses and amortisation expenses.</w:t>
      </w:r>
    </w:p>
    <w:p w14:paraId="2239DFEE" w14:textId="77777777" w:rsidR="008A0B42" w:rsidRPr="008A0B42" w:rsidRDefault="008A0B42" w:rsidP="00FC1D6A">
      <w:pPr>
        <w:pStyle w:val="ChartandTableFootnote"/>
      </w:pPr>
      <w:r w:rsidRPr="008A0B42">
        <w:t>Note: Departmental appropriation splits and totals are indicative estimates and may change in the course of the Budget year as government priorities change.</w:t>
      </w:r>
    </w:p>
    <w:p w14:paraId="2239DFEF" w14:textId="77777777" w:rsidR="00C91347" w:rsidRDefault="00C91347" w:rsidP="008A0B42">
      <w:pPr>
        <w:pStyle w:val="TableHeading"/>
      </w:pPr>
    </w:p>
    <w:p w14:paraId="2239DFF0" w14:textId="77777777" w:rsidR="00B86CCD" w:rsidRPr="00446612" w:rsidRDefault="00221972" w:rsidP="008A0B42">
      <w:pPr>
        <w:pStyle w:val="TableHeadingcontinued"/>
      </w:pPr>
      <w:r w:rsidRPr="00221972">
        <w:br w:type="page"/>
      </w:r>
    </w:p>
    <w:p w14:paraId="2239DFF1" w14:textId="77777777" w:rsidR="00C854F5" w:rsidRPr="008A0B42" w:rsidRDefault="008E5BB7" w:rsidP="008A0B42">
      <w:pPr>
        <w:spacing w:after="0"/>
        <w:rPr>
          <w:rFonts w:ascii="Arial Bold" w:hAnsi="Arial Bold"/>
          <w:b/>
          <w:sz w:val="20"/>
        </w:rPr>
      </w:pPr>
      <w:bookmarkStart w:id="73" w:name="_Toc190682315"/>
      <w:bookmarkStart w:id="74" w:name="_Toc190682532"/>
      <w:bookmarkEnd w:id="61"/>
      <w:bookmarkEnd w:id="62"/>
      <w:r w:rsidRPr="008A0B42">
        <w:rPr>
          <w:rFonts w:ascii="Arial Bold" w:hAnsi="Arial Bold"/>
          <w:b/>
          <w:sz w:val="20"/>
        </w:rPr>
        <w:lastRenderedPageBreak/>
        <w:t>Table 2.</w:t>
      </w:r>
      <w:r w:rsidR="00F11C4E" w:rsidRPr="008A0B42">
        <w:rPr>
          <w:rFonts w:ascii="Arial Bold" w:hAnsi="Arial Bold"/>
          <w:b/>
          <w:sz w:val="20"/>
        </w:rPr>
        <w:t>1</w:t>
      </w:r>
      <w:r w:rsidR="008A0B42">
        <w:rPr>
          <w:rFonts w:ascii="Arial Bold" w:hAnsi="Arial Bold"/>
          <w:b/>
          <w:sz w:val="20"/>
        </w:rPr>
        <w:t>.2</w:t>
      </w:r>
      <w:r w:rsidRPr="008A0B42">
        <w:rPr>
          <w:rFonts w:ascii="Arial Bold" w:hAnsi="Arial Bold"/>
          <w:b/>
          <w:sz w:val="20"/>
        </w:rPr>
        <w:t xml:space="preserve">: Performance </w:t>
      </w:r>
      <w:r w:rsidR="001A50DE" w:rsidRPr="008A0B42">
        <w:rPr>
          <w:rFonts w:ascii="Arial Bold" w:hAnsi="Arial Bold"/>
          <w:b/>
          <w:sz w:val="20"/>
        </w:rPr>
        <w:t xml:space="preserve">measure </w:t>
      </w:r>
      <w:r w:rsidRPr="008A0B42">
        <w:rPr>
          <w:rFonts w:ascii="Arial Bold" w:hAnsi="Arial Bold"/>
          <w:b/>
          <w:sz w:val="20"/>
        </w:rPr>
        <w:t xml:space="preserve">for Outcome </w:t>
      </w:r>
      <w:r w:rsidR="00F11C4E" w:rsidRPr="008A0B42">
        <w:rPr>
          <w:rFonts w:ascii="Arial Bold" w:hAnsi="Arial Bold"/>
          <w:b/>
          <w:sz w:val="20"/>
        </w:rPr>
        <w:t>1</w:t>
      </w:r>
    </w:p>
    <w:p w14:paraId="2239DFF2" w14:textId="77777777" w:rsidR="00691E49" w:rsidRPr="00C41E1F" w:rsidRDefault="00E12264" w:rsidP="00C41E1F">
      <w:r w:rsidRPr="00C41E1F">
        <w:t>Table 2.</w:t>
      </w:r>
      <w:r w:rsidR="00F11C4E" w:rsidRPr="00C41E1F">
        <w:t>1</w:t>
      </w:r>
      <w:r w:rsidRPr="00C41E1F">
        <w:t>.</w:t>
      </w:r>
      <w:r w:rsidR="008A0B42" w:rsidRPr="00C41E1F">
        <w:t>2</w:t>
      </w:r>
      <w:r w:rsidRPr="00C41E1F">
        <w:t xml:space="preserve"> details the performance measures for each program associated with Outcome </w:t>
      </w:r>
      <w:r w:rsidR="00411E4D" w:rsidRPr="00C41E1F">
        <w:t>1</w:t>
      </w:r>
      <w:r w:rsidRPr="00C41E1F">
        <w:t xml:space="preserve">.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w:t>
      </w:r>
      <w:r w:rsidR="009F0564" w:rsidRPr="00C41E1F">
        <w:t xml:space="preserve">the October </w:t>
      </w:r>
      <w:r w:rsidRPr="00C41E1F">
        <w:t xml:space="preserve">2022-23 Budget measures that have created new programs or materially changed existing programs are provided. </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257"/>
        <w:gridCol w:w="4010"/>
      </w:tblGrid>
      <w:tr w:rsidR="00CB4F3C" w:rsidRPr="00C41058" w14:paraId="2239DFF4" w14:textId="77777777" w:rsidTr="000146E1">
        <w:trPr>
          <w:trHeight w:val="567"/>
          <w:tblHeader/>
        </w:trPr>
        <w:tc>
          <w:tcPr>
            <w:tcW w:w="7795" w:type="dxa"/>
            <w:gridSpan w:val="3"/>
            <w:shd w:val="clear" w:color="auto" w:fill="F2F2F2"/>
          </w:tcPr>
          <w:p w14:paraId="2239DFF3" w14:textId="280ECFAC" w:rsidR="00CB4F3C" w:rsidRPr="00C41058" w:rsidRDefault="00F45412" w:rsidP="002B3C61">
            <w:pPr>
              <w:pStyle w:val="TableColumnHeadingLeft"/>
              <w:autoSpaceDE w:val="0"/>
              <w:autoSpaceDN w:val="0"/>
              <w:adjustRightInd w:val="0"/>
              <w:spacing w:before="60" w:after="60"/>
              <w:contextualSpacing/>
            </w:pPr>
            <w:r w:rsidRPr="00F45412">
              <w:rPr>
                <w:rStyle w:val="TableHeadingChar"/>
                <w:b/>
              </w:rPr>
              <w:t xml:space="preserve">Outcome 1 – </w:t>
            </w:r>
            <w:r w:rsidRPr="00F45412">
              <w:rPr>
                <w:rStyle w:val="TableHeadingChar"/>
              </w:rPr>
              <w:t>Support sustainable Australian Government finances through providing high-quality policy advice and operational support to the Government and Commonwealth entities to maintain effective and efficient use of public resources.</w:t>
            </w:r>
          </w:p>
        </w:tc>
      </w:tr>
      <w:tr w:rsidR="00CB4F3C" w:rsidRPr="001B2F81" w14:paraId="2239DFF7" w14:textId="77777777" w:rsidTr="000146E1">
        <w:trPr>
          <w:trHeight w:val="526"/>
          <w:tblHeader/>
        </w:trPr>
        <w:tc>
          <w:tcPr>
            <w:tcW w:w="7795" w:type="dxa"/>
            <w:gridSpan w:val="3"/>
            <w:shd w:val="clear" w:color="auto" w:fill="F2F2F2"/>
          </w:tcPr>
          <w:p w14:paraId="671D8102" w14:textId="77777777" w:rsidR="00F45412" w:rsidRPr="00F45412" w:rsidRDefault="00F45412" w:rsidP="002B3C61">
            <w:pPr>
              <w:pStyle w:val="TableTextLeft"/>
              <w:autoSpaceDE w:val="0"/>
              <w:autoSpaceDN w:val="0"/>
              <w:adjustRightInd w:val="0"/>
              <w:spacing w:before="60" w:after="60"/>
              <w:contextualSpacing/>
              <w:rPr>
                <w:b/>
                <w:szCs w:val="18"/>
              </w:rPr>
            </w:pPr>
            <w:r w:rsidRPr="00F45412">
              <w:rPr>
                <w:b/>
                <w:szCs w:val="18"/>
              </w:rPr>
              <w:t>Program 1.1 - Budget and Financial Management</w:t>
            </w:r>
          </w:p>
          <w:p w14:paraId="2239DFF6" w14:textId="71EB1073" w:rsidR="00CB4F3C" w:rsidRPr="00F45412" w:rsidRDefault="00F45412" w:rsidP="002B3C61">
            <w:pPr>
              <w:pStyle w:val="TableTextLeft"/>
              <w:autoSpaceDE w:val="0"/>
              <w:autoSpaceDN w:val="0"/>
              <w:adjustRightInd w:val="0"/>
              <w:spacing w:before="60" w:after="60"/>
              <w:contextualSpacing/>
            </w:pPr>
            <w:r w:rsidRPr="00F45412">
              <w:rPr>
                <w:szCs w:val="18"/>
              </w:rPr>
              <w:t>This program contributes to the outcome through advising the Finance Minister and Expenditure Review Committee (ERC) on fiscal and economic policies and related matters; supporting the Finance Minister in meeting their financial reporting responsibilities; and supporting the delivery of the Budget.</w:t>
            </w:r>
          </w:p>
        </w:tc>
      </w:tr>
      <w:tr w:rsidR="00CB4F3C" w:rsidRPr="00160C23" w14:paraId="2239DFFB" w14:textId="77777777" w:rsidTr="000146E1">
        <w:trPr>
          <w:trHeight w:val="700"/>
        </w:trPr>
        <w:tc>
          <w:tcPr>
            <w:tcW w:w="1528" w:type="dxa"/>
            <w:tcBorders>
              <w:bottom w:val="double" w:sz="4" w:space="0" w:color="auto"/>
            </w:tcBorders>
          </w:tcPr>
          <w:p w14:paraId="2239DFF8" w14:textId="40EE1190" w:rsidR="00CB4F3C" w:rsidRPr="00160C23" w:rsidRDefault="00CB4F3C" w:rsidP="002B3C61">
            <w:pPr>
              <w:tabs>
                <w:tab w:val="left" w:pos="709"/>
              </w:tabs>
              <w:spacing w:before="60" w:after="60" w:line="240" w:lineRule="auto"/>
              <w:rPr>
                <w:rFonts w:ascii="Arial" w:hAnsi="Arial" w:cs="Arial"/>
                <w:b/>
                <w:sz w:val="16"/>
                <w:szCs w:val="16"/>
              </w:rPr>
            </w:pPr>
            <w:r>
              <w:rPr>
                <w:rFonts w:ascii="Arial" w:hAnsi="Arial" w:cs="Arial"/>
                <w:b/>
                <w:sz w:val="16"/>
                <w:szCs w:val="16"/>
              </w:rPr>
              <w:t>Key Activities</w:t>
            </w:r>
          </w:p>
        </w:tc>
        <w:tc>
          <w:tcPr>
            <w:tcW w:w="6267" w:type="dxa"/>
            <w:gridSpan w:val="2"/>
            <w:tcBorders>
              <w:bottom w:val="double" w:sz="4" w:space="0" w:color="auto"/>
            </w:tcBorders>
          </w:tcPr>
          <w:p w14:paraId="30D93677" w14:textId="529DABB9" w:rsidR="00F45412" w:rsidRPr="00F45412" w:rsidRDefault="005A08ED" w:rsidP="002B3C61">
            <w:pPr>
              <w:tabs>
                <w:tab w:val="left" w:pos="709"/>
              </w:tabs>
              <w:spacing w:before="60" w:after="60" w:line="240" w:lineRule="auto"/>
              <w:rPr>
                <w:rFonts w:ascii="Arial" w:hAnsi="Arial" w:cs="Arial"/>
                <w:b/>
                <w:bCs/>
                <w:sz w:val="16"/>
                <w:szCs w:val="16"/>
              </w:rPr>
            </w:pPr>
            <w:r>
              <w:rPr>
                <w:rFonts w:ascii="Arial" w:hAnsi="Arial" w:cs="Arial"/>
                <w:b/>
                <w:bCs/>
                <w:sz w:val="16"/>
                <w:szCs w:val="16"/>
              </w:rPr>
              <w:t>Deliver Budget u</w:t>
            </w:r>
            <w:r w:rsidR="00F45412" w:rsidRPr="00F45412">
              <w:rPr>
                <w:rFonts w:ascii="Arial" w:hAnsi="Arial" w:cs="Arial"/>
                <w:b/>
                <w:bCs/>
                <w:sz w:val="16"/>
                <w:szCs w:val="16"/>
              </w:rPr>
              <w:t xml:space="preserve">pdates, Appropriation Bills and Financial Statements </w:t>
            </w:r>
          </w:p>
          <w:p w14:paraId="180B4FEB" w14:textId="6CA54A75" w:rsidR="00F45412" w:rsidRPr="00F45412" w:rsidRDefault="00F45412" w:rsidP="002B3C61">
            <w:pPr>
              <w:tabs>
                <w:tab w:val="left" w:pos="709"/>
              </w:tabs>
              <w:spacing w:before="60" w:after="60" w:line="240" w:lineRule="auto"/>
              <w:rPr>
                <w:rFonts w:ascii="Arial" w:hAnsi="Arial" w:cs="Arial"/>
                <w:bCs/>
                <w:sz w:val="16"/>
                <w:szCs w:val="16"/>
              </w:rPr>
            </w:pPr>
            <w:r w:rsidRPr="00F45412">
              <w:rPr>
                <w:rFonts w:ascii="Arial" w:hAnsi="Arial" w:cs="Arial"/>
                <w:bCs/>
                <w:sz w:val="16"/>
                <w:szCs w:val="16"/>
              </w:rPr>
              <w:t xml:space="preserve">Coordinate, prepare and advise the Minister for Finance and the </w:t>
            </w:r>
            <w:r w:rsidR="00F71C70">
              <w:rPr>
                <w:rFonts w:ascii="Arial" w:hAnsi="Arial" w:cs="Arial"/>
                <w:bCs/>
                <w:sz w:val="16"/>
                <w:szCs w:val="16"/>
              </w:rPr>
              <w:t>ERC</w:t>
            </w:r>
            <w:r w:rsidRPr="00F45412">
              <w:rPr>
                <w:rFonts w:ascii="Arial" w:hAnsi="Arial" w:cs="Arial"/>
                <w:bCs/>
                <w:sz w:val="16"/>
                <w:szCs w:val="16"/>
              </w:rPr>
              <w:t xml:space="preserve"> of Cabinet on the delivery of the Budget and related economic updates, including appropriations legislation and the Government’s financial statements, to contribute to promoting the Government’s fiscal strategy and policy objectives.</w:t>
            </w:r>
          </w:p>
          <w:p w14:paraId="477C11DA" w14:textId="0E64E836" w:rsidR="00F45412" w:rsidRPr="00F45412" w:rsidRDefault="00F45412" w:rsidP="002B3C61">
            <w:pPr>
              <w:tabs>
                <w:tab w:val="left" w:pos="709"/>
              </w:tabs>
              <w:spacing w:before="60" w:after="60" w:line="240" w:lineRule="auto"/>
              <w:rPr>
                <w:rFonts w:ascii="Arial" w:hAnsi="Arial" w:cs="Arial"/>
                <w:b/>
                <w:bCs/>
                <w:sz w:val="16"/>
                <w:szCs w:val="16"/>
              </w:rPr>
            </w:pPr>
            <w:r w:rsidRPr="00F45412">
              <w:rPr>
                <w:rFonts w:ascii="Arial" w:hAnsi="Arial" w:cs="Arial"/>
                <w:b/>
                <w:bCs/>
                <w:sz w:val="16"/>
                <w:szCs w:val="16"/>
              </w:rPr>
              <w:t>Provide Central Cash Management</w:t>
            </w:r>
          </w:p>
          <w:p w14:paraId="2239DFFA" w14:textId="7DC5B4A7" w:rsidR="00CB4F3C" w:rsidRPr="00F45412" w:rsidRDefault="00F45412" w:rsidP="002B3C61">
            <w:pPr>
              <w:tabs>
                <w:tab w:val="left" w:pos="709"/>
              </w:tabs>
              <w:spacing w:before="60" w:after="60" w:line="240" w:lineRule="auto"/>
              <w:rPr>
                <w:rFonts w:ascii="Arial" w:hAnsi="Arial" w:cs="Arial"/>
                <w:bCs/>
                <w:sz w:val="16"/>
                <w:szCs w:val="16"/>
              </w:rPr>
            </w:pPr>
            <w:r w:rsidRPr="00F45412">
              <w:rPr>
                <w:rFonts w:ascii="Arial" w:hAnsi="Arial" w:cs="Arial"/>
                <w:bCs/>
                <w:sz w:val="16"/>
                <w:szCs w:val="16"/>
              </w:rPr>
              <w:t>Intra-day disbursements through the central cash management system so that entities have access to near real-time funds as required to deliver on the Government’s policy objectives.</w:t>
            </w:r>
          </w:p>
        </w:tc>
      </w:tr>
      <w:tr w:rsidR="00CB4F3C" w:rsidRPr="002A0954" w14:paraId="2239DFFF" w14:textId="77777777" w:rsidTr="000146E1">
        <w:trPr>
          <w:trHeight w:val="312"/>
        </w:trPr>
        <w:tc>
          <w:tcPr>
            <w:tcW w:w="1528" w:type="dxa"/>
            <w:tcBorders>
              <w:top w:val="double" w:sz="4" w:space="0" w:color="auto"/>
              <w:bottom w:val="single" w:sz="4" w:space="0" w:color="auto"/>
              <w:right w:val="single" w:sz="4" w:space="0" w:color="auto"/>
            </w:tcBorders>
          </w:tcPr>
          <w:p w14:paraId="2239DFFC" w14:textId="77777777" w:rsidR="00CB4F3C" w:rsidRPr="002A0954" w:rsidRDefault="00CB4F3C" w:rsidP="002B3C61">
            <w:pPr>
              <w:tabs>
                <w:tab w:val="left" w:pos="709"/>
              </w:tabs>
              <w:spacing w:before="60" w:after="60"/>
              <w:rPr>
                <w:rFonts w:ascii="Arial" w:hAnsi="Arial" w:cs="Arial"/>
                <w:b/>
                <w:bCs/>
                <w:sz w:val="16"/>
                <w:szCs w:val="16"/>
              </w:rPr>
            </w:pPr>
            <w:r w:rsidRPr="00221251">
              <w:rPr>
                <w:rFonts w:ascii="Arial" w:hAnsi="Arial" w:cs="Arial"/>
                <w:b/>
                <w:bCs/>
                <w:sz w:val="16"/>
                <w:szCs w:val="16"/>
              </w:rPr>
              <w:t>Year</w:t>
            </w:r>
          </w:p>
        </w:tc>
        <w:tc>
          <w:tcPr>
            <w:tcW w:w="2257" w:type="dxa"/>
            <w:tcBorders>
              <w:top w:val="double" w:sz="4" w:space="0" w:color="auto"/>
              <w:left w:val="single" w:sz="4" w:space="0" w:color="auto"/>
              <w:bottom w:val="single" w:sz="4" w:space="0" w:color="auto"/>
              <w:right w:val="single" w:sz="4" w:space="0" w:color="auto"/>
            </w:tcBorders>
          </w:tcPr>
          <w:p w14:paraId="2239DFFD" w14:textId="77777777" w:rsidR="00CB4F3C" w:rsidRPr="002A0954" w:rsidRDefault="00CB4F3C" w:rsidP="002B3C61">
            <w:pPr>
              <w:tabs>
                <w:tab w:val="left" w:pos="709"/>
                <w:tab w:val="center" w:pos="1818"/>
              </w:tabs>
              <w:spacing w:before="60" w:after="60"/>
              <w:rPr>
                <w:rFonts w:ascii="Arial" w:hAnsi="Arial" w:cs="Arial"/>
                <w:b/>
                <w:bCs/>
                <w:sz w:val="16"/>
                <w:szCs w:val="16"/>
              </w:rPr>
            </w:pPr>
            <w:r w:rsidRPr="00221251">
              <w:rPr>
                <w:rFonts w:ascii="Arial" w:hAnsi="Arial" w:cs="Arial"/>
                <w:b/>
                <w:bCs/>
                <w:sz w:val="16"/>
                <w:szCs w:val="16"/>
              </w:rPr>
              <w:t>Performance measures</w:t>
            </w:r>
          </w:p>
        </w:tc>
        <w:tc>
          <w:tcPr>
            <w:tcW w:w="4010" w:type="dxa"/>
            <w:tcBorders>
              <w:top w:val="double" w:sz="4" w:space="0" w:color="auto"/>
              <w:left w:val="single" w:sz="4" w:space="0" w:color="auto"/>
              <w:bottom w:val="single" w:sz="4" w:space="0" w:color="auto"/>
            </w:tcBorders>
          </w:tcPr>
          <w:p w14:paraId="2239DFFE" w14:textId="77777777" w:rsidR="00CB4F3C" w:rsidRPr="002A0954" w:rsidRDefault="00CB4F3C" w:rsidP="002B3C61">
            <w:pPr>
              <w:tabs>
                <w:tab w:val="left" w:pos="709"/>
              </w:tabs>
              <w:spacing w:before="60" w:after="60"/>
              <w:rPr>
                <w:rFonts w:ascii="Arial" w:hAnsi="Arial" w:cs="Arial"/>
                <w:b/>
                <w:bCs/>
                <w:sz w:val="16"/>
                <w:szCs w:val="16"/>
              </w:rPr>
            </w:pPr>
            <w:r w:rsidRPr="00221251">
              <w:rPr>
                <w:rFonts w:ascii="Arial" w:hAnsi="Arial" w:cs="Arial"/>
                <w:b/>
                <w:bCs/>
                <w:sz w:val="16"/>
                <w:szCs w:val="16"/>
              </w:rPr>
              <w:t>Expected Performance Results</w:t>
            </w:r>
          </w:p>
        </w:tc>
      </w:tr>
      <w:tr w:rsidR="00CB4F3C" w:rsidRPr="008C2E0D" w14:paraId="2239E00D" w14:textId="77777777" w:rsidTr="000146E1">
        <w:trPr>
          <w:trHeight w:val="642"/>
        </w:trPr>
        <w:tc>
          <w:tcPr>
            <w:tcW w:w="1528" w:type="dxa"/>
            <w:tcBorders>
              <w:top w:val="single" w:sz="4" w:space="0" w:color="auto"/>
              <w:right w:val="single" w:sz="4" w:space="0" w:color="auto"/>
            </w:tcBorders>
          </w:tcPr>
          <w:p w14:paraId="2239E000" w14:textId="77777777" w:rsidR="00C44428" w:rsidRPr="00792862" w:rsidRDefault="00C44428" w:rsidP="002B3C61">
            <w:pPr>
              <w:pStyle w:val="TableTextLeft"/>
              <w:spacing w:before="60" w:after="60"/>
              <w:rPr>
                <w:rFonts w:cs="Arial"/>
                <w:szCs w:val="16"/>
              </w:rPr>
            </w:pPr>
            <w:r w:rsidRPr="00792862">
              <w:rPr>
                <w:rFonts w:cs="Arial"/>
                <w:szCs w:val="16"/>
              </w:rPr>
              <w:t xml:space="preserve">Prior year </w:t>
            </w:r>
          </w:p>
          <w:p w14:paraId="2239E002" w14:textId="77777777" w:rsidR="00CB4F3C" w:rsidRPr="00792862" w:rsidRDefault="00C44428" w:rsidP="002B3C61">
            <w:pPr>
              <w:tabs>
                <w:tab w:val="left" w:pos="709"/>
              </w:tabs>
              <w:spacing w:before="60" w:after="60" w:line="240" w:lineRule="auto"/>
              <w:rPr>
                <w:rFonts w:ascii="Arial" w:hAnsi="Arial" w:cs="Arial"/>
                <w:sz w:val="16"/>
                <w:szCs w:val="16"/>
              </w:rPr>
            </w:pPr>
            <w:r w:rsidRPr="00792862">
              <w:rPr>
                <w:rFonts w:ascii="Arial" w:hAnsi="Arial" w:cs="Arial"/>
                <w:sz w:val="16"/>
                <w:szCs w:val="16"/>
              </w:rPr>
              <w:t>2021-22</w:t>
            </w:r>
          </w:p>
        </w:tc>
        <w:tc>
          <w:tcPr>
            <w:tcW w:w="2257" w:type="dxa"/>
            <w:tcBorders>
              <w:top w:val="single" w:sz="4" w:space="0" w:color="auto"/>
              <w:left w:val="single" w:sz="4" w:space="0" w:color="auto"/>
              <w:bottom w:val="single" w:sz="4" w:space="0" w:color="auto"/>
              <w:right w:val="single" w:sz="4" w:space="0" w:color="auto"/>
            </w:tcBorders>
          </w:tcPr>
          <w:p w14:paraId="75C2A314" w14:textId="4234502C" w:rsidR="00FF5512" w:rsidRPr="00792862" w:rsidRDefault="00F45412" w:rsidP="002B3C61">
            <w:pPr>
              <w:tabs>
                <w:tab w:val="left" w:pos="709"/>
              </w:tabs>
              <w:autoSpaceDE w:val="0"/>
              <w:autoSpaceDN w:val="0"/>
              <w:adjustRightInd w:val="0"/>
              <w:spacing w:before="60" w:after="60" w:line="240" w:lineRule="auto"/>
              <w:rPr>
                <w:rFonts w:ascii="Arial" w:hAnsi="Arial" w:cs="Arial"/>
                <w:b/>
                <w:sz w:val="16"/>
                <w:szCs w:val="16"/>
              </w:rPr>
            </w:pPr>
            <w:r w:rsidRPr="00792862">
              <w:rPr>
                <w:rFonts w:ascii="Arial" w:eastAsia="Arial" w:hAnsi="Arial" w:cs="Arial"/>
                <w:b/>
                <w:sz w:val="16"/>
                <w:szCs w:val="16"/>
              </w:rPr>
              <w:t xml:space="preserve">Budget updates and </w:t>
            </w:r>
            <w:r w:rsidRPr="00792862">
              <w:rPr>
                <w:rFonts w:ascii="Arial" w:hAnsi="Arial" w:cs="Arial"/>
                <w:b/>
                <w:sz w:val="16"/>
                <w:szCs w:val="16"/>
              </w:rPr>
              <w:t>Appropriation Bills</w:t>
            </w:r>
          </w:p>
          <w:p w14:paraId="2239E004" w14:textId="46613371" w:rsidR="00CB4F3C" w:rsidRPr="00792862" w:rsidRDefault="00F45412" w:rsidP="00F71C70">
            <w:pPr>
              <w:tabs>
                <w:tab w:val="left" w:pos="709"/>
              </w:tabs>
              <w:autoSpaceDE w:val="0"/>
              <w:autoSpaceDN w:val="0"/>
              <w:adjustRightInd w:val="0"/>
              <w:spacing w:before="60" w:after="60" w:line="240" w:lineRule="auto"/>
              <w:rPr>
                <w:rFonts w:ascii="Arial" w:hAnsi="Arial" w:cs="Arial"/>
              </w:rPr>
            </w:pPr>
            <w:r w:rsidRPr="00792862">
              <w:rPr>
                <w:rFonts w:ascii="Arial" w:hAnsi="Arial" w:cs="Arial"/>
                <w:sz w:val="16"/>
                <w:szCs w:val="16"/>
              </w:rPr>
              <w:t>Budget papers, related</w:t>
            </w:r>
            <w:r w:rsidRPr="00792862">
              <w:rPr>
                <w:rFonts w:ascii="Arial" w:eastAsia="Arial" w:hAnsi="Arial" w:cs="Arial"/>
                <w:sz w:val="16"/>
                <w:szCs w:val="16"/>
              </w:rPr>
              <w:t xml:space="preserve"> updates (e.g. the M</w:t>
            </w:r>
            <w:r w:rsidR="00F71C70">
              <w:rPr>
                <w:rFonts w:ascii="Arial" w:eastAsia="Arial" w:hAnsi="Arial" w:cs="Arial"/>
                <w:sz w:val="16"/>
                <w:szCs w:val="16"/>
              </w:rPr>
              <w:t>id-Year Fiscal and Economic Outlook (MYEFO)</w:t>
            </w:r>
            <w:r w:rsidRPr="00792862">
              <w:rPr>
                <w:rFonts w:ascii="Arial" w:eastAsia="Arial" w:hAnsi="Arial" w:cs="Arial"/>
                <w:sz w:val="16"/>
                <w:szCs w:val="16"/>
              </w:rPr>
              <w:t xml:space="preserve"> and Appropriation Bills are accurate, consistent with external reporting standards, delivered within required timeframes and meet the Government’s fiscal and policy objectives and legislative obligations</w:t>
            </w:r>
            <w:r w:rsidR="00370E9E" w:rsidRPr="00792862">
              <w:rPr>
                <w:rFonts w:ascii="Arial" w:eastAsia="Arial" w:hAnsi="Arial" w:cs="Arial"/>
                <w:sz w:val="16"/>
                <w:szCs w:val="16"/>
              </w:rPr>
              <w:t>.</w:t>
            </w:r>
          </w:p>
        </w:tc>
        <w:tc>
          <w:tcPr>
            <w:tcW w:w="4010" w:type="dxa"/>
            <w:tcBorders>
              <w:top w:val="single" w:sz="4" w:space="0" w:color="auto"/>
              <w:left w:val="single" w:sz="4" w:space="0" w:color="auto"/>
              <w:bottom w:val="single" w:sz="4" w:space="0" w:color="auto"/>
            </w:tcBorders>
          </w:tcPr>
          <w:p w14:paraId="2401AFD1" w14:textId="2136ECB8" w:rsidR="00F45412" w:rsidRPr="00792862" w:rsidRDefault="00F45412" w:rsidP="002B3C61">
            <w:pPr>
              <w:autoSpaceDE w:val="0"/>
              <w:autoSpaceDN w:val="0"/>
              <w:adjustRightInd w:val="0"/>
              <w:spacing w:before="60" w:after="60" w:line="240" w:lineRule="auto"/>
              <w:contextualSpacing/>
              <w:rPr>
                <w:rFonts w:ascii="Arial" w:hAnsi="Arial" w:cs="Arial"/>
                <w:b/>
                <w:bCs/>
                <w:sz w:val="16"/>
                <w:szCs w:val="16"/>
              </w:rPr>
            </w:pPr>
            <w:r w:rsidRPr="00792862">
              <w:rPr>
                <w:rFonts w:ascii="Arial" w:hAnsi="Arial" w:cs="Arial"/>
                <w:b/>
                <w:bCs/>
                <w:sz w:val="16"/>
                <w:szCs w:val="16"/>
              </w:rPr>
              <w:t xml:space="preserve">Substantially achieved </w:t>
            </w:r>
          </w:p>
          <w:p w14:paraId="6FC29A59" w14:textId="5D42CCA2" w:rsidR="00F45412" w:rsidRPr="00792862" w:rsidRDefault="00F45412" w:rsidP="002B3C61">
            <w:pPr>
              <w:autoSpaceDE w:val="0"/>
              <w:autoSpaceDN w:val="0"/>
              <w:adjustRightInd w:val="0"/>
              <w:spacing w:before="60" w:after="60" w:line="240" w:lineRule="auto"/>
              <w:contextualSpacing/>
              <w:rPr>
                <w:rFonts w:ascii="Arial" w:hAnsi="Arial" w:cs="Arial"/>
                <w:bCs/>
                <w:sz w:val="16"/>
                <w:szCs w:val="16"/>
                <w:u w:val="single"/>
              </w:rPr>
            </w:pPr>
            <w:r w:rsidRPr="00792862">
              <w:rPr>
                <w:rFonts w:ascii="Arial" w:hAnsi="Arial" w:cs="Arial"/>
                <w:bCs/>
                <w:sz w:val="16"/>
                <w:szCs w:val="16"/>
                <w:u w:val="single"/>
              </w:rPr>
              <w:t>Budget and related papers met timeframes:</w:t>
            </w:r>
          </w:p>
          <w:p w14:paraId="17A835BB" w14:textId="3AC678E9" w:rsidR="00F45412" w:rsidRPr="00792862" w:rsidRDefault="00F45412" w:rsidP="008F5AA4">
            <w:pPr>
              <w:pStyle w:val="ListParagraph"/>
              <w:numPr>
                <w:ilvl w:val="0"/>
                <w:numId w:val="54"/>
              </w:numPr>
              <w:autoSpaceDE w:val="0"/>
              <w:autoSpaceDN w:val="0"/>
              <w:adjustRightInd w:val="0"/>
              <w:spacing w:before="60" w:after="60" w:line="240" w:lineRule="auto"/>
              <w:ind w:left="527" w:hanging="357"/>
              <w:contextualSpacing w:val="0"/>
              <w:rPr>
                <w:rFonts w:ascii="Arial" w:hAnsi="Arial" w:cs="Arial"/>
                <w:sz w:val="16"/>
                <w:szCs w:val="16"/>
              </w:rPr>
            </w:pPr>
            <w:r w:rsidRPr="00792862">
              <w:rPr>
                <w:rFonts w:ascii="Arial" w:hAnsi="Arial" w:cs="Arial"/>
                <w:sz w:val="16"/>
                <w:szCs w:val="16"/>
              </w:rPr>
              <w:t>The 2020-21 Final Budget Outcome</w:t>
            </w:r>
            <w:r w:rsidR="00792862" w:rsidRPr="00792862">
              <w:rPr>
                <w:rFonts w:ascii="Arial" w:hAnsi="Arial" w:cs="Arial"/>
                <w:sz w:val="16"/>
                <w:szCs w:val="16"/>
              </w:rPr>
              <w:t xml:space="preserve"> (FBO)</w:t>
            </w:r>
            <w:r w:rsidRPr="00792862">
              <w:rPr>
                <w:rFonts w:ascii="Arial" w:hAnsi="Arial" w:cs="Arial"/>
                <w:sz w:val="16"/>
                <w:szCs w:val="16"/>
              </w:rPr>
              <w:t xml:space="preserve"> was released on 30 September 2021. </w:t>
            </w:r>
          </w:p>
          <w:p w14:paraId="52AFD2E2" w14:textId="3B16473F" w:rsidR="00F45412" w:rsidRPr="00F71C70" w:rsidRDefault="00F45412" w:rsidP="008F5AA4">
            <w:pPr>
              <w:pStyle w:val="ListParagraph"/>
              <w:numPr>
                <w:ilvl w:val="0"/>
                <w:numId w:val="54"/>
              </w:numPr>
              <w:autoSpaceDE w:val="0"/>
              <w:autoSpaceDN w:val="0"/>
              <w:adjustRightInd w:val="0"/>
              <w:spacing w:before="60" w:after="60" w:line="240" w:lineRule="auto"/>
              <w:ind w:left="527" w:hanging="357"/>
              <w:contextualSpacing w:val="0"/>
              <w:rPr>
                <w:rFonts w:ascii="Arial" w:hAnsi="Arial" w:cs="Arial"/>
                <w:sz w:val="16"/>
                <w:szCs w:val="16"/>
              </w:rPr>
            </w:pPr>
            <w:r w:rsidRPr="00792862">
              <w:rPr>
                <w:rFonts w:ascii="Arial" w:hAnsi="Arial" w:cs="Arial"/>
                <w:sz w:val="16"/>
                <w:szCs w:val="16"/>
              </w:rPr>
              <w:t xml:space="preserve">The 2021-22 MYEFO was released </w:t>
            </w:r>
            <w:r w:rsidRPr="00F71C70">
              <w:rPr>
                <w:rFonts w:ascii="Arial" w:hAnsi="Arial" w:cs="Arial"/>
                <w:sz w:val="16"/>
                <w:szCs w:val="16"/>
              </w:rPr>
              <w:t>16</w:t>
            </w:r>
            <w:r w:rsidR="00F71C70">
              <w:rPr>
                <w:rFonts w:ascii="Arial" w:hAnsi="Arial" w:cs="Arial"/>
                <w:sz w:val="16"/>
                <w:szCs w:val="16"/>
              </w:rPr>
              <w:t> </w:t>
            </w:r>
            <w:r w:rsidRPr="00F71C70">
              <w:rPr>
                <w:rFonts w:ascii="Arial" w:hAnsi="Arial" w:cs="Arial"/>
                <w:sz w:val="16"/>
                <w:szCs w:val="16"/>
              </w:rPr>
              <w:t>December</w:t>
            </w:r>
            <w:r w:rsidR="00F71C70">
              <w:rPr>
                <w:rFonts w:ascii="Arial" w:hAnsi="Arial" w:cs="Arial"/>
                <w:sz w:val="16"/>
                <w:szCs w:val="16"/>
              </w:rPr>
              <w:t> </w:t>
            </w:r>
            <w:r w:rsidRPr="00F71C70">
              <w:rPr>
                <w:rFonts w:ascii="Arial" w:hAnsi="Arial" w:cs="Arial"/>
                <w:sz w:val="16"/>
                <w:szCs w:val="16"/>
              </w:rPr>
              <w:t>2021.</w:t>
            </w:r>
          </w:p>
          <w:p w14:paraId="3E3A0B62" w14:textId="128EA6DD" w:rsidR="00F45412" w:rsidRPr="00792862" w:rsidRDefault="00F45412" w:rsidP="008F5AA4">
            <w:pPr>
              <w:pStyle w:val="ListParagraph"/>
              <w:numPr>
                <w:ilvl w:val="0"/>
                <w:numId w:val="54"/>
              </w:numPr>
              <w:autoSpaceDE w:val="0"/>
              <w:autoSpaceDN w:val="0"/>
              <w:adjustRightInd w:val="0"/>
              <w:spacing w:before="60" w:after="60" w:line="240" w:lineRule="auto"/>
              <w:ind w:left="527" w:hanging="357"/>
              <w:contextualSpacing w:val="0"/>
              <w:rPr>
                <w:rFonts w:ascii="Arial" w:hAnsi="Arial" w:cs="Arial"/>
                <w:sz w:val="16"/>
                <w:szCs w:val="16"/>
              </w:rPr>
            </w:pPr>
            <w:r w:rsidRPr="00792862">
              <w:rPr>
                <w:rFonts w:ascii="Arial" w:hAnsi="Arial" w:cs="Arial"/>
                <w:sz w:val="16"/>
                <w:szCs w:val="16"/>
              </w:rPr>
              <w:t>The 2022-23 M</w:t>
            </w:r>
            <w:r w:rsidR="00F71C70">
              <w:rPr>
                <w:rFonts w:ascii="Arial" w:hAnsi="Arial" w:cs="Arial"/>
                <w:sz w:val="16"/>
                <w:szCs w:val="16"/>
              </w:rPr>
              <w:t>arch Budget was delivered on 29 March </w:t>
            </w:r>
            <w:r w:rsidRPr="00792862">
              <w:rPr>
                <w:rFonts w:ascii="Arial" w:hAnsi="Arial" w:cs="Arial"/>
                <w:sz w:val="16"/>
                <w:szCs w:val="16"/>
              </w:rPr>
              <w:t>2022.</w:t>
            </w:r>
          </w:p>
          <w:p w14:paraId="53D37BED" w14:textId="34EAF6EB" w:rsidR="00F45412" w:rsidRPr="00792862" w:rsidRDefault="00F45412" w:rsidP="008F5AA4">
            <w:pPr>
              <w:pStyle w:val="ListParagraph"/>
              <w:numPr>
                <w:ilvl w:val="0"/>
                <w:numId w:val="54"/>
              </w:numPr>
              <w:autoSpaceDE w:val="0"/>
              <w:autoSpaceDN w:val="0"/>
              <w:adjustRightInd w:val="0"/>
              <w:spacing w:before="60" w:after="60" w:line="240" w:lineRule="auto"/>
              <w:ind w:left="527" w:hanging="357"/>
              <w:contextualSpacing w:val="0"/>
              <w:rPr>
                <w:rFonts w:ascii="Arial" w:hAnsi="Arial" w:cs="Arial"/>
                <w:sz w:val="16"/>
                <w:szCs w:val="16"/>
              </w:rPr>
            </w:pPr>
            <w:r w:rsidRPr="00792862">
              <w:rPr>
                <w:rFonts w:ascii="Arial" w:hAnsi="Arial" w:cs="Arial"/>
                <w:sz w:val="16"/>
                <w:szCs w:val="16"/>
              </w:rPr>
              <w:t>The 2022 Pre-election Economic and Fiscal O</w:t>
            </w:r>
            <w:r w:rsidR="00F71C70">
              <w:rPr>
                <w:rFonts w:ascii="Arial" w:hAnsi="Arial" w:cs="Arial"/>
                <w:sz w:val="16"/>
                <w:szCs w:val="16"/>
              </w:rPr>
              <w:t>utlook was released on 20 April </w:t>
            </w:r>
            <w:r w:rsidRPr="00792862">
              <w:rPr>
                <w:rFonts w:ascii="Arial" w:hAnsi="Arial" w:cs="Arial"/>
                <w:sz w:val="16"/>
                <w:szCs w:val="16"/>
              </w:rPr>
              <w:t xml:space="preserve">2022. </w:t>
            </w:r>
          </w:p>
          <w:p w14:paraId="73461E51" w14:textId="0DA565E8" w:rsidR="00F45412" w:rsidRPr="00792862" w:rsidRDefault="00F45412" w:rsidP="002B3C61">
            <w:pPr>
              <w:autoSpaceDE w:val="0"/>
              <w:autoSpaceDN w:val="0"/>
              <w:adjustRightInd w:val="0"/>
              <w:spacing w:before="60" w:after="60" w:line="240" w:lineRule="auto"/>
              <w:contextualSpacing/>
              <w:rPr>
                <w:rFonts w:ascii="Arial" w:hAnsi="Arial" w:cs="Arial"/>
                <w:bCs/>
                <w:sz w:val="16"/>
                <w:szCs w:val="16"/>
                <w:u w:val="single"/>
              </w:rPr>
            </w:pPr>
            <w:r w:rsidRPr="00792862">
              <w:rPr>
                <w:rFonts w:ascii="Arial" w:hAnsi="Arial" w:cs="Arial"/>
                <w:bCs/>
                <w:sz w:val="16"/>
                <w:szCs w:val="16"/>
                <w:u w:val="single"/>
              </w:rPr>
              <w:t xml:space="preserve">Accuracy of Budget Estimates: </w:t>
            </w:r>
          </w:p>
          <w:p w14:paraId="640606DB" w14:textId="17BA89A7" w:rsidR="00F45412" w:rsidRPr="00792862" w:rsidRDefault="00F45412" w:rsidP="002B3C61">
            <w:pPr>
              <w:autoSpaceDE w:val="0"/>
              <w:autoSpaceDN w:val="0"/>
              <w:adjustRightInd w:val="0"/>
              <w:spacing w:before="60" w:after="60" w:line="240" w:lineRule="auto"/>
              <w:contextualSpacing/>
              <w:rPr>
                <w:rFonts w:ascii="Arial" w:hAnsi="Arial" w:cs="Arial"/>
                <w:bCs/>
                <w:sz w:val="16"/>
                <w:szCs w:val="16"/>
              </w:rPr>
            </w:pPr>
            <w:r w:rsidRPr="00792862">
              <w:rPr>
                <w:rFonts w:ascii="Arial" w:hAnsi="Arial" w:cs="Arial"/>
                <w:bCs/>
                <w:sz w:val="16"/>
                <w:szCs w:val="16"/>
              </w:rPr>
              <w:t>Budget estimates were based on external reporting standards and any departures from external reporting standards were identified, consistent with requirements set out in the Charter of Budget Honest</w:t>
            </w:r>
            <w:r w:rsidR="00F71C70">
              <w:rPr>
                <w:rFonts w:ascii="Arial" w:hAnsi="Arial" w:cs="Arial"/>
                <w:bCs/>
                <w:sz w:val="16"/>
                <w:szCs w:val="16"/>
              </w:rPr>
              <w:t>y</w:t>
            </w:r>
            <w:r w:rsidRPr="00792862">
              <w:rPr>
                <w:rFonts w:ascii="Arial" w:hAnsi="Arial" w:cs="Arial"/>
                <w:bCs/>
                <w:sz w:val="16"/>
                <w:szCs w:val="16"/>
              </w:rPr>
              <w:t>.</w:t>
            </w:r>
          </w:p>
          <w:p w14:paraId="2239E00C" w14:textId="44FFCA53" w:rsidR="00CB4F3C" w:rsidRPr="00792862" w:rsidRDefault="00CB4F3C" w:rsidP="002B3C61">
            <w:pPr>
              <w:tabs>
                <w:tab w:val="left" w:pos="709"/>
              </w:tabs>
              <w:autoSpaceDE w:val="0"/>
              <w:autoSpaceDN w:val="0"/>
              <w:adjustRightInd w:val="0"/>
              <w:spacing w:before="60" w:after="60" w:line="240" w:lineRule="auto"/>
              <w:contextualSpacing/>
              <w:rPr>
                <w:rFonts w:ascii="Arial" w:eastAsia="Arial" w:hAnsi="Arial" w:cs="Arial"/>
                <w:sz w:val="16"/>
                <w:szCs w:val="16"/>
              </w:rPr>
            </w:pPr>
          </w:p>
        </w:tc>
      </w:tr>
    </w:tbl>
    <w:p w14:paraId="379F0B92" w14:textId="77777777" w:rsidR="00A754B9" w:rsidRDefault="00CB4F3C" w:rsidP="00E83DA4">
      <w:pPr>
        <w:pStyle w:val="ChartandTableFootnote"/>
      </w:pPr>
      <w:r w:rsidRPr="00CB4F3C">
        <w:t>Table continues on next page</w:t>
      </w:r>
      <w:r w:rsidR="00A754B9">
        <w:br w:type="page"/>
      </w:r>
    </w:p>
    <w:p w14:paraId="2239E012" w14:textId="441A14DC" w:rsidR="00CB4F3C" w:rsidRDefault="00CB4F3C" w:rsidP="00A754B9">
      <w:pPr>
        <w:pStyle w:val="TableHeading"/>
      </w:pPr>
      <w:r w:rsidRPr="00393D23">
        <w:lastRenderedPageBreak/>
        <w:t>Table 2.1.2: Performance measure for Outcome 1</w:t>
      </w:r>
      <w:r>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256"/>
        <w:gridCol w:w="4008"/>
      </w:tblGrid>
      <w:tr w:rsidR="00CB4F3C" w:rsidRPr="00736B8E" w14:paraId="2239E014" w14:textId="77777777" w:rsidTr="002B3C61">
        <w:trPr>
          <w:trHeight w:val="527"/>
        </w:trPr>
        <w:tc>
          <w:tcPr>
            <w:tcW w:w="7795" w:type="dxa"/>
            <w:gridSpan w:val="3"/>
            <w:shd w:val="clear" w:color="auto" w:fill="F2F2F2" w:themeFill="background1" w:themeFillShade="F2"/>
          </w:tcPr>
          <w:p w14:paraId="31533E90" w14:textId="77777777" w:rsidR="00F45412" w:rsidRPr="00F45412" w:rsidRDefault="00F45412" w:rsidP="002B3C61">
            <w:pPr>
              <w:pStyle w:val="TableTextLeft"/>
              <w:autoSpaceDE w:val="0"/>
              <w:autoSpaceDN w:val="0"/>
              <w:adjustRightInd w:val="0"/>
              <w:spacing w:before="60" w:after="60"/>
              <w:contextualSpacing/>
              <w:rPr>
                <w:b/>
                <w:szCs w:val="18"/>
              </w:rPr>
            </w:pPr>
            <w:r w:rsidRPr="00F45412">
              <w:rPr>
                <w:b/>
                <w:szCs w:val="18"/>
              </w:rPr>
              <w:t>Program 1.1 - Budget and Financial Management</w:t>
            </w:r>
          </w:p>
          <w:p w14:paraId="2239E013" w14:textId="55502F46" w:rsidR="00CB4F3C" w:rsidRPr="00736B8E" w:rsidRDefault="00F45412" w:rsidP="0018432E">
            <w:pPr>
              <w:pStyle w:val="TableTextLeft"/>
              <w:autoSpaceDE w:val="0"/>
              <w:autoSpaceDN w:val="0"/>
              <w:adjustRightInd w:val="0"/>
              <w:spacing w:before="60" w:after="60"/>
              <w:contextualSpacing/>
              <w:rPr>
                <w:szCs w:val="18"/>
              </w:rPr>
            </w:pPr>
            <w:r w:rsidRPr="00736B8E">
              <w:rPr>
                <w:szCs w:val="18"/>
              </w:rPr>
              <w:t xml:space="preserve">This program contributes to the outcome through advising the Finance Minister and </w:t>
            </w:r>
            <w:r w:rsidR="0018432E">
              <w:rPr>
                <w:szCs w:val="18"/>
              </w:rPr>
              <w:t>ERC</w:t>
            </w:r>
            <w:r w:rsidRPr="00736B8E">
              <w:rPr>
                <w:szCs w:val="18"/>
              </w:rPr>
              <w:t xml:space="preserve"> on fiscal and economic policies and related matters; supporting the Finance Minister in meeting their financial reporting responsibilities; and supporting the delivery of the Budget.</w:t>
            </w:r>
          </w:p>
        </w:tc>
      </w:tr>
      <w:tr w:rsidR="00CB4F3C" w:rsidRPr="008C2E0D" w14:paraId="2239E026" w14:textId="77777777" w:rsidTr="002B3C61">
        <w:trPr>
          <w:trHeight w:val="642"/>
        </w:trPr>
        <w:tc>
          <w:tcPr>
            <w:tcW w:w="1531" w:type="dxa"/>
            <w:tcBorders>
              <w:top w:val="single" w:sz="4" w:space="0" w:color="auto"/>
              <w:bottom w:val="nil"/>
              <w:right w:val="single" w:sz="4" w:space="0" w:color="auto"/>
            </w:tcBorders>
          </w:tcPr>
          <w:p w14:paraId="2239E015" w14:textId="77777777" w:rsidR="00C44428" w:rsidRPr="00C44428" w:rsidRDefault="00C44428" w:rsidP="006207B7">
            <w:pPr>
              <w:pStyle w:val="TableTextLeft"/>
              <w:spacing w:before="60" w:after="60"/>
              <w:rPr>
                <w:rFonts w:cs="Arial"/>
                <w:szCs w:val="16"/>
              </w:rPr>
            </w:pPr>
            <w:r w:rsidRPr="00C44428">
              <w:rPr>
                <w:rFonts w:cs="Arial"/>
                <w:szCs w:val="16"/>
              </w:rPr>
              <w:t xml:space="preserve">Prior year </w:t>
            </w:r>
          </w:p>
          <w:p w14:paraId="2239E017" w14:textId="77777777" w:rsidR="00CB4F3C" w:rsidRPr="00361E69" w:rsidRDefault="00C44428" w:rsidP="006207B7">
            <w:pPr>
              <w:tabs>
                <w:tab w:val="left" w:pos="709"/>
              </w:tabs>
              <w:spacing w:before="60" w:after="60" w:line="240" w:lineRule="auto"/>
              <w:rPr>
                <w:rFonts w:ascii="Arial" w:hAnsi="Arial" w:cs="Arial"/>
                <w:sz w:val="16"/>
                <w:szCs w:val="16"/>
              </w:rPr>
            </w:pPr>
            <w:r w:rsidRPr="00C44428">
              <w:rPr>
                <w:rFonts w:ascii="Arial" w:hAnsi="Arial" w:cs="Arial"/>
                <w:sz w:val="16"/>
                <w:szCs w:val="16"/>
              </w:rPr>
              <w:t>2021-22</w:t>
            </w:r>
            <w:r w:rsidR="00CB4F3C">
              <w:rPr>
                <w:rFonts w:ascii="Arial" w:hAnsi="Arial" w:cs="Arial"/>
                <w:sz w:val="16"/>
                <w:szCs w:val="16"/>
              </w:rPr>
              <w:t xml:space="preserve"> (continued)</w:t>
            </w:r>
          </w:p>
        </w:tc>
        <w:tc>
          <w:tcPr>
            <w:tcW w:w="2256" w:type="dxa"/>
            <w:tcBorders>
              <w:top w:val="single" w:sz="4" w:space="0" w:color="auto"/>
              <w:left w:val="single" w:sz="4" w:space="0" w:color="auto"/>
              <w:bottom w:val="dotted" w:sz="4" w:space="0" w:color="auto"/>
              <w:right w:val="single" w:sz="4" w:space="0" w:color="auto"/>
            </w:tcBorders>
          </w:tcPr>
          <w:p w14:paraId="2239E018" w14:textId="77777777" w:rsidR="00CB4F3C" w:rsidRDefault="00CB4F3C" w:rsidP="002B3C61">
            <w:pPr>
              <w:tabs>
                <w:tab w:val="left" w:pos="709"/>
              </w:tabs>
              <w:spacing w:before="60" w:after="60" w:line="240" w:lineRule="auto"/>
              <w:rPr>
                <w:rFonts w:ascii="Arial" w:hAnsi="Arial" w:cs="Arial"/>
                <w:sz w:val="16"/>
                <w:szCs w:val="16"/>
              </w:rPr>
            </w:pPr>
          </w:p>
          <w:p w14:paraId="2239E019" w14:textId="77777777" w:rsidR="00CB4F3C" w:rsidRDefault="00CB4F3C" w:rsidP="002B3C61">
            <w:pPr>
              <w:tabs>
                <w:tab w:val="left" w:pos="709"/>
              </w:tabs>
              <w:spacing w:before="60" w:after="60" w:line="240" w:lineRule="auto"/>
              <w:rPr>
                <w:rFonts w:ascii="Arial" w:hAnsi="Arial" w:cs="Arial"/>
                <w:sz w:val="16"/>
                <w:szCs w:val="16"/>
              </w:rPr>
            </w:pPr>
          </w:p>
          <w:p w14:paraId="2239E01A" w14:textId="77777777" w:rsidR="00CB4F3C" w:rsidRDefault="00CB4F3C" w:rsidP="002B3C61">
            <w:pPr>
              <w:tabs>
                <w:tab w:val="left" w:pos="709"/>
              </w:tabs>
              <w:spacing w:before="60" w:after="60" w:line="240" w:lineRule="auto"/>
              <w:rPr>
                <w:rFonts w:ascii="Arial" w:hAnsi="Arial" w:cs="Arial"/>
                <w:sz w:val="16"/>
                <w:szCs w:val="16"/>
              </w:rPr>
            </w:pPr>
          </w:p>
          <w:p w14:paraId="2239E01B" w14:textId="77777777" w:rsidR="00CB4F3C" w:rsidRDefault="00CB4F3C" w:rsidP="002B3C61">
            <w:pPr>
              <w:tabs>
                <w:tab w:val="left" w:pos="709"/>
              </w:tabs>
              <w:spacing w:before="60" w:after="60" w:line="240" w:lineRule="auto"/>
              <w:rPr>
                <w:rFonts w:ascii="Arial" w:hAnsi="Arial" w:cs="Arial"/>
                <w:sz w:val="16"/>
                <w:szCs w:val="16"/>
              </w:rPr>
            </w:pPr>
          </w:p>
          <w:p w14:paraId="2239E020" w14:textId="1199AEDD" w:rsidR="00CB4F3C" w:rsidRPr="00A43E54" w:rsidRDefault="00CB4F3C" w:rsidP="002B3C61">
            <w:pPr>
              <w:tabs>
                <w:tab w:val="left" w:pos="709"/>
              </w:tabs>
              <w:autoSpaceDE w:val="0"/>
              <w:autoSpaceDN w:val="0"/>
              <w:adjustRightInd w:val="0"/>
              <w:spacing w:before="60" w:after="60" w:line="240" w:lineRule="auto"/>
              <w:contextualSpacing/>
              <w:rPr>
                <w:rFonts w:ascii="Arial" w:hAnsi="Arial" w:cs="Arial"/>
                <w:sz w:val="16"/>
                <w:szCs w:val="16"/>
              </w:rPr>
            </w:pPr>
          </w:p>
        </w:tc>
        <w:tc>
          <w:tcPr>
            <w:tcW w:w="4008" w:type="dxa"/>
            <w:tcBorders>
              <w:top w:val="single" w:sz="4" w:space="0" w:color="auto"/>
              <w:left w:val="single" w:sz="4" w:space="0" w:color="auto"/>
              <w:bottom w:val="dotted" w:sz="4" w:space="0" w:color="auto"/>
            </w:tcBorders>
          </w:tcPr>
          <w:p w14:paraId="2D100BBF" w14:textId="1BC18BEE" w:rsidR="00370E9E" w:rsidRPr="00370E9E" w:rsidRDefault="00370E9E" w:rsidP="002B3C61">
            <w:pPr>
              <w:autoSpaceDE w:val="0"/>
              <w:autoSpaceDN w:val="0"/>
              <w:adjustRightInd w:val="0"/>
              <w:spacing w:before="60" w:after="60" w:line="240" w:lineRule="auto"/>
              <w:contextualSpacing/>
              <w:rPr>
                <w:rFonts w:ascii="Arial" w:hAnsi="Arial" w:cs="Arial"/>
                <w:bCs/>
                <w:sz w:val="16"/>
                <w:szCs w:val="16"/>
                <w:u w:val="single"/>
              </w:rPr>
            </w:pPr>
            <w:r w:rsidRPr="00370E9E">
              <w:rPr>
                <w:rFonts w:ascii="Arial" w:hAnsi="Arial" w:cs="Arial"/>
                <w:bCs/>
                <w:sz w:val="16"/>
                <w:szCs w:val="16"/>
                <w:u w:val="single"/>
              </w:rPr>
              <w:t>Timeliness of Appropriation Bills:</w:t>
            </w:r>
          </w:p>
          <w:p w14:paraId="5B9F7980" w14:textId="715B7362" w:rsidR="00370E9E" w:rsidRPr="00370E9E" w:rsidRDefault="00370E9E" w:rsidP="008F5AA4">
            <w:pPr>
              <w:pStyle w:val="ListParagraph"/>
              <w:numPr>
                <w:ilvl w:val="0"/>
                <w:numId w:val="55"/>
              </w:numPr>
              <w:autoSpaceDE w:val="0"/>
              <w:autoSpaceDN w:val="0"/>
              <w:adjustRightInd w:val="0"/>
              <w:spacing w:before="60" w:after="60" w:line="240" w:lineRule="auto"/>
              <w:ind w:left="527" w:hanging="357"/>
              <w:contextualSpacing w:val="0"/>
              <w:rPr>
                <w:rFonts w:ascii="Arial" w:hAnsi="Arial" w:cs="Arial"/>
                <w:bCs/>
                <w:sz w:val="16"/>
                <w:szCs w:val="16"/>
              </w:rPr>
            </w:pPr>
            <w:r w:rsidRPr="00370E9E">
              <w:rPr>
                <w:rFonts w:ascii="Arial" w:hAnsi="Arial" w:cs="Arial"/>
                <w:bCs/>
                <w:sz w:val="16"/>
                <w:szCs w:val="16"/>
              </w:rPr>
              <w:t xml:space="preserve">The Appropriation (Coronavirus Response) </w:t>
            </w:r>
          </w:p>
          <w:p w14:paraId="1004F88C" w14:textId="29E3D015" w:rsidR="00370E9E" w:rsidRPr="00370E9E" w:rsidRDefault="005D48BF" w:rsidP="008F5AA4">
            <w:pPr>
              <w:pStyle w:val="ListParagraph"/>
              <w:numPr>
                <w:ilvl w:val="0"/>
                <w:numId w:val="55"/>
              </w:numPr>
              <w:autoSpaceDE w:val="0"/>
              <w:autoSpaceDN w:val="0"/>
              <w:adjustRightInd w:val="0"/>
              <w:spacing w:before="60" w:after="60" w:line="240" w:lineRule="auto"/>
              <w:ind w:left="527" w:hanging="357"/>
              <w:contextualSpacing w:val="0"/>
              <w:rPr>
                <w:rFonts w:ascii="Arial" w:hAnsi="Arial" w:cs="Arial"/>
                <w:bCs/>
                <w:sz w:val="16"/>
                <w:szCs w:val="16"/>
              </w:rPr>
            </w:pPr>
            <w:r>
              <w:rPr>
                <w:rFonts w:ascii="Arial" w:hAnsi="Arial" w:cs="Arial"/>
                <w:bCs/>
                <w:sz w:val="16"/>
                <w:szCs w:val="16"/>
              </w:rPr>
              <w:t>2021-</w:t>
            </w:r>
            <w:r w:rsidR="00370E9E" w:rsidRPr="00370E9E">
              <w:rPr>
                <w:rFonts w:ascii="Arial" w:hAnsi="Arial" w:cs="Arial"/>
                <w:bCs/>
                <w:sz w:val="16"/>
                <w:szCs w:val="16"/>
              </w:rPr>
              <w:t>22 Bills wer</w:t>
            </w:r>
            <w:r w:rsidR="0018432E">
              <w:rPr>
                <w:rFonts w:ascii="Arial" w:hAnsi="Arial" w:cs="Arial"/>
                <w:bCs/>
                <w:sz w:val="16"/>
                <w:szCs w:val="16"/>
              </w:rPr>
              <w:t>e introduced to Parliament on 9 </w:t>
            </w:r>
            <w:r w:rsidR="00370E9E" w:rsidRPr="00370E9E">
              <w:rPr>
                <w:rFonts w:ascii="Arial" w:hAnsi="Arial" w:cs="Arial"/>
                <w:bCs/>
                <w:sz w:val="16"/>
                <w:szCs w:val="16"/>
              </w:rPr>
              <w:t>February</w:t>
            </w:r>
            <w:r w:rsidR="0018432E">
              <w:rPr>
                <w:rFonts w:ascii="Arial" w:hAnsi="Arial" w:cs="Arial"/>
                <w:bCs/>
                <w:sz w:val="16"/>
                <w:szCs w:val="16"/>
              </w:rPr>
              <w:t> </w:t>
            </w:r>
            <w:r w:rsidR="00370E9E" w:rsidRPr="00370E9E">
              <w:rPr>
                <w:rFonts w:ascii="Arial" w:hAnsi="Arial" w:cs="Arial"/>
                <w:bCs/>
                <w:sz w:val="16"/>
                <w:szCs w:val="16"/>
              </w:rPr>
              <w:t>2022.</w:t>
            </w:r>
          </w:p>
          <w:p w14:paraId="2239E025" w14:textId="4BD2B0DD" w:rsidR="00370E9E" w:rsidRPr="001373A8" w:rsidRDefault="00370E9E" w:rsidP="008F5AA4">
            <w:pPr>
              <w:pStyle w:val="ListParagraph"/>
              <w:numPr>
                <w:ilvl w:val="0"/>
                <w:numId w:val="55"/>
              </w:numPr>
              <w:autoSpaceDE w:val="0"/>
              <w:autoSpaceDN w:val="0"/>
              <w:adjustRightInd w:val="0"/>
              <w:spacing w:before="60" w:after="60" w:line="240" w:lineRule="auto"/>
              <w:ind w:left="527" w:hanging="357"/>
              <w:contextualSpacing w:val="0"/>
              <w:rPr>
                <w:rFonts w:ascii="Arial" w:hAnsi="Arial" w:cs="Arial"/>
                <w:bCs/>
                <w:sz w:val="16"/>
                <w:szCs w:val="16"/>
              </w:rPr>
            </w:pPr>
            <w:r w:rsidRPr="00370E9E">
              <w:rPr>
                <w:rFonts w:ascii="Arial" w:hAnsi="Arial" w:cs="Arial"/>
                <w:bCs/>
                <w:sz w:val="16"/>
                <w:szCs w:val="16"/>
              </w:rPr>
              <w:t>The Additional Estimates Bills for 2021-22 were</w:t>
            </w:r>
            <w:r w:rsidR="00F71C70">
              <w:rPr>
                <w:rFonts w:ascii="Arial" w:hAnsi="Arial" w:cs="Arial"/>
                <w:bCs/>
                <w:sz w:val="16"/>
                <w:szCs w:val="16"/>
              </w:rPr>
              <w:t xml:space="preserve"> introduced to Parliament on 10 </w:t>
            </w:r>
            <w:r w:rsidRPr="00370E9E">
              <w:rPr>
                <w:rFonts w:ascii="Arial" w:hAnsi="Arial" w:cs="Arial"/>
                <w:bCs/>
                <w:sz w:val="16"/>
                <w:szCs w:val="16"/>
              </w:rPr>
              <w:t>February</w:t>
            </w:r>
            <w:r w:rsidR="00F71C70">
              <w:rPr>
                <w:rFonts w:ascii="Arial" w:hAnsi="Arial" w:cs="Arial"/>
                <w:bCs/>
                <w:sz w:val="16"/>
                <w:szCs w:val="16"/>
              </w:rPr>
              <w:t> </w:t>
            </w:r>
            <w:r w:rsidRPr="00370E9E">
              <w:rPr>
                <w:rFonts w:ascii="Arial" w:hAnsi="Arial" w:cs="Arial"/>
                <w:bCs/>
                <w:sz w:val="16"/>
                <w:szCs w:val="16"/>
              </w:rPr>
              <w:t>2022.</w:t>
            </w:r>
          </w:p>
        </w:tc>
      </w:tr>
      <w:tr w:rsidR="00CB4F3C" w:rsidRPr="008C2E0D" w14:paraId="2239E02E" w14:textId="77777777" w:rsidTr="002B3C61">
        <w:trPr>
          <w:trHeight w:val="642"/>
        </w:trPr>
        <w:tc>
          <w:tcPr>
            <w:tcW w:w="1531" w:type="dxa"/>
            <w:tcBorders>
              <w:top w:val="nil"/>
              <w:bottom w:val="nil"/>
              <w:right w:val="single" w:sz="4" w:space="0" w:color="auto"/>
            </w:tcBorders>
          </w:tcPr>
          <w:p w14:paraId="2239E027" w14:textId="77777777" w:rsidR="00CB4F3C" w:rsidRPr="00361E69" w:rsidRDefault="00CB4F3C" w:rsidP="002B3C61">
            <w:pPr>
              <w:tabs>
                <w:tab w:val="left" w:pos="709"/>
              </w:tabs>
              <w:spacing w:before="60" w:after="60" w:line="240" w:lineRule="auto"/>
              <w:rPr>
                <w:rFonts w:ascii="Arial" w:hAnsi="Arial" w:cs="Arial"/>
                <w:sz w:val="16"/>
                <w:szCs w:val="16"/>
              </w:rPr>
            </w:pPr>
          </w:p>
        </w:tc>
        <w:tc>
          <w:tcPr>
            <w:tcW w:w="2256" w:type="dxa"/>
            <w:tcBorders>
              <w:top w:val="dotted" w:sz="4" w:space="0" w:color="auto"/>
              <w:left w:val="single" w:sz="4" w:space="0" w:color="auto"/>
              <w:bottom w:val="dotted" w:sz="4" w:space="0" w:color="auto"/>
              <w:right w:val="single" w:sz="4" w:space="0" w:color="auto"/>
            </w:tcBorders>
          </w:tcPr>
          <w:p w14:paraId="53CA9AE8" w14:textId="372B445C" w:rsidR="00FF5512" w:rsidRPr="00736B8E" w:rsidRDefault="00736B8E" w:rsidP="002B3C61">
            <w:pPr>
              <w:tabs>
                <w:tab w:val="left" w:pos="709"/>
              </w:tabs>
              <w:autoSpaceDE w:val="0"/>
              <w:autoSpaceDN w:val="0"/>
              <w:adjustRightInd w:val="0"/>
              <w:spacing w:before="60" w:after="60" w:line="240" w:lineRule="auto"/>
              <w:rPr>
                <w:rFonts w:ascii="Arial" w:hAnsi="Arial" w:cs="Arial"/>
                <w:b/>
                <w:sz w:val="16"/>
                <w:szCs w:val="16"/>
              </w:rPr>
            </w:pPr>
            <w:r w:rsidRPr="00736B8E">
              <w:rPr>
                <w:rFonts w:ascii="Arial" w:hAnsi="Arial" w:cs="Arial"/>
                <w:b/>
                <w:sz w:val="16"/>
                <w:szCs w:val="16"/>
              </w:rPr>
              <w:t>Financial statements</w:t>
            </w:r>
          </w:p>
          <w:p w14:paraId="2239E02A" w14:textId="5A59F85D" w:rsidR="00CB4F3C" w:rsidRDefault="00736B8E" w:rsidP="002B3C61">
            <w:pPr>
              <w:tabs>
                <w:tab w:val="left" w:pos="709"/>
              </w:tabs>
              <w:autoSpaceDE w:val="0"/>
              <w:autoSpaceDN w:val="0"/>
              <w:adjustRightInd w:val="0"/>
              <w:spacing w:before="60" w:after="60" w:line="240" w:lineRule="auto"/>
              <w:rPr>
                <w:rFonts w:ascii="Arial" w:hAnsi="Arial" w:cs="Arial"/>
                <w:sz w:val="16"/>
                <w:szCs w:val="16"/>
              </w:rPr>
            </w:pPr>
            <w:r w:rsidRPr="00736B8E">
              <w:rPr>
                <w:rFonts w:ascii="Arial" w:hAnsi="Arial" w:cs="Arial"/>
                <w:sz w:val="16"/>
                <w:szCs w:val="16"/>
              </w:rPr>
              <w:t>The Government’s financial statements, including monthly statements, are complete, fairly presented and released publicly within timeframes agreed with the Government</w:t>
            </w:r>
            <w:r w:rsidR="001373A8">
              <w:rPr>
                <w:rFonts w:ascii="Arial" w:hAnsi="Arial" w:cs="Arial"/>
                <w:sz w:val="16"/>
                <w:szCs w:val="16"/>
              </w:rPr>
              <w:t xml:space="preserve">. </w:t>
            </w:r>
          </w:p>
        </w:tc>
        <w:tc>
          <w:tcPr>
            <w:tcW w:w="4008" w:type="dxa"/>
            <w:tcBorders>
              <w:top w:val="dotted" w:sz="4" w:space="0" w:color="auto"/>
              <w:left w:val="single" w:sz="4" w:space="0" w:color="auto"/>
              <w:bottom w:val="dotted" w:sz="4" w:space="0" w:color="auto"/>
            </w:tcBorders>
          </w:tcPr>
          <w:p w14:paraId="46F4014B" w14:textId="77777777" w:rsidR="00736B8E" w:rsidRDefault="00736B8E" w:rsidP="002B3C61">
            <w:pPr>
              <w:autoSpaceDE w:val="0"/>
              <w:autoSpaceDN w:val="0"/>
              <w:adjustRightInd w:val="0"/>
              <w:spacing w:before="60" w:after="60" w:line="240" w:lineRule="auto"/>
              <w:rPr>
                <w:rFonts w:ascii="Arial" w:hAnsi="Arial" w:cs="Arial"/>
                <w:b/>
                <w:sz w:val="16"/>
                <w:szCs w:val="16"/>
              </w:rPr>
            </w:pPr>
            <w:r w:rsidRPr="00736B8E">
              <w:rPr>
                <w:rFonts w:ascii="Arial" w:hAnsi="Arial" w:cs="Arial"/>
                <w:b/>
                <w:sz w:val="16"/>
                <w:szCs w:val="16"/>
              </w:rPr>
              <w:t>Achieved</w:t>
            </w:r>
          </w:p>
          <w:p w14:paraId="07B0532F" w14:textId="77777777" w:rsidR="00736B8E" w:rsidRPr="00736B8E" w:rsidRDefault="00736B8E" w:rsidP="002B3C61">
            <w:pPr>
              <w:autoSpaceDE w:val="0"/>
              <w:autoSpaceDN w:val="0"/>
              <w:adjustRightInd w:val="0"/>
              <w:spacing w:before="60" w:after="60" w:line="240" w:lineRule="auto"/>
              <w:rPr>
                <w:rFonts w:ascii="Arial" w:hAnsi="Arial" w:cs="Arial"/>
                <w:sz w:val="16"/>
                <w:szCs w:val="16"/>
              </w:rPr>
            </w:pPr>
            <w:r w:rsidRPr="00736B8E">
              <w:rPr>
                <w:rFonts w:ascii="Arial" w:hAnsi="Arial" w:cs="Arial"/>
                <w:sz w:val="16"/>
                <w:szCs w:val="16"/>
              </w:rPr>
              <w:t>The 2021-22 monthly financial statements were provided to the Minister for Finance on average within 21 days of the end of each month since the release of FBO.</w:t>
            </w:r>
          </w:p>
          <w:p w14:paraId="2239E02D" w14:textId="58450DEB" w:rsidR="00CB4F3C" w:rsidRPr="00A43E54" w:rsidRDefault="00736B8E" w:rsidP="002B3C61">
            <w:pPr>
              <w:autoSpaceDE w:val="0"/>
              <w:autoSpaceDN w:val="0"/>
              <w:adjustRightInd w:val="0"/>
              <w:spacing w:before="60" w:after="60" w:line="240" w:lineRule="auto"/>
              <w:rPr>
                <w:rFonts w:ascii="Arial" w:hAnsi="Arial" w:cs="Arial"/>
                <w:sz w:val="16"/>
                <w:szCs w:val="16"/>
                <w:u w:val="single"/>
              </w:rPr>
            </w:pPr>
            <w:r w:rsidRPr="00736B8E">
              <w:rPr>
                <w:rFonts w:ascii="Arial" w:hAnsi="Arial" w:cs="Arial"/>
                <w:sz w:val="16"/>
                <w:szCs w:val="16"/>
              </w:rPr>
              <w:t>The Auditor-General issued an unmodified audit report on the 2020-21 Consolid</w:t>
            </w:r>
            <w:r w:rsidR="0018432E">
              <w:rPr>
                <w:rFonts w:ascii="Arial" w:hAnsi="Arial" w:cs="Arial"/>
                <w:sz w:val="16"/>
                <w:szCs w:val="16"/>
              </w:rPr>
              <w:t>ated Financial Statements on 15 November </w:t>
            </w:r>
            <w:r w:rsidRPr="00736B8E">
              <w:rPr>
                <w:rFonts w:ascii="Arial" w:hAnsi="Arial" w:cs="Arial"/>
                <w:sz w:val="16"/>
                <w:szCs w:val="16"/>
              </w:rPr>
              <w:t>2021.</w:t>
            </w:r>
          </w:p>
        </w:tc>
      </w:tr>
      <w:tr w:rsidR="00CB4F3C" w:rsidRPr="008C2E0D" w14:paraId="2239E033" w14:textId="77777777" w:rsidTr="002B3C61">
        <w:trPr>
          <w:trHeight w:val="642"/>
        </w:trPr>
        <w:tc>
          <w:tcPr>
            <w:tcW w:w="1531" w:type="dxa"/>
            <w:tcBorders>
              <w:top w:val="nil"/>
              <w:right w:val="single" w:sz="4" w:space="0" w:color="auto"/>
            </w:tcBorders>
          </w:tcPr>
          <w:p w14:paraId="2239E02F" w14:textId="77777777" w:rsidR="00CB4F3C" w:rsidRPr="00361E69" w:rsidRDefault="00CB4F3C" w:rsidP="002B3C61">
            <w:pPr>
              <w:tabs>
                <w:tab w:val="left" w:pos="709"/>
              </w:tabs>
              <w:spacing w:before="60" w:after="60" w:line="240" w:lineRule="auto"/>
              <w:rPr>
                <w:rFonts w:ascii="Arial" w:hAnsi="Arial" w:cs="Arial"/>
                <w:sz w:val="16"/>
                <w:szCs w:val="16"/>
              </w:rPr>
            </w:pPr>
          </w:p>
        </w:tc>
        <w:tc>
          <w:tcPr>
            <w:tcW w:w="2256" w:type="dxa"/>
            <w:tcBorders>
              <w:top w:val="dotted" w:sz="4" w:space="0" w:color="auto"/>
              <w:left w:val="single" w:sz="4" w:space="0" w:color="auto"/>
              <w:bottom w:val="single" w:sz="4" w:space="0" w:color="auto"/>
              <w:right w:val="single" w:sz="4" w:space="0" w:color="auto"/>
            </w:tcBorders>
          </w:tcPr>
          <w:p w14:paraId="2239E030" w14:textId="77777777" w:rsidR="00CB4F3C" w:rsidRPr="00370F86" w:rsidRDefault="00CB4F3C" w:rsidP="002B3C61">
            <w:pPr>
              <w:tabs>
                <w:tab w:val="left" w:pos="709"/>
              </w:tabs>
              <w:autoSpaceDE w:val="0"/>
              <w:autoSpaceDN w:val="0"/>
              <w:adjustRightInd w:val="0"/>
              <w:spacing w:before="60" w:after="60" w:line="240" w:lineRule="auto"/>
              <w:rPr>
                <w:rFonts w:ascii="Arial" w:hAnsi="Arial" w:cs="Arial"/>
                <w:b/>
                <w:sz w:val="16"/>
                <w:szCs w:val="16"/>
              </w:rPr>
            </w:pPr>
            <w:r w:rsidRPr="00370F86">
              <w:rPr>
                <w:rFonts w:ascii="Arial" w:hAnsi="Arial" w:cs="Arial"/>
                <w:b/>
                <w:sz w:val="16"/>
                <w:szCs w:val="16"/>
              </w:rPr>
              <w:t>Daily disbursement of cash</w:t>
            </w:r>
          </w:p>
          <w:p w14:paraId="2239E031" w14:textId="6595EA78" w:rsidR="001373A8" w:rsidRDefault="00154503" w:rsidP="002B3C61">
            <w:pPr>
              <w:tabs>
                <w:tab w:val="left" w:pos="709"/>
              </w:tabs>
              <w:spacing w:before="60" w:after="60" w:line="240" w:lineRule="auto"/>
              <w:rPr>
                <w:rFonts w:ascii="Arial" w:hAnsi="Arial" w:cs="Arial"/>
                <w:sz w:val="16"/>
                <w:szCs w:val="16"/>
              </w:rPr>
            </w:pPr>
            <w:r w:rsidRPr="00154503">
              <w:rPr>
                <w:rFonts w:ascii="Arial" w:hAnsi="Arial" w:cs="Arial"/>
                <w:sz w:val="16"/>
                <w:szCs w:val="16"/>
              </w:rPr>
              <w:t>Commonwealth entities have access to cash, in near real-time, as required.</w:t>
            </w:r>
          </w:p>
        </w:tc>
        <w:tc>
          <w:tcPr>
            <w:tcW w:w="4008" w:type="dxa"/>
            <w:tcBorders>
              <w:top w:val="dotted" w:sz="4" w:space="0" w:color="auto"/>
              <w:left w:val="single" w:sz="4" w:space="0" w:color="auto"/>
              <w:bottom w:val="single" w:sz="4" w:space="0" w:color="auto"/>
            </w:tcBorders>
          </w:tcPr>
          <w:p w14:paraId="2A791B02" w14:textId="77777777" w:rsidR="00154503" w:rsidRPr="00154503" w:rsidRDefault="00154503" w:rsidP="002B3C61">
            <w:pPr>
              <w:autoSpaceDE w:val="0"/>
              <w:autoSpaceDN w:val="0"/>
              <w:adjustRightInd w:val="0"/>
              <w:spacing w:before="60" w:after="60" w:line="240" w:lineRule="auto"/>
              <w:rPr>
                <w:rFonts w:ascii="Arial" w:hAnsi="Arial" w:cs="Arial"/>
                <w:b/>
                <w:sz w:val="16"/>
                <w:szCs w:val="16"/>
              </w:rPr>
            </w:pPr>
            <w:r w:rsidRPr="00154503">
              <w:rPr>
                <w:rFonts w:ascii="Arial" w:hAnsi="Arial" w:cs="Arial"/>
                <w:b/>
                <w:sz w:val="16"/>
                <w:szCs w:val="16"/>
              </w:rPr>
              <w:t>Achieved</w:t>
            </w:r>
          </w:p>
          <w:p w14:paraId="2239E032" w14:textId="030DEBAE" w:rsidR="00CB4F3C" w:rsidRPr="00A43E54" w:rsidRDefault="00154503" w:rsidP="002B3C61">
            <w:pPr>
              <w:autoSpaceDE w:val="0"/>
              <w:autoSpaceDN w:val="0"/>
              <w:adjustRightInd w:val="0"/>
              <w:spacing w:before="60" w:after="60" w:line="240" w:lineRule="auto"/>
              <w:rPr>
                <w:rFonts w:ascii="Arial" w:hAnsi="Arial" w:cs="Arial"/>
                <w:sz w:val="16"/>
                <w:szCs w:val="16"/>
                <w:u w:val="single"/>
              </w:rPr>
            </w:pPr>
            <w:r w:rsidRPr="00154503">
              <w:rPr>
                <w:rFonts w:ascii="Arial" w:hAnsi="Arial" w:cs="Arial"/>
                <w:sz w:val="16"/>
                <w:szCs w:val="16"/>
              </w:rPr>
              <w:t>All payment requests from entities were met in requested timeframes, across the entire reporting period.</w:t>
            </w:r>
          </w:p>
        </w:tc>
      </w:tr>
    </w:tbl>
    <w:p w14:paraId="3AAE257F" w14:textId="77777777" w:rsidR="001373A8" w:rsidRDefault="00CB4F3C" w:rsidP="001373A8">
      <w:pPr>
        <w:pStyle w:val="ChartandTableFootnote"/>
      </w:pPr>
      <w:r w:rsidRPr="00CB4F3C">
        <w:t>Table continues on next page</w:t>
      </w:r>
      <w:r w:rsidR="001373A8">
        <w:br w:type="page"/>
      </w:r>
    </w:p>
    <w:p w14:paraId="2239E040" w14:textId="0CAF431B" w:rsidR="00CB4F3C" w:rsidRDefault="00CB4F3C" w:rsidP="001373A8">
      <w:pPr>
        <w:pStyle w:val="TableHeading"/>
      </w:pPr>
      <w:r w:rsidRPr="00393D23">
        <w:lastRenderedPageBreak/>
        <w:t>Table 2.1.2: Performance measure for Outcome 1</w:t>
      </w:r>
      <w:r>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89"/>
        <w:gridCol w:w="4092"/>
      </w:tblGrid>
      <w:tr w:rsidR="00CB4F3C" w:rsidRPr="004F082C" w14:paraId="2239E042" w14:textId="77777777" w:rsidTr="006207B7">
        <w:trPr>
          <w:trHeight w:val="527"/>
        </w:trPr>
        <w:tc>
          <w:tcPr>
            <w:tcW w:w="7795" w:type="dxa"/>
            <w:gridSpan w:val="3"/>
            <w:shd w:val="clear" w:color="auto" w:fill="F2F2F2" w:themeFill="background1" w:themeFillShade="F2"/>
          </w:tcPr>
          <w:p w14:paraId="70A802D6" w14:textId="77777777" w:rsidR="004F082C" w:rsidRPr="004F082C" w:rsidRDefault="004F082C" w:rsidP="006207B7">
            <w:pPr>
              <w:pStyle w:val="TableTextLeft"/>
              <w:autoSpaceDE w:val="0"/>
              <w:autoSpaceDN w:val="0"/>
              <w:adjustRightInd w:val="0"/>
              <w:spacing w:before="60" w:after="60"/>
              <w:contextualSpacing/>
              <w:rPr>
                <w:b/>
                <w:szCs w:val="18"/>
              </w:rPr>
            </w:pPr>
            <w:r w:rsidRPr="004F082C">
              <w:rPr>
                <w:b/>
                <w:szCs w:val="18"/>
              </w:rPr>
              <w:t>Program 1.1 - Budget and Financial Management</w:t>
            </w:r>
          </w:p>
          <w:p w14:paraId="2239E041" w14:textId="1466F867" w:rsidR="00CB4F3C" w:rsidRPr="004F082C" w:rsidRDefault="004F082C" w:rsidP="0018432E">
            <w:pPr>
              <w:pStyle w:val="TableTextLeft"/>
              <w:autoSpaceDE w:val="0"/>
              <w:autoSpaceDN w:val="0"/>
              <w:adjustRightInd w:val="0"/>
              <w:spacing w:before="60" w:after="60"/>
              <w:contextualSpacing/>
              <w:rPr>
                <w:szCs w:val="18"/>
              </w:rPr>
            </w:pPr>
            <w:r w:rsidRPr="004F082C">
              <w:rPr>
                <w:szCs w:val="18"/>
              </w:rPr>
              <w:t xml:space="preserve">This program contributes to the outcome through advising the Finance Minister and </w:t>
            </w:r>
            <w:r w:rsidR="0018432E">
              <w:rPr>
                <w:szCs w:val="18"/>
              </w:rPr>
              <w:t>ERC</w:t>
            </w:r>
            <w:r w:rsidRPr="004F082C">
              <w:rPr>
                <w:szCs w:val="18"/>
              </w:rPr>
              <w:t xml:space="preserve"> on fiscal and economic policies and related matters; supporting the Finance Minister in meeting their financial reporting responsibilities; and supporting the delivery of the Budget</w:t>
            </w:r>
            <w:r w:rsidR="00F35311">
              <w:rPr>
                <w:szCs w:val="18"/>
              </w:rPr>
              <w:t>.</w:t>
            </w:r>
          </w:p>
        </w:tc>
      </w:tr>
      <w:tr w:rsidR="00CB4F3C" w:rsidRPr="002A0954" w14:paraId="2239E046" w14:textId="77777777" w:rsidTr="006207B7">
        <w:trPr>
          <w:trHeight w:val="312"/>
        </w:trPr>
        <w:tc>
          <w:tcPr>
            <w:tcW w:w="1414" w:type="dxa"/>
            <w:tcBorders>
              <w:top w:val="single" w:sz="4" w:space="0" w:color="auto"/>
              <w:bottom w:val="single" w:sz="4" w:space="0" w:color="auto"/>
              <w:right w:val="single" w:sz="4" w:space="0" w:color="auto"/>
            </w:tcBorders>
          </w:tcPr>
          <w:p w14:paraId="2239E043" w14:textId="77777777" w:rsidR="00CB4F3C" w:rsidRPr="00313067" w:rsidRDefault="00CB4F3C" w:rsidP="00251007">
            <w:pPr>
              <w:tabs>
                <w:tab w:val="left" w:pos="709"/>
              </w:tabs>
              <w:spacing w:before="20" w:after="20"/>
              <w:rPr>
                <w:rFonts w:ascii="Arial" w:hAnsi="Arial" w:cs="Arial"/>
                <w:sz w:val="16"/>
                <w:szCs w:val="16"/>
              </w:rPr>
            </w:pPr>
            <w:r w:rsidRPr="00313067">
              <w:rPr>
                <w:rFonts w:ascii="Arial" w:hAnsi="Arial" w:cs="Arial"/>
                <w:b/>
                <w:bCs/>
                <w:sz w:val="16"/>
                <w:szCs w:val="16"/>
              </w:rPr>
              <w:t>Year</w:t>
            </w:r>
          </w:p>
        </w:tc>
        <w:tc>
          <w:tcPr>
            <w:tcW w:w="2289" w:type="dxa"/>
            <w:tcBorders>
              <w:top w:val="single" w:sz="4" w:space="0" w:color="auto"/>
              <w:left w:val="single" w:sz="4" w:space="0" w:color="auto"/>
              <w:bottom w:val="single" w:sz="4" w:space="0" w:color="auto"/>
              <w:right w:val="single" w:sz="4" w:space="0" w:color="auto"/>
            </w:tcBorders>
          </w:tcPr>
          <w:p w14:paraId="2239E044" w14:textId="77777777" w:rsidR="00CB4F3C" w:rsidRPr="00313067" w:rsidRDefault="00CB4F3C" w:rsidP="00251007">
            <w:pPr>
              <w:tabs>
                <w:tab w:val="left" w:pos="709"/>
              </w:tabs>
              <w:spacing w:before="20" w:after="20"/>
              <w:rPr>
                <w:rFonts w:ascii="Arial" w:hAnsi="Arial" w:cs="Arial"/>
                <w:sz w:val="16"/>
                <w:szCs w:val="16"/>
              </w:rPr>
            </w:pPr>
            <w:r>
              <w:rPr>
                <w:rFonts w:ascii="Arial" w:hAnsi="Arial" w:cs="Arial"/>
                <w:b/>
                <w:bCs/>
                <w:sz w:val="16"/>
                <w:szCs w:val="16"/>
              </w:rPr>
              <w:t>Performance measures</w:t>
            </w:r>
          </w:p>
        </w:tc>
        <w:tc>
          <w:tcPr>
            <w:tcW w:w="4092" w:type="dxa"/>
            <w:tcBorders>
              <w:top w:val="single" w:sz="4" w:space="0" w:color="auto"/>
              <w:left w:val="single" w:sz="4" w:space="0" w:color="auto"/>
              <w:bottom w:val="single" w:sz="4" w:space="0" w:color="auto"/>
              <w:right w:val="single" w:sz="4" w:space="0" w:color="auto"/>
            </w:tcBorders>
          </w:tcPr>
          <w:p w14:paraId="2239E045" w14:textId="77777777" w:rsidR="00CB4F3C" w:rsidRPr="00313067" w:rsidRDefault="00CB4F3C" w:rsidP="00251007">
            <w:pPr>
              <w:tabs>
                <w:tab w:val="left" w:pos="709"/>
              </w:tabs>
              <w:spacing w:before="20" w:after="20"/>
              <w:rPr>
                <w:rFonts w:ascii="Arial" w:hAnsi="Arial" w:cs="Arial"/>
                <w:i/>
                <w:iCs/>
                <w:sz w:val="16"/>
                <w:szCs w:val="16"/>
              </w:rPr>
            </w:pPr>
            <w:r w:rsidRPr="00313067">
              <w:rPr>
                <w:rFonts w:ascii="Arial" w:hAnsi="Arial" w:cs="Arial"/>
                <w:b/>
                <w:bCs/>
                <w:sz w:val="16"/>
                <w:szCs w:val="16"/>
              </w:rPr>
              <w:t>Planned Performance Results</w:t>
            </w:r>
          </w:p>
        </w:tc>
      </w:tr>
      <w:tr w:rsidR="00CB4F3C" w:rsidRPr="002A0954" w14:paraId="2239E055" w14:textId="77777777" w:rsidTr="006207B7">
        <w:trPr>
          <w:trHeight w:val="100"/>
        </w:trPr>
        <w:tc>
          <w:tcPr>
            <w:tcW w:w="1414" w:type="dxa"/>
            <w:tcBorders>
              <w:top w:val="single" w:sz="4" w:space="0" w:color="auto"/>
              <w:bottom w:val="nil"/>
              <w:right w:val="single" w:sz="4" w:space="0" w:color="auto"/>
            </w:tcBorders>
          </w:tcPr>
          <w:p w14:paraId="2239E047" w14:textId="77777777" w:rsidR="00CB4F3C" w:rsidRPr="004E15D3" w:rsidRDefault="00CB4F3C" w:rsidP="006207B7">
            <w:pPr>
              <w:tabs>
                <w:tab w:val="left" w:pos="709"/>
              </w:tabs>
              <w:spacing w:before="60" w:after="60" w:line="240" w:lineRule="auto"/>
              <w:rPr>
                <w:rFonts w:ascii="Arial" w:hAnsi="Arial" w:cs="Arial"/>
                <w:sz w:val="16"/>
                <w:szCs w:val="16"/>
              </w:rPr>
            </w:pPr>
            <w:r w:rsidRPr="004E15D3">
              <w:rPr>
                <w:rFonts w:ascii="Arial" w:hAnsi="Arial" w:cs="Arial"/>
                <w:sz w:val="16"/>
                <w:szCs w:val="16"/>
                <w:lang w:eastAsia="en-US"/>
              </w:rPr>
              <w:t>Budget Year 2022-23</w:t>
            </w:r>
          </w:p>
        </w:tc>
        <w:tc>
          <w:tcPr>
            <w:tcW w:w="2289" w:type="dxa"/>
            <w:tcBorders>
              <w:top w:val="single" w:sz="4" w:space="0" w:color="auto"/>
              <w:left w:val="single" w:sz="4" w:space="0" w:color="auto"/>
              <w:bottom w:val="dotted" w:sz="4" w:space="0" w:color="auto"/>
              <w:right w:val="single" w:sz="4" w:space="0" w:color="auto"/>
            </w:tcBorders>
          </w:tcPr>
          <w:p w14:paraId="2239E048" w14:textId="77777777" w:rsidR="00CB4F3C" w:rsidRPr="00C33F82" w:rsidRDefault="00CB4F3C" w:rsidP="006207B7">
            <w:pPr>
              <w:tabs>
                <w:tab w:val="left" w:pos="709"/>
              </w:tabs>
              <w:autoSpaceDE w:val="0"/>
              <w:autoSpaceDN w:val="0"/>
              <w:adjustRightInd w:val="0"/>
              <w:spacing w:before="60" w:after="60" w:line="240" w:lineRule="auto"/>
              <w:rPr>
                <w:rFonts w:ascii="Arial" w:hAnsi="Arial" w:cs="Arial"/>
                <w:b/>
                <w:sz w:val="16"/>
                <w:szCs w:val="16"/>
              </w:rPr>
            </w:pPr>
            <w:r w:rsidRPr="00C33F82">
              <w:rPr>
                <w:rFonts w:ascii="Arial" w:hAnsi="Arial" w:cs="Arial"/>
                <w:b/>
                <w:sz w:val="16"/>
                <w:szCs w:val="16"/>
              </w:rPr>
              <w:t>Budget updates and Appropriation Bills</w:t>
            </w:r>
          </w:p>
          <w:p w14:paraId="2239E049" w14:textId="4845741F" w:rsidR="00CB4F3C" w:rsidRPr="00C33F82" w:rsidRDefault="00AF0F5E" w:rsidP="006207B7">
            <w:pPr>
              <w:autoSpaceDE w:val="0"/>
              <w:autoSpaceDN w:val="0"/>
              <w:adjustRightInd w:val="0"/>
              <w:spacing w:before="60" w:after="60" w:line="240" w:lineRule="auto"/>
              <w:contextualSpacing/>
              <w:rPr>
                <w:rFonts w:ascii="Arial" w:hAnsi="Arial" w:cs="Arial"/>
                <w:i/>
                <w:iCs/>
                <w:sz w:val="18"/>
                <w:szCs w:val="18"/>
              </w:rPr>
            </w:pPr>
            <w:r w:rsidRPr="00AF0F5E">
              <w:rPr>
                <w:rFonts w:ascii="Arial" w:eastAsia="Arial" w:hAnsi="Arial" w:cs="Arial"/>
                <w:sz w:val="16"/>
                <w:szCs w:val="16"/>
              </w:rPr>
              <w:t>Budget papers, related updates (e.g. the MYEFO) and Appropriation Bills are accurate, consistent with external reporting standards, delivered within required timeframes and meets the Government’s fiscal and policy objectives and legislative obligations.</w:t>
            </w:r>
          </w:p>
        </w:tc>
        <w:tc>
          <w:tcPr>
            <w:tcW w:w="4092" w:type="dxa"/>
            <w:tcBorders>
              <w:top w:val="single" w:sz="4" w:space="0" w:color="auto"/>
              <w:left w:val="single" w:sz="4" w:space="0" w:color="auto"/>
              <w:bottom w:val="dotted" w:sz="4" w:space="0" w:color="auto"/>
            </w:tcBorders>
          </w:tcPr>
          <w:p w14:paraId="2239E04A" w14:textId="77777777" w:rsidR="00CB4F3C" w:rsidRPr="00C33F82" w:rsidRDefault="00CB4F3C" w:rsidP="006207B7">
            <w:pPr>
              <w:autoSpaceDE w:val="0"/>
              <w:autoSpaceDN w:val="0"/>
              <w:adjustRightInd w:val="0"/>
              <w:spacing w:before="60" w:after="60" w:line="240" w:lineRule="auto"/>
              <w:rPr>
                <w:rFonts w:ascii="Arial" w:hAnsi="Arial" w:cs="Arial"/>
                <w:sz w:val="16"/>
                <w:szCs w:val="16"/>
              </w:rPr>
            </w:pPr>
            <w:r w:rsidRPr="00C33F82">
              <w:rPr>
                <w:rFonts w:ascii="Arial" w:hAnsi="Arial" w:cs="Arial"/>
                <w:sz w:val="16"/>
                <w:szCs w:val="16"/>
              </w:rPr>
              <w:t>Accuracy of Budget Estimates.</w:t>
            </w:r>
          </w:p>
          <w:p w14:paraId="2239E04B" w14:textId="1E2E8A6B" w:rsidR="00CB4F3C" w:rsidRPr="00C33F82" w:rsidRDefault="00AF0F5E" w:rsidP="008F5AA4">
            <w:pPr>
              <w:tabs>
                <w:tab w:val="left" w:pos="709"/>
              </w:tabs>
              <w:suppressAutoHyphens/>
              <w:spacing w:before="60" w:after="60" w:line="240" w:lineRule="auto"/>
              <w:rPr>
                <w:rFonts w:ascii="Arial" w:eastAsia="Arial" w:hAnsi="Arial" w:cs="Arial"/>
                <w:sz w:val="16"/>
                <w:szCs w:val="16"/>
              </w:rPr>
            </w:pPr>
            <w:r w:rsidRPr="00AF0F5E">
              <w:rPr>
                <w:rFonts w:ascii="Arial" w:eastAsia="Arial" w:hAnsi="Arial" w:cs="Arial"/>
                <w:sz w:val="16"/>
                <w:szCs w:val="16"/>
              </w:rPr>
              <w:t>Variances between estimated expenses and final ou</w:t>
            </w:r>
            <w:r>
              <w:rPr>
                <w:rFonts w:ascii="Arial" w:eastAsia="Arial" w:hAnsi="Arial" w:cs="Arial"/>
                <w:sz w:val="16"/>
                <w:szCs w:val="16"/>
              </w:rPr>
              <w:t>tcome are within set parameters</w:t>
            </w:r>
            <w:r w:rsidR="00CB4F3C" w:rsidRPr="00C33F82">
              <w:rPr>
                <w:rFonts w:ascii="Arial" w:eastAsia="Arial" w:hAnsi="Arial" w:cs="Arial"/>
                <w:sz w:val="16"/>
                <w:szCs w:val="16"/>
              </w:rPr>
              <w:t>.</w:t>
            </w:r>
          </w:p>
          <w:p w14:paraId="2239E04C" w14:textId="1EF9E9C7" w:rsidR="00CB4F3C" w:rsidRPr="00C33F82" w:rsidRDefault="00CB4F3C" w:rsidP="008F5AA4">
            <w:pPr>
              <w:pStyle w:val="ListParagraph"/>
              <w:numPr>
                <w:ilvl w:val="0"/>
                <w:numId w:val="56"/>
              </w:numPr>
              <w:autoSpaceDE w:val="0"/>
              <w:autoSpaceDN w:val="0"/>
              <w:adjustRightInd w:val="0"/>
              <w:spacing w:before="60" w:after="60" w:line="240" w:lineRule="auto"/>
              <w:ind w:left="527" w:hanging="357"/>
              <w:contextualSpacing w:val="0"/>
              <w:rPr>
                <w:rFonts w:ascii="Arial" w:hAnsi="Arial" w:cs="Arial"/>
                <w:sz w:val="16"/>
                <w:szCs w:val="16"/>
              </w:rPr>
            </w:pPr>
            <w:r w:rsidRPr="00C33F82">
              <w:rPr>
                <w:rFonts w:ascii="Arial" w:hAnsi="Arial" w:cs="Arial"/>
                <w:sz w:val="16"/>
                <w:szCs w:val="16"/>
              </w:rPr>
              <w:t>First for</w:t>
            </w:r>
            <w:r w:rsidR="00AF0F5E">
              <w:rPr>
                <w:rFonts w:ascii="Arial" w:hAnsi="Arial" w:cs="Arial"/>
                <w:sz w:val="16"/>
                <w:szCs w:val="16"/>
              </w:rPr>
              <w:t xml:space="preserve">ward year – difference between </w:t>
            </w:r>
            <w:r w:rsidRPr="00C33F82">
              <w:rPr>
                <w:rFonts w:ascii="Arial" w:hAnsi="Arial" w:cs="Arial"/>
                <w:sz w:val="16"/>
                <w:szCs w:val="16"/>
              </w:rPr>
              <w:t>estimated expenses and FBO &lt;2%.</w:t>
            </w:r>
          </w:p>
          <w:p w14:paraId="2239E04D" w14:textId="77777777" w:rsidR="00CB4F3C" w:rsidRPr="00C33F82" w:rsidRDefault="00CB4F3C" w:rsidP="008F5AA4">
            <w:pPr>
              <w:pStyle w:val="ListParagraph"/>
              <w:numPr>
                <w:ilvl w:val="0"/>
                <w:numId w:val="56"/>
              </w:numPr>
              <w:autoSpaceDE w:val="0"/>
              <w:autoSpaceDN w:val="0"/>
              <w:adjustRightInd w:val="0"/>
              <w:spacing w:before="60" w:after="60" w:line="240" w:lineRule="auto"/>
              <w:ind w:left="527" w:hanging="357"/>
              <w:contextualSpacing w:val="0"/>
              <w:rPr>
                <w:rFonts w:ascii="Arial" w:hAnsi="Arial" w:cs="Arial"/>
                <w:sz w:val="16"/>
                <w:szCs w:val="16"/>
              </w:rPr>
            </w:pPr>
            <w:r w:rsidRPr="00C33F82">
              <w:rPr>
                <w:rFonts w:ascii="Arial" w:hAnsi="Arial" w:cs="Arial"/>
                <w:sz w:val="16"/>
                <w:szCs w:val="16"/>
              </w:rPr>
              <w:t>Budget year – difference between Budget estimated expenses and FBO &lt;1.5%.</w:t>
            </w:r>
          </w:p>
          <w:p w14:paraId="2239E04E" w14:textId="77777777" w:rsidR="00CB4F3C" w:rsidRPr="00C33F82" w:rsidRDefault="00CB4F3C" w:rsidP="008F5AA4">
            <w:pPr>
              <w:pStyle w:val="ListParagraph"/>
              <w:numPr>
                <w:ilvl w:val="0"/>
                <w:numId w:val="56"/>
              </w:numPr>
              <w:autoSpaceDE w:val="0"/>
              <w:autoSpaceDN w:val="0"/>
              <w:adjustRightInd w:val="0"/>
              <w:spacing w:before="60" w:after="60" w:line="240" w:lineRule="auto"/>
              <w:ind w:left="527" w:hanging="357"/>
              <w:contextualSpacing w:val="0"/>
              <w:rPr>
                <w:rFonts w:ascii="Arial" w:hAnsi="Arial" w:cs="Arial"/>
                <w:sz w:val="16"/>
                <w:szCs w:val="16"/>
              </w:rPr>
            </w:pPr>
            <w:r w:rsidRPr="00C33F82">
              <w:rPr>
                <w:rFonts w:ascii="Arial" w:hAnsi="Arial" w:cs="Arial"/>
                <w:sz w:val="16"/>
                <w:szCs w:val="16"/>
              </w:rPr>
              <w:t>Current year – difference between the revised current year estimates at MYEFO and FBO &lt;1%.</w:t>
            </w:r>
          </w:p>
          <w:p w14:paraId="2239E04F" w14:textId="22627802" w:rsidR="00CB4F3C" w:rsidRPr="00C33F82" w:rsidRDefault="00CB4F3C" w:rsidP="008F5AA4">
            <w:pPr>
              <w:pStyle w:val="ListParagraph"/>
              <w:numPr>
                <w:ilvl w:val="0"/>
                <w:numId w:val="56"/>
              </w:numPr>
              <w:autoSpaceDE w:val="0"/>
              <w:autoSpaceDN w:val="0"/>
              <w:adjustRightInd w:val="0"/>
              <w:spacing w:before="60" w:after="60" w:line="240" w:lineRule="auto"/>
              <w:ind w:left="527" w:hanging="357"/>
              <w:contextualSpacing w:val="0"/>
              <w:rPr>
                <w:rFonts w:ascii="Arial" w:hAnsi="Arial" w:cs="Arial"/>
                <w:sz w:val="16"/>
                <w:szCs w:val="16"/>
              </w:rPr>
            </w:pPr>
            <w:r w:rsidRPr="00C33F82">
              <w:rPr>
                <w:rFonts w:ascii="Arial" w:hAnsi="Arial" w:cs="Arial"/>
                <w:sz w:val="16"/>
                <w:szCs w:val="16"/>
              </w:rPr>
              <w:t xml:space="preserve">Current year – difference between the current year estimates at budget time and </w:t>
            </w:r>
            <w:r w:rsidR="00651D84">
              <w:rPr>
                <w:rFonts w:ascii="Arial" w:hAnsi="Arial" w:cs="Arial"/>
                <w:sz w:val="16"/>
                <w:szCs w:val="16"/>
              </w:rPr>
              <w:t xml:space="preserve">FBO </w:t>
            </w:r>
            <w:r w:rsidRPr="00C33F82">
              <w:rPr>
                <w:rFonts w:ascii="Arial" w:hAnsi="Arial" w:cs="Arial"/>
                <w:sz w:val="16"/>
                <w:szCs w:val="16"/>
              </w:rPr>
              <w:t>&lt;0.5%.</w:t>
            </w:r>
          </w:p>
          <w:p w14:paraId="2239E050" w14:textId="77777777" w:rsidR="00CB4F3C" w:rsidRPr="00C33F82" w:rsidRDefault="00CB4F3C" w:rsidP="006207B7">
            <w:pPr>
              <w:tabs>
                <w:tab w:val="left" w:pos="709"/>
              </w:tabs>
              <w:suppressAutoHyphens/>
              <w:spacing w:before="60" w:after="60" w:line="240" w:lineRule="auto"/>
              <w:rPr>
                <w:rFonts w:ascii="Arial" w:eastAsia="Arial" w:hAnsi="Arial" w:cs="Arial"/>
                <w:sz w:val="16"/>
                <w:szCs w:val="16"/>
              </w:rPr>
            </w:pPr>
            <w:r w:rsidRPr="00C33F82">
              <w:rPr>
                <w:rFonts w:ascii="Arial" w:eastAsia="Arial" w:hAnsi="Arial" w:cs="Arial"/>
                <w:sz w:val="16"/>
                <w:szCs w:val="16"/>
              </w:rPr>
              <w:t>Significant variances between estimated expenses and final outcome are explained.</w:t>
            </w:r>
          </w:p>
          <w:p w14:paraId="2239E051" w14:textId="77777777" w:rsidR="00CB4F3C" w:rsidRPr="00C33F82" w:rsidRDefault="00CB4F3C" w:rsidP="008F5AA4">
            <w:pPr>
              <w:tabs>
                <w:tab w:val="left" w:pos="709"/>
              </w:tabs>
              <w:suppressAutoHyphens/>
              <w:spacing w:before="60" w:after="60" w:line="240" w:lineRule="auto"/>
              <w:rPr>
                <w:rFonts w:ascii="Arial" w:eastAsia="Arial" w:hAnsi="Arial" w:cs="Arial"/>
                <w:sz w:val="16"/>
                <w:szCs w:val="16"/>
              </w:rPr>
            </w:pPr>
            <w:r w:rsidRPr="00C33F82">
              <w:rPr>
                <w:rFonts w:ascii="Arial" w:eastAsia="Arial" w:hAnsi="Arial" w:cs="Arial"/>
                <w:sz w:val="16"/>
                <w:szCs w:val="16"/>
              </w:rPr>
              <w:t>Timeliness of Budget Estimate Updates and Appropriation Bills.</w:t>
            </w:r>
          </w:p>
          <w:p w14:paraId="2239E052" w14:textId="013F2DA5" w:rsidR="00CB4F3C" w:rsidRPr="00C33F82" w:rsidRDefault="00CB4F3C" w:rsidP="008F5AA4">
            <w:pPr>
              <w:pStyle w:val="ListParagraph"/>
              <w:numPr>
                <w:ilvl w:val="0"/>
                <w:numId w:val="57"/>
              </w:numPr>
              <w:autoSpaceDE w:val="0"/>
              <w:autoSpaceDN w:val="0"/>
              <w:adjustRightInd w:val="0"/>
              <w:spacing w:before="60" w:after="60" w:line="240" w:lineRule="auto"/>
              <w:ind w:left="527" w:hanging="357"/>
              <w:contextualSpacing w:val="0"/>
              <w:rPr>
                <w:rFonts w:ascii="Arial" w:hAnsi="Arial" w:cs="Arial"/>
                <w:sz w:val="16"/>
                <w:szCs w:val="16"/>
              </w:rPr>
            </w:pPr>
            <w:r w:rsidRPr="00C33F82">
              <w:rPr>
                <w:rFonts w:ascii="Arial" w:hAnsi="Arial" w:cs="Arial"/>
                <w:sz w:val="16"/>
                <w:szCs w:val="16"/>
              </w:rPr>
              <w:t xml:space="preserve">Budget papers and related updates meet timeframes set out in the </w:t>
            </w:r>
            <w:r w:rsidRPr="0018432E">
              <w:rPr>
                <w:rFonts w:ascii="Arial" w:hAnsi="Arial" w:cs="Arial"/>
                <w:sz w:val="16"/>
                <w:szCs w:val="16"/>
              </w:rPr>
              <w:t>Charter of Budget Honesty</w:t>
            </w:r>
            <w:r w:rsidRPr="00C33F82">
              <w:rPr>
                <w:rFonts w:ascii="Arial" w:hAnsi="Arial" w:cs="Arial"/>
                <w:sz w:val="16"/>
                <w:szCs w:val="16"/>
              </w:rPr>
              <w:t>.</w:t>
            </w:r>
          </w:p>
          <w:p w14:paraId="2239E053" w14:textId="77777777" w:rsidR="00CB4F3C" w:rsidRPr="00C33F82" w:rsidRDefault="00CB4F3C" w:rsidP="008F5AA4">
            <w:pPr>
              <w:pStyle w:val="ListParagraph"/>
              <w:numPr>
                <w:ilvl w:val="0"/>
                <w:numId w:val="57"/>
              </w:numPr>
              <w:autoSpaceDE w:val="0"/>
              <w:autoSpaceDN w:val="0"/>
              <w:adjustRightInd w:val="0"/>
              <w:spacing w:before="60" w:after="60" w:line="240" w:lineRule="auto"/>
              <w:ind w:left="527" w:hanging="357"/>
              <w:contextualSpacing w:val="0"/>
              <w:rPr>
                <w:rFonts w:ascii="Arial" w:hAnsi="Arial" w:cs="Arial"/>
                <w:sz w:val="16"/>
                <w:szCs w:val="16"/>
              </w:rPr>
            </w:pPr>
            <w:r w:rsidRPr="00C33F82">
              <w:rPr>
                <w:rFonts w:ascii="Arial" w:hAnsi="Arial" w:cs="Arial"/>
                <w:sz w:val="16"/>
                <w:szCs w:val="16"/>
              </w:rPr>
              <w:t>Appropriation Bills introduced at times intended by government.</w:t>
            </w:r>
          </w:p>
          <w:p w14:paraId="2239E054" w14:textId="77777777" w:rsidR="00CB4F3C" w:rsidRPr="00C33F82" w:rsidRDefault="00CB4F3C" w:rsidP="008F5AA4">
            <w:pPr>
              <w:tabs>
                <w:tab w:val="left" w:pos="709"/>
              </w:tabs>
              <w:spacing w:before="60" w:after="60" w:line="240" w:lineRule="auto"/>
              <w:rPr>
                <w:rFonts w:ascii="Arial" w:hAnsi="Arial" w:cs="Arial"/>
                <w:i/>
                <w:iCs/>
                <w:sz w:val="18"/>
                <w:szCs w:val="18"/>
              </w:rPr>
            </w:pPr>
            <w:r w:rsidRPr="00C33F82">
              <w:rPr>
                <w:rFonts w:ascii="Arial" w:eastAsia="Arial" w:hAnsi="Arial" w:cs="Arial"/>
                <w:sz w:val="16"/>
                <w:szCs w:val="16"/>
              </w:rPr>
              <w:t>External reporting standards and legislative requirements are met.</w:t>
            </w:r>
          </w:p>
        </w:tc>
      </w:tr>
      <w:tr w:rsidR="00CB4F3C" w:rsidRPr="00D82E0C" w14:paraId="2239E05E" w14:textId="77777777" w:rsidTr="006207B7">
        <w:trPr>
          <w:trHeight w:val="100"/>
        </w:trPr>
        <w:tc>
          <w:tcPr>
            <w:tcW w:w="1414" w:type="dxa"/>
            <w:tcBorders>
              <w:top w:val="nil"/>
              <w:left w:val="single" w:sz="4" w:space="0" w:color="auto"/>
              <w:bottom w:val="nil"/>
              <w:right w:val="single" w:sz="4" w:space="0" w:color="auto"/>
            </w:tcBorders>
          </w:tcPr>
          <w:p w14:paraId="2239E056" w14:textId="77777777" w:rsidR="00CB4F3C" w:rsidRPr="00370F86" w:rsidRDefault="00CB4F3C" w:rsidP="006207B7">
            <w:pPr>
              <w:tabs>
                <w:tab w:val="left" w:pos="709"/>
              </w:tabs>
              <w:spacing w:before="60" w:after="60" w:line="240" w:lineRule="auto"/>
              <w:rPr>
                <w:rFonts w:ascii="Arial" w:hAnsi="Arial" w:cs="Arial"/>
                <w:sz w:val="16"/>
                <w:szCs w:val="16"/>
                <w:lang w:eastAsia="en-US"/>
              </w:rPr>
            </w:pPr>
          </w:p>
        </w:tc>
        <w:tc>
          <w:tcPr>
            <w:tcW w:w="2289" w:type="dxa"/>
            <w:tcBorders>
              <w:top w:val="dotted" w:sz="4" w:space="0" w:color="auto"/>
              <w:left w:val="single" w:sz="4" w:space="0" w:color="auto"/>
              <w:bottom w:val="dotted" w:sz="4" w:space="0" w:color="auto"/>
              <w:right w:val="single" w:sz="4" w:space="0" w:color="auto"/>
            </w:tcBorders>
          </w:tcPr>
          <w:p w14:paraId="2239E057" w14:textId="77777777" w:rsidR="00CB4F3C" w:rsidRPr="00C33F82" w:rsidRDefault="00CB4F3C" w:rsidP="006207B7">
            <w:pPr>
              <w:tabs>
                <w:tab w:val="left" w:pos="709"/>
              </w:tabs>
              <w:autoSpaceDE w:val="0"/>
              <w:autoSpaceDN w:val="0"/>
              <w:adjustRightInd w:val="0"/>
              <w:spacing w:before="60" w:after="60" w:line="240" w:lineRule="auto"/>
              <w:rPr>
                <w:rFonts w:ascii="Arial" w:eastAsia="Arial" w:hAnsi="Arial" w:cs="Arial"/>
                <w:b/>
                <w:bCs/>
                <w:sz w:val="16"/>
                <w:szCs w:val="16"/>
              </w:rPr>
            </w:pPr>
            <w:r w:rsidRPr="00C33F82">
              <w:rPr>
                <w:rFonts w:ascii="Arial" w:eastAsia="Arial" w:hAnsi="Arial" w:cs="Arial"/>
                <w:b/>
                <w:bCs/>
                <w:sz w:val="16"/>
                <w:szCs w:val="16"/>
              </w:rPr>
              <w:t>Financial statements</w:t>
            </w:r>
          </w:p>
          <w:p w14:paraId="2239E058" w14:textId="77777777" w:rsidR="00CB4F3C" w:rsidRPr="00C33F82" w:rsidRDefault="00CB4F3C" w:rsidP="006207B7">
            <w:pPr>
              <w:tabs>
                <w:tab w:val="left" w:pos="709"/>
              </w:tabs>
              <w:autoSpaceDE w:val="0"/>
              <w:autoSpaceDN w:val="0"/>
              <w:adjustRightInd w:val="0"/>
              <w:spacing w:before="60" w:after="60" w:line="240" w:lineRule="auto"/>
              <w:rPr>
                <w:rFonts w:ascii="Arial" w:eastAsia="Arial" w:hAnsi="Arial" w:cs="Arial"/>
                <w:bCs/>
                <w:sz w:val="16"/>
                <w:szCs w:val="16"/>
              </w:rPr>
            </w:pPr>
            <w:r w:rsidRPr="00C33F82">
              <w:rPr>
                <w:rFonts w:ascii="Arial" w:eastAsia="Arial" w:hAnsi="Arial" w:cs="Arial"/>
                <w:bCs/>
                <w:sz w:val="16"/>
                <w:szCs w:val="16"/>
              </w:rPr>
              <w:t xml:space="preserve">The Government’s financial statements, including monthly statements, are complete, fairly presented and released publicly on timeframes agreed with the Government. </w:t>
            </w:r>
          </w:p>
        </w:tc>
        <w:tc>
          <w:tcPr>
            <w:tcW w:w="4092" w:type="dxa"/>
            <w:tcBorders>
              <w:top w:val="dotted" w:sz="4" w:space="0" w:color="auto"/>
              <w:left w:val="single" w:sz="4" w:space="0" w:color="auto"/>
              <w:bottom w:val="dotted" w:sz="4" w:space="0" w:color="auto"/>
              <w:right w:val="single" w:sz="4" w:space="0" w:color="auto"/>
            </w:tcBorders>
          </w:tcPr>
          <w:p w14:paraId="2239E059" w14:textId="77777777" w:rsidR="00CB4F3C" w:rsidRPr="00C33F82" w:rsidRDefault="00CB4F3C" w:rsidP="006207B7">
            <w:pPr>
              <w:autoSpaceDE w:val="0"/>
              <w:autoSpaceDN w:val="0"/>
              <w:adjustRightInd w:val="0"/>
              <w:spacing w:before="60" w:after="60" w:line="240" w:lineRule="auto"/>
              <w:rPr>
                <w:rFonts w:ascii="Arial" w:hAnsi="Arial" w:cs="Arial"/>
                <w:sz w:val="16"/>
                <w:szCs w:val="16"/>
              </w:rPr>
            </w:pPr>
            <w:r w:rsidRPr="00C33F82">
              <w:rPr>
                <w:rFonts w:ascii="Arial" w:hAnsi="Arial" w:cs="Arial"/>
                <w:sz w:val="16"/>
                <w:szCs w:val="16"/>
              </w:rPr>
              <w:t>Complete and fairly presented Financial Statements.</w:t>
            </w:r>
          </w:p>
          <w:p w14:paraId="2239E05A" w14:textId="08986A64" w:rsidR="00CB4F3C" w:rsidRPr="00C33F82" w:rsidRDefault="00CB4F3C" w:rsidP="00C8474A">
            <w:pPr>
              <w:pStyle w:val="ListParagraph"/>
              <w:numPr>
                <w:ilvl w:val="0"/>
                <w:numId w:val="58"/>
              </w:numPr>
              <w:autoSpaceDE w:val="0"/>
              <w:autoSpaceDN w:val="0"/>
              <w:adjustRightInd w:val="0"/>
              <w:spacing w:before="60" w:after="60" w:line="240" w:lineRule="auto"/>
              <w:ind w:left="527" w:hanging="357"/>
              <w:rPr>
                <w:rFonts w:ascii="Arial" w:hAnsi="Arial" w:cs="Arial"/>
                <w:sz w:val="16"/>
                <w:szCs w:val="16"/>
              </w:rPr>
            </w:pPr>
            <w:r w:rsidRPr="00C33F82">
              <w:rPr>
                <w:rFonts w:ascii="Arial" w:hAnsi="Arial" w:cs="Arial"/>
                <w:sz w:val="16"/>
                <w:szCs w:val="16"/>
              </w:rPr>
              <w:t>The Auditor-Gen</w:t>
            </w:r>
            <w:r w:rsidR="006207B7">
              <w:rPr>
                <w:rFonts w:ascii="Arial" w:hAnsi="Arial" w:cs="Arial"/>
                <w:sz w:val="16"/>
                <w:szCs w:val="16"/>
              </w:rPr>
              <w:t xml:space="preserve">eral issues an unmodified audit </w:t>
            </w:r>
            <w:r w:rsidRPr="00C33F82">
              <w:rPr>
                <w:rFonts w:ascii="Arial" w:hAnsi="Arial" w:cs="Arial"/>
                <w:sz w:val="16"/>
                <w:szCs w:val="16"/>
              </w:rPr>
              <w:t>report on consolidated financial statements.</w:t>
            </w:r>
          </w:p>
          <w:p w14:paraId="2239E05B" w14:textId="77777777" w:rsidR="00CB4F3C" w:rsidRPr="00C33F82" w:rsidRDefault="00CB4F3C" w:rsidP="008F5AA4">
            <w:pPr>
              <w:autoSpaceDE w:val="0"/>
              <w:autoSpaceDN w:val="0"/>
              <w:adjustRightInd w:val="0"/>
              <w:spacing w:before="60" w:after="60" w:line="240" w:lineRule="auto"/>
              <w:ind w:left="357" w:hanging="357"/>
              <w:rPr>
                <w:rFonts w:ascii="Arial" w:hAnsi="Arial" w:cs="Arial"/>
                <w:sz w:val="16"/>
                <w:szCs w:val="16"/>
              </w:rPr>
            </w:pPr>
            <w:r w:rsidRPr="00C33F82">
              <w:rPr>
                <w:rFonts w:ascii="Arial" w:hAnsi="Arial" w:cs="Arial"/>
                <w:sz w:val="16"/>
                <w:szCs w:val="16"/>
              </w:rPr>
              <w:t>Timeliness of Financial Statements.</w:t>
            </w:r>
          </w:p>
          <w:p w14:paraId="5AE690A0" w14:textId="07FC6AC5" w:rsidR="00603950" w:rsidRPr="00603950" w:rsidRDefault="002B0782" w:rsidP="008F5AA4">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sidRPr="002B0782">
              <w:rPr>
                <w:rFonts w:ascii="Arial" w:hAnsi="Arial" w:cs="Arial"/>
                <w:sz w:val="16"/>
                <w:szCs w:val="16"/>
              </w:rPr>
              <w:t>Monthly financial statements (MFS) prepared within 21 days of the end of month, on average excluding June to August. June MFS is excluded because from this performance criteria as it is incorporated into FBO. The July and August MFS are also excluded as they are delivered following the release of FBO.</w:t>
            </w:r>
          </w:p>
          <w:p w14:paraId="2239E05D" w14:textId="21BF5190" w:rsidR="00CB4F3C" w:rsidRPr="00C33F82" w:rsidRDefault="00606D21" w:rsidP="00AF5C60">
            <w:pPr>
              <w:pStyle w:val="ListParagraph"/>
              <w:numPr>
                <w:ilvl w:val="0"/>
                <w:numId w:val="58"/>
              </w:numPr>
              <w:autoSpaceDE w:val="0"/>
              <w:autoSpaceDN w:val="0"/>
              <w:adjustRightInd w:val="0"/>
              <w:spacing w:before="60" w:after="60" w:line="240" w:lineRule="auto"/>
              <w:ind w:left="527" w:hanging="357"/>
              <w:contextualSpacing w:val="0"/>
              <w:jc w:val="both"/>
              <w:rPr>
                <w:rFonts w:ascii="Arial" w:hAnsi="Arial" w:cs="Arial"/>
                <w:sz w:val="16"/>
                <w:szCs w:val="16"/>
              </w:rPr>
            </w:pPr>
            <w:r w:rsidRPr="00606D21">
              <w:rPr>
                <w:rFonts w:ascii="Arial" w:hAnsi="Arial" w:cs="Arial"/>
                <w:sz w:val="16"/>
                <w:szCs w:val="16"/>
              </w:rPr>
              <w:t>Consolidated financial statements provided to the Auditor-General by 30 November each year.</w:t>
            </w:r>
          </w:p>
        </w:tc>
      </w:tr>
      <w:tr w:rsidR="00CB4F3C" w:rsidRPr="00D82E0C" w14:paraId="2239E063" w14:textId="77777777" w:rsidTr="006207B7">
        <w:trPr>
          <w:trHeight w:val="100"/>
        </w:trPr>
        <w:tc>
          <w:tcPr>
            <w:tcW w:w="1414" w:type="dxa"/>
            <w:tcBorders>
              <w:top w:val="nil"/>
              <w:left w:val="single" w:sz="4" w:space="0" w:color="auto"/>
              <w:bottom w:val="single" w:sz="4" w:space="0" w:color="auto"/>
              <w:right w:val="single" w:sz="4" w:space="0" w:color="auto"/>
            </w:tcBorders>
          </w:tcPr>
          <w:p w14:paraId="2239E05F" w14:textId="77777777" w:rsidR="00CB4F3C" w:rsidRPr="00370F86" w:rsidRDefault="00CB4F3C" w:rsidP="006207B7">
            <w:pPr>
              <w:tabs>
                <w:tab w:val="left" w:pos="709"/>
              </w:tabs>
              <w:spacing w:before="60" w:after="60" w:line="240" w:lineRule="auto"/>
              <w:rPr>
                <w:rFonts w:ascii="Arial" w:hAnsi="Arial" w:cs="Arial"/>
                <w:sz w:val="16"/>
                <w:szCs w:val="16"/>
                <w:lang w:eastAsia="en-US"/>
              </w:rPr>
            </w:pPr>
          </w:p>
        </w:tc>
        <w:tc>
          <w:tcPr>
            <w:tcW w:w="2289" w:type="dxa"/>
            <w:tcBorders>
              <w:top w:val="dotted" w:sz="4" w:space="0" w:color="auto"/>
              <w:left w:val="single" w:sz="4" w:space="0" w:color="auto"/>
              <w:bottom w:val="single" w:sz="4" w:space="0" w:color="auto"/>
              <w:right w:val="single" w:sz="4" w:space="0" w:color="auto"/>
            </w:tcBorders>
          </w:tcPr>
          <w:p w14:paraId="2239E060" w14:textId="77777777" w:rsidR="00CB4F3C" w:rsidRPr="00D82E0C" w:rsidRDefault="00CB4F3C" w:rsidP="006207B7">
            <w:pPr>
              <w:tabs>
                <w:tab w:val="left" w:pos="709"/>
              </w:tabs>
              <w:autoSpaceDE w:val="0"/>
              <w:autoSpaceDN w:val="0"/>
              <w:adjustRightInd w:val="0"/>
              <w:spacing w:before="60" w:after="60" w:line="240" w:lineRule="auto"/>
              <w:rPr>
                <w:rFonts w:ascii="Arial" w:eastAsia="Arial" w:hAnsi="Arial" w:cs="Arial"/>
                <w:b/>
                <w:bCs/>
                <w:sz w:val="16"/>
                <w:szCs w:val="16"/>
              </w:rPr>
            </w:pPr>
            <w:r w:rsidRPr="00D82E0C">
              <w:rPr>
                <w:rFonts w:ascii="Arial" w:eastAsia="Arial" w:hAnsi="Arial" w:cs="Arial"/>
                <w:b/>
                <w:bCs/>
                <w:sz w:val="16"/>
                <w:szCs w:val="16"/>
              </w:rPr>
              <w:t>Daily disbursement of cash</w:t>
            </w:r>
          </w:p>
          <w:p w14:paraId="2239E061" w14:textId="77777777" w:rsidR="00CB4F3C" w:rsidRPr="00370F86" w:rsidRDefault="00CB4F3C" w:rsidP="006207B7">
            <w:pPr>
              <w:tabs>
                <w:tab w:val="left" w:pos="709"/>
              </w:tabs>
              <w:autoSpaceDE w:val="0"/>
              <w:autoSpaceDN w:val="0"/>
              <w:adjustRightInd w:val="0"/>
              <w:spacing w:before="60" w:after="60" w:line="240" w:lineRule="auto"/>
              <w:rPr>
                <w:rFonts w:ascii="Arial" w:eastAsia="Arial" w:hAnsi="Arial" w:cs="Arial"/>
                <w:b/>
                <w:bCs/>
                <w:sz w:val="16"/>
                <w:szCs w:val="16"/>
              </w:rPr>
            </w:pPr>
            <w:r w:rsidRPr="00370F86">
              <w:rPr>
                <w:rFonts w:ascii="Arial" w:eastAsia="Arial" w:hAnsi="Arial" w:cs="Arial"/>
                <w:bCs/>
                <w:sz w:val="16"/>
                <w:szCs w:val="16"/>
              </w:rPr>
              <w:t>Commonwealth entities have access to cash, in near real-time, as required</w:t>
            </w:r>
            <w:r w:rsidRPr="00370F86">
              <w:rPr>
                <w:rFonts w:ascii="Arial" w:eastAsia="Arial" w:hAnsi="Arial" w:cs="Arial"/>
                <w:b/>
                <w:bCs/>
                <w:sz w:val="16"/>
                <w:szCs w:val="16"/>
              </w:rPr>
              <w:t>.</w:t>
            </w:r>
          </w:p>
        </w:tc>
        <w:tc>
          <w:tcPr>
            <w:tcW w:w="4092" w:type="dxa"/>
            <w:tcBorders>
              <w:top w:val="dotted" w:sz="4" w:space="0" w:color="auto"/>
              <w:left w:val="single" w:sz="4" w:space="0" w:color="auto"/>
              <w:bottom w:val="single" w:sz="4" w:space="0" w:color="auto"/>
              <w:right w:val="single" w:sz="4" w:space="0" w:color="auto"/>
            </w:tcBorders>
          </w:tcPr>
          <w:p w14:paraId="2239E062" w14:textId="145CC737" w:rsidR="00CB4F3C" w:rsidRPr="00370F86" w:rsidRDefault="00311B18" w:rsidP="006207B7">
            <w:pPr>
              <w:autoSpaceDE w:val="0"/>
              <w:autoSpaceDN w:val="0"/>
              <w:adjustRightInd w:val="0"/>
              <w:spacing w:before="60" w:after="60" w:line="240" w:lineRule="auto"/>
              <w:rPr>
                <w:rFonts w:ascii="Arial" w:hAnsi="Arial" w:cs="Arial"/>
                <w:sz w:val="16"/>
                <w:szCs w:val="16"/>
              </w:rPr>
            </w:pPr>
            <w:r w:rsidRPr="00311B18">
              <w:rPr>
                <w:rFonts w:ascii="Arial" w:hAnsi="Arial" w:cs="Arial"/>
                <w:sz w:val="16"/>
                <w:szCs w:val="16"/>
              </w:rPr>
              <w:t>Cash needs of all entities are met in near real-time each day (including outside business hours) in the financial year.</w:t>
            </w:r>
          </w:p>
        </w:tc>
      </w:tr>
      <w:tr w:rsidR="00CB4F3C" w:rsidRPr="00D82E0C" w14:paraId="2239E067" w14:textId="77777777" w:rsidTr="006207B7">
        <w:trPr>
          <w:trHeight w:val="100"/>
        </w:trPr>
        <w:tc>
          <w:tcPr>
            <w:tcW w:w="1414" w:type="dxa"/>
            <w:tcBorders>
              <w:top w:val="single" w:sz="4" w:space="0" w:color="auto"/>
              <w:left w:val="single" w:sz="4" w:space="0" w:color="auto"/>
              <w:bottom w:val="single" w:sz="4" w:space="0" w:color="auto"/>
              <w:right w:val="single" w:sz="4" w:space="0" w:color="auto"/>
            </w:tcBorders>
          </w:tcPr>
          <w:p w14:paraId="2239E064" w14:textId="77777777" w:rsidR="00CB4F3C" w:rsidRPr="00370F86" w:rsidRDefault="00CB4F3C" w:rsidP="00251007">
            <w:pPr>
              <w:tabs>
                <w:tab w:val="left" w:pos="709"/>
              </w:tabs>
              <w:spacing w:before="20" w:after="20" w:line="240" w:lineRule="auto"/>
              <w:rPr>
                <w:rFonts w:ascii="Arial" w:hAnsi="Arial" w:cs="Arial"/>
                <w:sz w:val="16"/>
                <w:szCs w:val="16"/>
                <w:lang w:eastAsia="en-US"/>
              </w:rPr>
            </w:pPr>
            <w:r w:rsidRPr="00370F86">
              <w:rPr>
                <w:rFonts w:ascii="Arial" w:hAnsi="Arial" w:cs="Arial"/>
                <w:sz w:val="16"/>
                <w:szCs w:val="16"/>
                <w:lang w:eastAsia="en-US"/>
              </w:rPr>
              <w:t xml:space="preserve">Forward Estimates </w:t>
            </w:r>
            <w:r>
              <w:rPr>
                <w:rFonts w:ascii="Arial" w:hAnsi="Arial" w:cs="Arial"/>
                <w:sz w:val="16"/>
                <w:szCs w:val="16"/>
                <w:lang w:eastAsia="en-US"/>
              </w:rPr>
              <w:br/>
            </w:r>
            <w:r w:rsidRPr="00370F86">
              <w:rPr>
                <w:rFonts w:ascii="Arial" w:hAnsi="Arial" w:cs="Arial"/>
                <w:sz w:val="16"/>
                <w:szCs w:val="16"/>
                <w:lang w:eastAsia="en-US"/>
              </w:rPr>
              <w:t>2023-26</w:t>
            </w:r>
          </w:p>
        </w:tc>
        <w:tc>
          <w:tcPr>
            <w:tcW w:w="2289" w:type="dxa"/>
            <w:tcBorders>
              <w:top w:val="single" w:sz="4" w:space="0" w:color="auto"/>
              <w:left w:val="single" w:sz="4" w:space="0" w:color="auto"/>
              <w:bottom w:val="single" w:sz="4" w:space="0" w:color="auto"/>
              <w:right w:val="single" w:sz="4" w:space="0" w:color="auto"/>
            </w:tcBorders>
          </w:tcPr>
          <w:p w14:paraId="2239E065" w14:textId="212BFEEC" w:rsidR="00CB4F3C" w:rsidRPr="00370F86" w:rsidRDefault="003D4CD3" w:rsidP="00251007">
            <w:pPr>
              <w:tabs>
                <w:tab w:val="left" w:pos="709"/>
              </w:tabs>
              <w:suppressAutoHyphens/>
              <w:spacing w:before="20" w:after="20" w:line="240" w:lineRule="auto"/>
              <w:rPr>
                <w:rFonts w:ascii="Arial" w:eastAsia="Arial" w:hAnsi="Arial" w:cs="Arial"/>
                <w:bCs/>
                <w:sz w:val="16"/>
                <w:szCs w:val="16"/>
              </w:rPr>
            </w:pPr>
            <w:r>
              <w:rPr>
                <w:rFonts w:ascii="Arial" w:eastAsia="Arial" w:hAnsi="Arial" w:cs="Arial"/>
                <w:bCs/>
                <w:sz w:val="16"/>
                <w:szCs w:val="16"/>
              </w:rPr>
              <w:t>As per 2022-23</w:t>
            </w:r>
          </w:p>
        </w:tc>
        <w:tc>
          <w:tcPr>
            <w:tcW w:w="4092" w:type="dxa"/>
            <w:tcBorders>
              <w:top w:val="single" w:sz="4" w:space="0" w:color="auto"/>
              <w:left w:val="single" w:sz="4" w:space="0" w:color="auto"/>
              <w:bottom w:val="single" w:sz="4" w:space="0" w:color="auto"/>
              <w:right w:val="single" w:sz="4" w:space="0" w:color="auto"/>
            </w:tcBorders>
          </w:tcPr>
          <w:p w14:paraId="2239E066" w14:textId="20928FD6" w:rsidR="00CB4F3C" w:rsidRPr="00370F86" w:rsidRDefault="003D4CD3" w:rsidP="00251007">
            <w:pPr>
              <w:autoSpaceDE w:val="0"/>
              <w:autoSpaceDN w:val="0"/>
              <w:adjustRightInd w:val="0"/>
              <w:spacing w:before="20" w:after="20" w:line="240" w:lineRule="auto"/>
              <w:rPr>
                <w:rFonts w:ascii="Arial" w:hAnsi="Arial" w:cs="Arial"/>
                <w:sz w:val="16"/>
                <w:szCs w:val="16"/>
              </w:rPr>
            </w:pPr>
            <w:r>
              <w:rPr>
                <w:rFonts w:ascii="Arial" w:hAnsi="Arial" w:cs="Arial"/>
                <w:sz w:val="16"/>
                <w:szCs w:val="16"/>
              </w:rPr>
              <w:t>As per 2022-23</w:t>
            </w:r>
          </w:p>
        </w:tc>
      </w:tr>
      <w:tr w:rsidR="00CB4F3C" w:rsidRPr="00D82E0C" w14:paraId="2239E069" w14:textId="77777777" w:rsidTr="006207B7">
        <w:trPr>
          <w:trHeight w:val="291"/>
        </w:trPr>
        <w:tc>
          <w:tcPr>
            <w:tcW w:w="7795" w:type="dxa"/>
            <w:gridSpan w:val="3"/>
          </w:tcPr>
          <w:p w14:paraId="2239E068" w14:textId="48607321" w:rsidR="00CB4F3C" w:rsidRPr="00D82E0C" w:rsidRDefault="003D4CD3" w:rsidP="00251007">
            <w:pPr>
              <w:tabs>
                <w:tab w:val="left" w:pos="709"/>
              </w:tabs>
              <w:spacing w:before="20" w:after="20"/>
              <w:rPr>
                <w:rFonts w:ascii="Arial" w:eastAsia="Cambria" w:hAnsi="Arial" w:cs="Arial"/>
                <w:spacing w:val="-6"/>
                <w:sz w:val="16"/>
                <w:szCs w:val="16"/>
              </w:rPr>
            </w:pPr>
            <w:r w:rsidRPr="003D4CD3">
              <w:rPr>
                <w:rFonts w:ascii="Arial" w:eastAsia="Cambria" w:hAnsi="Arial" w:cs="Arial"/>
                <w:spacing w:val="-6"/>
                <w:sz w:val="16"/>
                <w:szCs w:val="16"/>
              </w:rPr>
              <w:t>Material changes to Program 1.1 resulting from October 2022-23 Budget Measures: Nil</w:t>
            </w:r>
          </w:p>
        </w:tc>
      </w:tr>
    </w:tbl>
    <w:p w14:paraId="2239E06C" w14:textId="646B99F2" w:rsidR="00F0167C" w:rsidRPr="00F743D8" w:rsidRDefault="00F0167C" w:rsidP="00F0167C">
      <w:pPr>
        <w:pStyle w:val="Heading3"/>
      </w:pPr>
      <w:bookmarkStart w:id="75" w:name="_Toc98181310"/>
      <w:bookmarkStart w:id="76" w:name="_Toc116742496"/>
      <w:bookmarkStart w:id="77" w:name="_Toc117027160"/>
      <w:bookmarkStart w:id="78" w:name="_Toc117070786"/>
      <w:bookmarkStart w:id="79" w:name="_Toc117071040"/>
      <w:bookmarkStart w:id="80" w:name="_Toc117078074"/>
      <w:bookmarkEnd w:id="73"/>
      <w:bookmarkEnd w:id="74"/>
      <w:r>
        <w:lastRenderedPageBreak/>
        <w:t>2.2</w:t>
      </w:r>
      <w:r w:rsidRPr="00F743D8">
        <w:t xml:space="preserve"> </w:t>
      </w:r>
      <w:r w:rsidRPr="00F743D8">
        <w:tab/>
        <w:t xml:space="preserve">Budgeted expenses and performance for Outcome </w:t>
      </w:r>
      <w:r>
        <w:t>2</w:t>
      </w:r>
      <w:bookmarkEnd w:id="75"/>
      <w:bookmarkEnd w:id="76"/>
      <w:bookmarkEnd w:id="77"/>
      <w:bookmarkEnd w:id="78"/>
      <w:bookmarkEnd w:id="79"/>
      <w:bookmarkEnd w:id="80"/>
    </w:p>
    <w:tbl>
      <w:tblPr>
        <w:tblW w:w="7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F0167C" w:rsidRPr="005E6F2B" w14:paraId="2239E06E" w14:textId="77777777" w:rsidTr="00DB35A1">
        <w:tc>
          <w:tcPr>
            <w:tcW w:w="7705" w:type="dxa"/>
            <w:shd w:val="clear" w:color="auto" w:fill="E6E6E6"/>
          </w:tcPr>
          <w:p w14:paraId="2239E06D" w14:textId="435F5F23" w:rsidR="00F0167C" w:rsidRPr="005E6F2B" w:rsidRDefault="000A7265" w:rsidP="00674B58">
            <w:pPr>
              <w:pStyle w:val="TableColumnHeadingLeft"/>
              <w:spacing w:before="60" w:after="60"/>
            </w:pPr>
            <w:r w:rsidRPr="000A7265">
              <w:t>Outcome 2 – Support an efficient and high-performing public sector through providing leadership to Commonwealth entities in ongoing improvements to public sector governance, including through systems, frameworks, policy, advice and service delivery.</w:t>
            </w:r>
          </w:p>
        </w:tc>
      </w:tr>
    </w:tbl>
    <w:p w14:paraId="2239E06F" w14:textId="77777777" w:rsidR="00F0167C" w:rsidRPr="005E6F2B" w:rsidRDefault="00F0167C" w:rsidP="00F0167C">
      <w:pPr>
        <w:pStyle w:val="NoSpacing"/>
      </w:pPr>
    </w:p>
    <w:p w14:paraId="2239E070" w14:textId="77777777" w:rsidR="00F0167C" w:rsidRPr="005E6F2B" w:rsidRDefault="00F0167C" w:rsidP="00F0167C">
      <w:pPr>
        <w:pStyle w:val="Heading4"/>
      </w:pPr>
      <w:r w:rsidRPr="005E6F2B">
        <w:t>Linked programs</w:t>
      </w:r>
    </w:p>
    <w:tbl>
      <w:tblPr>
        <w:tblW w:w="7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9"/>
      </w:tblGrid>
      <w:tr w:rsidR="00F0167C" w:rsidRPr="005E6F2B" w14:paraId="2239E072" w14:textId="77777777" w:rsidTr="00DB35A1">
        <w:trPr>
          <w:trHeight w:val="113"/>
          <w:tblHeader/>
        </w:trPr>
        <w:tc>
          <w:tcPr>
            <w:tcW w:w="7699" w:type="dxa"/>
            <w:tcBorders>
              <w:bottom w:val="dotted" w:sz="4" w:space="0" w:color="auto"/>
            </w:tcBorders>
          </w:tcPr>
          <w:p w14:paraId="2239E071" w14:textId="77777777" w:rsidR="00F0167C" w:rsidRPr="00A22804" w:rsidRDefault="00F0167C" w:rsidP="00BF56B5">
            <w:pPr>
              <w:pStyle w:val="ExampleText0"/>
              <w:spacing w:before="60" w:after="60" w:line="240" w:lineRule="auto"/>
              <w:rPr>
                <w:rFonts w:ascii="Arial" w:hAnsi="Arial" w:cs="Arial"/>
                <w:color w:val="auto"/>
                <w:sz w:val="20"/>
              </w:rPr>
            </w:pPr>
            <w:r w:rsidRPr="00A22804">
              <w:rPr>
                <w:rStyle w:val="ExampletextCharChar"/>
                <w:rFonts w:ascii="Arial" w:hAnsi="Arial" w:cs="Arial"/>
                <w:b/>
                <w:color w:val="auto"/>
                <w:sz w:val="20"/>
              </w:rPr>
              <w:t>Commonwealth Superannuation Corporation</w:t>
            </w:r>
          </w:p>
        </w:tc>
      </w:tr>
      <w:tr w:rsidR="00F0167C" w:rsidRPr="005E6F2B" w14:paraId="2239E075" w14:textId="77777777" w:rsidTr="00DB35A1">
        <w:trPr>
          <w:trHeight w:val="113"/>
        </w:trPr>
        <w:tc>
          <w:tcPr>
            <w:tcW w:w="7699" w:type="dxa"/>
            <w:tcBorders>
              <w:top w:val="dotted" w:sz="4" w:space="0" w:color="auto"/>
              <w:bottom w:val="single" w:sz="4" w:space="0" w:color="auto"/>
            </w:tcBorders>
          </w:tcPr>
          <w:p w14:paraId="2239E073" w14:textId="77777777" w:rsidR="00F0167C" w:rsidRPr="00E50974" w:rsidRDefault="00F0167C" w:rsidP="00BF56B5">
            <w:pPr>
              <w:spacing w:before="60" w:after="60" w:line="240" w:lineRule="auto"/>
              <w:rPr>
                <w:rStyle w:val="ExampletextCharChar"/>
                <w:rFonts w:ascii="Book Antiqua" w:hAnsi="Book Antiqua"/>
                <w:b/>
                <w:i w:val="0"/>
                <w:color w:val="auto"/>
              </w:rPr>
            </w:pPr>
            <w:r w:rsidRPr="00E50974">
              <w:rPr>
                <w:rStyle w:val="ExampletextCharChar"/>
                <w:rFonts w:ascii="Book Antiqua" w:hAnsi="Book Antiqua"/>
                <w:b/>
                <w:i w:val="0"/>
                <w:color w:val="auto"/>
              </w:rPr>
              <w:t>Program</w:t>
            </w:r>
          </w:p>
          <w:p w14:paraId="2239E074" w14:textId="77777777" w:rsidR="00F0167C" w:rsidRPr="00E50974" w:rsidRDefault="00F0167C" w:rsidP="00E84594">
            <w:pPr>
              <w:numPr>
                <w:ilvl w:val="0"/>
                <w:numId w:val="8"/>
              </w:numPr>
              <w:spacing w:before="120" w:after="120" w:line="240" w:lineRule="auto"/>
              <w:ind w:left="527" w:hanging="357"/>
              <w:rPr>
                <w:rStyle w:val="ExampletextCharChar"/>
                <w:i w:val="0"/>
                <w:color w:val="auto"/>
              </w:rPr>
            </w:pPr>
            <w:r w:rsidRPr="00E50974">
              <w:rPr>
                <w:rStyle w:val="ExampletextCharChar"/>
                <w:rFonts w:ascii="Book Antiqua" w:hAnsi="Book Antiqua"/>
                <w:i w:val="0"/>
                <w:color w:val="auto"/>
              </w:rPr>
              <w:t>Program 1.1 – Superannuation Scheme Governance</w:t>
            </w:r>
          </w:p>
        </w:tc>
      </w:tr>
      <w:tr w:rsidR="00F0167C" w:rsidRPr="005E6F2B" w14:paraId="2239E077" w14:textId="77777777" w:rsidTr="00DB35A1">
        <w:trPr>
          <w:trHeight w:val="113"/>
        </w:trPr>
        <w:tc>
          <w:tcPr>
            <w:tcW w:w="7699" w:type="dxa"/>
            <w:tcBorders>
              <w:bottom w:val="dotted" w:sz="4" w:space="0" w:color="auto"/>
            </w:tcBorders>
          </w:tcPr>
          <w:p w14:paraId="2239E076" w14:textId="77777777" w:rsidR="00F0167C" w:rsidRPr="00E50974" w:rsidRDefault="00F0167C" w:rsidP="00BF56B5">
            <w:pPr>
              <w:pStyle w:val="ExampleText0"/>
              <w:spacing w:before="60" w:after="60" w:line="240" w:lineRule="auto"/>
              <w:rPr>
                <w:color w:val="auto"/>
              </w:rPr>
            </w:pPr>
            <w:r w:rsidRPr="00E50974">
              <w:rPr>
                <w:rStyle w:val="ExampletextCharChar"/>
                <w:rFonts w:ascii="Arial" w:hAnsi="Arial" w:cs="Arial"/>
                <w:b/>
                <w:color w:val="auto"/>
                <w:sz w:val="20"/>
              </w:rPr>
              <w:t>Future Fund Management Agency</w:t>
            </w:r>
          </w:p>
        </w:tc>
      </w:tr>
      <w:tr w:rsidR="00F0167C" w:rsidRPr="005E6F2B" w14:paraId="2239E07B" w14:textId="77777777" w:rsidTr="00DB35A1">
        <w:trPr>
          <w:trHeight w:val="113"/>
        </w:trPr>
        <w:tc>
          <w:tcPr>
            <w:tcW w:w="7699" w:type="dxa"/>
            <w:tcBorders>
              <w:top w:val="dotted" w:sz="4" w:space="0" w:color="auto"/>
              <w:bottom w:val="single" w:sz="4" w:space="0" w:color="auto"/>
            </w:tcBorders>
          </w:tcPr>
          <w:p w14:paraId="2239E078" w14:textId="77777777" w:rsidR="00F0167C" w:rsidRPr="00E50974" w:rsidRDefault="00F0167C" w:rsidP="00BF56B5">
            <w:pPr>
              <w:spacing w:before="60" w:after="60" w:line="240" w:lineRule="auto"/>
              <w:rPr>
                <w:rStyle w:val="ExampletextCharChar"/>
                <w:rFonts w:ascii="Book Antiqua" w:hAnsi="Book Antiqua"/>
                <w:b/>
                <w:i w:val="0"/>
                <w:color w:val="auto"/>
              </w:rPr>
            </w:pPr>
            <w:r w:rsidRPr="00E50974">
              <w:rPr>
                <w:rStyle w:val="ExampletextCharChar"/>
                <w:rFonts w:ascii="Book Antiqua" w:hAnsi="Book Antiqua"/>
                <w:b/>
                <w:i w:val="0"/>
                <w:color w:val="auto"/>
              </w:rPr>
              <w:t>Programs</w:t>
            </w:r>
          </w:p>
          <w:p w14:paraId="2239E079" w14:textId="77777777" w:rsidR="00F0167C" w:rsidRPr="004F7B15" w:rsidRDefault="00F0167C" w:rsidP="00E84594">
            <w:pPr>
              <w:numPr>
                <w:ilvl w:val="0"/>
                <w:numId w:val="8"/>
              </w:numPr>
              <w:spacing w:before="120" w:after="120" w:line="240" w:lineRule="auto"/>
              <w:ind w:left="527" w:hanging="357"/>
            </w:pPr>
            <w:r w:rsidRPr="004F7B15">
              <w:t>Program 1.1 – Management of the Investment of the Future Fund</w:t>
            </w:r>
          </w:p>
          <w:p w14:paraId="2239E07A" w14:textId="275FB06A" w:rsidR="00F0167C" w:rsidRPr="00E50974" w:rsidRDefault="004F7B15" w:rsidP="00E84594">
            <w:pPr>
              <w:numPr>
                <w:ilvl w:val="0"/>
                <w:numId w:val="8"/>
              </w:numPr>
              <w:spacing w:before="120" w:after="120" w:line="240" w:lineRule="auto"/>
              <w:ind w:left="527" w:hanging="357"/>
              <w:rPr>
                <w:rStyle w:val="ExampletextCharChar"/>
                <w:i w:val="0"/>
                <w:color w:val="auto"/>
              </w:rPr>
            </w:pPr>
            <w:r w:rsidRPr="004F7B15">
              <w:t xml:space="preserve">Program </w:t>
            </w:r>
            <w:r w:rsidR="00F0167C" w:rsidRPr="004F7B15">
              <w:t>1.2 – Management of the Investment of the Australian Government Investment Funds</w:t>
            </w:r>
          </w:p>
        </w:tc>
      </w:tr>
      <w:tr w:rsidR="00F0167C" w:rsidRPr="005E6F2B" w14:paraId="2239E07F" w14:textId="77777777" w:rsidTr="00DB35A1">
        <w:trPr>
          <w:trHeight w:val="1864"/>
        </w:trPr>
        <w:tc>
          <w:tcPr>
            <w:tcW w:w="7699" w:type="dxa"/>
            <w:tcBorders>
              <w:bottom w:val="single" w:sz="4" w:space="0" w:color="auto"/>
            </w:tcBorders>
          </w:tcPr>
          <w:p w14:paraId="2239E07C" w14:textId="77777777" w:rsidR="00F0167C" w:rsidRPr="00E50974" w:rsidRDefault="00F0167C" w:rsidP="00A9560E">
            <w:pPr>
              <w:spacing w:before="120" w:after="120" w:line="240" w:lineRule="auto"/>
              <w:rPr>
                <w:rStyle w:val="ExampletextCharChar"/>
                <w:rFonts w:ascii="Book Antiqua" w:hAnsi="Book Antiqua"/>
                <w:b/>
                <w:i w:val="0"/>
                <w:color w:val="auto"/>
              </w:rPr>
            </w:pPr>
            <w:r w:rsidRPr="00E50974">
              <w:rPr>
                <w:rStyle w:val="ExampletextCharChar"/>
                <w:rFonts w:ascii="Book Antiqua" w:hAnsi="Book Antiqua"/>
                <w:b/>
                <w:i w:val="0"/>
                <w:color w:val="auto"/>
              </w:rPr>
              <w:t>Contribution to Outcome 2 made by linked programs</w:t>
            </w:r>
          </w:p>
          <w:p w14:paraId="2239E07D" w14:textId="77777777" w:rsidR="00F0167C" w:rsidRPr="00E50974" w:rsidRDefault="00F0167C" w:rsidP="00A9560E">
            <w:pPr>
              <w:autoSpaceDE w:val="0"/>
              <w:autoSpaceDN w:val="0"/>
              <w:adjustRightInd w:val="0"/>
              <w:rPr>
                <w:rStyle w:val="ExampletextCharChar"/>
                <w:rFonts w:ascii="Book Antiqua" w:hAnsi="Book Antiqua"/>
                <w:i w:val="0"/>
                <w:color w:val="auto"/>
              </w:rPr>
            </w:pPr>
            <w:r w:rsidRPr="00E50974">
              <w:rPr>
                <w:rStyle w:val="ExampletextCharChar"/>
                <w:rFonts w:ascii="Book Antiqua" w:hAnsi="Book Antiqua"/>
                <w:i w:val="0"/>
                <w:color w:val="auto"/>
              </w:rPr>
              <w:t>Finance works with the Commonwealth Superannuation Corporation to ensure that the management of public sector superannuation is consistent with legislative obligations.</w:t>
            </w:r>
          </w:p>
          <w:p w14:paraId="2239E07E" w14:textId="77777777" w:rsidR="00F0167C" w:rsidRPr="00CB4F3C" w:rsidRDefault="00F0167C" w:rsidP="00A9560E">
            <w:pPr>
              <w:autoSpaceDE w:val="0"/>
              <w:autoSpaceDN w:val="0"/>
              <w:adjustRightInd w:val="0"/>
              <w:rPr>
                <w:rStyle w:val="ExampletextCharChar"/>
                <w:color w:val="auto"/>
              </w:rPr>
            </w:pPr>
            <w:r w:rsidRPr="00E50974">
              <w:rPr>
                <w:rStyle w:val="ExampletextCharChar"/>
                <w:rFonts w:ascii="Book Antiqua" w:hAnsi="Book Antiqua"/>
                <w:i w:val="0"/>
                <w:color w:val="auto"/>
              </w:rPr>
              <w:t>Finance works with the Future Fund Management Agency to ensure that the management of the Future Fund and the Australian Government Investment Funds is consistent with legislation and maximises returns to taxpayers.</w:t>
            </w:r>
          </w:p>
        </w:tc>
      </w:tr>
    </w:tbl>
    <w:p w14:paraId="4F2B20D4" w14:textId="77777777" w:rsidR="009A31C4" w:rsidRDefault="009A31C4" w:rsidP="009A31C4">
      <w:pPr>
        <w:tabs>
          <w:tab w:val="left" w:pos="5510"/>
        </w:tabs>
        <w:rPr>
          <w:rFonts w:ascii="Arial" w:hAnsi="Arial"/>
          <w:bCs/>
          <w:i/>
          <w:iCs/>
          <w:sz w:val="20"/>
          <w:szCs w:val="26"/>
        </w:rPr>
      </w:pPr>
      <w:r>
        <w:rPr>
          <w:rFonts w:ascii="Arial" w:hAnsi="Arial"/>
          <w:bCs/>
          <w:i/>
          <w:iCs/>
          <w:sz w:val="20"/>
          <w:szCs w:val="26"/>
        </w:rPr>
        <w:br w:type="page"/>
      </w:r>
    </w:p>
    <w:p w14:paraId="2239E089" w14:textId="7BE9B0A8" w:rsidR="00F0167C" w:rsidRPr="00203FE6" w:rsidRDefault="00F0167C" w:rsidP="00203FE6">
      <w:pPr>
        <w:pStyle w:val="Heading5"/>
      </w:pPr>
      <w:r w:rsidRPr="0005753C">
        <w:lastRenderedPageBreak/>
        <w:t>Budgeted expenses for Outcome 2</w:t>
      </w:r>
    </w:p>
    <w:p w14:paraId="14F857AF" w14:textId="77777777" w:rsidR="00011AE8" w:rsidRDefault="00F0167C" w:rsidP="00011AE8">
      <w:r w:rsidRPr="00C41E1F">
        <w:t>This table shows how much the entity intends to spend (on an accrual basis) on achieving the outcome, broken down by program, as well as by Administered and Departmental funding sources.</w:t>
      </w:r>
    </w:p>
    <w:p w14:paraId="04D5788E" w14:textId="4EDB9962" w:rsidR="00D228F8" w:rsidRDefault="00F0167C" w:rsidP="000A2424">
      <w:pPr>
        <w:pStyle w:val="TableHeading"/>
        <w:rPr>
          <w:noProof/>
        </w:rPr>
      </w:pPr>
      <w:r w:rsidRPr="00011AE8">
        <w:t>Table 2.2.1:</w:t>
      </w:r>
      <w:r w:rsidR="009A31C4" w:rsidRPr="00011AE8">
        <w:t xml:space="preserve"> Budgeted expenses for Outcome 2</w:t>
      </w:r>
    </w:p>
    <w:p w14:paraId="59982A0E" w14:textId="7961EA72" w:rsidR="00EC0A97" w:rsidRPr="00EC0A97" w:rsidRDefault="00EC0A97" w:rsidP="00EC0A97">
      <w:pPr>
        <w:pStyle w:val="TableGraphic"/>
      </w:pPr>
      <w:r w:rsidRPr="00EC0A97">
        <w:rPr>
          <w:noProof/>
          <w:lang w:eastAsia="zh-CN"/>
        </w:rPr>
        <w:drawing>
          <wp:inline distT="0" distB="0" distL="0" distR="0" wp14:anchorId="3727370A" wp14:editId="2B4B1D28">
            <wp:extent cx="4895850" cy="3764202"/>
            <wp:effectExtent l="0" t="0" r="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95850" cy="3764202"/>
                    </a:xfrm>
                    <a:prstGeom prst="rect">
                      <a:avLst/>
                    </a:prstGeom>
                    <a:noFill/>
                    <a:ln>
                      <a:noFill/>
                    </a:ln>
                  </pic:spPr>
                </pic:pic>
              </a:graphicData>
            </a:graphic>
          </wp:inline>
        </w:drawing>
      </w:r>
    </w:p>
    <w:p w14:paraId="2239E08C" w14:textId="6A228019" w:rsidR="00F0167C" w:rsidRPr="00011AE8" w:rsidRDefault="00F0167C" w:rsidP="00011AE8">
      <w:pPr>
        <w:spacing w:before="30" w:after="0" w:line="240" w:lineRule="auto"/>
        <w:rPr>
          <w:b/>
        </w:rPr>
      </w:pPr>
      <w:r w:rsidRPr="009A31C4">
        <w:rPr>
          <w:rFonts w:ascii="Arial" w:hAnsi="Arial" w:cs="Arial"/>
          <w:sz w:val="16"/>
          <w:szCs w:val="16"/>
        </w:rPr>
        <w:t>Table continues on next page</w:t>
      </w:r>
    </w:p>
    <w:p w14:paraId="5B47B541" w14:textId="0CBD0F46" w:rsidR="00731940" w:rsidRDefault="00F0167C" w:rsidP="006F6736">
      <w:pPr>
        <w:pStyle w:val="TableHeading"/>
      </w:pPr>
      <w:r>
        <w:br w:type="page"/>
      </w:r>
      <w:r w:rsidRPr="009E6F01">
        <w:lastRenderedPageBreak/>
        <w:t>Table 2.2.1: Budgeted expenses for Outcome 2 (continued)</w:t>
      </w:r>
    </w:p>
    <w:p w14:paraId="4BFFB61D" w14:textId="1BB0C313" w:rsidR="006F6736" w:rsidRPr="006F6736" w:rsidRDefault="00EC0A97" w:rsidP="006F6736">
      <w:pPr>
        <w:pStyle w:val="TableGraphic"/>
      </w:pPr>
      <w:r w:rsidRPr="00EC0A97">
        <w:rPr>
          <w:noProof/>
          <w:lang w:eastAsia="zh-CN"/>
        </w:rPr>
        <w:drawing>
          <wp:inline distT="0" distB="0" distL="0" distR="0" wp14:anchorId="79D00B9A" wp14:editId="75095D10">
            <wp:extent cx="4895850" cy="5438908"/>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95850" cy="5438908"/>
                    </a:xfrm>
                    <a:prstGeom prst="rect">
                      <a:avLst/>
                    </a:prstGeom>
                    <a:noFill/>
                    <a:ln>
                      <a:noFill/>
                    </a:ln>
                  </pic:spPr>
                </pic:pic>
              </a:graphicData>
            </a:graphic>
          </wp:inline>
        </w:drawing>
      </w:r>
    </w:p>
    <w:p w14:paraId="2239E08F" w14:textId="1007B921" w:rsidR="00F0167C" w:rsidRPr="00AE58BF" w:rsidRDefault="00F0167C" w:rsidP="00311622">
      <w:pPr>
        <w:pStyle w:val="TableGraphic"/>
        <w:spacing w:before="30"/>
        <w:ind w:right="0"/>
      </w:pPr>
      <w:r w:rsidRPr="00353C44">
        <w:rPr>
          <w:rFonts w:ascii="Arial" w:hAnsi="Arial" w:cs="Arial"/>
          <w:sz w:val="16"/>
          <w:szCs w:val="16"/>
        </w:rPr>
        <w:t>Table continues on next page</w:t>
      </w:r>
    </w:p>
    <w:p w14:paraId="22B83BFA" w14:textId="7D85DF15" w:rsidR="006F74F4" w:rsidRDefault="00F0167C" w:rsidP="006F6736">
      <w:pPr>
        <w:pStyle w:val="TableHeadingcontinued"/>
        <w:rPr>
          <w:rFonts w:ascii="Arial" w:hAnsi="Arial"/>
          <w:color w:val="000000"/>
          <w:lang w:val="x-none" w:eastAsia="x-none"/>
        </w:rPr>
      </w:pPr>
      <w:r w:rsidRPr="00221972">
        <w:br w:type="page"/>
      </w:r>
      <w:r w:rsidRPr="00FC1DFE">
        <w:rPr>
          <w:rFonts w:ascii="Arial" w:hAnsi="Arial"/>
          <w:color w:val="000000"/>
          <w:lang w:val="x-none" w:eastAsia="x-none"/>
        </w:rPr>
        <w:lastRenderedPageBreak/>
        <w:t>Table 2.2.1: Budgeted expenses for Outcome 2 (continued)</w:t>
      </w:r>
    </w:p>
    <w:p w14:paraId="13CC2DEE" w14:textId="1F696575" w:rsidR="006F6736" w:rsidRPr="006F6736" w:rsidRDefault="001B1E05" w:rsidP="006F6736">
      <w:pPr>
        <w:pStyle w:val="TableGraphic"/>
        <w:rPr>
          <w:lang w:val="x-none" w:eastAsia="x-none"/>
        </w:rPr>
      </w:pPr>
      <w:r w:rsidRPr="001B1E05">
        <w:rPr>
          <w:noProof/>
          <w:lang w:eastAsia="zh-CN"/>
        </w:rPr>
        <w:drawing>
          <wp:inline distT="0" distB="0" distL="0" distR="0" wp14:anchorId="6A377F4D" wp14:editId="11F4F7C0">
            <wp:extent cx="4895850" cy="4254509"/>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95850" cy="4254509"/>
                    </a:xfrm>
                    <a:prstGeom prst="rect">
                      <a:avLst/>
                    </a:prstGeom>
                    <a:noFill/>
                    <a:ln>
                      <a:noFill/>
                    </a:ln>
                  </pic:spPr>
                </pic:pic>
              </a:graphicData>
            </a:graphic>
          </wp:inline>
        </w:drawing>
      </w:r>
    </w:p>
    <w:p w14:paraId="2239E092" w14:textId="77777777" w:rsidR="00F0167C" w:rsidRPr="00AE58BF" w:rsidRDefault="00F0167C" w:rsidP="006F74F4">
      <w:pPr>
        <w:pStyle w:val="TableHeading"/>
        <w:spacing w:before="30" w:after="0"/>
        <w:rPr>
          <w:b w:val="0"/>
        </w:rPr>
      </w:pPr>
      <w:r w:rsidRPr="00AE58BF">
        <w:rPr>
          <w:rFonts w:cs="Arial"/>
          <w:b w:val="0"/>
          <w:sz w:val="16"/>
          <w:szCs w:val="16"/>
        </w:rPr>
        <w:t>Table continues on next page</w:t>
      </w:r>
    </w:p>
    <w:p w14:paraId="2239E093" w14:textId="063C7204" w:rsidR="00F0167C" w:rsidRDefault="00F0167C" w:rsidP="00F0167C">
      <w:pPr>
        <w:pStyle w:val="TableGraphic"/>
      </w:pPr>
    </w:p>
    <w:p w14:paraId="2239E094" w14:textId="77777777" w:rsidR="00F0167C" w:rsidRDefault="00F0167C" w:rsidP="00F0167C"/>
    <w:p w14:paraId="2239E095" w14:textId="3661A175" w:rsidR="00F0167C" w:rsidRDefault="00311622" w:rsidP="00311622">
      <w:pPr>
        <w:tabs>
          <w:tab w:val="left" w:pos="2758"/>
        </w:tabs>
      </w:pPr>
      <w:r>
        <w:tab/>
      </w:r>
    </w:p>
    <w:p w14:paraId="2239E096" w14:textId="77777777" w:rsidR="00F0167C" w:rsidRDefault="00F0167C" w:rsidP="00F0167C"/>
    <w:p w14:paraId="2239E09A" w14:textId="323ADB8F" w:rsidR="00F0167C" w:rsidRPr="00382A0F" w:rsidRDefault="00F0167C" w:rsidP="00382A0F">
      <w:pPr>
        <w:pStyle w:val="TableHeadingcontinued"/>
        <w:rPr>
          <w:rFonts w:ascii="Arial" w:hAnsi="Arial"/>
          <w:color w:val="000000"/>
          <w:lang w:val="x-none" w:eastAsia="x-none"/>
        </w:rPr>
      </w:pPr>
      <w:r w:rsidRPr="00FC1DFE">
        <w:rPr>
          <w:rFonts w:ascii="Arial" w:hAnsi="Arial"/>
          <w:color w:val="000000"/>
          <w:lang w:val="x-none" w:eastAsia="x-none"/>
        </w:rPr>
        <w:lastRenderedPageBreak/>
        <w:t>Table 2.2.1: Budgeted expenses for Outcome 2 (continued)</w:t>
      </w:r>
      <w:r w:rsidR="00025EAC" w:rsidRPr="00025EAC">
        <w:rPr>
          <w:rFonts w:ascii="Arial" w:hAnsi="Arial"/>
          <w:b w:val="0"/>
          <w:color w:val="000000"/>
          <w:lang w:val="x-none" w:eastAsia="x-none"/>
        </w:rPr>
        <w:t xml:space="preserve"> </w:t>
      </w:r>
      <w:r w:rsidR="001B1E05" w:rsidRPr="001B1E05">
        <w:rPr>
          <w:rFonts w:ascii="Arial" w:hAnsi="Arial"/>
          <w:b w:val="0"/>
          <w:noProof/>
          <w:color w:val="000000"/>
          <w:lang w:eastAsia="zh-CN"/>
        </w:rPr>
        <w:drawing>
          <wp:inline distT="0" distB="0" distL="0" distR="0" wp14:anchorId="28DBF7EF" wp14:editId="5A61AE1E">
            <wp:extent cx="4895850" cy="4261727"/>
            <wp:effectExtent l="0" t="0" r="0" b="571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95850" cy="4261727"/>
                    </a:xfrm>
                    <a:prstGeom prst="rect">
                      <a:avLst/>
                    </a:prstGeom>
                    <a:noFill/>
                    <a:ln>
                      <a:noFill/>
                    </a:ln>
                  </pic:spPr>
                </pic:pic>
              </a:graphicData>
            </a:graphic>
          </wp:inline>
        </w:drawing>
      </w:r>
      <w:r w:rsidR="00382A0F" w:rsidRPr="00382A0F">
        <w:rPr>
          <w:rFonts w:ascii="Arial" w:hAnsi="Arial"/>
          <w:b w:val="0"/>
          <w:color w:val="000000"/>
          <w:lang w:val="x-none" w:eastAsia="x-none"/>
        </w:rPr>
        <w:t xml:space="preserve"> </w:t>
      </w:r>
    </w:p>
    <w:p w14:paraId="2239E09B" w14:textId="3CDB99C4" w:rsidR="00F0167C" w:rsidRPr="00680496" w:rsidRDefault="00442D9D" w:rsidP="00C8474A">
      <w:pPr>
        <w:pStyle w:val="ChartandTableFootnoteAlpha"/>
        <w:numPr>
          <w:ilvl w:val="0"/>
          <w:numId w:val="14"/>
        </w:numPr>
        <w:spacing w:before="60"/>
        <w:ind w:left="284" w:hanging="284"/>
        <w:rPr>
          <w:lang w:val="x-none" w:eastAsia="x-none"/>
        </w:rPr>
      </w:pPr>
      <w:r>
        <w:rPr>
          <w:lang w:eastAsia="x-none"/>
        </w:rPr>
        <w:t>Includes estimated expenses in relation to receipts retained under</w:t>
      </w:r>
      <w:r w:rsidR="00F0167C" w:rsidRPr="00680496">
        <w:rPr>
          <w:lang w:val="x-none" w:eastAsia="x-none"/>
        </w:rPr>
        <w:t xml:space="preserve"> section 74 of the PGPA Act.</w:t>
      </w:r>
    </w:p>
    <w:p w14:paraId="2239E09C" w14:textId="77777777" w:rsidR="00F0167C" w:rsidRPr="00680496" w:rsidRDefault="00F0167C" w:rsidP="00C8474A">
      <w:pPr>
        <w:pStyle w:val="ChartandTableFootnoteAlpha"/>
        <w:numPr>
          <w:ilvl w:val="0"/>
          <w:numId w:val="14"/>
        </w:numPr>
        <w:spacing w:before="60"/>
        <w:ind w:left="284" w:hanging="284"/>
        <w:rPr>
          <w:lang w:val="x-none" w:eastAsia="x-none"/>
        </w:rPr>
      </w:pPr>
      <w:r w:rsidRPr="00680496">
        <w:rPr>
          <w:lang w:val="x-none" w:eastAsia="x-none"/>
        </w:rPr>
        <w:t>‘Expenses not requiring appropriation in the Budget year’ is made up of depreciation expenses and amortisation expenses.</w:t>
      </w:r>
    </w:p>
    <w:p w14:paraId="2239E09D" w14:textId="7C251EF5" w:rsidR="00F0167C" w:rsidRPr="00680496" w:rsidRDefault="00F0167C" w:rsidP="00C8474A">
      <w:pPr>
        <w:pStyle w:val="ChartandTableFootnoteAlpha"/>
        <w:numPr>
          <w:ilvl w:val="0"/>
          <w:numId w:val="14"/>
        </w:numPr>
        <w:spacing w:before="60"/>
        <w:ind w:left="284" w:hanging="284"/>
        <w:rPr>
          <w:lang w:val="x-none" w:eastAsia="x-none"/>
        </w:rPr>
      </w:pPr>
      <w:r w:rsidRPr="00680496">
        <w:rPr>
          <w:lang w:val="x-none" w:eastAsia="x-none"/>
        </w:rPr>
        <w:t xml:space="preserve">More information on the DisabilityCare Australia Fund </w:t>
      </w:r>
      <w:r w:rsidR="00F44084">
        <w:rPr>
          <w:lang w:eastAsia="x-none"/>
        </w:rPr>
        <w:t xml:space="preserve">(DCAF) </w:t>
      </w:r>
      <w:r w:rsidRPr="00680496">
        <w:rPr>
          <w:lang w:val="x-none" w:eastAsia="x-none"/>
        </w:rPr>
        <w:t>can be f</w:t>
      </w:r>
      <w:r w:rsidR="003D562D">
        <w:rPr>
          <w:lang w:val="x-none" w:eastAsia="x-none"/>
        </w:rPr>
        <w:t>ound in Table 2.2.1.1</w:t>
      </w:r>
      <w:r w:rsidR="00F6694E">
        <w:rPr>
          <w:lang w:eastAsia="x-none"/>
        </w:rPr>
        <w:t>, page 3</w:t>
      </w:r>
      <w:r w:rsidR="003D562D">
        <w:rPr>
          <w:lang w:val="x-none" w:eastAsia="x-none"/>
        </w:rPr>
        <w:t>1</w:t>
      </w:r>
      <w:r w:rsidRPr="00680496">
        <w:rPr>
          <w:lang w:val="x-none" w:eastAsia="x-none"/>
        </w:rPr>
        <w:t>.</w:t>
      </w:r>
    </w:p>
    <w:p w14:paraId="2239E09E" w14:textId="004BC4E9" w:rsidR="00F0167C" w:rsidRPr="00680496" w:rsidRDefault="00F0167C" w:rsidP="00C8474A">
      <w:pPr>
        <w:pStyle w:val="ChartandTableFootnoteAlpha"/>
        <w:numPr>
          <w:ilvl w:val="0"/>
          <w:numId w:val="14"/>
        </w:numPr>
        <w:spacing w:before="60"/>
        <w:ind w:left="284" w:hanging="284"/>
        <w:rPr>
          <w:lang w:val="x-none" w:eastAsia="x-none"/>
        </w:rPr>
      </w:pPr>
      <w:r w:rsidRPr="00680496">
        <w:rPr>
          <w:lang w:val="x-none" w:eastAsia="x-none"/>
        </w:rPr>
        <w:t xml:space="preserve">More information on the Medical Research Future Fund </w:t>
      </w:r>
      <w:r w:rsidR="00F44084">
        <w:rPr>
          <w:lang w:eastAsia="x-none"/>
        </w:rPr>
        <w:t xml:space="preserve">(MRFF) </w:t>
      </w:r>
      <w:r w:rsidRPr="00680496">
        <w:rPr>
          <w:lang w:val="x-none" w:eastAsia="x-none"/>
        </w:rPr>
        <w:t>can be f</w:t>
      </w:r>
      <w:r w:rsidR="003D562D">
        <w:rPr>
          <w:lang w:val="x-none" w:eastAsia="x-none"/>
        </w:rPr>
        <w:t>ound in Table 2.2.1.2</w:t>
      </w:r>
      <w:r w:rsidR="00F6694E">
        <w:rPr>
          <w:lang w:eastAsia="x-none"/>
        </w:rPr>
        <w:t>,</w:t>
      </w:r>
      <w:r w:rsidR="003D562D">
        <w:rPr>
          <w:lang w:val="x-none" w:eastAsia="x-none"/>
        </w:rPr>
        <w:t xml:space="preserve"> </w:t>
      </w:r>
      <w:r w:rsidR="00F6694E">
        <w:rPr>
          <w:lang w:eastAsia="x-none"/>
        </w:rPr>
        <w:t xml:space="preserve">page </w:t>
      </w:r>
      <w:r w:rsidR="003D562D">
        <w:rPr>
          <w:lang w:val="x-none" w:eastAsia="x-none"/>
        </w:rPr>
        <w:t>32</w:t>
      </w:r>
      <w:r w:rsidRPr="00680496">
        <w:rPr>
          <w:lang w:val="x-none" w:eastAsia="x-none"/>
        </w:rPr>
        <w:t>.</w:t>
      </w:r>
    </w:p>
    <w:p w14:paraId="2239E09F" w14:textId="1A6E5339" w:rsidR="00F0167C" w:rsidRPr="00680496" w:rsidRDefault="00F0167C" w:rsidP="00C8474A">
      <w:pPr>
        <w:pStyle w:val="ChartandTableFootnoteAlpha"/>
        <w:numPr>
          <w:ilvl w:val="0"/>
          <w:numId w:val="14"/>
        </w:numPr>
        <w:spacing w:before="60"/>
        <w:ind w:left="284" w:hanging="284"/>
        <w:rPr>
          <w:lang w:val="x-none" w:eastAsia="x-none"/>
        </w:rPr>
      </w:pPr>
      <w:r w:rsidRPr="00680496">
        <w:rPr>
          <w:lang w:val="x-none" w:eastAsia="x-none"/>
        </w:rPr>
        <w:t xml:space="preserve">More information on the Aboriginal and Torres Strait Islander Land and Sea Future Fund </w:t>
      </w:r>
      <w:r w:rsidR="00F44084">
        <w:rPr>
          <w:lang w:eastAsia="x-none"/>
        </w:rPr>
        <w:t xml:space="preserve">(ATSILSFF) </w:t>
      </w:r>
      <w:r w:rsidRPr="00680496">
        <w:rPr>
          <w:lang w:val="x-none" w:eastAsia="x-none"/>
        </w:rPr>
        <w:t>can be f</w:t>
      </w:r>
      <w:r w:rsidR="003D562D">
        <w:rPr>
          <w:lang w:val="x-none" w:eastAsia="x-none"/>
        </w:rPr>
        <w:t>ound in Table 2.2.1.3</w:t>
      </w:r>
      <w:r w:rsidR="00F6694E">
        <w:rPr>
          <w:lang w:eastAsia="x-none"/>
        </w:rPr>
        <w:t xml:space="preserve">, page </w:t>
      </w:r>
      <w:r w:rsidR="003D562D">
        <w:rPr>
          <w:lang w:val="x-none" w:eastAsia="x-none"/>
        </w:rPr>
        <w:t>33</w:t>
      </w:r>
      <w:r w:rsidRPr="00680496">
        <w:rPr>
          <w:lang w:val="x-none" w:eastAsia="x-none"/>
        </w:rPr>
        <w:t>.</w:t>
      </w:r>
    </w:p>
    <w:p w14:paraId="2239E0A0" w14:textId="11E5972F" w:rsidR="00F0167C" w:rsidRPr="00680496" w:rsidRDefault="00F0167C" w:rsidP="00C8474A">
      <w:pPr>
        <w:pStyle w:val="ChartandTableFootnoteAlpha"/>
        <w:numPr>
          <w:ilvl w:val="0"/>
          <w:numId w:val="14"/>
        </w:numPr>
        <w:spacing w:before="60"/>
        <w:ind w:left="284" w:hanging="284"/>
        <w:rPr>
          <w:lang w:val="x-none" w:eastAsia="x-none"/>
        </w:rPr>
      </w:pPr>
      <w:r w:rsidRPr="00680496">
        <w:rPr>
          <w:lang w:val="x-none" w:eastAsia="x-none"/>
        </w:rPr>
        <w:t xml:space="preserve">More information on the Future Drought Fund </w:t>
      </w:r>
      <w:r w:rsidR="00F44084">
        <w:rPr>
          <w:lang w:eastAsia="x-none"/>
        </w:rPr>
        <w:t xml:space="preserve">(FDF) </w:t>
      </w:r>
      <w:r w:rsidRPr="00680496">
        <w:rPr>
          <w:lang w:val="x-none" w:eastAsia="x-none"/>
        </w:rPr>
        <w:t>can be f</w:t>
      </w:r>
      <w:r w:rsidR="003D562D">
        <w:rPr>
          <w:lang w:val="x-none" w:eastAsia="x-none"/>
        </w:rPr>
        <w:t>ound in Table 2.2.1.4</w:t>
      </w:r>
      <w:r w:rsidR="00F6694E">
        <w:rPr>
          <w:lang w:eastAsia="x-none"/>
        </w:rPr>
        <w:t>, page</w:t>
      </w:r>
      <w:r w:rsidR="002E3A30">
        <w:rPr>
          <w:lang w:eastAsia="x-none"/>
        </w:rPr>
        <w:t xml:space="preserve"> </w:t>
      </w:r>
      <w:r w:rsidR="003D562D">
        <w:rPr>
          <w:lang w:val="x-none" w:eastAsia="x-none"/>
        </w:rPr>
        <w:t>34</w:t>
      </w:r>
      <w:r w:rsidRPr="00680496">
        <w:rPr>
          <w:lang w:val="x-none" w:eastAsia="x-none"/>
        </w:rPr>
        <w:t>.</w:t>
      </w:r>
    </w:p>
    <w:p w14:paraId="2239E0A1" w14:textId="10BADF91" w:rsidR="00F0167C" w:rsidRPr="00680496" w:rsidRDefault="00F0167C" w:rsidP="00C8474A">
      <w:pPr>
        <w:pStyle w:val="ChartandTableFootnoteAlpha"/>
        <w:numPr>
          <w:ilvl w:val="0"/>
          <w:numId w:val="14"/>
        </w:numPr>
        <w:spacing w:before="60"/>
        <w:ind w:left="284" w:hanging="284"/>
        <w:rPr>
          <w:lang w:val="x-none" w:eastAsia="x-none"/>
        </w:rPr>
      </w:pPr>
      <w:r w:rsidRPr="00680496">
        <w:rPr>
          <w:lang w:val="x-none" w:eastAsia="x-none"/>
        </w:rPr>
        <w:t xml:space="preserve">More information on the Emergency Response Fund </w:t>
      </w:r>
      <w:r w:rsidR="00F44084">
        <w:rPr>
          <w:lang w:eastAsia="x-none"/>
        </w:rPr>
        <w:t xml:space="preserve">(ERF) </w:t>
      </w:r>
      <w:r w:rsidRPr="00680496">
        <w:rPr>
          <w:lang w:val="x-none" w:eastAsia="x-none"/>
        </w:rPr>
        <w:t>can be f</w:t>
      </w:r>
      <w:r w:rsidR="00F44084">
        <w:rPr>
          <w:lang w:val="x-none" w:eastAsia="x-none"/>
        </w:rPr>
        <w:t>ound in T</w:t>
      </w:r>
      <w:r w:rsidR="003D562D">
        <w:rPr>
          <w:lang w:val="x-none" w:eastAsia="x-none"/>
        </w:rPr>
        <w:t>able 2.2.1.5</w:t>
      </w:r>
      <w:r w:rsidR="00F6694E">
        <w:rPr>
          <w:lang w:eastAsia="x-none"/>
        </w:rPr>
        <w:t xml:space="preserve">, page </w:t>
      </w:r>
      <w:r w:rsidR="003D562D">
        <w:rPr>
          <w:lang w:val="x-none" w:eastAsia="x-none"/>
        </w:rPr>
        <w:t>35</w:t>
      </w:r>
      <w:r w:rsidRPr="00680496">
        <w:rPr>
          <w:lang w:val="x-none" w:eastAsia="x-none"/>
        </w:rPr>
        <w:t>.</w:t>
      </w:r>
    </w:p>
    <w:p w14:paraId="2239E0A2" w14:textId="6CD7C07D" w:rsidR="00F0167C" w:rsidRPr="00802A36" w:rsidRDefault="00F0167C" w:rsidP="002B2CB2">
      <w:pPr>
        <w:pStyle w:val="ChartandTableFootnote"/>
      </w:pPr>
      <w:r w:rsidRPr="00802A36">
        <w:t xml:space="preserve">Note: Departmental appropriation splits and totals are indicative estimates </w:t>
      </w:r>
      <w:r w:rsidR="002E3490">
        <w:t>and may change in the course</w:t>
      </w:r>
      <w:r w:rsidR="00EA71F2">
        <w:rPr>
          <w:rFonts w:cs="Arial"/>
          <w:szCs w:val="16"/>
        </w:rPr>
        <w:br/>
      </w:r>
      <w:r w:rsidR="002E3490">
        <w:t>of</w:t>
      </w:r>
      <w:r w:rsidR="00EA71F2">
        <w:t xml:space="preserve"> </w:t>
      </w:r>
      <w:r w:rsidRPr="00802A36">
        <w:t>the budget year as government priorities change.</w:t>
      </w:r>
    </w:p>
    <w:p w14:paraId="2239E0A3" w14:textId="77777777" w:rsidR="00F0167C" w:rsidRPr="000819EC" w:rsidRDefault="00F0167C" w:rsidP="00F0167C">
      <w:pPr>
        <w:spacing w:after="0" w:line="240" w:lineRule="auto"/>
        <w:rPr>
          <w:rStyle w:val="TableHeadingChar"/>
          <w:rFonts w:cs="Arial"/>
          <w:b w:val="0"/>
          <w:bCs/>
          <w:sz w:val="20"/>
          <w:lang w:eastAsia="zh-CN"/>
        </w:rPr>
      </w:pPr>
      <w:r>
        <w:rPr>
          <w:highlight w:val="yellow"/>
        </w:rPr>
        <w:br w:type="page"/>
      </w:r>
      <w:r w:rsidRPr="000819EC">
        <w:rPr>
          <w:rFonts w:ascii="Arial" w:hAnsi="Arial" w:cs="Arial"/>
          <w:b/>
          <w:color w:val="000000"/>
          <w:sz w:val="20"/>
          <w:lang w:val="x-none" w:eastAsia="x-none"/>
        </w:rPr>
        <w:lastRenderedPageBreak/>
        <w:t>Table 2.2.1.1: DisabilityCare Australia Fund</w:t>
      </w:r>
      <w:r w:rsidRPr="000819EC">
        <w:rPr>
          <w:rFonts w:ascii="Arial" w:hAnsi="Arial" w:cs="Arial"/>
          <w:b/>
          <w:color w:val="000000"/>
          <w:sz w:val="20"/>
          <w:lang w:eastAsia="x-none"/>
        </w:rPr>
        <w:t xml:space="preserve"> </w:t>
      </w:r>
      <w:r w:rsidRPr="000819EC">
        <w:rPr>
          <w:rStyle w:val="TableHeadingChar"/>
          <w:sz w:val="20"/>
        </w:rPr>
        <w:t>- Estimates of Fund Balances</w:t>
      </w:r>
    </w:p>
    <w:p w14:paraId="2239E0A4" w14:textId="772FEEBB" w:rsidR="00F0167C" w:rsidRPr="00C978F2" w:rsidRDefault="00F112B2" w:rsidP="00F0167C">
      <w:pPr>
        <w:pStyle w:val="TableGraphic"/>
      </w:pPr>
      <w:r w:rsidRPr="00F112B2">
        <w:rPr>
          <w:noProof/>
          <w:lang w:eastAsia="zh-CN"/>
        </w:rPr>
        <w:drawing>
          <wp:inline distT="0" distB="0" distL="0" distR="0" wp14:anchorId="040227F3" wp14:editId="659FBB21">
            <wp:extent cx="4895850" cy="2013978"/>
            <wp:effectExtent l="0" t="0" r="0" b="571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95850" cy="2013978"/>
                    </a:xfrm>
                    <a:prstGeom prst="rect">
                      <a:avLst/>
                    </a:prstGeom>
                    <a:noFill/>
                    <a:ln>
                      <a:noFill/>
                    </a:ln>
                  </pic:spPr>
                </pic:pic>
              </a:graphicData>
            </a:graphic>
          </wp:inline>
        </w:drawing>
      </w:r>
    </w:p>
    <w:p w14:paraId="2239E0A5" w14:textId="77777777" w:rsidR="00F0167C" w:rsidRPr="00817208" w:rsidRDefault="00F0167C" w:rsidP="00C8474A">
      <w:pPr>
        <w:pStyle w:val="ListParagraph"/>
        <w:numPr>
          <w:ilvl w:val="0"/>
          <w:numId w:val="15"/>
        </w:numPr>
        <w:spacing w:before="60" w:after="0" w:line="240" w:lineRule="auto"/>
        <w:ind w:left="284" w:hanging="284"/>
        <w:contextualSpacing w:val="0"/>
        <w:rPr>
          <w:rFonts w:ascii="Arial" w:hAnsi="Arial" w:cs="Arial"/>
          <w:sz w:val="16"/>
          <w:szCs w:val="16"/>
        </w:rPr>
      </w:pPr>
      <w:r w:rsidRPr="00817208">
        <w:rPr>
          <w:rFonts w:ascii="Arial" w:hAnsi="Arial" w:cs="Arial"/>
          <w:sz w:val="16"/>
          <w:szCs w:val="16"/>
        </w:rPr>
        <w:t>The DCAF consists of the DCAF Special Account and investments of the DCAF. The investments are managed by the Future Fund Board of Guardians. The special account is used to record all transactions relating to the DCAF, including interest and Medicare levy proceeds received and payments.</w:t>
      </w:r>
    </w:p>
    <w:p w14:paraId="2239E0A6" w14:textId="77777777" w:rsidR="00F0167C" w:rsidRPr="00F93B93" w:rsidRDefault="00F0167C" w:rsidP="00C8474A">
      <w:pPr>
        <w:pStyle w:val="ListParagraph"/>
        <w:numPr>
          <w:ilvl w:val="0"/>
          <w:numId w:val="15"/>
        </w:numPr>
        <w:spacing w:before="60" w:after="0" w:line="240" w:lineRule="auto"/>
        <w:ind w:left="284" w:hanging="284"/>
        <w:contextualSpacing w:val="0"/>
        <w:rPr>
          <w:rFonts w:ascii="Arial" w:hAnsi="Arial" w:cs="Arial"/>
          <w:sz w:val="16"/>
          <w:szCs w:val="16"/>
        </w:rPr>
      </w:pPr>
      <w:r w:rsidRPr="00F93B93">
        <w:rPr>
          <w:rFonts w:ascii="Arial" w:hAnsi="Arial" w:cs="Arial"/>
          <w:sz w:val="16"/>
          <w:szCs w:val="16"/>
        </w:rPr>
        <w:t>The Commonwealth agreed to credit the DCAF with money raised from the increase in the Medicare levy for 10 years to fund the additional costs of delivering the National Disability Insurance Scheme (NDIS) (formerly DisabilityCare Australia). This 10 year period concludes in 2023-24.</w:t>
      </w:r>
    </w:p>
    <w:p w14:paraId="2239E0A7" w14:textId="77777777" w:rsidR="00F0167C" w:rsidRDefault="00F0167C" w:rsidP="00C8474A">
      <w:pPr>
        <w:pStyle w:val="ListParagraph"/>
        <w:numPr>
          <w:ilvl w:val="0"/>
          <w:numId w:val="15"/>
        </w:numPr>
        <w:spacing w:before="60" w:after="0" w:line="240" w:lineRule="auto"/>
        <w:ind w:left="284" w:hanging="284"/>
        <w:contextualSpacing w:val="0"/>
        <w:rPr>
          <w:rFonts w:ascii="Arial" w:hAnsi="Arial" w:cs="Arial"/>
          <w:sz w:val="16"/>
          <w:szCs w:val="16"/>
        </w:rPr>
      </w:pPr>
      <w:r w:rsidRPr="00F93B93">
        <w:rPr>
          <w:rFonts w:ascii="Arial" w:hAnsi="Arial" w:cs="Arial"/>
          <w:sz w:val="16"/>
          <w:szCs w:val="16"/>
        </w:rPr>
        <w:t>The transfers relate to reimbursing the Commonwealth and the States and Territories for the costs of the operations of the NDIS.</w:t>
      </w:r>
    </w:p>
    <w:p w14:paraId="2239E0A9" w14:textId="308D831C" w:rsidR="00E06B3B" w:rsidRPr="00F93B93" w:rsidRDefault="00E06B3B" w:rsidP="002B2CB2">
      <w:pPr>
        <w:spacing w:before="30" w:after="0" w:line="240" w:lineRule="auto"/>
        <w:rPr>
          <w:rFonts w:ascii="Arial" w:hAnsi="Arial" w:cs="Arial"/>
          <w:sz w:val="16"/>
          <w:szCs w:val="16"/>
        </w:rPr>
      </w:pPr>
      <w:r w:rsidRPr="00F93B93">
        <w:rPr>
          <w:rFonts w:ascii="Arial" w:hAnsi="Arial" w:cs="Arial"/>
          <w:sz w:val="16"/>
          <w:szCs w:val="16"/>
        </w:rPr>
        <w:t>Note: The expenses figure does not include losses made on investments; rather this amount has been applied against investment earnings and gains.</w:t>
      </w:r>
    </w:p>
    <w:p w14:paraId="2239E0AA" w14:textId="77777777" w:rsidR="00E06B3B" w:rsidRPr="00E06B3B" w:rsidRDefault="00E06B3B" w:rsidP="00E06B3B">
      <w:pPr>
        <w:spacing w:before="0" w:after="0" w:line="240" w:lineRule="auto"/>
        <w:rPr>
          <w:rFonts w:ascii="Arial" w:hAnsi="Arial" w:cs="Arial"/>
          <w:sz w:val="16"/>
          <w:szCs w:val="16"/>
        </w:rPr>
      </w:pPr>
    </w:p>
    <w:p w14:paraId="2239E0AB" w14:textId="77777777" w:rsidR="00E06B3B" w:rsidRPr="00E06B3B" w:rsidRDefault="00E06B3B" w:rsidP="00E06B3B">
      <w:pPr>
        <w:spacing w:before="0" w:after="0" w:line="240" w:lineRule="auto"/>
        <w:rPr>
          <w:rFonts w:ascii="Arial" w:hAnsi="Arial" w:cs="Arial"/>
          <w:sz w:val="16"/>
          <w:szCs w:val="16"/>
        </w:rPr>
      </w:pPr>
    </w:p>
    <w:p w14:paraId="2239E0AC" w14:textId="77777777" w:rsidR="00F0167C" w:rsidRPr="000819EC" w:rsidRDefault="00F0167C" w:rsidP="00F0167C">
      <w:pPr>
        <w:pStyle w:val="NoSpacing"/>
        <w:rPr>
          <w:rStyle w:val="TableHeadingChar"/>
          <w:rFonts w:ascii="Book Antiqua" w:hAnsi="Book Antiqua"/>
          <w:b w:val="0"/>
          <w:sz w:val="20"/>
        </w:rPr>
      </w:pPr>
      <w:r w:rsidRPr="00E06B3B">
        <w:rPr>
          <w:b/>
          <w:highlight w:val="yellow"/>
          <w:lang w:val="en-US"/>
        </w:rPr>
        <w:br w:type="page"/>
      </w:r>
      <w:r w:rsidRPr="000819EC">
        <w:rPr>
          <w:rStyle w:val="TableHeadingChar"/>
          <w:sz w:val="20"/>
        </w:rPr>
        <w:lastRenderedPageBreak/>
        <w:t>Table 2.2.1.2: Medical Research Future Fund - Estimates of Fund Balances</w:t>
      </w:r>
    </w:p>
    <w:p w14:paraId="2239E0AD" w14:textId="5F036915" w:rsidR="00F0167C" w:rsidRPr="00C978F2" w:rsidRDefault="00F112B2" w:rsidP="00F0167C">
      <w:pPr>
        <w:pStyle w:val="TableGraphic"/>
      </w:pPr>
      <w:r w:rsidRPr="00F112B2">
        <w:rPr>
          <w:noProof/>
          <w:lang w:eastAsia="zh-CN"/>
        </w:rPr>
        <w:drawing>
          <wp:inline distT="0" distB="0" distL="0" distR="0" wp14:anchorId="5D265745" wp14:editId="659AED2B">
            <wp:extent cx="4895850" cy="1870718"/>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95850" cy="1870718"/>
                    </a:xfrm>
                    <a:prstGeom prst="rect">
                      <a:avLst/>
                    </a:prstGeom>
                    <a:noFill/>
                    <a:ln>
                      <a:noFill/>
                    </a:ln>
                  </pic:spPr>
                </pic:pic>
              </a:graphicData>
            </a:graphic>
          </wp:inline>
        </w:drawing>
      </w:r>
    </w:p>
    <w:p w14:paraId="2239E0AE" w14:textId="77777777" w:rsidR="00F0167C" w:rsidRDefault="00F0167C" w:rsidP="00BA1132">
      <w:pPr>
        <w:pStyle w:val="ListParagraph"/>
        <w:numPr>
          <w:ilvl w:val="0"/>
          <w:numId w:val="10"/>
        </w:numPr>
        <w:spacing w:before="60" w:after="0" w:line="240" w:lineRule="auto"/>
        <w:ind w:left="284" w:hanging="284"/>
        <w:contextualSpacing w:val="0"/>
        <w:rPr>
          <w:rFonts w:ascii="Arial" w:hAnsi="Arial" w:cs="Arial"/>
          <w:sz w:val="16"/>
        </w:rPr>
      </w:pPr>
      <w:r w:rsidRPr="00817208">
        <w:rPr>
          <w:rFonts w:ascii="Arial" w:hAnsi="Arial" w:cs="Arial"/>
          <w:sz w:val="16"/>
        </w:rPr>
        <w:t>The MRFF consists of the MRFF Special Account and investments of the MRFF. The investments are managed by the Future Fund Board of Guardians. The special account is used to record all transactions relating to the MRFF, including interest received and payments.</w:t>
      </w:r>
    </w:p>
    <w:p w14:paraId="298DC492" w14:textId="2E065B73" w:rsidR="002B4724" w:rsidRDefault="00F0167C" w:rsidP="008D2A90">
      <w:pPr>
        <w:spacing w:before="30" w:after="0" w:line="240" w:lineRule="auto"/>
        <w:rPr>
          <w:rFonts w:ascii="Arial" w:hAnsi="Arial" w:cs="Arial"/>
          <w:color w:val="000000"/>
          <w:sz w:val="16"/>
          <w:szCs w:val="16"/>
        </w:rPr>
      </w:pPr>
      <w:r w:rsidRPr="004111A7">
        <w:rPr>
          <w:rFonts w:ascii="Arial" w:hAnsi="Arial" w:cs="Arial"/>
          <w:color w:val="000000"/>
          <w:sz w:val="16"/>
          <w:szCs w:val="16"/>
        </w:rPr>
        <w:t>Note: The expenses figure does not include losses made on investments; rather this amount has been applied</w:t>
      </w:r>
      <w:r w:rsidR="00134BF4">
        <w:rPr>
          <w:rFonts w:ascii="Arial" w:hAnsi="Arial" w:cs="Arial"/>
          <w:color w:val="000000"/>
          <w:sz w:val="16"/>
          <w:szCs w:val="16"/>
        </w:rPr>
        <w:t xml:space="preserve"> </w:t>
      </w:r>
      <w:r w:rsidRPr="004111A7">
        <w:rPr>
          <w:rFonts w:ascii="Arial" w:hAnsi="Arial" w:cs="Arial"/>
          <w:color w:val="000000"/>
          <w:sz w:val="16"/>
          <w:szCs w:val="16"/>
        </w:rPr>
        <w:t>against</w:t>
      </w:r>
      <w:r w:rsidR="002B4724">
        <w:rPr>
          <w:rFonts w:ascii="Arial" w:hAnsi="Arial" w:cs="Arial"/>
          <w:color w:val="000000"/>
          <w:sz w:val="16"/>
          <w:szCs w:val="16"/>
        </w:rPr>
        <w:t xml:space="preserve"> investment earnings and gains.</w:t>
      </w:r>
      <w:r w:rsidR="002B4724">
        <w:rPr>
          <w:rFonts w:ascii="Arial" w:hAnsi="Arial" w:cs="Arial"/>
          <w:color w:val="000000"/>
          <w:sz w:val="16"/>
          <w:szCs w:val="16"/>
        </w:rPr>
        <w:br w:type="page"/>
      </w:r>
    </w:p>
    <w:p w14:paraId="2239E0B2" w14:textId="09D6FF89" w:rsidR="00F0167C" w:rsidRPr="000819EC" w:rsidRDefault="00F0167C" w:rsidP="00911527">
      <w:pPr>
        <w:pStyle w:val="NoSpacing"/>
        <w:rPr>
          <w:rStyle w:val="TableHeadingChar"/>
          <w:sz w:val="20"/>
        </w:rPr>
      </w:pPr>
      <w:r w:rsidRPr="000819EC">
        <w:rPr>
          <w:rStyle w:val="TableHeadingChar"/>
          <w:sz w:val="20"/>
        </w:rPr>
        <w:lastRenderedPageBreak/>
        <w:t>Table 2.2.1.3: Aboriginal and Torres Strait Islander Lan</w:t>
      </w:r>
      <w:r w:rsidR="00911527" w:rsidRPr="000819EC">
        <w:rPr>
          <w:rStyle w:val="TableHeadingChar"/>
          <w:sz w:val="20"/>
        </w:rPr>
        <w:t xml:space="preserve">d and Sea Future </w:t>
      </w:r>
      <w:r w:rsidR="009C12EC" w:rsidRPr="000819EC">
        <w:rPr>
          <w:rStyle w:val="TableHeadingChar"/>
          <w:sz w:val="20"/>
        </w:rPr>
        <w:t xml:space="preserve">Fund </w:t>
      </w:r>
      <w:r w:rsidR="00911527" w:rsidRPr="000819EC">
        <w:rPr>
          <w:rStyle w:val="TableHeadingChar"/>
          <w:sz w:val="20"/>
        </w:rPr>
        <w:t xml:space="preserve">- Estimates of </w:t>
      </w:r>
      <w:r w:rsidRPr="000819EC">
        <w:rPr>
          <w:rStyle w:val="TableHeadingChar"/>
          <w:sz w:val="20"/>
        </w:rPr>
        <w:t>Fund Balances</w:t>
      </w:r>
    </w:p>
    <w:p w14:paraId="2239E0B3" w14:textId="7B5FD0EE" w:rsidR="00F0167C" w:rsidRPr="00C978F2" w:rsidRDefault="00095805" w:rsidP="00F0167C">
      <w:pPr>
        <w:pStyle w:val="TableGraphic"/>
      </w:pPr>
      <w:r w:rsidRPr="00095805">
        <w:rPr>
          <w:noProof/>
          <w:lang w:eastAsia="zh-CN"/>
        </w:rPr>
        <w:drawing>
          <wp:inline distT="0" distB="0" distL="0" distR="0" wp14:anchorId="1503ACCB" wp14:editId="5D6E3FDB">
            <wp:extent cx="4895850" cy="1983994"/>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895850" cy="1983994"/>
                    </a:xfrm>
                    <a:prstGeom prst="rect">
                      <a:avLst/>
                    </a:prstGeom>
                    <a:noFill/>
                    <a:ln>
                      <a:noFill/>
                    </a:ln>
                  </pic:spPr>
                </pic:pic>
              </a:graphicData>
            </a:graphic>
          </wp:inline>
        </w:drawing>
      </w:r>
    </w:p>
    <w:p w14:paraId="2239E0B4" w14:textId="77777777" w:rsidR="00F0167C" w:rsidRDefault="00F0167C" w:rsidP="00C8474A">
      <w:pPr>
        <w:pStyle w:val="ListParagraph"/>
        <w:numPr>
          <w:ilvl w:val="0"/>
          <w:numId w:val="16"/>
        </w:numPr>
        <w:spacing w:before="60" w:after="0" w:line="240" w:lineRule="auto"/>
        <w:ind w:left="284" w:hanging="284"/>
        <w:contextualSpacing w:val="0"/>
        <w:rPr>
          <w:rFonts w:ascii="Arial" w:hAnsi="Arial" w:cs="Arial"/>
          <w:sz w:val="16"/>
        </w:rPr>
      </w:pPr>
      <w:r w:rsidRPr="006E5D8C">
        <w:rPr>
          <w:rFonts w:ascii="Arial" w:hAnsi="Arial" w:cs="Arial"/>
          <w:sz w:val="16"/>
        </w:rPr>
        <w:t>The ATSILSFF consists of the ATSILSFF Special Account and the investments of the ATSILSFF. The investments are managed by the Future Fund Board of Guardians. The special account is used to record all transactions relating to the ATSILSFF, including interest and payments.</w:t>
      </w:r>
    </w:p>
    <w:p w14:paraId="1BDDCB5C" w14:textId="77777777" w:rsidR="00FD2F32" w:rsidRDefault="00F0167C" w:rsidP="008D2A90">
      <w:pPr>
        <w:spacing w:before="30" w:after="0" w:line="240" w:lineRule="auto"/>
        <w:rPr>
          <w:rFonts w:ascii="Arial" w:hAnsi="Arial" w:cs="Arial"/>
          <w:color w:val="000000"/>
          <w:sz w:val="16"/>
          <w:szCs w:val="16"/>
        </w:rPr>
      </w:pPr>
      <w:r w:rsidRPr="00C97B88">
        <w:rPr>
          <w:rFonts w:ascii="Arial" w:hAnsi="Arial" w:cs="Arial"/>
          <w:color w:val="000000"/>
          <w:sz w:val="16"/>
          <w:szCs w:val="16"/>
        </w:rPr>
        <w:t>Note: The expenses figure does not include losses made on investments; rath</w:t>
      </w:r>
      <w:r w:rsidR="00C97B88">
        <w:rPr>
          <w:rFonts w:ascii="Arial" w:hAnsi="Arial" w:cs="Arial"/>
          <w:color w:val="000000"/>
          <w:sz w:val="16"/>
          <w:szCs w:val="16"/>
        </w:rPr>
        <w:t>er this amount has been applied</w:t>
      </w:r>
      <w:r w:rsidR="00134BF4">
        <w:rPr>
          <w:rFonts w:ascii="Arial" w:hAnsi="Arial" w:cs="Arial"/>
          <w:color w:val="000000"/>
          <w:sz w:val="16"/>
          <w:szCs w:val="16"/>
        </w:rPr>
        <w:t xml:space="preserve"> </w:t>
      </w:r>
      <w:r w:rsidRPr="00C97B88">
        <w:rPr>
          <w:rFonts w:ascii="Arial" w:hAnsi="Arial" w:cs="Arial"/>
          <w:color w:val="000000"/>
          <w:sz w:val="16"/>
          <w:szCs w:val="16"/>
        </w:rPr>
        <w:t>against</w:t>
      </w:r>
      <w:r w:rsidR="009D7E9F">
        <w:rPr>
          <w:rFonts w:ascii="Arial" w:hAnsi="Arial" w:cs="Arial"/>
          <w:color w:val="000000"/>
          <w:sz w:val="16"/>
          <w:szCs w:val="16"/>
        </w:rPr>
        <w:t xml:space="preserve"> investment earnings and gains.</w:t>
      </w:r>
      <w:r w:rsidR="00FD2F32">
        <w:rPr>
          <w:rFonts w:ascii="Arial" w:hAnsi="Arial" w:cs="Arial"/>
          <w:color w:val="000000"/>
          <w:sz w:val="16"/>
          <w:szCs w:val="16"/>
        </w:rPr>
        <w:br w:type="page"/>
      </w:r>
    </w:p>
    <w:p w14:paraId="2239E0D8" w14:textId="0AD4AC2C" w:rsidR="00F0167C" w:rsidRPr="000819EC" w:rsidRDefault="00F0167C" w:rsidP="009D7E9F">
      <w:pPr>
        <w:spacing w:before="30" w:after="0" w:line="240" w:lineRule="auto"/>
        <w:rPr>
          <w:rStyle w:val="TableHeadingChar"/>
          <w:rFonts w:cs="Arial"/>
          <w:b w:val="0"/>
          <w:color w:val="000000"/>
          <w:sz w:val="20"/>
        </w:rPr>
      </w:pPr>
      <w:r w:rsidRPr="000819EC">
        <w:rPr>
          <w:rStyle w:val="TableHeadingChar"/>
          <w:sz w:val="20"/>
        </w:rPr>
        <w:lastRenderedPageBreak/>
        <w:t>Table 2.2.1.4: Future Drought Fund - Estimates of Fund Balances</w:t>
      </w:r>
    </w:p>
    <w:p w14:paraId="2239E0D9" w14:textId="0FE41A3A" w:rsidR="00F0167C" w:rsidRPr="00AA5A42" w:rsidRDefault="00F50569" w:rsidP="00F0167C">
      <w:pPr>
        <w:spacing w:after="0" w:line="240" w:lineRule="auto"/>
        <w:contextualSpacing/>
        <w:rPr>
          <w:lang w:val="x-none"/>
        </w:rPr>
      </w:pPr>
      <w:r w:rsidRPr="00F50569">
        <w:rPr>
          <w:noProof/>
          <w:lang w:eastAsia="zh-CN"/>
        </w:rPr>
        <w:drawing>
          <wp:inline distT="0" distB="0" distL="0" distR="0" wp14:anchorId="74C0EE2F" wp14:editId="655EC1D8">
            <wp:extent cx="4895850" cy="175744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895850" cy="1757442"/>
                    </a:xfrm>
                    <a:prstGeom prst="rect">
                      <a:avLst/>
                    </a:prstGeom>
                    <a:noFill/>
                    <a:ln>
                      <a:noFill/>
                    </a:ln>
                  </pic:spPr>
                </pic:pic>
              </a:graphicData>
            </a:graphic>
          </wp:inline>
        </w:drawing>
      </w:r>
    </w:p>
    <w:p w14:paraId="2239E0DA" w14:textId="77777777" w:rsidR="00F0167C" w:rsidRPr="004111A7" w:rsidRDefault="00F0167C" w:rsidP="00BA1132">
      <w:pPr>
        <w:numPr>
          <w:ilvl w:val="0"/>
          <w:numId w:val="9"/>
        </w:numPr>
        <w:spacing w:before="60" w:after="0" w:line="240" w:lineRule="auto"/>
        <w:ind w:left="284" w:hanging="284"/>
        <w:rPr>
          <w:rFonts w:ascii="Arial" w:hAnsi="Arial" w:cs="Arial"/>
          <w:sz w:val="16"/>
          <w:szCs w:val="16"/>
        </w:rPr>
      </w:pPr>
      <w:r w:rsidRPr="004111A7">
        <w:rPr>
          <w:rFonts w:ascii="Arial" w:hAnsi="Arial" w:cs="Arial"/>
          <w:sz w:val="16"/>
          <w:szCs w:val="16"/>
        </w:rPr>
        <w:t>The FDF consists of the FDF Special Account and investments of the FDF. The investments are managed by the Future Fund Board of Guardians. The special account is used to record all transactions relating to the FDF, including interest and payments.</w:t>
      </w:r>
    </w:p>
    <w:p w14:paraId="54A32AEB" w14:textId="77777777" w:rsidR="00FD2F32" w:rsidRDefault="00F0167C" w:rsidP="008D2A90">
      <w:pPr>
        <w:pStyle w:val="ChartandTableFootnoteAlpha"/>
        <w:rPr>
          <w:rFonts w:cs="Arial"/>
          <w:szCs w:val="16"/>
        </w:rPr>
      </w:pPr>
      <w:r w:rsidRPr="004111A7">
        <w:rPr>
          <w:rFonts w:cs="Arial"/>
          <w:szCs w:val="16"/>
        </w:rPr>
        <w:t>Note: The expenses figure does not include losses made on investments; rather this amount has been applied against</w:t>
      </w:r>
      <w:r w:rsidR="00FD2F32">
        <w:rPr>
          <w:rFonts w:cs="Arial"/>
          <w:szCs w:val="16"/>
        </w:rPr>
        <w:t xml:space="preserve"> investment earnings and gains.</w:t>
      </w:r>
      <w:r w:rsidR="00FD2F32">
        <w:rPr>
          <w:rFonts w:cs="Arial"/>
          <w:szCs w:val="16"/>
        </w:rPr>
        <w:br w:type="page"/>
      </w:r>
    </w:p>
    <w:p w14:paraId="2239E0EB" w14:textId="1F106FF1" w:rsidR="00F0167C" w:rsidRPr="000819EC" w:rsidRDefault="00F0167C" w:rsidP="00FD2F32">
      <w:pPr>
        <w:pStyle w:val="ChartandTableFootnoteAlpha"/>
        <w:rPr>
          <w:rStyle w:val="TableHeadingChar"/>
          <w:rFonts w:cs="Arial"/>
          <w:b w:val="0"/>
          <w:sz w:val="20"/>
        </w:rPr>
      </w:pPr>
      <w:r w:rsidRPr="000819EC">
        <w:rPr>
          <w:rStyle w:val="TableHeadingChar"/>
          <w:sz w:val="20"/>
        </w:rPr>
        <w:lastRenderedPageBreak/>
        <w:t>Table 2.2.1.5: Emergency Response Fund - Estimates of Fund Balances</w:t>
      </w:r>
    </w:p>
    <w:p w14:paraId="2239E0EC" w14:textId="7A98C09F" w:rsidR="00F0167C" w:rsidRPr="00C978F2" w:rsidRDefault="00990686" w:rsidP="00F0167C">
      <w:pPr>
        <w:pStyle w:val="TableGraphic"/>
      </w:pPr>
      <w:r w:rsidRPr="00990686">
        <w:rPr>
          <w:noProof/>
          <w:lang w:eastAsia="zh-CN"/>
        </w:rPr>
        <w:drawing>
          <wp:inline distT="0" distB="0" distL="0" distR="0" wp14:anchorId="521ED491" wp14:editId="7BAF43AC">
            <wp:extent cx="4895850" cy="175744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895850" cy="1757442"/>
                    </a:xfrm>
                    <a:prstGeom prst="rect">
                      <a:avLst/>
                    </a:prstGeom>
                    <a:noFill/>
                    <a:ln>
                      <a:noFill/>
                    </a:ln>
                  </pic:spPr>
                </pic:pic>
              </a:graphicData>
            </a:graphic>
          </wp:inline>
        </w:drawing>
      </w:r>
    </w:p>
    <w:p w14:paraId="2239E0ED" w14:textId="101A7F62" w:rsidR="00FB253D" w:rsidRDefault="00F0167C" w:rsidP="00C8474A">
      <w:pPr>
        <w:pStyle w:val="ListParagraph"/>
        <w:numPr>
          <w:ilvl w:val="0"/>
          <w:numId w:val="17"/>
        </w:numPr>
        <w:spacing w:before="60" w:after="0" w:line="240" w:lineRule="auto"/>
        <w:ind w:left="284" w:hanging="284"/>
        <w:contextualSpacing w:val="0"/>
        <w:rPr>
          <w:rFonts w:ascii="Arial" w:hAnsi="Arial" w:cs="Arial"/>
          <w:sz w:val="16"/>
        </w:rPr>
      </w:pPr>
      <w:r w:rsidRPr="008E75D0">
        <w:rPr>
          <w:rFonts w:ascii="Arial" w:hAnsi="Arial" w:cs="Arial"/>
          <w:sz w:val="16"/>
        </w:rPr>
        <w:t>The ERF consists of the ERF Special Account and investments of the ERF. The investments are managed by the Future Fund Board of Guardians. The special account is used to record all transactions relating to the ERF, including interest and payments.</w:t>
      </w:r>
      <w:r w:rsidR="00DD460D">
        <w:rPr>
          <w:rFonts w:ascii="Arial" w:hAnsi="Arial" w:cs="Arial"/>
          <w:sz w:val="16"/>
        </w:rPr>
        <w:t xml:space="preserve"> </w:t>
      </w:r>
      <w:r w:rsidR="00DD460D" w:rsidRPr="00DD460D">
        <w:rPr>
          <w:rFonts w:ascii="Arial" w:hAnsi="Arial" w:cs="Arial"/>
          <w:sz w:val="16"/>
        </w:rPr>
        <w:t>The Government has introduced legislation to rename the ERF as the Disaster Ready Fund and to refocus the Fund as a dedicated ongoing source of funding for natural disaster resilience. Expenses specific to the Disaster Ready Fund are currently reflected in the Contingency Reserve subject to passage of legislation and finalisation of the investment mandate.</w:t>
      </w:r>
    </w:p>
    <w:p w14:paraId="2239E0EE" w14:textId="77777777" w:rsidR="00F0167C" w:rsidRPr="00FB253D" w:rsidRDefault="00F0167C" w:rsidP="008D2A90">
      <w:pPr>
        <w:spacing w:before="30" w:after="0" w:line="240" w:lineRule="auto"/>
        <w:rPr>
          <w:rFonts w:ascii="Arial" w:hAnsi="Arial" w:cs="Arial"/>
          <w:sz w:val="16"/>
          <w:szCs w:val="22"/>
        </w:rPr>
      </w:pPr>
      <w:r w:rsidRPr="00FB253D">
        <w:rPr>
          <w:rFonts w:ascii="Arial" w:hAnsi="Arial" w:cs="Arial"/>
          <w:sz w:val="16"/>
          <w:szCs w:val="16"/>
        </w:rPr>
        <w:t>Note: The expenses figure does not include losses made on investments; rath</w:t>
      </w:r>
      <w:r w:rsidR="00C13491" w:rsidRPr="00FB253D">
        <w:rPr>
          <w:rFonts w:ascii="Arial" w:hAnsi="Arial" w:cs="Arial"/>
          <w:sz w:val="16"/>
          <w:szCs w:val="16"/>
        </w:rPr>
        <w:t xml:space="preserve">er this amount has been applied </w:t>
      </w:r>
      <w:r w:rsidRPr="00FB253D">
        <w:rPr>
          <w:rFonts w:ascii="Arial" w:hAnsi="Arial" w:cs="Arial"/>
          <w:sz w:val="16"/>
          <w:szCs w:val="16"/>
        </w:rPr>
        <w:t>against investment earnings and gains.</w:t>
      </w:r>
    </w:p>
    <w:p w14:paraId="2239E0EF" w14:textId="77777777" w:rsidR="00F0167C" w:rsidRPr="00AE599E" w:rsidRDefault="00F0167C" w:rsidP="00C13491">
      <w:pPr>
        <w:spacing w:before="0" w:after="0" w:line="240" w:lineRule="auto"/>
        <w:ind w:left="357"/>
        <w:contextualSpacing/>
        <w:jc w:val="both"/>
      </w:pPr>
    </w:p>
    <w:p w14:paraId="2239E0F0" w14:textId="77777777" w:rsidR="00F0167C" w:rsidRDefault="00F0167C" w:rsidP="00F0167C">
      <w:pPr>
        <w:pStyle w:val="TableHeading"/>
      </w:pPr>
      <w:r>
        <w:rPr>
          <w:highlight w:val="yellow"/>
          <w:lang w:val="en-US"/>
        </w:rPr>
        <w:br w:type="page"/>
      </w:r>
      <w:r>
        <w:lastRenderedPageBreak/>
        <w:t>Table 2.2.2</w:t>
      </w:r>
      <w:r w:rsidRPr="00F71634">
        <w:t xml:space="preserve">: Performance </w:t>
      </w:r>
      <w:r w:rsidRPr="000E4F0F">
        <w:t>measure</w:t>
      </w:r>
      <w:r w:rsidRPr="00F71634">
        <w:t xml:space="preserve"> </w:t>
      </w:r>
      <w:r>
        <w:t>for Outcome 2</w:t>
      </w:r>
    </w:p>
    <w:p w14:paraId="2239E0F1" w14:textId="390B16DA" w:rsidR="00F0167C" w:rsidRDefault="00F0167C" w:rsidP="00C41E1F">
      <w:r>
        <w:t xml:space="preserve">Table 2.2.2 </w:t>
      </w:r>
      <w:r w:rsidRPr="00161BC9">
        <w:t xml:space="preserve">details the performance measures for each </w:t>
      </w:r>
      <w:r>
        <w:t>program associated with Outcome </w:t>
      </w:r>
      <w:r w:rsidRPr="00161BC9">
        <w:t xml:space="preserve">2.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w:t>
      </w:r>
      <w:r w:rsidR="003D562D">
        <w:t xml:space="preserve">the October </w:t>
      </w:r>
      <w:r w:rsidRPr="00161BC9">
        <w:t xml:space="preserve">2022-23 Budget measures that have created new programs or materially changed </w:t>
      </w:r>
      <w:r>
        <w:t>existing programs are provided.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289"/>
        <w:gridCol w:w="4091"/>
      </w:tblGrid>
      <w:tr w:rsidR="00F0167C" w:rsidRPr="002C4D06" w14:paraId="2239E0F3" w14:textId="77777777" w:rsidTr="00674B58">
        <w:trPr>
          <w:trHeight w:val="569"/>
        </w:trPr>
        <w:tc>
          <w:tcPr>
            <w:tcW w:w="7795" w:type="dxa"/>
            <w:gridSpan w:val="3"/>
            <w:shd w:val="clear" w:color="auto" w:fill="F2F2F2"/>
          </w:tcPr>
          <w:p w14:paraId="2239E0F2" w14:textId="3B5E726F" w:rsidR="00F0167C" w:rsidRPr="002C4D06" w:rsidRDefault="00C41E1F" w:rsidP="00674B58">
            <w:pPr>
              <w:pStyle w:val="TableColumnHeadingLeft"/>
              <w:spacing w:before="60" w:after="60"/>
            </w:pPr>
            <w:r w:rsidRPr="00C41E1F">
              <w:rPr>
                <w:rStyle w:val="TableHeadingChar"/>
                <w:b/>
              </w:rPr>
              <w:t xml:space="preserve">Outcome 2 – </w:t>
            </w:r>
            <w:r w:rsidRPr="00C41E1F">
              <w:rPr>
                <w:rStyle w:val="TableHeadingChar"/>
              </w:rPr>
              <w:t>Support an efficient and high-performing public sector through providing leadership to Commonwealth entities in ongoing improvements to public sector governance, including through systems, frameworks, policy, advice and service delivery.</w:t>
            </w:r>
          </w:p>
        </w:tc>
      </w:tr>
      <w:tr w:rsidR="00F0167C" w:rsidRPr="002C4D06" w14:paraId="2239E0F6" w14:textId="77777777" w:rsidTr="00674B58">
        <w:trPr>
          <w:trHeight w:val="527"/>
        </w:trPr>
        <w:tc>
          <w:tcPr>
            <w:tcW w:w="7795" w:type="dxa"/>
            <w:gridSpan w:val="3"/>
            <w:shd w:val="clear" w:color="auto" w:fill="F2F2F2"/>
          </w:tcPr>
          <w:p w14:paraId="5DF403B0" w14:textId="77777777" w:rsidR="00C41E1F" w:rsidRPr="00C41E1F" w:rsidRDefault="00C41E1F" w:rsidP="00674B58">
            <w:pPr>
              <w:tabs>
                <w:tab w:val="left" w:pos="709"/>
              </w:tabs>
              <w:spacing w:before="60" w:after="60" w:line="240" w:lineRule="auto"/>
              <w:rPr>
                <w:rFonts w:ascii="Arial" w:hAnsi="Arial" w:cs="Arial"/>
                <w:b/>
                <w:sz w:val="16"/>
                <w:szCs w:val="16"/>
              </w:rPr>
            </w:pPr>
            <w:r w:rsidRPr="00C41E1F">
              <w:rPr>
                <w:rFonts w:ascii="Arial" w:hAnsi="Arial" w:cs="Arial"/>
                <w:b/>
                <w:sz w:val="16"/>
                <w:szCs w:val="16"/>
              </w:rPr>
              <w:t>Program 2.1 – Public Sector Governance</w:t>
            </w:r>
          </w:p>
          <w:p w14:paraId="2239E0F5" w14:textId="753E61C8" w:rsidR="00F0167C" w:rsidRPr="00C41E1F" w:rsidRDefault="00C41E1F" w:rsidP="00674B58">
            <w:pPr>
              <w:tabs>
                <w:tab w:val="left" w:pos="709"/>
              </w:tabs>
              <w:spacing w:before="60" w:after="60" w:line="240" w:lineRule="auto"/>
              <w:rPr>
                <w:rFonts w:ascii="Arial" w:hAnsi="Arial" w:cs="Arial"/>
                <w:sz w:val="16"/>
                <w:szCs w:val="16"/>
              </w:rPr>
            </w:pPr>
            <w:r w:rsidRPr="00C41E1F">
              <w:rPr>
                <w:rFonts w:ascii="Arial" w:hAnsi="Arial" w:cs="Arial"/>
                <w:sz w:val="16"/>
                <w:szCs w:val="16"/>
              </w:rPr>
              <w:t>This program contributes to the outcome through developing and maintaining the public sector resource management framework and improving the standard of governance, performance and accountability of Commonwealth entities.</w:t>
            </w:r>
          </w:p>
        </w:tc>
      </w:tr>
      <w:tr w:rsidR="00F0167C" w:rsidRPr="00161BC9" w14:paraId="2239E0FA" w14:textId="77777777" w:rsidTr="00674B58">
        <w:trPr>
          <w:trHeight w:val="694"/>
        </w:trPr>
        <w:tc>
          <w:tcPr>
            <w:tcW w:w="1415" w:type="dxa"/>
            <w:tcBorders>
              <w:bottom w:val="double" w:sz="4" w:space="0" w:color="auto"/>
            </w:tcBorders>
          </w:tcPr>
          <w:p w14:paraId="2239E0F7" w14:textId="758CE875" w:rsidR="00F0167C" w:rsidRPr="00161BC9" w:rsidRDefault="00F0167C" w:rsidP="00674B58">
            <w:pPr>
              <w:tabs>
                <w:tab w:val="left" w:pos="709"/>
              </w:tabs>
              <w:spacing w:before="60" w:after="60"/>
              <w:rPr>
                <w:rFonts w:ascii="Arial" w:hAnsi="Arial" w:cs="Arial"/>
                <w:b/>
                <w:sz w:val="16"/>
                <w:szCs w:val="16"/>
              </w:rPr>
            </w:pPr>
            <w:r>
              <w:rPr>
                <w:rFonts w:ascii="Arial" w:hAnsi="Arial" w:cs="Arial"/>
                <w:b/>
                <w:sz w:val="16"/>
                <w:szCs w:val="16"/>
              </w:rPr>
              <w:t>Key Activities</w:t>
            </w:r>
            <w:r w:rsidR="00CC6CF9">
              <w:rPr>
                <w:rFonts w:ascii="Arial" w:hAnsi="Arial" w:cs="Arial"/>
                <w:b/>
                <w:sz w:val="16"/>
                <w:szCs w:val="16"/>
              </w:rPr>
              <w:t xml:space="preserve"> (a)(b)</w:t>
            </w:r>
          </w:p>
        </w:tc>
        <w:tc>
          <w:tcPr>
            <w:tcW w:w="6380" w:type="dxa"/>
            <w:gridSpan w:val="2"/>
            <w:tcBorders>
              <w:bottom w:val="double" w:sz="4" w:space="0" w:color="auto"/>
            </w:tcBorders>
          </w:tcPr>
          <w:p w14:paraId="2A7D11C8" w14:textId="77777777" w:rsidR="00324827" w:rsidRPr="00324827" w:rsidRDefault="00324827" w:rsidP="00674B58">
            <w:pPr>
              <w:tabs>
                <w:tab w:val="left" w:pos="709"/>
              </w:tabs>
              <w:spacing w:before="60" w:after="60" w:line="240" w:lineRule="auto"/>
              <w:rPr>
                <w:rFonts w:ascii="Arial" w:hAnsi="Arial" w:cs="Arial"/>
                <w:b/>
                <w:bCs/>
                <w:sz w:val="16"/>
                <w:szCs w:val="16"/>
              </w:rPr>
            </w:pPr>
            <w:r w:rsidRPr="00324827">
              <w:rPr>
                <w:rFonts w:ascii="Arial" w:hAnsi="Arial" w:cs="Arial"/>
                <w:b/>
                <w:bCs/>
                <w:sz w:val="16"/>
                <w:szCs w:val="16"/>
              </w:rPr>
              <w:t>Support the proper use and management of public resources</w:t>
            </w:r>
          </w:p>
          <w:p w14:paraId="1B1FDE28" w14:textId="77777777" w:rsidR="00324827" w:rsidRPr="00324827" w:rsidRDefault="00324827" w:rsidP="00674B58">
            <w:pPr>
              <w:tabs>
                <w:tab w:val="left" w:pos="709"/>
              </w:tabs>
              <w:spacing w:before="60" w:after="60" w:line="240" w:lineRule="auto"/>
              <w:rPr>
                <w:rFonts w:ascii="Arial" w:hAnsi="Arial" w:cs="Arial"/>
                <w:bCs/>
                <w:sz w:val="16"/>
                <w:szCs w:val="16"/>
              </w:rPr>
            </w:pPr>
            <w:r w:rsidRPr="00324827">
              <w:rPr>
                <w:rFonts w:ascii="Arial" w:hAnsi="Arial" w:cs="Arial"/>
                <w:bCs/>
                <w:sz w:val="16"/>
                <w:szCs w:val="16"/>
              </w:rPr>
              <w:t>Support the proper use of public resources by Commonwealth entities and companies under the Commonwealth Resource Management Framework.</w:t>
            </w:r>
          </w:p>
          <w:p w14:paraId="309A565C" w14:textId="77777777" w:rsidR="00324827" w:rsidRPr="00324827" w:rsidRDefault="00324827" w:rsidP="00674B58">
            <w:pPr>
              <w:tabs>
                <w:tab w:val="left" w:pos="709"/>
              </w:tabs>
              <w:spacing w:before="60" w:after="60" w:line="240" w:lineRule="auto"/>
              <w:rPr>
                <w:rFonts w:ascii="Arial" w:hAnsi="Arial" w:cs="Arial"/>
                <w:b/>
                <w:bCs/>
                <w:sz w:val="16"/>
                <w:szCs w:val="16"/>
              </w:rPr>
            </w:pPr>
          </w:p>
          <w:p w14:paraId="2BEFD93F" w14:textId="77777777" w:rsidR="00324827" w:rsidRPr="00324827" w:rsidRDefault="00324827" w:rsidP="00674B58">
            <w:pPr>
              <w:tabs>
                <w:tab w:val="left" w:pos="709"/>
              </w:tabs>
              <w:spacing w:before="60" w:after="60" w:line="240" w:lineRule="auto"/>
              <w:rPr>
                <w:rFonts w:ascii="Arial" w:hAnsi="Arial" w:cs="Arial"/>
                <w:b/>
                <w:bCs/>
                <w:sz w:val="16"/>
                <w:szCs w:val="16"/>
              </w:rPr>
            </w:pPr>
            <w:r w:rsidRPr="00324827">
              <w:rPr>
                <w:rFonts w:ascii="Arial" w:hAnsi="Arial" w:cs="Arial"/>
                <w:b/>
                <w:bCs/>
                <w:sz w:val="16"/>
                <w:szCs w:val="16"/>
              </w:rPr>
              <w:t>Engage with Government Business Enterprises</w:t>
            </w:r>
          </w:p>
          <w:p w14:paraId="2239E0F9" w14:textId="3F39015D" w:rsidR="00F0167C" w:rsidRPr="00324827" w:rsidRDefault="00324827" w:rsidP="00F44084">
            <w:pPr>
              <w:tabs>
                <w:tab w:val="left" w:pos="709"/>
              </w:tabs>
              <w:spacing w:before="60" w:after="60" w:line="240" w:lineRule="auto"/>
              <w:rPr>
                <w:rFonts w:ascii="Arial" w:hAnsi="Arial" w:cs="Arial"/>
                <w:i/>
                <w:sz w:val="16"/>
                <w:szCs w:val="16"/>
              </w:rPr>
            </w:pPr>
            <w:r w:rsidRPr="00324827">
              <w:rPr>
                <w:rFonts w:ascii="Arial" w:hAnsi="Arial" w:cs="Arial"/>
                <w:bCs/>
                <w:sz w:val="16"/>
                <w:szCs w:val="16"/>
              </w:rPr>
              <w:t>Engage with GBEs and shareholder departments to facilitate efficiency, financial sustainability and sound governa</w:t>
            </w:r>
            <w:r w:rsidR="00777C3A">
              <w:rPr>
                <w:rFonts w:ascii="Arial" w:hAnsi="Arial" w:cs="Arial"/>
                <w:bCs/>
                <w:sz w:val="16"/>
                <w:szCs w:val="16"/>
              </w:rPr>
              <w:t>nce arrangements for all GBEs.</w:t>
            </w:r>
          </w:p>
        </w:tc>
      </w:tr>
      <w:tr w:rsidR="00F0167C" w:rsidRPr="002C4D06" w14:paraId="2239E0FE" w14:textId="77777777" w:rsidTr="00674B58">
        <w:trPr>
          <w:trHeight w:val="312"/>
        </w:trPr>
        <w:tc>
          <w:tcPr>
            <w:tcW w:w="1415" w:type="dxa"/>
            <w:tcBorders>
              <w:top w:val="double" w:sz="4" w:space="0" w:color="auto"/>
              <w:bottom w:val="single" w:sz="4" w:space="0" w:color="auto"/>
              <w:right w:val="single" w:sz="4" w:space="0" w:color="auto"/>
            </w:tcBorders>
          </w:tcPr>
          <w:p w14:paraId="2239E0FB" w14:textId="77777777" w:rsidR="00F0167C" w:rsidRPr="002C4D06" w:rsidRDefault="00F0167C" w:rsidP="00674B58">
            <w:pPr>
              <w:tabs>
                <w:tab w:val="left" w:pos="709"/>
              </w:tabs>
              <w:spacing w:before="60" w:after="60"/>
              <w:rPr>
                <w:rFonts w:ascii="Arial" w:hAnsi="Arial" w:cs="Arial"/>
                <w:b/>
                <w:sz w:val="16"/>
                <w:szCs w:val="16"/>
              </w:rPr>
            </w:pPr>
            <w:r w:rsidRPr="002C4D06">
              <w:rPr>
                <w:rFonts w:ascii="Arial" w:hAnsi="Arial" w:cs="Arial"/>
                <w:b/>
                <w:sz w:val="16"/>
                <w:szCs w:val="16"/>
              </w:rPr>
              <w:t>Year</w:t>
            </w:r>
          </w:p>
        </w:tc>
        <w:tc>
          <w:tcPr>
            <w:tcW w:w="2289" w:type="dxa"/>
            <w:tcBorders>
              <w:top w:val="double" w:sz="4" w:space="0" w:color="auto"/>
              <w:left w:val="single" w:sz="4" w:space="0" w:color="auto"/>
              <w:bottom w:val="single" w:sz="4" w:space="0" w:color="auto"/>
              <w:right w:val="single" w:sz="4" w:space="0" w:color="auto"/>
            </w:tcBorders>
          </w:tcPr>
          <w:p w14:paraId="2239E0FC" w14:textId="77777777" w:rsidR="00F0167C" w:rsidRPr="002C4D06" w:rsidRDefault="00F0167C" w:rsidP="00674B58">
            <w:pPr>
              <w:tabs>
                <w:tab w:val="left" w:pos="709"/>
                <w:tab w:val="center" w:pos="1818"/>
              </w:tabs>
              <w:spacing w:before="60" w:after="60"/>
              <w:rPr>
                <w:rFonts w:ascii="Arial" w:hAnsi="Arial" w:cs="Arial"/>
                <w:b/>
                <w:sz w:val="16"/>
                <w:szCs w:val="16"/>
              </w:rPr>
            </w:pPr>
            <w:r w:rsidRPr="002C4D06">
              <w:rPr>
                <w:rFonts w:ascii="Arial" w:hAnsi="Arial" w:cs="Arial"/>
                <w:b/>
                <w:sz w:val="16"/>
                <w:szCs w:val="16"/>
              </w:rPr>
              <w:t>Performance measures</w:t>
            </w:r>
          </w:p>
        </w:tc>
        <w:tc>
          <w:tcPr>
            <w:tcW w:w="4091" w:type="dxa"/>
            <w:tcBorders>
              <w:top w:val="double" w:sz="4" w:space="0" w:color="auto"/>
              <w:left w:val="single" w:sz="4" w:space="0" w:color="auto"/>
              <w:bottom w:val="single" w:sz="4" w:space="0" w:color="auto"/>
            </w:tcBorders>
          </w:tcPr>
          <w:p w14:paraId="2239E0FD" w14:textId="77777777" w:rsidR="00F0167C" w:rsidRPr="002C4D06" w:rsidRDefault="00F0167C" w:rsidP="00674B58">
            <w:pPr>
              <w:tabs>
                <w:tab w:val="left" w:pos="709"/>
              </w:tabs>
              <w:spacing w:before="60" w:after="60"/>
              <w:rPr>
                <w:rFonts w:ascii="Arial" w:hAnsi="Arial" w:cs="Arial"/>
                <w:b/>
                <w:sz w:val="16"/>
                <w:szCs w:val="16"/>
              </w:rPr>
            </w:pPr>
            <w:r w:rsidRPr="002C4D06">
              <w:rPr>
                <w:rFonts w:ascii="Arial" w:hAnsi="Arial" w:cs="Arial"/>
                <w:b/>
                <w:sz w:val="16"/>
                <w:szCs w:val="16"/>
              </w:rPr>
              <w:t>Expected Performance Results</w:t>
            </w:r>
          </w:p>
        </w:tc>
      </w:tr>
      <w:tr w:rsidR="00F0167C" w:rsidRPr="002C4D06" w14:paraId="2239E107" w14:textId="77777777" w:rsidTr="00674B58">
        <w:trPr>
          <w:trHeight w:val="2527"/>
        </w:trPr>
        <w:tc>
          <w:tcPr>
            <w:tcW w:w="1415" w:type="dxa"/>
            <w:tcBorders>
              <w:top w:val="single" w:sz="4" w:space="0" w:color="auto"/>
              <w:right w:val="single" w:sz="4" w:space="0" w:color="auto"/>
            </w:tcBorders>
          </w:tcPr>
          <w:p w14:paraId="04D10CF3" w14:textId="77777777" w:rsidR="00324827" w:rsidRPr="00C44428" w:rsidRDefault="00324827" w:rsidP="00674B58">
            <w:pPr>
              <w:pStyle w:val="TableTextLeft"/>
              <w:spacing w:before="60" w:after="60"/>
              <w:rPr>
                <w:rFonts w:cs="Arial"/>
                <w:szCs w:val="16"/>
              </w:rPr>
            </w:pPr>
            <w:r w:rsidRPr="00C44428">
              <w:rPr>
                <w:rFonts w:cs="Arial"/>
                <w:szCs w:val="16"/>
              </w:rPr>
              <w:t xml:space="preserve">Prior year </w:t>
            </w:r>
          </w:p>
          <w:p w14:paraId="2239E0FF" w14:textId="561A4C22" w:rsidR="00F0167C" w:rsidRPr="002C4D06" w:rsidRDefault="00324827" w:rsidP="00674B58">
            <w:pPr>
              <w:tabs>
                <w:tab w:val="left" w:pos="709"/>
              </w:tabs>
              <w:spacing w:before="60" w:after="60" w:line="240" w:lineRule="auto"/>
              <w:rPr>
                <w:rFonts w:ascii="Arial" w:hAnsi="Arial" w:cs="Arial"/>
                <w:sz w:val="16"/>
                <w:szCs w:val="16"/>
              </w:rPr>
            </w:pPr>
            <w:r w:rsidRPr="00C44428">
              <w:rPr>
                <w:rFonts w:ascii="Arial" w:hAnsi="Arial" w:cs="Arial"/>
                <w:sz w:val="16"/>
                <w:szCs w:val="16"/>
              </w:rPr>
              <w:t>2021-22</w:t>
            </w:r>
          </w:p>
        </w:tc>
        <w:tc>
          <w:tcPr>
            <w:tcW w:w="2289" w:type="dxa"/>
            <w:tcBorders>
              <w:top w:val="single" w:sz="4" w:space="0" w:color="auto"/>
              <w:left w:val="single" w:sz="4" w:space="0" w:color="auto"/>
              <w:right w:val="single" w:sz="4" w:space="0" w:color="auto"/>
            </w:tcBorders>
          </w:tcPr>
          <w:p w14:paraId="2239E100" w14:textId="77777777" w:rsidR="00F0167C" w:rsidRDefault="00F0167C" w:rsidP="00674B58">
            <w:pPr>
              <w:tabs>
                <w:tab w:val="left" w:pos="709"/>
              </w:tabs>
              <w:autoSpaceDE w:val="0"/>
              <w:autoSpaceDN w:val="0"/>
              <w:spacing w:before="60" w:after="60" w:line="240" w:lineRule="auto"/>
              <w:rPr>
                <w:rFonts w:ascii="Arial" w:eastAsia="Arial" w:hAnsi="Arial" w:cs="Arial"/>
                <w:b/>
                <w:bCs/>
                <w:sz w:val="16"/>
                <w:szCs w:val="16"/>
              </w:rPr>
            </w:pPr>
            <w:r w:rsidRPr="002C4D06">
              <w:rPr>
                <w:rFonts w:ascii="Arial" w:eastAsia="Arial" w:hAnsi="Arial" w:cs="Arial"/>
                <w:b/>
                <w:bCs/>
                <w:sz w:val="16"/>
                <w:szCs w:val="16"/>
              </w:rPr>
              <w:t>Governance and accountability</w:t>
            </w:r>
          </w:p>
          <w:p w14:paraId="2239E101" w14:textId="11223C6E" w:rsidR="00F0167C" w:rsidRPr="002C4D06" w:rsidRDefault="00324827" w:rsidP="00674B58">
            <w:pPr>
              <w:tabs>
                <w:tab w:val="left" w:pos="709"/>
              </w:tabs>
              <w:autoSpaceDE w:val="0"/>
              <w:autoSpaceDN w:val="0"/>
              <w:spacing w:before="60" w:after="60" w:line="240" w:lineRule="auto"/>
              <w:rPr>
                <w:rFonts w:ascii="Arial" w:hAnsi="Arial" w:cs="Arial"/>
              </w:rPr>
            </w:pPr>
            <w:r w:rsidRPr="00324827">
              <w:rPr>
                <w:rFonts w:ascii="Arial" w:eastAsia="Calibri" w:hAnsi="Arial" w:cs="Arial"/>
                <w:sz w:val="16"/>
                <w:szCs w:val="16"/>
              </w:rPr>
              <w:t>Finance ensures the resource management framework is maintained as a fit-for-purpose framework for the proper use of public resources, and supports Commonwealth entities and companies to meet high standards of governance, performance and accountability through effective engagement and the provision of guidance.</w:t>
            </w:r>
          </w:p>
        </w:tc>
        <w:tc>
          <w:tcPr>
            <w:tcW w:w="4091" w:type="dxa"/>
            <w:tcBorders>
              <w:top w:val="single" w:sz="4" w:space="0" w:color="auto"/>
              <w:left w:val="single" w:sz="4" w:space="0" w:color="auto"/>
            </w:tcBorders>
          </w:tcPr>
          <w:p w14:paraId="23D6A96A" w14:textId="77777777" w:rsidR="00324827" w:rsidRDefault="00324827" w:rsidP="00674B58">
            <w:pPr>
              <w:autoSpaceDE w:val="0"/>
              <w:autoSpaceDN w:val="0"/>
              <w:spacing w:before="60" w:after="60" w:line="240" w:lineRule="auto"/>
              <w:rPr>
                <w:rFonts w:ascii="Arial" w:hAnsi="Arial" w:cs="Arial"/>
                <w:b/>
                <w:bCs/>
                <w:sz w:val="16"/>
                <w:szCs w:val="16"/>
              </w:rPr>
            </w:pPr>
            <w:r w:rsidRPr="00324827">
              <w:rPr>
                <w:rFonts w:ascii="Arial" w:hAnsi="Arial" w:cs="Arial"/>
                <w:b/>
                <w:bCs/>
                <w:sz w:val="16"/>
                <w:szCs w:val="16"/>
              </w:rPr>
              <w:t>Achieved</w:t>
            </w:r>
          </w:p>
          <w:p w14:paraId="6BE9C3D1" w14:textId="44F8B194" w:rsidR="00324827" w:rsidRDefault="00324827" w:rsidP="00674B58">
            <w:pPr>
              <w:tabs>
                <w:tab w:val="left" w:pos="360"/>
              </w:tabs>
              <w:autoSpaceDE w:val="0"/>
              <w:autoSpaceDN w:val="0"/>
              <w:spacing w:before="60" w:after="60" w:line="240" w:lineRule="auto"/>
              <w:rPr>
                <w:rFonts w:ascii="Arial" w:eastAsia="Calibri" w:hAnsi="Arial" w:cs="Arial"/>
                <w:sz w:val="16"/>
                <w:szCs w:val="16"/>
              </w:rPr>
            </w:pPr>
            <w:r w:rsidRPr="00324827">
              <w:rPr>
                <w:rFonts w:ascii="Arial" w:eastAsia="Calibri" w:hAnsi="Arial" w:cs="Arial"/>
                <w:sz w:val="16"/>
                <w:szCs w:val="16"/>
              </w:rPr>
              <w:t xml:space="preserve">Satisfaction with Finance’s level of support relating to the resource management framework in terms of stewardship, policy advice, engagement, and guidance on the PGPA Act, Rule, and framework more broadly </w:t>
            </w:r>
            <w:r w:rsidR="00D60D78">
              <w:rPr>
                <w:rFonts w:ascii="Arial" w:eastAsia="Calibri" w:hAnsi="Arial" w:cs="Arial"/>
                <w:sz w:val="16"/>
                <w:szCs w:val="16"/>
              </w:rPr>
              <w:t xml:space="preserve">was 89% as measured in the PGPA </w:t>
            </w:r>
            <w:r w:rsidRPr="00324827">
              <w:rPr>
                <w:rFonts w:ascii="Arial" w:eastAsia="Calibri" w:hAnsi="Arial" w:cs="Arial"/>
                <w:sz w:val="16"/>
                <w:szCs w:val="16"/>
              </w:rPr>
              <w:t>survey of Commonwealth entities</w:t>
            </w:r>
            <w:r w:rsidR="00D60D78">
              <w:rPr>
                <w:rFonts w:ascii="Arial" w:eastAsia="Calibri" w:hAnsi="Arial" w:cs="Arial"/>
                <w:sz w:val="16"/>
                <w:szCs w:val="16"/>
              </w:rPr>
              <w:t xml:space="preserve"> and companies</w:t>
            </w:r>
            <w:r w:rsidRPr="00324827">
              <w:rPr>
                <w:rFonts w:ascii="Arial" w:eastAsia="Calibri" w:hAnsi="Arial" w:cs="Arial"/>
                <w:sz w:val="16"/>
                <w:szCs w:val="16"/>
              </w:rPr>
              <w:t>. This was above the target rating of 80% and slightly below the 2020 survey result of 93% satisfaction.</w:t>
            </w:r>
          </w:p>
          <w:p w14:paraId="2239E106" w14:textId="34B60DAE" w:rsidR="00F0167C" w:rsidRPr="002C4D06" w:rsidRDefault="00324827" w:rsidP="00674B58">
            <w:pPr>
              <w:tabs>
                <w:tab w:val="left" w:pos="360"/>
              </w:tabs>
              <w:autoSpaceDE w:val="0"/>
              <w:autoSpaceDN w:val="0"/>
              <w:adjustRightInd w:val="0"/>
              <w:spacing w:before="60" w:after="60" w:line="240" w:lineRule="auto"/>
              <w:rPr>
                <w:rFonts w:ascii="Arial" w:eastAsia="Calibri" w:hAnsi="Arial" w:cs="Arial"/>
                <w:sz w:val="16"/>
                <w:szCs w:val="16"/>
              </w:rPr>
            </w:pPr>
            <w:r w:rsidRPr="00324827">
              <w:rPr>
                <w:rFonts w:ascii="Arial" w:eastAsia="Calibri" w:hAnsi="Arial" w:cs="Arial"/>
                <w:sz w:val="16"/>
                <w:szCs w:val="16"/>
              </w:rPr>
              <w:t>Seven Joint Committee of Public Accounts and Audit (JCPAA) Reports and 40 A</w:t>
            </w:r>
            <w:r w:rsidR="00D60D78">
              <w:rPr>
                <w:rFonts w:ascii="Arial" w:eastAsia="Calibri" w:hAnsi="Arial" w:cs="Arial"/>
                <w:sz w:val="16"/>
                <w:szCs w:val="16"/>
              </w:rPr>
              <w:t xml:space="preserve">ustralian </w:t>
            </w:r>
            <w:r w:rsidRPr="00324827">
              <w:rPr>
                <w:rFonts w:ascii="Arial" w:eastAsia="Calibri" w:hAnsi="Arial" w:cs="Arial"/>
                <w:sz w:val="16"/>
                <w:szCs w:val="16"/>
              </w:rPr>
              <w:t>N</w:t>
            </w:r>
            <w:r w:rsidR="00D60D78">
              <w:rPr>
                <w:rFonts w:ascii="Arial" w:eastAsia="Calibri" w:hAnsi="Arial" w:cs="Arial"/>
                <w:sz w:val="16"/>
                <w:szCs w:val="16"/>
              </w:rPr>
              <w:t xml:space="preserve">ational </w:t>
            </w:r>
            <w:r w:rsidRPr="00324827">
              <w:rPr>
                <w:rFonts w:ascii="Arial" w:eastAsia="Calibri" w:hAnsi="Arial" w:cs="Arial"/>
                <w:sz w:val="16"/>
                <w:szCs w:val="16"/>
              </w:rPr>
              <w:t>A</w:t>
            </w:r>
            <w:r w:rsidR="00D60D78">
              <w:rPr>
                <w:rFonts w:ascii="Arial" w:eastAsia="Calibri" w:hAnsi="Arial" w:cs="Arial"/>
                <w:sz w:val="16"/>
                <w:szCs w:val="16"/>
              </w:rPr>
              <w:t xml:space="preserve">udit </w:t>
            </w:r>
            <w:r w:rsidRPr="00324827">
              <w:rPr>
                <w:rFonts w:ascii="Arial" w:eastAsia="Calibri" w:hAnsi="Arial" w:cs="Arial"/>
                <w:sz w:val="16"/>
                <w:szCs w:val="16"/>
              </w:rPr>
              <w:t>O</w:t>
            </w:r>
            <w:r w:rsidR="00D60D78">
              <w:rPr>
                <w:rFonts w:ascii="Arial" w:eastAsia="Calibri" w:hAnsi="Arial" w:cs="Arial"/>
                <w:sz w:val="16"/>
                <w:szCs w:val="16"/>
              </w:rPr>
              <w:t>ffice (ANAO)</w:t>
            </w:r>
            <w:r w:rsidRPr="00324827">
              <w:rPr>
                <w:rFonts w:ascii="Arial" w:eastAsia="Calibri" w:hAnsi="Arial" w:cs="Arial"/>
                <w:sz w:val="16"/>
                <w:szCs w:val="16"/>
              </w:rPr>
              <w:t xml:space="preserve"> Performance Audit Reports were tabled in Parliament in 2021–22. All JCPAA enquiries and ANAO performance audits considered the application of the Resource Management Framework by Commonwealth entities. There were no recommendations or adverse findings in respect to the framework itself</w:t>
            </w:r>
            <w:r>
              <w:rPr>
                <w:rFonts w:ascii="Arial" w:eastAsia="Calibri" w:hAnsi="Arial" w:cs="Arial"/>
                <w:sz w:val="16"/>
                <w:szCs w:val="16"/>
              </w:rPr>
              <w:t>.</w:t>
            </w:r>
          </w:p>
        </w:tc>
      </w:tr>
    </w:tbl>
    <w:p w14:paraId="2239E108" w14:textId="77777777" w:rsidR="00F0167C" w:rsidRPr="004A6E29" w:rsidRDefault="00F0167C" w:rsidP="004B5360">
      <w:pPr>
        <w:pStyle w:val="TableHeading"/>
        <w:spacing w:before="30" w:after="0"/>
        <w:rPr>
          <w:b w:val="0"/>
          <w:color w:val="000000"/>
          <w:sz w:val="16"/>
          <w:lang w:val="x-none" w:eastAsia="x-none"/>
        </w:rPr>
      </w:pPr>
      <w:r w:rsidRPr="004A6E29">
        <w:rPr>
          <w:b w:val="0"/>
          <w:color w:val="000000"/>
          <w:sz w:val="16"/>
          <w:lang w:val="x-none" w:eastAsia="x-none"/>
        </w:rPr>
        <w:t>Table continues on next page</w:t>
      </w:r>
    </w:p>
    <w:p w14:paraId="2239E109" w14:textId="77777777" w:rsidR="00F0167C" w:rsidRDefault="00F0167C" w:rsidP="00F0167C">
      <w:pPr>
        <w:rPr>
          <w:rFonts w:ascii="Arial" w:hAnsi="Arial" w:cs="Arial"/>
          <w:sz w:val="16"/>
          <w:szCs w:val="16"/>
        </w:rPr>
      </w:pPr>
    </w:p>
    <w:p w14:paraId="2239E10A" w14:textId="77777777" w:rsidR="00F0167C" w:rsidRDefault="00F0167C" w:rsidP="00F0167C">
      <w:pPr>
        <w:rPr>
          <w:rFonts w:ascii="Arial" w:hAnsi="Arial" w:cs="Arial"/>
          <w:sz w:val="16"/>
          <w:szCs w:val="16"/>
        </w:rPr>
      </w:pPr>
    </w:p>
    <w:p w14:paraId="2239E10B" w14:textId="77777777" w:rsidR="004A6E29" w:rsidRDefault="004A6E29" w:rsidP="00F0167C">
      <w:pPr>
        <w:rPr>
          <w:rFonts w:ascii="Arial" w:hAnsi="Arial" w:cs="Arial"/>
          <w:sz w:val="16"/>
          <w:szCs w:val="16"/>
        </w:rPr>
      </w:pPr>
    </w:p>
    <w:p w14:paraId="2239E10C" w14:textId="77777777" w:rsidR="00F0167C" w:rsidRDefault="00F0167C" w:rsidP="00F0167C">
      <w:pPr>
        <w:rPr>
          <w:rFonts w:ascii="Arial" w:hAnsi="Arial" w:cs="Arial"/>
          <w:sz w:val="16"/>
          <w:szCs w:val="16"/>
        </w:rPr>
      </w:pPr>
    </w:p>
    <w:p w14:paraId="2239E10E" w14:textId="77777777" w:rsidR="00F0167C" w:rsidRDefault="00F0167C" w:rsidP="00F0167C">
      <w:pPr>
        <w:pStyle w:val="TableHeading"/>
      </w:pPr>
      <w:r>
        <w:lastRenderedPageBreak/>
        <w:t>Table 2.2.2</w:t>
      </w:r>
      <w:r w:rsidRPr="00EF5C5E">
        <w:t>: Performance measure for Outcome 2</w:t>
      </w:r>
      <w:r>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276"/>
        <w:gridCol w:w="4104"/>
      </w:tblGrid>
      <w:tr w:rsidR="00305077" w:rsidRPr="002C4D06" w14:paraId="3F8F1E65" w14:textId="77777777" w:rsidTr="00674B58">
        <w:trPr>
          <w:trHeight w:val="527"/>
        </w:trPr>
        <w:tc>
          <w:tcPr>
            <w:tcW w:w="7795" w:type="dxa"/>
            <w:gridSpan w:val="3"/>
            <w:shd w:val="clear" w:color="auto" w:fill="F2F2F2"/>
          </w:tcPr>
          <w:p w14:paraId="3B3A9185" w14:textId="77777777" w:rsidR="00305077" w:rsidRPr="00E57271" w:rsidRDefault="00305077" w:rsidP="00674B58">
            <w:pPr>
              <w:pStyle w:val="TableHeading"/>
              <w:spacing w:before="60" w:after="60"/>
              <w:rPr>
                <w:rFonts w:cs="Arial"/>
                <w:sz w:val="16"/>
                <w:szCs w:val="16"/>
              </w:rPr>
            </w:pPr>
            <w:r w:rsidRPr="00E57271">
              <w:rPr>
                <w:rFonts w:cs="Arial"/>
                <w:sz w:val="16"/>
                <w:szCs w:val="16"/>
              </w:rPr>
              <w:t>Program 2.1 – Public Sector Governance</w:t>
            </w:r>
          </w:p>
          <w:p w14:paraId="50ED6D83" w14:textId="77777777" w:rsidR="00305077" w:rsidRPr="000A7CB1" w:rsidRDefault="00305077" w:rsidP="00674B58">
            <w:pPr>
              <w:tabs>
                <w:tab w:val="left" w:pos="709"/>
              </w:tabs>
              <w:spacing w:before="60" w:after="60" w:line="240" w:lineRule="auto"/>
              <w:rPr>
                <w:rFonts w:ascii="Arial" w:hAnsi="Arial" w:cs="Arial"/>
                <w:b/>
                <w:sz w:val="18"/>
                <w:szCs w:val="18"/>
              </w:rPr>
            </w:pPr>
            <w:r w:rsidRPr="00E57271">
              <w:rPr>
                <w:rFonts w:ascii="Arial" w:hAnsi="Arial" w:cs="Arial"/>
                <w:sz w:val="16"/>
                <w:szCs w:val="16"/>
              </w:rPr>
              <w:t>This program contributes to the outcome through developing and maintaining the public sector resource management framework and improving the standard of governance, performance and accountability of Commonwealth entities.</w:t>
            </w:r>
          </w:p>
        </w:tc>
      </w:tr>
      <w:tr w:rsidR="00305077" w:rsidRPr="002C4D06" w14:paraId="1BB1E253" w14:textId="77777777" w:rsidTr="00674B58">
        <w:trPr>
          <w:trHeight w:val="312"/>
        </w:trPr>
        <w:tc>
          <w:tcPr>
            <w:tcW w:w="1415" w:type="dxa"/>
            <w:tcBorders>
              <w:top w:val="single" w:sz="4" w:space="0" w:color="auto"/>
              <w:bottom w:val="dotted" w:sz="4" w:space="0" w:color="auto"/>
              <w:right w:val="single" w:sz="4" w:space="0" w:color="auto"/>
            </w:tcBorders>
          </w:tcPr>
          <w:p w14:paraId="708DE06E" w14:textId="77777777" w:rsidR="00305077" w:rsidRPr="002C4D06" w:rsidRDefault="00305077" w:rsidP="00674B58">
            <w:pPr>
              <w:tabs>
                <w:tab w:val="left" w:pos="709"/>
              </w:tabs>
              <w:spacing w:before="60" w:after="60" w:line="240" w:lineRule="auto"/>
              <w:rPr>
                <w:rFonts w:ascii="Arial" w:hAnsi="Arial" w:cs="Arial"/>
                <w:sz w:val="16"/>
                <w:szCs w:val="16"/>
              </w:rPr>
            </w:pPr>
            <w:r w:rsidRPr="002C4D06">
              <w:rPr>
                <w:rFonts w:ascii="Arial" w:hAnsi="Arial" w:cs="Arial"/>
                <w:b/>
                <w:sz w:val="16"/>
                <w:szCs w:val="16"/>
              </w:rPr>
              <w:t>Year</w:t>
            </w:r>
          </w:p>
        </w:tc>
        <w:tc>
          <w:tcPr>
            <w:tcW w:w="2276" w:type="dxa"/>
            <w:tcBorders>
              <w:top w:val="single" w:sz="4" w:space="0" w:color="auto"/>
              <w:left w:val="single" w:sz="4" w:space="0" w:color="auto"/>
              <w:bottom w:val="dotted" w:sz="4" w:space="0" w:color="auto"/>
              <w:right w:val="single" w:sz="4" w:space="0" w:color="auto"/>
            </w:tcBorders>
          </w:tcPr>
          <w:p w14:paraId="0DE7D0B4" w14:textId="77777777" w:rsidR="00305077" w:rsidRPr="002C4D06" w:rsidRDefault="00305077" w:rsidP="00674B58">
            <w:pPr>
              <w:tabs>
                <w:tab w:val="left" w:pos="709"/>
              </w:tabs>
              <w:spacing w:before="60" w:after="60" w:line="240" w:lineRule="auto"/>
              <w:rPr>
                <w:rFonts w:ascii="Arial" w:hAnsi="Arial" w:cs="Arial"/>
              </w:rPr>
            </w:pPr>
            <w:r>
              <w:rPr>
                <w:rFonts w:ascii="Arial" w:hAnsi="Arial" w:cs="Arial"/>
                <w:b/>
                <w:sz w:val="16"/>
                <w:szCs w:val="16"/>
              </w:rPr>
              <w:t>Performance measures</w:t>
            </w:r>
          </w:p>
        </w:tc>
        <w:tc>
          <w:tcPr>
            <w:tcW w:w="4104" w:type="dxa"/>
            <w:tcBorders>
              <w:top w:val="single" w:sz="4" w:space="0" w:color="auto"/>
              <w:left w:val="single" w:sz="4" w:space="0" w:color="auto"/>
              <w:bottom w:val="dotted" w:sz="4" w:space="0" w:color="auto"/>
            </w:tcBorders>
          </w:tcPr>
          <w:p w14:paraId="113E3CDF" w14:textId="77777777" w:rsidR="00305077" w:rsidRPr="002C4D06" w:rsidRDefault="00305077" w:rsidP="00674B58">
            <w:pPr>
              <w:tabs>
                <w:tab w:val="left" w:pos="709"/>
              </w:tabs>
              <w:spacing w:before="60" w:after="60" w:line="240" w:lineRule="auto"/>
              <w:rPr>
                <w:rFonts w:ascii="Arial" w:hAnsi="Arial" w:cs="Arial"/>
                <w:i/>
                <w:sz w:val="16"/>
                <w:szCs w:val="16"/>
              </w:rPr>
            </w:pPr>
            <w:r w:rsidRPr="002C4D06">
              <w:rPr>
                <w:rFonts w:ascii="Arial" w:hAnsi="Arial" w:cs="Arial"/>
                <w:b/>
                <w:sz w:val="16"/>
                <w:szCs w:val="16"/>
              </w:rPr>
              <w:t>Planned Performance Results</w:t>
            </w:r>
          </w:p>
        </w:tc>
      </w:tr>
      <w:tr w:rsidR="00305077" w:rsidRPr="00161BC9" w14:paraId="58C3DBC3" w14:textId="77777777" w:rsidTr="00674B58">
        <w:trPr>
          <w:trHeight w:val="2404"/>
        </w:trPr>
        <w:tc>
          <w:tcPr>
            <w:tcW w:w="1415" w:type="dxa"/>
            <w:tcBorders>
              <w:top w:val="single" w:sz="4" w:space="0" w:color="auto"/>
              <w:bottom w:val="nil"/>
              <w:right w:val="single" w:sz="4" w:space="0" w:color="auto"/>
            </w:tcBorders>
          </w:tcPr>
          <w:p w14:paraId="01C0EB99" w14:textId="77777777" w:rsidR="00716574" w:rsidRDefault="00716574" w:rsidP="00674B58">
            <w:pPr>
              <w:tabs>
                <w:tab w:val="left" w:pos="709"/>
              </w:tabs>
              <w:spacing w:before="60" w:after="60" w:line="240" w:lineRule="auto"/>
              <w:rPr>
                <w:rFonts w:ascii="Arial" w:hAnsi="Arial" w:cs="Arial"/>
                <w:sz w:val="16"/>
                <w:szCs w:val="16"/>
              </w:rPr>
            </w:pPr>
            <w:r>
              <w:rPr>
                <w:rFonts w:ascii="Arial" w:hAnsi="Arial" w:cs="Arial"/>
                <w:sz w:val="16"/>
                <w:szCs w:val="16"/>
              </w:rPr>
              <w:t>Budget Year</w:t>
            </w:r>
          </w:p>
          <w:p w14:paraId="12443D2E" w14:textId="260AA74D" w:rsidR="00305077" w:rsidRPr="00C200C8" w:rsidRDefault="00305077" w:rsidP="00674B58">
            <w:pPr>
              <w:tabs>
                <w:tab w:val="left" w:pos="709"/>
              </w:tabs>
              <w:spacing w:before="60" w:after="60" w:line="240" w:lineRule="auto"/>
              <w:rPr>
                <w:rFonts w:ascii="Arial" w:hAnsi="Arial" w:cs="Arial"/>
                <w:sz w:val="16"/>
                <w:szCs w:val="16"/>
              </w:rPr>
            </w:pPr>
            <w:r w:rsidRPr="00C200C8">
              <w:rPr>
                <w:rFonts w:ascii="Arial" w:hAnsi="Arial" w:cs="Arial"/>
                <w:sz w:val="16"/>
                <w:szCs w:val="16"/>
              </w:rPr>
              <w:t>2022-23</w:t>
            </w:r>
          </w:p>
        </w:tc>
        <w:tc>
          <w:tcPr>
            <w:tcW w:w="2276" w:type="dxa"/>
            <w:tcBorders>
              <w:top w:val="single" w:sz="4" w:space="0" w:color="auto"/>
              <w:left w:val="single" w:sz="4" w:space="0" w:color="auto"/>
              <w:bottom w:val="dotted" w:sz="4" w:space="0" w:color="auto"/>
              <w:right w:val="single" w:sz="4" w:space="0" w:color="auto"/>
            </w:tcBorders>
          </w:tcPr>
          <w:p w14:paraId="5EEBDBEF" w14:textId="77777777" w:rsidR="00305077" w:rsidRDefault="00305077" w:rsidP="00674B58">
            <w:pPr>
              <w:autoSpaceDE w:val="0"/>
              <w:autoSpaceDN w:val="0"/>
              <w:spacing w:before="60" w:after="60" w:line="240" w:lineRule="auto"/>
              <w:rPr>
                <w:rFonts w:ascii="Arial" w:eastAsia="Arial" w:hAnsi="Arial" w:cs="Arial"/>
                <w:b/>
                <w:sz w:val="16"/>
                <w:szCs w:val="16"/>
              </w:rPr>
            </w:pPr>
            <w:r w:rsidRPr="00530311">
              <w:rPr>
                <w:rFonts w:ascii="Arial" w:eastAsia="Arial" w:hAnsi="Arial" w:cs="Arial"/>
                <w:b/>
                <w:sz w:val="16"/>
                <w:szCs w:val="16"/>
              </w:rPr>
              <w:t>Governance, Accountability and Performance</w:t>
            </w:r>
          </w:p>
          <w:p w14:paraId="196151F1" w14:textId="77777777" w:rsidR="00305077" w:rsidRPr="00530311" w:rsidRDefault="00305077" w:rsidP="00674B58">
            <w:pPr>
              <w:autoSpaceDE w:val="0"/>
              <w:autoSpaceDN w:val="0"/>
              <w:spacing w:before="60" w:after="60" w:line="240" w:lineRule="auto"/>
              <w:rPr>
                <w:rFonts w:ascii="Arial" w:eastAsia="Calibri" w:hAnsi="Arial" w:cs="Arial"/>
                <w:sz w:val="16"/>
                <w:szCs w:val="16"/>
              </w:rPr>
            </w:pPr>
            <w:r w:rsidRPr="00530311">
              <w:rPr>
                <w:rFonts w:ascii="Arial" w:eastAsia="Calibri" w:hAnsi="Arial" w:cs="Arial"/>
                <w:sz w:val="16"/>
                <w:szCs w:val="16"/>
              </w:rPr>
              <w:t xml:space="preserve">Finance’s stewardship supports Commonwealth entities and companies to meet the requirements and policy intent of the Resource Management Framework. </w:t>
            </w:r>
          </w:p>
          <w:p w14:paraId="45915687" w14:textId="77777777" w:rsidR="00305077" w:rsidRPr="00C200C8" w:rsidRDefault="00305077" w:rsidP="00674B58">
            <w:pPr>
              <w:autoSpaceDE w:val="0"/>
              <w:autoSpaceDN w:val="0"/>
              <w:spacing w:before="60" w:after="60" w:line="240" w:lineRule="auto"/>
              <w:rPr>
                <w:rFonts w:ascii="Arial" w:eastAsia="Arial" w:hAnsi="Arial" w:cs="Arial"/>
                <w:sz w:val="16"/>
                <w:szCs w:val="16"/>
              </w:rPr>
            </w:pPr>
            <w:r w:rsidRPr="00530311">
              <w:rPr>
                <w:rFonts w:ascii="Arial" w:eastAsia="Calibri" w:hAnsi="Arial" w:cs="Arial"/>
                <w:sz w:val="16"/>
                <w:szCs w:val="16"/>
              </w:rPr>
              <w:t>The annual PGPA survey is used as a proxy to measure Commonwealth entity and company satisfaction with the support provided by Finance to assist them in meeting the requirements and policy intent of the Resource Management Framework.</w:t>
            </w:r>
          </w:p>
        </w:tc>
        <w:tc>
          <w:tcPr>
            <w:tcW w:w="4104" w:type="dxa"/>
            <w:tcBorders>
              <w:top w:val="single" w:sz="4" w:space="0" w:color="auto"/>
              <w:left w:val="single" w:sz="4" w:space="0" w:color="auto"/>
              <w:bottom w:val="dotted" w:sz="4" w:space="0" w:color="auto"/>
            </w:tcBorders>
          </w:tcPr>
          <w:p w14:paraId="75D3AD9D" w14:textId="73755D88" w:rsidR="00305077" w:rsidRPr="00530311" w:rsidRDefault="00305077" w:rsidP="00D60D78">
            <w:pPr>
              <w:autoSpaceDE w:val="0"/>
              <w:autoSpaceDN w:val="0"/>
              <w:spacing w:before="60" w:after="60" w:line="240" w:lineRule="auto"/>
              <w:rPr>
                <w:rFonts w:ascii="Arial" w:eastAsia="Arial" w:hAnsi="Arial" w:cs="Arial"/>
                <w:sz w:val="16"/>
                <w:szCs w:val="16"/>
              </w:rPr>
            </w:pPr>
            <w:r w:rsidRPr="00530311">
              <w:rPr>
                <w:rFonts w:ascii="Arial" w:eastAsia="Arial" w:hAnsi="Arial" w:cs="Arial"/>
                <w:sz w:val="16"/>
                <w:szCs w:val="16"/>
              </w:rPr>
              <w:t xml:space="preserve">PGPA Entity Survey satisfaction results in respect to the support Finance provides to assist Commonwealth entities and companies to meet the requirements and policy intent of the Resource Management Framework achieved the target rate of 85% or above. </w:t>
            </w:r>
          </w:p>
          <w:p w14:paraId="54B85C0A" w14:textId="77777777" w:rsidR="00305077" w:rsidRPr="00C200C8" w:rsidRDefault="00305077" w:rsidP="00D60D78">
            <w:pPr>
              <w:spacing w:before="60" w:after="60" w:line="240" w:lineRule="auto"/>
              <w:rPr>
                <w:rFonts w:ascii="Arial" w:hAnsi="Arial" w:cs="Arial"/>
                <w:i/>
                <w:sz w:val="16"/>
                <w:szCs w:val="16"/>
              </w:rPr>
            </w:pPr>
            <w:r w:rsidRPr="00530311">
              <w:rPr>
                <w:rFonts w:ascii="Arial" w:eastAsia="Arial" w:hAnsi="Arial" w:cs="Arial"/>
                <w:sz w:val="16"/>
                <w:szCs w:val="16"/>
              </w:rPr>
              <w:t>JCPAA Reports and Auditor-General Performance Audit Reports provide evidence of parliament using the Commonwealth Performance Framework to scrutinise the non-financial performance of Commonwealth entities and companies.</w:t>
            </w:r>
          </w:p>
          <w:p w14:paraId="3FAFDD26" w14:textId="77777777" w:rsidR="00305077" w:rsidRPr="00C200C8" w:rsidRDefault="00305077" w:rsidP="00674B58">
            <w:pPr>
              <w:tabs>
                <w:tab w:val="left" w:pos="936"/>
              </w:tabs>
              <w:spacing w:before="60" w:after="60" w:line="240" w:lineRule="auto"/>
              <w:rPr>
                <w:rFonts w:ascii="Arial" w:hAnsi="Arial" w:cs="Arial"/>
                <w:sz w:val="16"/>
                <w:szCs w:val="16"/>
              </w:rPr>
            </w:pPr>
            <w:r w:rsidRPr="00C200C8">
              <w:rPr>
                <w:rFonts w:ascii="Arial" w:hAnsi="Arial" w:cs="Arial"/>
                <w:sz w:val="16"/>
                <w:szCs w:val="16"/>
              </w:rPr>
              <w:tab/>
            </w:r>
          </w:p>
        </w:tc>
      </w:tr>
      <w:tr w:rsidR="00305077" w:rsidRPr="00161BC9" w14:paraId="25E9D1DF" w14:textId="77777777" w:rsidTr="00674B58">
        <w:trPr>
          <w:trHeight w:val="2404"/>
        </w:trPr>
        <w:tc>
          <w:tcPr>
            <w:tcW w:w="1415" w:type="dxa"/>
            <w:tcBorders>
              <w:top w:val="nil"/>
              <w:left w:val="single" w:sz="4" w:space="0" w:color="auto"/>
              <w:bottom w:val="single" w:sz="4" w:space="0" w:color="auto"/>
              <w:right w:val="single" w:sz="4" w:space="0" w:color="auto"/>
            </w:tcBorders>
          </w:tcPr>
          <w:p w14:paraId="6CD2A353" w14:textId="77777777" w:rsidR="00305077" w:rsidRPr="00C200C8" w:rsidRDefault="00305077" w:rsidP="00674B58">
            <w:pPr>
              <w:tabs>
                <w:tab w:val="left" w:pos="709"/>
              </w:tabs>
              <w:spacing w:before="60" w:after="60" w:line="240" w:lineRule="auto"/>
              <w:rPr>
                <w:rFonts w:ascii="Arial" w:hAnsi="Arial" w:cs="Arial"/>
                <w:sz w:val="16"/>
                <w:szCs w:val="16"/>
              </w:rPr>
            </w:pPr>
          </w:p>
        </w:tc>
        <w:tc>
          <w:tcPr>
            <w:tcW w:w="2276" w:type="dxa"/>
            <w:tcBorders>
              <w:top w:val="dotted" w:sz="4" w:space="0" w:color="auto"/>
              <w:left w:val="single" w:sz="4" w:space="0" w:color="auto"/>
              <w:bottom w:val="single" w:sz="4" w:space="0" w:color="auto"/>
              <w:right w:val="single" w:sz="4" w:space="0" w:color="auto"/>
            </w:tcBorders>
          </w:tcPr>
          <w:p w14:paraId="67D09F09" w14:textId="77777777" w:rsidR="00305077" w:rsidRPr="00CC6CF9" w:rsidRDefault="00305077" w:rsidP="00674B58">
            <w:pPr>
              <w:autoSpaceDE w:val="0"/>
              <w:autoSpaceDN w:val="0"/>
              <w:spacing w:before="60" w:after="60" w:line="240" w:lineRule="auto"/>
              <w:rPr>
                <w:rFonts w:ascii="Arial" w:eastAsia="Arial" w:hAnsi="Arial" w:cs="Arial"/>
                <w:b/>
                <w:i/>
                <w:sz w:val="16"/>
                <w:szCs w:val="16"/>
              </w:rPr>
            </w:pPr>
            <w:r w:rsidRPr="00CC6CF9">
              <w:rPr>
                <w:rFonts w:ascii="Arial" w:eastAsia="Arial" w:hAnsi="Arial" w:cs="Arial"/>
                <w:b/>
                <w:i/>
                <w:sz w:val="16"/>
                <w:szCs w:val="16"/>
              </w:rPr>
              <w:t>Whole-of-government approach to regulatory policy and regulatory reform</w:t>
            </w:r>
          </w:p>
          <w:p w14:paraId="49720E16" w14:textId="77777777" w:rsidR="00305077" w:rsidRPr="00EF348B" w:rsidRDefault="00305077" w:rsidP="00674B58">
            <w:pPr>
              <w:autoSpaceDE w:val="0"/>
              <w:autoSpaceDN w:val="0"/>
              <w:spacing w:before="60" w:after="60" w:line="240" w:lineRule="auto"/>
              <w:rPr>
                <w:rFonts w:ascii="Arial" w:eastAsia="Arial" w:hAnsi="Arial" w:cs="Arial"/>
                <w:sz w:val="16"/>
                <w:szCs w:val="16"/>
              </w:rPr>
            </w:pPr>
            <w:r w:rsidRPr="00CC6CF9">
              <w:rPr>
                <w:rFonts w:ascii="Arial" w:eastAsia="Arial" w:hAnsi="Arial" w:cs="Arial"/>
                <w:i/>
                <w:sz w:val="16"/>
                <w:szCs w:val="16"/>
              </w:rPr>
              <w:t>Finance delivered a whole-of-government approach to regulatory policy and regulatory reform, including by achieving regulatory reform through cooperative federalism, to improve economic and individual wellbeing outcomes.</w:t>
            </w:r>
          </w:p>
        </w:tc>
        <w:tc>
          <w:tcPr>
            <w:tcW w:w="4104" w:type="dxa"/>
            <w:tcBorders>
              <w:top w:val="dotted" w:sz="4" w:space="0" w:color="auto"/>
              <w:left w:val="single" w:sz="4" w:space="0" w:color="auto"/>
              <w:bottom w:val="single" w:sz="4" w:space="0" w:color="auto"/>
              <w:right w:val="single" w:sz="4" w:space="0" w:color="auto"/>
            </w:tcBorders>
          </w:tcPr>
          <w:p w14:paraId="37933876" w14:textId="4AC7EB3A" w:rsidR="00305077" w:rsidRPr="00CC6CF9" w:rsidRDefault="00305077" w:rsidP="00674B58">
            <w:pPr>
              <w:autoSpaceDE w:val="0"/>
              <w:autoSpaceDN w:val="0"/>
              <w:spacing w:before="60" w:after="60" w:line="240" w:lineRule="auto"/>
              <w:rPr>
                <w:rFonts w:ascii="Arial" w:eastAsia="Arial" w:hAnsi="Arial" w:cs="Arial"/>
                <w:i/>
                <w:sz w:val="16"/>
                <w:szCs w:val="16"/>
              </w:rPr>
            </w:pPr>
            <w:r w:rsidRPr="00CC6CF9">
              <w:rPr>
                <w:rFonts w:ascii="Arial" w:eastAsia="Arial" w:hAnsi="Arial" w:cs="Arial"/>
                <w:i/>
                <w:sz w:val="16"/>
                <w:szCs w:val="16"/>
              </w:rPr>
              <w:t>Finance worked with Commonwealth and state agencies to deliver targeted regulatory reform projects that demonstrate impact in de</w:t>
            </w:r>
            <w:r w:rsidR="00CF73BC">
              <w:rPr>
                <w:rFonts w:ascii="Arial" w:eastAsia="Arial" w:hAnsi="Arial" w:cs="Arial"/>
                <w:i/>
                <w:sz w:val="16"/>
                <w:szCs w:val="16"/>
              </w:rPr>
              <w:t xml:space="preserve">livering productivity outcomes </w:t>
            </w:r>
            <w:r w:rsidRPr="00CC6CF9">
              <w:rPr>
                <w:rFonts w:ascii="Arial" w:eastAsia="Arial" w:hAnsi="Arial" w:cs="Arial"/>
                <w:i/>
                <w:sz w:val="16"/>
                <w:szCs w:val="16"/>
              </w:rPr>
              <w:t>(target 2022-23: four projects)</w:t>
            </w:r>
            <w:r w:rsidR="00BB0F28">
              <w:rPr>
                <w:rFonts w:ascii="Arial" w:eastAsia="Arial" w:hAnsi="Arial" w:cs="Arial"/>
                <w:i/>
                <w:sz w:val="16"/>
                <w:szCs w:val="16"/>
              </w:rPr>
              <w:t>.</w:t>
            </w:r>
          </w:p>
        </w:tc>
      </w:tr>
    </w:tbl>
    <w:p w14:paraId="6A6D86FE" w14:textId="15AC325E" w:rsidR="00CB2AE2" w:rsidRDefault="00CB2AE2" w:rsidP="004B5360">
      <w:pPr>
        <w:pStyle w:val="TableHeading"/>
        <w:spacing w:before="30" w:after="0"/>
      </w:pPr>
      <w:r w:rsidRPr="00CB2AE2">
        <w:rPr>
          <w:b w:val="0"/>
          <w:color w:val="000000"/>
          <w:sz w:val="16"/>
          <w:lang w:val="x-none" w:eastAsia="x-none"/>
        </w:rPr>
        <w:t>Table continues on next page</w:t>
      </w:r>
      <w:r>
        <w:br w:type="page"/>
      </w:r>
    </w:p>
    <w:p w14:paraId="63C05CB8" w14:textId="77777777" w:rsidR="00D02B52" w:rsidRDefault="00305077" w:rsidP="00305077">
      <w:pPr>
        <w:pStyle w:val="TableHeading"/>
      </w:pPr>
      <w:r>
        <w:lastRenderedPageBreak/>
        <w:t>Table 2.2.2</w:t>
      </w:r>
      <w:r w:rsidRPr="00EF5C5E">
        <w:t>: Performance measure for Outcome 2</w:t>
      </w:r>
      <w:r>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89"/>
        <w:gridCol w:w="4092"/>
      </w:tblGrid>
      <w:tr w:rsidR="00D02B52" w:rsidRPr="004F082C" w14:paraId="7CA6B875" w14:textId="77777777" w:rsidTr="00674B58">
        <w:trPr>
          <w:trHeight w:val="527"/>
        </w:trPr>
        <w:tc>
          <w:tcPr>
            <w:tcW w:w="7795" w:type="dxa"/>
            <w:gridSpan w:val="3"/>
            <w:tcBorders>
              <w:bottom w:val="single" w:sz="4" w:space="0" w:color="auto"/>
            </w:tcBorders>
            <w:shd w:val="clear" w:color="auto" w:fill="F2F2F2" w:themeFill="background1" w:themeFillShade="F2"/>
          </w:tcPr>
          <w:p w14:paraId="65B1F348" w14:textId="77777777" w:rsidR="00D02B52" w:rsidRPr="00E57271" w:rsidRDefault="00D02B52" w:rsidP="00674B58">
            <w:pPr>
              <w:pStyle w:val="TableHeading"/>
              <w:spacing w:before="60" w:after="60"/>
              <w:rPr>
                <w:rFonts w:cs="Arial"/>
                <w:sz w:val="16"/>
                <w:szCs w:val="16"/>
              </w:rPr>
            </w:pPr>
            <w:r w:rsidRPr="00E57271">
              <w:rPr>
                <w:rFonts w:cs="Arial"/>
                <w:sz w:val="16"/>
                <w:szCs w:val="16"/>
              </w:rPr>
              <w:t>Program 2.1 – Public Sector Governance</w:t>
            </w:r>
          </w:p>
          <w:p w14:paraId="76CEF555" w14:textId="77777777" w:rsidR="00D02B52" w:rsidRPr="004F082C" w:rsidRDefault="00D02B52" w:rsidP="00674B58">
            <w:pPr>
              <w:pStyle w:val="TableTextLeft"/>
              <w:autoSpaceDE w:val="0"/>
              <w:autoSpaceDN w:val="0"/>
              <w:adjustRightInd w:val="0"/>
              <w:spacing w:before="60" w:after="60"/>
              <w:contextualSpacing/>
              <w:rPr>
                <w:szCs w:val="18"/>
              </w:rPr>
            </w:pPr>
            <w:r w:rsidRPr="00E57271">
              <w:rPr>
                <w:rFonts w:cs="Arial"/>
                <w:szCs w:val="16"/>
              </w:rPr>
              <w:t>This program contributes to the outcome through developing and maintaining the public sector resource management framework and improving the standard of governance, performance and accountability of Commonwealth entities.</w:t>
            </w:r>
          </w:p>
        </w:tc>
      </w:tr>
      <w:tr w:rsidR="00D02B52" w:rsidRPr="002A0954" w14:paraId="3D37420F" w14:textId="77777777" w:rsidTr="00674B58">
        <w:trPr>
          <w:trHeight w:val="312"/>
        </w:trPr>
        <w:tc>
          <w:tcPr>
            <w:tcW w:w="1414" w:type="dxa"/>
            <w:tcBorders>
              <w:top w:val="single" w:sz="4" w:space="0" w:color="auto"/>
              <w:bottom w:val="single" w:sz="4" w:space="0" w:color="auto"/>
              <w:right w:val="single" w:sz="4" w:space="0" w:color="auto"/>
            </w:tcBorders>
          </w:tcPr>
          <w:p w14:paraId="22FF6701" w14:textId="77777777" w:rsidR="00D02B52" w:rsidRPr="00313067" w:rsidRDefault="00D02B52" w:rsidP="00674B58">
            <w:pPr>
              <w:tabs>
                <w:tab w:val="left" w:pos="709"/>
              </w:tabs>
              <w:spacing w:before="60" w:after="60"/>
              <w:rPr>
                <w:rFonts w:ascii="Arial" w:hAnsi="Arial" w:cs="Arial"/>
                <w:sz w:val="16"/>
                <w:szCs w:val="16"/>
              </w:rPr>
            </w:pPr>
            <w:r w:rsidRPr="00313067">
              <w:rPr>
                <w:rFonts w:ascii="Arial" w:hAnsi="Arial" w:cs="Arial"/>
                <w:b/>
                <w:bCs/>
                <w:sz w:val="16"/>
                <w:szCs w:val="16"/>
              </w:rPr>
              <w:t>Year</w:t>
            </w:r>
          </w:p>
        </w:tc>
        <w:tc>
          <w:tcPr>
            <w:tcW w:w="2289" w:type="dxa"/>
            <w:tcBorders>
              <w:top w:val="single" w:sz="4" w:space="0" w:color="auto"/>
              <w:left w:val="single" w:sz="4" w:space="0" w:color="auto"/>
              <w:bottom w:val="single" w:sz="4" w:space="0" w:color="auto"/>
              <w:right w:val="single" w:sz="4" w:space="0" w:color="auto"/>
            </w:tcBorders>
          </w:tcPr>
          <w:p w14:paraId="3B1F46A3" w14:textId="77777777" w:rsidR="00D02B52" w:rsidRPr="00313067" w:rsidRDefault="00D02B52" w:rsidP="00674B58">
            <w:pPr>
              <w:tabs>
                <w:tab w:val="left" w:pos="709"/>
              </w:tabs>
              <w:spacing w:before="60" w:after="60"/>
              <w:rPr>
                <w:rFonts w:ascii="Arial" w:hAnsi="Arial" w:cs="Arial"/>
                <w:sz w:val="16"/>
                <w:szCs w:val="16"/>
              </w:rPr>
            </w:pPr>
            <w:r>
              <w:rPr>
                <w:rFonts w:ascii="Arial" w:hAnsi="Arial" w:cs="Arial"/>
                <w:b/>
                <w:bCs/>
                <w:sz w:val="16"/>
                <w:szCs w:val="16"/>
              </w:rPr>
              <w:t>Performance measures</w:t>
            </w:r>
          </w:p>
        </w:tc>
        <w:tc>
          <w:tcPr>
            <w:tcW w:w="4092" w:type="dxa"/>
            <w:tcBorders>
              <w:top w:val="single" w:sz="4" w:space="0" w:color="auto"/>
              <w:left w:val="single" w:sz="4" w:space="0" w:color="auto"/>
              <w:bottom w:val="single" w:sz="4" w:space="0" w:color="auto"/>
              <w:right w:val="single" w:sz="4" w:space="0" w:color="auto"/>
            </w:tcBorders>
          </w:tcPr>
          <w:p w14:paraId="39E5BAAD" w14:textId="77777777" w:rsidR="00D02B52" w:rsidRPr="00313067" w:rsidRDefault="00D02B52" w:rsidP="00674B58">
            <w:pPr>
              <w:tabs>
                <w:tab w:val="left" w:pos="709"/>
              </w:tabs>
              <w:spacing w:before="60" w:after="60"/>
              <w:rPr>
                <w:rFonts w:ascii="Arial" w:hAnsi="Arial" w:cs="Arial"/>
                <w:i/>
                <w:iCs/>
                <w:sz w:val="16"/>
                <w:szCs w:val="16"/>
              </w:rPr>
            </w:pPr>
            <w:r w:rsidRPr="00313067">
              <w:rPr>
                <w:rFonts w:ascii="Arial" w:hAnsi="Arial" w:cs="Arial"/>
                <w:b/>
                <w:bCs/>
                <w:sz w:val="16"/>
                <w:szCs w:val="16"/>
              </w:rPr>
              <w:t>Planned Performance Results</w:t>
            </w:r>
          </w:p>
        </w:tc>
      </w:tr>
      <w:tr w:rsidR="00D02B52" w:rsidRPr="002A0954" w14:paraId="29C9B0DE" w14:textId="77777777" w:rsidTr="00674B58">
        <w:trPr>
          <w:trHeight w:val="100"/>
        </w:trPr>
        <w:tc>
          <w:tcPr>
            <w:tcW w:w="1414" w:type="dxa"/>
            <w:tcBorders>
              <w:top w:val="single" w:sz="4" w:space="0" w:color="auto"/>
              <w:left w:val="single" w:sz="4" w:space="0" w:color="auto"/>
              <w:bottom w:val="dotted" w:sz="4" w:space="0" w:color="auto"/>
              <w:right w:val="single" w:sz="4" w:space="0" w:color="auto"/>
            </w:tcBorders>
          </w:tcPr>
          <w:p w14:paraId="312143E9" w14:textId="77777777" w:rsidR="00C5027E" w:rsidRDefault="00C5027E" w:rsidP="00674B58">
            <w:pPr>
              <w:tabs>
                <w:tab w:val="left" w:pos="709"/>
              </w:tabs>
              <w:spacing w:before="60" w:after="60" w:line="240" w:lineRule="auto"/>
              <w:rPr>
                <w:rFonts w:ascii="Arial" w:hAnsi="Arial" w:cs="Arial"/>
                <w:sz w:val="16"/>
                <w:szCs w:val="16"/>
                <w:lang w:eastAsia="en-US"/>
              </w:rPr>
            </w:pPr>
            <w:r>
              <w:rPr>
                <w:rFonts w:ascii="Arial" w:hAnsi="Arial" w:cs="Arial"/>
                <w:sz w:val="16"/>
                <w:szCs w:val="16"/>
                <w:lang w:eastAsia="en-US"/>
              </w:rPr>
              <w:t>Budget Year</w:t>
            </w:r>
          </w:p>
          <w:p w14:paraId="47023415" w14:textId="749FF6EF" w:rsidR="00D02B52" w:rsidRDefault="00D02B52" w:rsidP="00674B58">
            <w:pPr>
              <w:tabs>
                <w:tab w:val="left" w:pos="709"/>
              </w:tabs>
              <w:spacing w:before="60" w:after="60" w:line="240" w:lineRule="auto"/>
              <w:rPr>
                <w:rFonts w:ascii="Arial" w:hAnsi="Arial" w:cs="Arial"/>
                <w:sz w:val="16"/>
                <w:szCs w:val="16"/>
                <w:lang w:eastAsia="en-US"/>
              </w:rPr>
            </w:pPr>
            <w:r w:rsidRPr="004E15D3">
              <w:rPr>
                <w:rFonts w:ascii="Arial" w:hAnsi="Arial" w:cs="Arial"/>
                <w:sz w:val="16"/>
                <w:szCs w:val="16"/>
                <w:lang w:eastAsia="en-US"/>
              </w:rPr>
              <w:t>2022-23</w:t>
            </w:r>
            <w:r w:rsidR="00C5027E">
              <w:rPr>
                <w:rFonts w:ascii="Arial" w:hAnsi="Arial" w:cs="Arial"/>
                <w:sz w:val="16"/>
                <w:szCs w:val="16"/>
                <w:lang w:eastAsia="en-US"/>
              </w:rPr>
              <w:t xml:space="preserve"> </w:t>
            </w:r>
            <w:r>
              <w:rPr>
                <w:rFonts w:ascii="Arial" w:hAnsi="Arial" w:cs="Arial"/>
                <w:sz w:val="16"/>
                <w:szCs w:val="16"/>
                <w:lang w:eastAsia="en-US"/>
              </w:rPr>
              <w:t>(</w:t>
            </w:r>
            <w:r w:rsidR="004D3A5D" w:rsidRPr="004D3A5D">
              <w:rPr>
                <w:rFonts w:ascii="Arial" w:hAnsi="Arial" w:cs="Arial"/>
                <w:sz w:val="16"/>
                <w:szCs w:val="16"/>
                <w:lang w:eastAsia="en-US"/>
              </w:rPr>
              <w:t>continued)</w:t>
            </w:r>
          </w:p>
          <w:p w14:paraId="3A94D9CE" w14:textId="77777777" w:rsidR="00D02B52" w:rsidRPr="004E15D3" w:rsidRDefault="00D02B52" w:rsidP="00674B58">
            <w:pPr>
              <w:tabs>
                <w:tab w:val="left" w:pos="709"/>
              </w:tabs>
              <w:spacing w:before="60" w:after="60" w:line="240" w:lineRule="auto"/>
              <w:rPr>
                <w:rFonts w:ascii="Arial" w:hAnsi="Arial" w:cs="Arial"/>
                <w:sz w:val="16"/>
                <w:szCs w:val="16"/>
              </w:rPr>
            </w:pPr>
          </w:p>
        </w:tc>
        <w:tc>
          <w:tcPr>
            <w:tcW w:w="2289" w:type="dxa"/>
            <w:tcBorders>
              <w:top w:val="single" w:sz="4" w:space="0" w:color="auto"/>
              <w:left w:val="single" w:sz="4" w:space="0" w:color="auto"/>
              <w:bottom w:val="dotted" w:sz="4" w:space="0" w:color="auto"/>
              <w:right w:val="single" w:sz="4" w:space="0" w:color="auto"/>
            </w:tcBorders>
          </w:tcPr>
          <w:p w14:paraId="7B7474F2" w14:textId="77777777" w:rsidR="00D02B52" w:rsidRPr="004E2B22" w:rsidRDefault="00D02B52" w:rsidP="00674B58">
            <w:pPr>
              <w:tabs>
                <w:tab w:val="left" w:pos="709"/>
              </w:tabs>
              <w:autoSpaceDE w:val="0"/>
              <w:autoSpaceDN w:val="0"/>
              <w:adjustRightInd w:val="0"/>
              <w:spacing w:before="60" w:after="60" w:line="240" w:lineRule="auto"/>
              <w:rPr>
                <w:rFonts w:ascii="Arial" w:hAnsi="Arial" w:cs="Arial"/>
                <w:b/>
                <w:sz w:val="16"/>
                <w:szCs w:val="16"/>
              </w:rPr>
            </w:pPr>
            <w:r w:rsidRPr="004E2B22">
              <w:rPr>
                <w:rFonts w:ascii="Arial" w:hAnsi="Arial" w:cs="Arial"/>
                <w:b/>
                <w:sz w:val="16"/>
                <w:szCs w:val="16"/>
              </w:rPr>
              <w:t>Promote efficient, financially sustainable and sound governance</w:t>
            </w:r>
          </w:p>
          <w:p w14:paraId="3DB76233" w14:textId="77777777" w:rsidR="00D02B52" w:rsidRPr="00C33F82" w:rsidRDefault="00D02B52" w:rsidP="00674B58">
            <w:pPr>
              <w:autoSpaceDE w:val="0"/>
              <w:autoSpaceDN w:val="0"/>
              <w:adjustRightInd w:val="0"/>
              <w:spacing w:before="60" w:after="60" w:line="240" w:lineRule="auto"/>
              <w:contextualSpacing/>
              <w:rPr>
                <w:rFonts w:ascii="Arial" w:hAnsi="Arial" w:cs="Arial"/>
                <w:i/>
                <w:iCs/>
                <w:sz w:val="18"/>
                <w:szCs w:val="18"/>
              </w:rPr>
            </w:pPr>
            <w:r w:rsidRPr="004E2B22">
              <w:rPr>
                <w:rFonts w:ascii="Arial" w:hAnsi="Arial" w:cs="Arial"/>
                <w:sz w:val="16"/>
                <w:szCs w:val="16"/>
              </w:rPr>
              <w:t>Continue to encourage ongoing efficiency and financial sustainability in GBEs, including to facilitate and monitor GBE delivery of Government’s key infrastructure priorities, including Western Sydney Airport, Inland Rail, intermodal terminals, Snowy Hydro and naval shipbuilding</w:t>
            </w:r>
            <w:r w:rsidRPr="004E2B22">
              <w:rPr>
                <w:rFonts w:ascii="Arial" w:hAnsi="Arial" w:cs="Arial"/>
                <w:b/>
                <w:sz w:val="16"/>
                <w:szCs w:val="16"/>
              </w:rPr>
              <w:t>.</w:t>
            </w:r>
          </w:p>
        </w:tc>
        <w:tc>
          <w:tcPr>
            <w:tcW w:w="4092" w:type="dxa"/>
            <w:tcBorders>
              <w:top w:val="single" w:sz="4" w:space="0" w:color="auto"/>
              <w:left w:val="single" w:sz="4" w:space="0" w:color="auto"/>
              <w:bottom w:val="dotted" w:sz="4" w:space="0" w:color="auto"/>
              <w:right w:val="single" w:sz="4" w:space="0" w:color="auto"/>
            </w:tcBorders>
          </w:tcPr>
          <w:p w14:paraId="6F5AC510" w14:textId="0D09DFC1" w:rsidR="00D02B52" w:rsidRPr="004E2B22" w:rsidRDefault="00D02B52" w:rsidP="00674B58">
            <w:pPr>
              <w:autoSpaceDE w:val="0"/>
              <w:autoSpaceDN w:val="0"/>
              <w:adjustRightInd w:val="0"/>
              <w:spacing w:before="60" w:after="60" w:line="240" w:lineRule="auto"/>
              <w:rPr>
                <w:rFonts w:ascii="Arial" w:hAnsi="Arial" w:cs="Arial"/>
                <w:sz w:val="16"/>
                <w:szCs w:val="16"/>
              </w:rPr>
            </w:pPr>
            <w:r w:rsidRPr="004E2B22">
              <w:rPr>
                <w:rFonts w:ascii="Arial" w:hAnsi="Arial" w:cs="Arial"/>
                <w:sz w:val="16"/>
                <w:szCs w:val="16"/>
              </w:rPr>
              <w:t xml:space="preserve">GBEs operate efficiently, maintain a commercial focus and manage the longer-term financial and operational sustainability of the entity. </w:t>
            </w:r>
          </w:p>
          <w:p w14:paraId="2511EB1E" w14:textId="0C52EA80" w:rsidR="00D02B52" w:rsidRPr="004E2B22" w:rsidRDefault="00D02B52" w:rsidP="00674B58">
            <w:pPr>
              <w:autoSpaceDE w:val="0"/>
              <w:autoSpaceDN w:val="0"/>
              <w:adjustRightInd w:val="0"/>
              <w:spacing w:before="60" w:after="60" w:line="240" w:lineRule="auto"/>
              <w:rPr>
                <w:rFonts w:ascii="Arial" w:hAnsi="Arial" w:cs="Arial"/>
                <w:sz w:val="16"/>
                <w:szCs w:val="16"/>
              </w:rPr>
            </w:pPr>
            <w:r w:rsidRPr="004E2B22">
              <w:rPr>
                <w:rFonts w:ascii="Arial" w:hAnsi="Arial" w:cs="Arial"/>
                <w:sz w:val="16"/>
                <w:szCs w:val="16"/>
              </w:rPr>
              <w:t xml:space="preserve">GBE corporate plans comply with GBE guidelines and provide sufficient information to permit performance and financial reporting and monitoring. This includes timely reporting to ministers and government on progress of key projects and proactive reporting on emerging issues. </w:t>
            </w:r>
          </w:p>
          <w:p w14:paraId="3B759B0A" w14:textId="77777777" w:rsidR="00D02B52" w:rsidRPr="00C33F82" w:rsidRDefault="00D02B52" w:rsidP="00674B58">
            <w:pPr>
              <w:tabs>
                <w:tab w:val="left" w:pos="709"/>
              </w:tabs>
              <w:spacing w:before="60" w:after="60" w:line="240" w:lineRule="auto"/>
              <w:rPr>
                <w:rFonts w:ascii="Arial" w:hAnsi="Arial" w:cs="Arial"/>
                <w:i/>
                <w:iCs/>
                <w:sz w:val="18"/>
                <w:szCs w:val="18"/>
              </w:rPr>
            </w:pPr>
            <w:r w:rsidRPr="004E2B22">
              <w:rPr>
                <w:rFonts w:ascii="Arial" w:hAnsi="Arial" w:cs="Arial"/>
                <w:sz w:val="16"/>
                <w:szCs w:val="16"/>
              </w:rPr>
              <w:t>Ensure GBE and project governance is fit for purpose including through the establishment of governance documents such as statements of expectations, commercial freedoms frameworks and funding agreements.</w:t>
            </w:r>
          </w:p>
        </w:tc>
      </w:tr>
      <w:tr w:rsidR="00D02B52" w:rsidRPr="00D82E0C" w14:paraId="6ABDC1CF" w14:textId="77777777" w:rsidTr="00674B58">
        <w:trPr>
          <w:trHeight w:val="100"/>
        </w:trPr>
        <w:tc>
          <w:tcPr>
            <w:tcW w:w="1414" w:type="dxa"/>
            <w:tcBorders>
              <w:top w:val="dotted" w:sz="4" w:space="0" w:color="auto"/>
              <w:left w:val="single" w:sz="4" w:space="0" w:color="auto"/>
              <w:bottom w:val="single" w:sz="4" w:space="0" w:color="auto"/>
              <w:right w:val="single" w:sz="4" w:space="0" w:color="auto"/>
            </w:tcBorders>
          </w:tcPr>
          <w:p w14:paraId="1E0A40D2" w14:textId="77777777" w:rsidR="00716574" w:rsidRDefault="00D02B52" w:rsidP="00716574">
            <w:pPr>
              <w:tabs>
                <w:tab w:val="left" w:pos="709"/>
              </w:tabs>
              <w:spacing w:before="60" w:after="60" w:line="240" w:lineRule="auto"/>
              <w:rPr>
                <w:rFonts w:ascii="Arial" w:hAnsi="Arial" w:cs="Arial"/>
                <w:sz w:val="16"/>
                <w:szCs w:val="16"/>
                <w:lang w:eastAsia="en-US"/>
              </w:rPr>
            </w:pPr>
            <w:r w:rsidRPr="00370F86">
              <w:rPr>
                <w:rFonts w:ascii="Arial" w:hAnsi="Arial" w:cs="Arial"/>
                <w:sz w:val="16"/>
                <w:szCs w:val="16"/>
                <w:lang w:eastAsia="en-US"/>
              </w:rPr>
              <w:t xml:space="preserve">Forward Estimates </w:t>
            </w:r>
          </w:p>
          <w:p w14:paraId="3992ED25" w14:textId="7F954F25" w:rsidR="00D02B52" w:rsidRPr="00370F86" w:rsidRDefault="00D02B52" w:rsidP="00716574">
            <w:pPr>
              <w:tabs>
                <w:tab w:val="left" w:pos="709"/>
              </w:tabs>
              <w:spacing w:before="60" w:after="60" w:line="240" w:lineRule="auto"/>
              <w:rPr>
                <w:rFonts w:ascii="Arial" w:hAnsi="Arial" w:cs="Arial"/>
                <w:sz w:val="16"/>
                <w:szCs w:val="16"/>
                <w:lang w:eastAsia="en-US"/>
              </w:rPr>
            </w:pPr>
            <w:r w:rsidRPr="00370F86">
              <w:rPr>
                <w:rFonts w:ascii="Arial" w:hAnsi="Arial" w:cs="Arial"/>
                <w:sz w:val="16"/>
                <w:szCs w:val="16"/>
                <w:lang w:eastAsia="en-US"/>
              </w:rPr>
              <w:t>2023-26</w:t>
            </w:r>
          </w:p>
        </w:tc>
        <w:tc>
          <w:tcPr>
            <w:tcW w:w="2289" w:type="dxa"/>
            <w:tcBorders>
              <w:top w:val="dotted" w:sz="4" w:space="0" w:color="auto"/>
              <w:left w:val="single" w:sz="4" w:space="0" w:color="auto"/>
              <w:bottom w:val="single" w:sz="4" w:space="0" w:color="auto"/>
              <w:right w:val="single" w:sz="4" w:space="0" w:color="auto"/>
            </w:tcBorders>
          </w:tcPr>
          <w:p w14:paraId="54A07CA2" w14:textId="77777777" w:rsidR="00D02B52" w:rsidRPr="00370F86" w:rsidRDefault="00D02B52" w:rsidP="00674B58">
            <w:pPr>
              <w:tabs>
                <w:tab w:val="left" w:pos="709"/>
              </w:tabs>
              <w:suppressAutoHyphens/>
              <w:spacing w:before="60" w:after="60" w:line="240" w:lineRule="auto"/>
              <w:rPr>
                <w:rFonts w:ascii="Arial" w:eastAsia="Arial" w:hAnsi="Arial" w:cs="Arial"/>
                <w:bCs/>
                <w:sz w:val="16"/>
                <w:szCs w:val="16"/>
              </w:rPr>
            </w:pPr>
            <w:r>
              <w:rPr>
                <w:rFonts w:ascii="Arial" w:eastAsia="Arial" w:hAnsi="Arial" w:cs="Arial"/>
                <w:bCs/>
                <w:sz w:val="16"/>
                <w:szCs w:val="16"/>
              </w:rPr>
              <w:t>As per 2022-23</w:t>
            </w:r>
          </w:p>
        </w:tc>
        <w:tc>
          <w:tcPr>
            <w:tcW w:w="4092" w:type="dxa"/>
            <w:tcBorders>
              <w:top w:val="dotted" w:sz="4" w:space="0" w:color="auto"/>
              <w:left w:val="single" w:sz="4" w:space="0" w:color="auto"/>
              <w:bottom w:val="single" w:sz="4" w:space="0" w:color="auto"/>
              <w:right w:val="single" w:sz="4" w:space="0" w:color="auto"/>
            </w:tcBorders>
          </w:tcPr>
          <w:p w14:paraId="2BDA24AD" w14:textId="77777777" w:rsidR="00D02B52" w:rsidRPr="00370F86" w:rsidRDefault="00D02B52" w:rsidP="00674B58">
            <w:pPr>
              <w:autoSpaceDE w:val="0"/>
              <w:autoSpaceDN w:val="0"/>
              <w:adjustRightInd w:val="0"/>
              <w:spacing w:before="60" w:after="60" w:line="240" w:lineRule="auto"/>
              <w:rPr>
                <w:rFonts w:ascii="Arial" w:hAnsi="Arial" w:cs="Arial"/>
                <w:sz w:val="16"/>
                <w:szCs w:val="16"/>
              </w:rPr>
            </w:pPr>
            <w:r>
              <w:rPr>
                <w:rFonts w:ascii="Arial" w:hAnsi="Arial" w:cs="Arial"/>
                <w:sz w:val="16"/>
                <w:szCs w:val="16"/>
              </w:rPr>
              <w:t>As per 2022-23</w:t>
            </w:r>
          </w:p>
        </w:tc>
      </w:tr>
      <w:tr w:rsidR="00D02B52" w:rsidRPr="00D82E0C" w14:paraId="6557DD5C" w14:textId="77777777" w:rsidTr="00674B58">
        <w:trPr>
          <w:trHeight w:val="291"/>
        </w:trPr>
        <w:tc>
          <w:tcPr>
            <w:tcW w:w="7795" w:type="dxa"/>
            <w:gridSpan w:val="3"/>
          </w:tcPr>
          <w:p w14:paraId="0CC10E8D" w14:textId="77777777" w:rsidR="00D02B52" w:rsidRPr="00D82E0C" w:rsidRDefault="00D02B52" w:rsidP="00674B58">
            <w:pPr>
              <w:tabs>
                <w:tab w:val="left" w:pos="709"/>
              </w:tabs>
              <w:spacing w:before="60" w:after="60"/>
              <w:rPr>
                <w:rFonts w:ascii="Arial" w:eastAsia="Cambria" w:hAnsi="Arial" w:cs="Arial"/>
                <w:spacing w:val="-6"/>
                <w:sz w:val="16"/>
                <w:szCs w:val="16"/>
              </w:rPr>
            </w:pPr>
            <w:r>
              <w:rPr>
                <w:rFonts w:ascii="Arial" w:eastAsia="Cambria" w:hAnsi="Arial" w:cs="Arial"/>
                <w:spacing w:val="-6"/>
                <w:sz w:val="16"/>
                <w:szCs w:val="16"/>
              </w:rPr>
              <w:t>Material changes to Program 2</w:t>
            </w:r>
            <w:r w:rsidRPr="003D4CD3">
              <w:rPr>
                <w:rFonts w:ascii="Arial" w:eastAsia="Cambria" w:hAnsi="Arial" w:cs="Arial"/>
                <w:spacing w:val="-6"/>
                <w:sz w:val="16"/>
                <w:szCs w:val="16"/>
              </w:rPr>
              <w:t>.1 resulting from October 2022-23 Budget Measures: Nil</w:t>
            </w:r>
          </w:p>
        </w:tc>
      </w:tr>
    </w:tbl>
    <w:p w14:paraId="601AEEE0" w14:textId="01627061" w:rsidR="00CC6CF9" w:rsidRDefault="00CC6CF9" w:rsidP="00C8474A">
      <w:pPr>
        <w:pStyle w:val="ChartandTableFootnoteAlpha"/>
        <w:numPr>
          <w:ilvl w:val="0"/>
          <w:numId w:val="73"/>
        </w:numPr>
        <w:spacing w:before="60"/>
        <w:ind w:left="284" w:hanging="284"/>
        <w:rPr>
          <w:lang w:eastAsia="x-none"/>
        </w:rPr>
      </w:pPr>
      <w:r w:rsidRPr="00CC65C0">
        <w:rPr>
          <w:lang w:eastAsia="x-none"/>
        </w:rPr>
        <w:t>Refers to updated key activities th</w:t>
      </w:r>
      <w:r>
        <w:rPr>
          <w:lang w:eastAsia="x-none"/>
        </w:rPr>
        <w:t>at will be reflected in the 2022-23</w:t>
      </w:r>
      <w:r w:rsidRPr="00CC65C0">
        <w:rPr>
          <w:lang w:eastAsia="x-none"/>
        </w:rPr>
        <w:t xml:space="preserve"> Corporate Plan</w:t>
      </w:r>
      <w:r>
        <w:rPr>
          <w:lang w:eastAsia="x-none"/>
        </w:rPr>
        <w:t>.</w:t>
      </w:r>
    </w:p>
    <w:p w14:paraId="499FC494" w14:textId="77777777" w:rsidR="00CC6CF9" w:rsidRPr="00CC6CF9" w:rsidRDefault="00CC6CF9" w:rsidP="00C8474A">
      <w:pPr>
        <w:pStyle w:val="ChartandTableFootnoteAlpha"/>
        <w:numPr>
          <w:ilvl w:val="0"/>
          <w:numId w:val="73"/>
        </w:numPr>
        <w:spacing w:before="60"/>
        <w:ind w:left="284" w:hanging="284"/>
        <w:rPr>
          <w:lang w:eastAsia="x-none"/>
        </w:rPr>
      </w:pPr>
      <w:r w:rsidRPr="001B2F81">
        <w:rPr>
          <w:lang w:eastAsia="x-none"/>
        </w:rPr>
        <w:t xml:space="preserve">New or modified performance </w:t>
      </w:r>
      <w:r w:rsidRPr="00E12264">
        <w:rPr>
          <w:lang w:eastAsia="x-none"/>
        </w:rPr>
        <w:t>measures</w:t>
      </w:r>
      <w:r w:rsidRPr="001B2F81">
        <w:rPr>
          <w:lang w:eastAsia="x-none"/>
        </w:rPr>
        <w:t xml:space="preserve"> that reflect new or materially changed programs are shown in </w:t>
      </w:r>
      <w:r w:rsidRPr="005B6A94">
        <w:rPr>
          <w:lang w:eastAsia="x-none"/>
        </w:rPr>
        <w:t>italics.</w:t>
      </w:r>
    </w:p>
    <w:p w14:paraId="387DF6FB" w14:textId="77777777" w:rsidR="00CC6CF9" w:rsidRPr="00CC6CF9" w:rsidRDefault="00CC6CF9" w:rsidP="00CC6CF9">
      <w:pPr>
        <w:rPr>
          <w:lang w:eastAsia="x-none"/>
        </w:rPr>
      </w:pPr>
    </w:p>
    <w:p w14:paraId="2239E127" w14:textId="5C176F20" w:rsidR="00F0167C" w:rsidRDefault="00F0167C" w:rsidP="00F0167C">
      <w:pPr>
        <w:spacing w:after="0" w:line="240" w:lineRule="auto"/>
      </w:pPr>
      <w:r>
        <w:br w:type="page"/>
      </w:r>
    </w:p>
    <w:p w14:paraId="2239E128" w14:textId="77777777" w:rsidR="00F0167C" w:rsidRDefault="00F0167C" w:rsidP="00F0167C">
      <w:pPr>
        <w:pStyle w:val="TableHeading"/>
      </w:pPr>
      <w:r>
        <w:lastRenderedPageBreak/>
        <w:t>Table 2.2</w:t>
      </w:r>
      <w:r w:rsidRPr="00F71634">
        <w:t>.</w:t>
      </w:r>
      <w:r>
        <w:t>2</w:t>
      </w:r>
      <w:r w:rsidRPr="00F71634">
        <w:t xml:space="preserve">: Performance </w:t>
      </w:r>
      <w:r w:rsidRPr="00026D37">
        <w:t>measure</w:t>
      </w:r>
      <w:r w:rsidRPr="00F71634">
        <w:t xml:space="preserve"> </w:t>
      </w:r>
      <w:r>
        <w:t>for Outcome 2</w:t>
      </w:r>
      <w:r w:rsidRPr="00413DBF">
        <w:t xml:space="preserve"> (continued)</w:t>
      </w:r>
    </w:p>
    <w:tbl>
      <w:tblPr>
        <w:tblpPr w:leftFromText="180" w:rightFromText="180" w:vertAnchor="text" w:tblpY="1"/>
        <w:tblOverlap w:val="neve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90"/>
        <w:gridCol w:w="4091"/>
      </w:tblGrid>
      <w:tr w:rsidR="003C7740" w:rsidRPr="00ED5B0C" w14:paraId="2CEC0F65" w14:textId="77777777" w:rsidTr="000408A3">
        <w:trPr>
          <w:trHeight w:val="527"/>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0B9C92A5" w14:textId="77777777" w:rsidR="003C7740" w:rsidRPr="00ED5B0C" w:rsidRDefault="003C7740" w:rsidP="00386A06">
            <w:pPr>
              <w:tabs>
                <w:tab w:val="left" w:pos="709"/>
              </w:tabs>
              <w:spacing w:before="60" w:after="60" w:line="240" w:lineRule="auto"/>
              <w:rPr>
                <w:rFonts w:ascii="Arial" w:eastAsia="Arial" w:hAnsi="Arial" w:cs="Arial"/>
                <w:b/>
                <w:sz w:val="16"/>
                <w:szCs w:val="16"/>
              </w:rPr>
            </w:pPr>
            <w:r w:rsidRPr="00ED5B0C">
              <w:rPr>
                <w:rFonts w:ascii="Arial" w:eastAsia="Arial" w:hAnsi="Arial" w:cs="Arial"/>
                <w:b/>
                <w:sz w:val="16"/>
                <w:szCs w:val="16"/>
              </w:rPr>
              <w:t xml:space="preserve">Program 2.2- Transforming Government </w:t>
            </w:r>
          </w:p>
          <w:p w14:paraId="10B28D86" w14:textId="77777777" w:rsidR="003C7740" w:rsidRPr="00ED5B0C" w:rsidRDefault="003C7740" w:rsidP="00386A06">
            <w:pPr>
              <w:tabs>
                <w:tab w:val="left" w:pos="709"/>
              </w:tabs>
              <w:spacing w:before="60" w:after="60" w:line="240" w:lineRule="auto"/>
              <w:rPr>
                <w:rFonts w:ascii="Arial" w:hAnsi="Arial" w:cs="Arial"/>
                <w:sz w:val="16"/>
                <w:szCs w:val="16"/>
              </w:rPr>
            </w:pPr>
            <w:r w:rsidRPr="00ED5B0C">
              <w:rPr>
                <w:rFonts w:ascii="Arial" w:eastAsia="Arial" w:hAnsi="Arial" w:cs="Arial"/>
                <w:sz w:val="16"/>
                <w:szCs w:val="16"/>
              </w:rPr>
              <w:t>This program contributes to the outcome by providing leadership in the development and delivery of reforms and initiatives that support the modernisation of government and increase public sector productivity.</w:t>
            </w:r>
          </w:p>
        </w:tc>
      </w:tr>
      <w:tr w:rsidR="003C7740" w:rsidRPr="00361E69" w14:paraId="15EACC73" w14:textId="77777777" w:rsidTr="000408A3">
        <w:trPr>
          <w:trHeight w:val="567"/>
        </w:trPr>
        <w:tc>
          <w:tcPr>
            <w:tcW w:w="1414" w:type="dxa"/>
            <w:tcBorders>
              <w:bottom w:val="double" w:sz="4" w:space="0" w:color="auto"/>
            </w:tcBorders>
          </w:tcPr>
          <w:p w14:paraId="771754A1" w14:textId="04109AEF" w:rsidR="003C7740" w:rsidRPr="00361E69" w:rsidRDefault="003C7740" w:rsidP="00386A06">
            <w:pPr>
              <w:tabs>
                <w:tab w:val="left" w:pos="709"/>
              </w:tabs>
              <w:spacing w:before="60" w:after="60" w:line="240" w:lineRule="auto"/>
              <w:rPr>
                <w:rFonts w:ascii="Arial" w:hAnsi="Arial" w:cs="Arial"/>
                <w:b/>
                <w:bCs/>
                <w:sz w:val="16"/>
                <w:szCs w:val="16"/>
              </w:rPr>
            </w:pPr>
            <w:r w:rsidRPr="00222F4D">
              <w:rPr>
                <w:rFonts w:ascii="Arial" w:hAnsi="Arial" w:cs="Arial"/>
                <w:b/>
                <w:bCs/>
                <w:sz w:val="16"/>
                <w:szCs w:val="16"/>
              </w:rPr>
              <w:t>Key Activities (a)</w:t>
            </w:r>
            <w:r w:rsidR="00CC6CF9">
              <w:rPr>
                <w:rFonts w:ascii="Arial" w:hAnsi="Arial" w:cs="Arial"/>
                <w:b/>
                <w:bCs/>
                <w:sz w:val="16"/>
                <w:szCs w:val="16"/>
              </w:rPr>
              <w:t>(b)</w:t>
            </w:r>
          </w:p>
        </w:tc>
        <w:tc>
          <w:tcPr>
            <w:tcW w:w="6381" w:type="dxa"/>
            <w:gridSpan w:val="2"/>
            <w:tcBorders>
              <w:bottom w:val="double" w:sz="4" w:space="0" w:color="auto"/>
            </w:tcBorders>
          </w:tcPr>
          <w:p w14:paraId="55169481" w14:textId="77777777" w:rsidR="003C7740" w:rsidRPr="00222F4D" w:rsidRDefault="003C7740" w:rsidP="00386A06">
            <w:pPr>
              <w:tabs>
                <w:tab w:val="left" w:pos="709"/>
              </w:tabs>
              <w:spacing w:before="60" w:after="60" w:line="240" w:lineRule="auto"/>
              <w:rPr>
                <w:rFonts w:ascii="Arial" w:hAnsi="Arial" w:cs="Arial"/>
                <w:b/>
                <w:sz w:val="16"/>
                <w:szCs w:val="16"/>
              </w:rPr>
            </w:pPr>
            <w:r w:rsidRPr="00222F4D">
              <w:rPr>
                <w:rFonts w:ascii="Arial" w:hAnsi="Arial" w:cs="Arial"/>
                <w:b/>
                <w:sz w:val="16"/>
                <w:szCs w:val="16"/>
              </w:rPr>
              <w:t>Modernise the APS through ICT projects</w:t>
            </w:r>
          </w:p>
          <w:p w14:paraId="5E4C07FB" w14:textId="77777777" w:rsidR="003C7740" w:rsidRPr="00222F4D" w:rsidRDefault="003C7740" w:rsidP="00386A06">
            <w:pPr>
              <w:tabs>
                <w:tab w:val="left" w:pos="709"/>
              </w:tabs>
              <w:spacing w:before="60" w:after="60" w:line="240" w:lineRule="auto"/>
              <w:rPr>
                <w:rFonts w:ascii="Arial" w:hAnsi="Arial" w:cs="Arial"/>
                <w:sz w:val="16"/>
                <w:szCs w:val="16"/>
              </w:rPr>
            </w:pPr>
            <w:r w:rsidRPr="00222F4D">
              <w:rPr>
                <w:rFonts w:ascii="Arial" w:hAnsi="Arial" w:cs="Arial"/>
                <w:sz w:val="16"/>
                <w:szCs w:val="16"/>
              </w:rPr>
              <w:t>Undertaking ICT development projects to support the modernisation of the APS.</w:t>
            </w:r>
          </w:p>
          <w:p w14:paraId="57B6CCBE" w14:textId="77777777" w:rsidR="003959E6" w:rsidRDefault="003959E6" w:rsidP="00386A06">
            <w:pPr>
              <w:tabs>
                <w:tab w:val="left" w:pos="709"/>
              </w:tabs>
              <w:spacing w:before="60" w:after="60" w:line="240" w:lineRule="auto"/>
              <w:rPr>
                <w:rFonts w:ascii="Arial" w:hAnsi="Arial" w:cs="Arial"/>
                <w:b/>
                <w:sz w:val="16"/>
                <w:szCs w:val="16"/>
              </w:rPr>
            </w:pPr>
          </w:p>
          <w:p w14:paraId="600E7926" w14:textId="11C1ED3C" w:rsidR="003C7740" w:rsidRPr="00222F4D" w:rsidRDefault="003C7740" w:rsidP="00386A06">
            <w:pPr>
              <w:tabs>
                <w:tab w:val="left" w:pos="709"/>
              </w:tabs>
              <w:spacing w:before="60" w:after="60" w:line="240" w:lineRule="auto"/>
              <w:rPr>
                <w:rFonts w:ascii="Arial" w:hAnsi="Arial" w:cs="Arial"/>
                <w:b/>
                <w:sz w:val="16"/>
                <w:szCs w:val="16"/>
              </w:rPr>
            </w:pPr>
            <w:r w:rsidRPr="00222F4D">
              <w:rPr>
                <w:rFonts w:ascii="Arial" w:hAnsi="Arial" w:cs="Arial"/>
                <w:b/>
                <w:sz w:val="16"/>
                <w:szCs w:val="16"/>
              </w:rPr>
              <w:t>Support better availability and use of Australian Government data for public benefit</w:t>
            </w:r>
          </w:p>
          <w:p w14:paraId="264A92B4" w14:textId="38674C83" w:rsidR="003C7740" w:rsidRPr="00361E69" w:rsidRDefault="003C7740" w:rsidP="00D0147F">
            <w:pPr>
              <w:tabs>
                <w:tab w:val="left" w:pos="709"/>
              </w:tabs>
              <w:spacing w:before="60" w:after="60" w:line="240" w:lineRule="auto"/>
              <w:rPr>
                <w:rFonts w:ascii="Arial" w:hAnsi="Arial" w:cs="Arial"/>
                <w:i/>
                <w:sz w:val="16"/>
                <w:szCs w:val="16"/>
              </w:rPr>
            </w:pPr>
            <w:r w:rsidRPr="00222F4D">
              <w:rPr>
                <w:rFonts w:ascii="Arial" w:hAnsi="Arial" w:cs="Arial"/>
                <w:sz w:val="16"/>
                <w:szCs w:val="16"/>
              </w:rPr>
              <w:t xml:space="preserve">Implement the Data Availability and </w:t>
            </w:r>
            <w:r w:rsidRPr="00D0147F">
              <w:rPr>
                <w:rFonts w:ascii="Arial" w:hAnsi="Arial" w:cs="Arial"/>
                <w:sz w:val="16"/>
                <w:szCs w:val="16"/>
              </w:rPr>
              <w:t>Transparency</w:t>
            </w:r>
            <w:r w:rsidR="00D0147F" w:rsidRPr="00D0147F">
              <w:rPr>
                <w:rFonts w:ascii="Arial" w:hAnsi="Arial" w:cs="Arial"/>
                <w:sz w:val="16"/>
                <w:szCs w:val="16"/>
              </w:rPr>
              <w:t xml:space="preserve"> Act</w:t>
            </w:r>
            <w:r w:rsidRPr="00222F4D">
              <w:rPr>
                <w:rFonts w:ascii="Arial" w:hAnsi="Arial" w:cs="Arial"/>
                <w:i/>
                <w:sz w:val="16"/>
                <w:szCs w:val="16"/>
              </w:rPr>
              <w:t xml:space="preserve"> </w:t>
            </w:r>
            <w:r w:rsidRPr="00D0147F">
              <w:rPr>
                <w:rFonts w:ascii="Arial" w:hAnsi="Arial" w:cs="Arial"/>
                <w:sz w:val="16"/>
                <w:szCs w:val="16"/>
              </w:rPr>
              <w:t>(DATA Scheme) and steer whole-of-government data policy.</w:t>
            </w:r>
          </w:p>
        </w:tc>
      </w:tr>
      <w:tr w:rsidR="003C7740" w:rsidRPr="00361E69" w14:paraId="043C1616" w14:textId="77777777" w:rsidTr="000408A3">
        <w:trPr>
          <w:trHeight w:val="312"/>
        </w:trPr>
        <w:tc>
          <w:tcPr>
            <w:tcW w:w="1414" w:type="dxa"/>
            <w:tcBorders>
              <w:top w:val="double" w:sz="4" w:space="0" w:color="auto"/>
              <w:bottom w:val="single" w:sz="4" w:space="0" w:color="auto"/>
              <w:right w:val="single" w:sz="4" w:space="0" w:color="auto"/>
            </w:tcBorders>
            <w:shd w:val="clear" w:color="auto" w:fill="auto"/>
          </w:tcPr>
          <w:p w14:paraId="6BB20F12" w14:textId="77777777" w:rsidR="003C7740" w:rsidRPr="00361E69" w:rsidRDefault="003C7740" w:rsidP="00386A06">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Year</w:t>
            </w:r>
          </w:p>
        </w:tc>
        <w:tc>
          <w:tcPr>
            <w:tcW w:w="2290" w:type="dxa"/>
            <w:tcBorders>
              <w:top w:val="double" w:sz="4" w:space="0" w:color="auto"/>
              <w:left w:val="single" w:sz="4" w:space="0" w:color="auto"/>
              <w:bottom w:val="single" w:sz="4" w:space="0" w:color="auto"/>
              <w:right w:val="single" w:sz="4" w:space="0" w:color="auto"/>
            </w:tcBorders>
            <w:shd w:val="clear" w:color="auto" w:fill="auto"/>
          </w:tcPr>
          <w:p w14:paraId="28F927B1" w14:textId="77777777" w:rsidR="003C7740" w:rsidRPr="00361E69" w:rsidRDefault="003C7740" w:rsidP="00386A06">
            <w:pPr>
              <w:tabs>
                <w:tab w:val="left" w:pos="709"/>
                <w:tab w:val="center" w:pos="1818"/>
              </w:tabs>
              <w:spacing w:before="60" w:after="60" w:line="240" w:lineRule="auto"/>
              <w:rPr>
                <w:rFonts w:ascii="Arial" w:hAnsi="Arial" w:cs="Arial"/>
                <w:b/>
                <w:bCs/>
                <w:sz w:val="16"/>
                <w:szCs w:val="16"/>
              </w:rPr>
            </w:pPr>
            <w:r w:rsidRPr="1362A57E">
              <w:rPr>
                <w:rFonts w:ascii="Arial" w:hAnsi="Arial" w:cs="Arial"/>
                <w:b/>
                <w:bCs/>
                <w:sz w:val="16"/>
                <w:szCs w:val="16"/>
              </w:rPr>
              <w:t>Performance measures</w:t>
            </w:r>
          </w:p>
        </w:tc>
        <w:tc>
          <w:tcPr>
            <w:tcW w:w="4091" w:type="dxa"/>
            <w:tcBorders>
              <w:top w:val="double" w:sz="4" w:space="0" w:color="auto"/>
              <w:left w:val="single" w:sz="4" w:space="0" w:color="auto"/>
              <w:bottom w:val="single" w:sz="4" w:space="0" w:color="auto"/>
            </w:tcBorders>
            <w:shd w:val="clear" w:color="auto" w:fill="auto"/>
          </w:tcPr>
          <w:p w14:paraId="79747868" w14:textId="77777777" w:rsidR="003C7740" w:rsidRPr="00361E69" w:rsidRDefault="003C7740" w:rsidP="00386A06">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Expected Performance Results</w:t>
            </w:r>
          </w:p>
        </w:tc>
      </w:tr>
      <w:tr w:rsidR="003C7740" w:rsidRPr="009415D5" w14:paraId="038A01DF" w14:textId="77777777" w:rsidTr="000408A3">
        <w:trPr>
          <w:trHeight w:val="1999"/>
        </w:trPr>
        <w:tc>
          <w:tcPr>
            <w:tcW w:w="1414" w:type="dxa"/>
            <w:tcBorders>
              <w:top w:val="single" w:sz="4" w:space="0" w:color="auto"/>
              <w:left w:val="single" w:sz="4" w:space="0" w:color="auto"/>
              <w:bottom w:val="single" w:sz="4" w:space="0" w:color="auto"/>
              <w:right w:val="single" w:sz="4" w:space="0" w:color="auto"/>
            </w:tcBorders>
            <w:shd w:val="clear" w:color="auto" w:fill="auto"/>
          </w:tcPr>
          <w:p w14:paraId="1027F77A" w14:textId="77777777" w:rsidR="003C7740" w:rsidRPr="005612F7" w:rsidRDefault="003C7740" w:rsidP="00386A06">
            <w:pPr>
              <w:pStyle w:val="TableTextLeft"/>
              <w:spacing w:before="60" w:after="60"/>
              <w:rPr>
                <w:rFonts w:cs="Arial"/>
                <w:szCs w:val="16"/>
              </w:rPr>
            </w:pPr>
            <w:r w:rsidRPr="005612F7">
              <w:rPr>
                <w:rFonts w:cs="Arial"/>
                <w:szCs w:val="16"/>
              </w:rPr>
              <w:t xml:space="preserve">Prior year </w:t>
            </w:r>
          </w:p>
          <w:p w14:paraId="09E310D8" w14:textId="77777777" w:rsidR="003C7740" w:rsidRPr="00361E69" w:rsidRDefault="003C7740" w:rsidP="00386A06">
            <w:pPr>
              <w:pStyle w:val="TableTextLeft"/>
              <w:spacing w:before="60" w:after="60"/>
              <w:rPr>
                <w:rFonts w:cs="Arial"/>
                <w:szCs w:val="16"/>
              </w:rPr>
            </w:pPr>
            <w:r w:rsidRPr="005612F7">
              <w:rPr>
                <w:rFonts w:cs="Arial"/>
                <w:szCs w:val="16"/>
              </w:rPr>
              <w:t>2021-22</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6709DEB8" w14:textId="77777777" w:rsidR="003C7740" w:rsidRPr="006B7BE5" w:rsidRDefault="003C7740" w:rsidP="00386A06">
            <w:pPr>
              <w:tabs>
                <w:tab w:val="left" w:pos="709"/>
              </w:tabs>
              <w:spacing w:before="60" w:after="60" w:line="240" w:lineRule="auto"/>
              <w:rPr>
                <w:rFonts w:ascii="Arial" w:eastAsia="Arial" w:hAnsi="Arial" w:cs="Arial"/>
                <w:b/>
                <w:bCs/>
                <w:sz w:val="16"/>
                <w:szCs w:val="16"/>
              </w:rPr>
            </w:pPr>
            <w:r w:rsidRPr="006B7BE5">
              <w:rPr>
                <w:rFonts w:ascii="Arial" w:eastAsia="Arial" w:hAnsi="Arial" w:cs="Arial"/>
                <w:b/>
                <w:bCs/>
                <w:sz w:val="16"/>
                <w:szCs w:val="16"/>
              </w:rPr>
              <w:t>GovTEAMS improves public sector productivity</w:t>
            </w:r>
          </w:p>
          <w:p w14:paraId="00B23827" w14:textId="77777777" w:rsidR="003C7740" w:rsidRPr="006B7BE5" w:rsidRDefault="003C7740" w:rsidP="00386A06">
            <w:pPr>
              <w:tabs>
                <w:tab w:val="left" w:pos="709"/>
              </w:tabs>
              <w:spacing w:before="60" w:after="60" w:line="240" w:lineRule="auto"/>
              <w:rPr>
                <w:rFonts w:ascii="Arial" w:eastAsia="Arial" w:hAnsi="Arial" w:cs="Arial"/>
                <w:sz w:val="16"/>
                <w:szCs w:val="16"/>
              </w:rPr>
            </w:pPr>
            <w:r w:rsidRPr="006B7BE5">
              <w:rPr>
                <w:rFonts w:ascii="Arial" w:eastAsia="Arial" w:hAnsi="Arial" w:cs="Arial"/>
                <w:bCs/>
                <w:sz w:val="16"/>
                <w:szCs w:val="16"/>
              </w:rPr>
              <w:t>Commonwealth entities and companies have access to GovTEAMS, a new generation platform to provide a single environment for both internal and external collaboration across government.</w:t>
            </w:r>
          </w:p>
        </w:tc>
        <w:tc>
          <w:tcPr>
            <w:tcW w:w="4091" w:type="dxa"/>
            <w:tcBorders>
              <w:top w:val="single" w:sz="4" w:space="0" w:color="auto"/>
              <w:left w:val="single" w:sz="4" w:space="0" w:color="auto"/>
              <w:bottom w:val="single" w:sz="4" w:space="0" w:color="auto"/>
              <w:right w:val="single" w:sz="4" w:space="0" w:color="auto"/>
            </w:tcBorders>
            <w:shd w:val="clear" w:color="auto" w:fill="auto"/>
          </w:tcPr>
          <w:p w14:paraId="5020D495" w14:textId="77777777" w:rsidR="003C7740" w:rsidRPr="00186721" w:rsidRDefault="003C7740" w:rsidP="00386A06">
            <w:pPr>
              <w:tabs>
                <w:tab w:val="left" w:pos="709"/>
              </w:tabs>
              <w:spacing w:before="60" w:after="60" w:line="240" w:lineRule="auto"/>
              <w:rPr>
                <w:rFonts w:ascii="Arial" w:hAnsi="Arial" w:cs="Arial"/>
                <w:b/>
                <w:sz w:val="16"/>
                <w:szCs w:val="16"/>
              </w:rPr>
            </w:pPr>
            <w:r w:rsidRPr="00186721">
              <w:rPr>
                <w:rFonts w:ascii="Arial" w:hAnsi="Arial" w:cs="Arial"/>
                <w:b/>
                <w:sz w:val="16"/>
                <w:szCs w:val="16"/>
              </w:rPr>
              <w:t>Achieved</w:t>
            </w:r>
          </w:p>
          <w:p w14:paraId="16883C9D" w14:textId="77777777" w:rsidR="003C7740" w:rsidRPr="009415D5" w:rsidRDefault="003C7740" w:rsidP="00386A06">
            <w:pPr>
              <w:tabs>
                <w:tab w:val="left" w:pos="709"/>
              </w:tabs>
              <w:spacing w:before="60" w:after="60" w:line="240" w:lineRule="auto"/>
              <w:rPr>
                <w:rFonts w:ascii="Arial" w:hAnsi="Arial" w:cs="Arial"/>
                <w:sz w:val="16"/>
                <w:szCs w:val="16"/>
              </w:rPr>
            </w:pPr>
            <w:r w:rsidRPr="00186721">
              <w:rPr>
                <w:rFonts w:ascii="Arial" w:hAnsi="Arial" w:cs="Arial"/>
                <w:sz w:val="16"/>
                <w:szCs w:val="16"/>
              </w:rPr>
              <w:t>GovTEAMS was fully operational for the financial year with the results (99.98% and 145,532 users) exceeding targets for both availability (99%) and user adoption (90,000 users).</w:t>
            </w:r>
          </w:p>
        </w:tc>
      </w:tr>
      <w:tr w:rsidR="003C7740" w:rsidRPr="009415D5" w14:paraId="5708C8DD" w14:textId="77777777" w:rsidTr="000408A3">
        <w:trPr>
          <w:trHeight w:val="1936"/>
        </w:trPr>
        <w:tc>
          <w:tcPr>
            <w:tcW w:w="1414" w:type="dxa"/>
            <w:tcBorders>
              <w:top w:val="single" w:sz="4" w:space="0" w:color="auto"/>
              <w:left w:val="single" w:sz="4" w:space="0" w:color="auto"/>
              <w:bottom w:val="nil"/>
              <w:right w:val="single" w:sz="4" w:space="0" w:color="auto"/>
            </w:tcBorders>
            <w:shd w:val="clear" w:color="auto" w:fill="auto"/>
          </w:tcPr>
          <w:p w14:paraId="2831FC29" w14:textId="77777777" w:rsidR="003C7740" w:rsidRPr="00D357ED" w:rsidRDefault="003C7740" w:rsidP="00386A06">
            <w:pPr>
              <w:pStyle w:val="TableTextLeft"/>
              <w:spacing w:before="60" w:after="60"/>
            </w:pPr>
            <w:r w:rsidRPr="00D357ED">
              <w:t xml:space="preserve">Budget Year </w:t>
            </w:r>
          </w:p>
          <w:p w14:paraId="20A37156" w14:textId="77777777" w:rsidR="003C7740" w:rsidRPr="00D357ED" w:rsidRDefault="003C7740" w:rsidP="00386A06">
            <w:pPr>
              <w:pStyle w:val="TableTextLeft"/>
              <w:spacing w:before="60" w:after="60"/>
            </w:pPr>
            <w:r w:rsidRPr="00D357ED">
              <w:t>2022-23</w:t>
            </w:r>
          </w:p>
          <w:p w14:paraId="393FABD0" w14:textId="77777777" w:rsidR="003C7740" w:rsidRPr="005612F7" w:rsidRDefault="003C7740" w:rsidP="00386A06">
            <w:pPr>
              <w:pStyle w:val="TableTextLeft"/>
              <w:spacing w:before="60" w:after="60"/>
              <w:rPr>
                <w:rFonts w:cs="Arial"/>
                <w:szCs w:val="16"/>
              </w:rPr>
            </w:pPr>
          </w:p>
        </w:tc>
        <w:tc>
          <w:tcPr>
            <w:tcW w:w="2290" w:type="dxa"/>
            <w:tcBorders>
              <w:top w:val="single" w:sz="4" w:space="0" w:color="auto"/>
              <w:left w:val="single" w:sz="4" w:space="0" w:color="auto"/>
              <w:bottom w:val="dotted" w:sz="4" w:space="0" w:color="auto"/>
              <w:right w:val="single" w:sz="4" w:space="0" w:color="auto"/>
            </w:tcBorders>
            <w:shd w:val="clear" w:color="auto" w:fill="auto"/>
          </w:tcPr>
          <w:p w14:paraId="5AAF0D8C" w14:textId="77777777" w:rsidR="003C7740" w:rsidRPr="00186721" w:rsidRDefault="003C7740" w:rsidP="00386A06">
            <w:pPr>
              <w:tabs>
                <w:tab w:val="left" w:pos="709"/>
              </w:tabs>
              <w:spacing w:before="60" w:after="60" w:line="240" w:lineRule="auto"/>
              <w:rPr>
                <w:rFonts w:ascii="Arial" w:eastAsia="Arial" w:hAnsi="Arial" w:cs="Arial"/>
                <w:b/>
                <w:bCs/>
                <w:sz w:val="16"/>
                <w:szCs w:val="16"/>
              </w:rPr>
            </w:pPr>
            <w:r w:rsidRPr="00186721">
              <w:rPr>
                <w:rFonts w:ascii="Arial" w:eastAsia="Arial" w:hAnsi="Arial" w:cs="Arial"/>
                <w:b/>
                <w:bCs/>
                <w:sz w:val="16"/>
                <w:szCs w:val="16"/>
              </w:rPr>
              <w:t>GovTEAMS improves public sector productivity</w:t>
            </w:r>
          </w:p>
          <w:p w14:paraId="08A79C8A" w14:textId="77777777" w:rsidR="003C7740" w:rsidRPr="006B7BE5" w:rsidRDefault="003C7740" w:rsidP="00386A06">
            <w:pPr>
              <w:tabs>
                <w:tab w:val="left" w:pos="709"/>
              </w:tabs>
              <w:spacing w:before="60" w:after="60" w:line="240" w:lineRule="auto"/>
              <w:rPr>
                <w:rFonts w:ascii="Arial" w:eastAsia="Arial" w:hAnsi="Arial" w:cs="Arial"/>
                <w:bCs/>
                <w:sz w:val="16"/>
                <w:szCs w:val="16"/>
              </w:rPr>
            </w:pPr>
            <w:r w:rsidRPr="00186721">
              <w:rPr>
                <w:rFonts w:ascii="Arial" w:eastAsia="Arial" w:hAnsi="Arial" w:cs="Arial"/>
                <w:bCs/>
                <w:sz w:val="16"/>
                <w:szCs w:val="16"/>
              </w:rPr>
              <w:t>Commonwealth entities and companies have access to GovTEAMS, a new generation platform to provide a single environment for both internal and external collaboration across government.</w:t>
            </w:r>
          </w:p>
        </w:tc>
        <w:tc>
          <w:tcPr>
            <w:tcW w:w="4091" w:type="dxa"/>
            <w:tcBorders>
              <w:top w:val="single" w:sz="4" w:space="0" w:color="auto"/>
              <w:left w:val="single" w:sz="4" w:space="0" w:color="auto"/>
              <w:bottom w:val="dotted" w:sz="4" w:space="0" w:color="auto"/>
            </w:tcBorders>
            <w:shd w:val="clear" w:color="auto" w:fill="auto"/>
          </w:tcPr>
          <w:p w14:paraId="212D0418" w14:textId="221FFA5A" w:rsidR="003C7740" w:rsidRPr="00186721" w:rsidRDefault="003C7740" w:rsidP="00D0147F">
            <w:pPr>
              <w:autoSpaceDE w:val="0"/>
              <w:autoSpaceDN w:val="0"/>
              <w:adjustRightInd w:val="0"/>
              <w:spacing w:before="60" w:after="60" w:line="240" w:lineRule="auto"/>
              <w:rPr>
                <w:rFonts w:ascii="Arial" w:hAnsi="Arial" w:cs="Arial"/>
                <w:bCs/>
                <w:sz w:val="16"/>
                <w:szCs w:val="16"/>
                <w:lang w:eastAsia="en-US"/>
              </w:rPr>
            </w:pPr>
            <w:r w:rsidRPr="00186721">
              <w:rPr>
                <w:rFonts w:ascii="Arial" w:hAnsi="Arial" w:cs="Arial"/>
                <w:bCs/>
                <w:sz w:val="16"/>
                <w:szCs w:val="16"/>
                <w:lang w:eastAsia="en-US"/>
              </w:rPr>
              <w:t>GovTEAMS platform is fully operational in accordance with set performance targets (target: 99%)</w:t>
            </w:r>
            <w:r w:rsidR="00D0147F">
              <w:rPr>
                <w:rFonts w:ascii="Arial" w:hAnsi="Arial" w:cs="Arial"/>
                <w:bCs/>
                <w:sz w:val="16"/>
                <w:szCs w:val="16"/>
                <w:lang w:eastAsia="en-US"/>
              </w:rPr>
              <w:t>.</w:t>
            </w:r>
          </w:p>
          <w:p w14:paraId="23B5E03F" w14:textId="7904EA54" w:rsidR="003C7740" w:rsidRPr="00186721" w:rsidRDefault="003C7740" w:rsidP="00D0147F">
            <w:pPr>
              <w:autoSpaceDE w:val="0"/>
              <w:autoSpaceDN w:val="0"/>
              <w:adjustRightInd w:val="0"/>
              <w:spacing w:before="60" w:after="60" w:line="240" w:lineRule="auto"/>
              <w:rPr>
                <w:rFonts w:ascii="Arial" w:hAnsi="Arial" w:cs="Arial"/>
                <w:bCs/>
                <w:sz w:val="16"/>
                <w:szCs w:val="16"/>
                <w:lang w:eastAsia="en-US"/>
              </w:rPr>
            </w:pPr>
            <w:r w:rsidRPr="00186721">
              <w:rPr>
                <w:rFonts w:ascii="Arial" w:hAnsi="Arial" w:cs="Arial"/>
                <w:bCs/>
                <w:sz w:val="16"/>
                <w:szCs w:val="16"/>
                <w:lang w:eastAsia="en-US"/>
              </w:rPr>
              <w:t>GovTEAMS active user count (target: 30,000)</w:t>
            </w:r>
            <w:r w:rsidR="00D0147F">
              <w:rPr>
                <w:rFonts w:ascii="Arial" w:hAnsi="Arial" w:cs="Arial"/>
                <w:bCs/>
                <w:sz w:val="16"/>
                <w:szCs w:val="16"/>
                <w:lang w:eastAsia="en-US"/>
              </w:rPr>
              <w:t>.</w:t>
            </w:r>
          </w:p>
          <w:p w14:paraId="2E4B5732" w14:textId="74DB732F" w:rsidR="003C7740" w:rsidRDefault="003C7740" w:rsidP="00D0147F">
            <w:pPr>
              <w:autoSpaceDE w:val="0"/>
              <w:autoSpaceDN w:val="0"/>
              <w:adjustRightInd w:val="0"/>
              <w:spacing w:before="60" w:after="60" w:line="240" w:lineRule="auto"/>
              <w:rPr>
                <w:rFonts w:ascii="Arial" w:hAnsi="Arial" w:cs="Arial"/>
                <w:bCs/>
                <w:sz w:val="16"/>
                <w:szCs w:val="16"/>
                <w:lang w:eastAsia="en-US"/>
              </w:rPr>
            </w:pPr>
            <w:r w:rsidRPr="00186721">
              <w:rPr>
                <w:rFonts w:ascii="Arial" w:hAnsi="Arial" w:cs="Arial"/>
                <w:bCs/>
                <w:sz w:val="16"/>
                <w:szCs w:val="16"/>
                <w:lang w:eastAsia="en-US"/>
              </w:rPr>
              <w:t>GovTEAMS usage – average number of interactions per a</w:t>
            </w:r>
            <w:r w:rsidR="007F1383">
              <w:rPr>
                <w:rFonts w:ascii="Arial" w:hAnsi="Arial" w:cs="Arial"/>
                <w:bCs/>
                <w:sz w:val="16"/>
                <w:szCs w:val="16"/>
                <w:lang w:eastAsia="en-US"/>
              </w:rPr>
              <w:t>ctive user per month (target: 29</w:t>
            </w:r>
            <w:r w:rsidRPr="00186721">
              <w:rPr>
                <w:rFonts w:ascii="Arial" w:hAnsi="Arial" w:cs="Arial"/>
                <w:bCs/>
                <w:sz w:val="16"/>
                <w:szCs w:val="16"/>
                <w:lang w:eastAsia="en-US"/>
              </w:rPr>
              <w:t>.07)</w:t>
            </w:r>
            <w:r w:rsidR="00D0147F">
              <w:rPr>
                <w:rFonts w:ascii="Arial" w:hAnsi="Arial" w:cs="Arial"/>
                <w:bCs/>
                <w:sz w:val="16"/>
                <w:szCs w:val="16"/>
                <w:lang w:eastAsia="en-US"/>
              </w:rPr>
              <w:t>.</w:t>
            </w:r>
          </w:p>
          <w:p w14:paraId="1B5CED50" w14:textId="77777777" w:rsidR="003C7740" w:rsidRPr="009415D5" w:rsidRDefault="003C7740" w:rsidP="00386A06">
            <w:pPr>
              <w:autoSpaceDE w:val="0"/>
              <w:autoSpaceDN w:val="0"/>
              <w:adjustRightInd w:val="0"/>
              <w:spacing w:before="60" w:after="60" w:line="240" w:lineRule="auto"/>
              <w:rPr>
                <w:rFonts w:ascii="Arial" w:hAnsi="Arial" w:cs="Arial"/>
                <w:b/>
                <w:bCs/>
                <w:sz w:val="16"/>
                <w:szCs w:val="16"/>
                <w:lang w:eastAsia="en-US"/>
              </w:rPr>
            </w:pPr>
          </w:p>
        </w:tc>
      </w:tr>
      <w:tr w:rsidR="003C7740" w:rsidRPr="009415D5" w14:paraId="6F4D376A" w14:textId="77777777" w:rsidTr="000408A3">
        <w:trPr>
          <w:trHeight w:val="1999"/>
        </w:trPr>
        <w:tc>
          <w:tcPr>
            <w:tcW w:w="1414" w:type="dxa"/>
            <w:tcBorders>
              <w:top w:val="nil"/>
              <w:left w:val="single" w:sz="4" w:space="0" w:color="auto"/>
              <w:bottom w:val="single" w:sz="4" w:space="0" w:color="auto"/>
              <w:right w:val="single" w:sz="4" w:space="0" w:color="auto"/>
            </w:tcBorders>
            <w:shd w:val="clear" w:color="auto" w:fill="auto"/>
          </w:tcPr>
          <w:p w14:paraId="070EA5F9" w14:textId="77777777" w:rsidR="003C7740" w:rsidRPr="00D357ED" w:rsidRDefault="003C7740" w:rsidP="00386A06">
            <w:pPr>
              <w:pStyle w:val="TableTextLeft"/>
              <w:spacing w:before="60" w:after="60"/>
            </w:pPr>
          </w:p>
        </w:tc>
        <w:tc>
          <w:tcPr>
            <w:tcW w:w="2290" w:type="dxa"/>
            <w:tcBorders>
              <w:top w:val="dotted" w:sz="4" w:space="0" w:color="auto"/>
              <w:left w:val="single" w:sz="4" w:space="0" w:color="auto"/>
              <w:bottom w:val="single" w:sz="4" w:space="0" w:color="auto"/>
              <w:right w:val="single" w:sz="4" w:space="0" w:color="auto"/>
            </w:tcBorders>
            <w:shd w:val="clear" w:color="auto" w:fill="auto"/>
          </w:tcPr>
          <w:p w14:paraId="5801F335" w14:textId="77777777" w:rsidR="003C7740" w:rsidRPr="00D357ED" w:rsidRDefault="003C7740" w:rsidP="00386A06">
            <w:pPr>
              <w:pStyle w:val="TableTextBase"/>
              <w:spacing w:before="60" w:after="60"/>
              <w:rPr>
                <w:b/>
              </w:rPr>
            </w:pPr>
            <w:r w:rsidRPr="00D357ED">
              <w:rPr>
                <w:b/>
              </w:rPr>
              <w:t>GovCMS supports creation of websites that better connect government with people</w:t>
            </w:r>
          </w:p>
          <w:p w14:paraId="5DDC2978" w14:textId="77777777" w:rsidR="003C7740" w:rsidRPr="00B813A0" w:rsidRDefault="003C7740" w:rsidP="00386A06">
            <w:pPr>
              <w:tabs>
                <w:tab w:val="left" w:pos="709"/>
              </w:tabs>
              <w:spacing w:before="60" w:after="60" w:line="240" w:lineRule="auto"/>
              <w:rPr>
                <w:rFonts w:ascii="Arial" w:eastAsia="Arial" w:hAnsi="Arial" w:cs="Arial"/>
                <w:bCs/>
                <w:sz w:val="16"/>
                <w:szCs w:val="16"/>
              </w:rPr>
            </w:pPr>
            <w:r w:rsidRPr="00186721">
              <w:rPr>
                <w:rFonts w:ascii="Arial" w:eastAsia="Arial" w:hAnsi="Arial" w:cs="Arial"/>
                <w:bCs/>
                <w:sz w:val="16"/>
                <w:szCs w:val="16"/>
              </w:rPr>
              <w:t>Commonwealth entities and companies have access to the GovCMS management and website hosting support platform to assist in the creation of modern, affordable and responsive websites that better connect government wi</w:t>
            </w:r>
            <w:r>
              <w:rPr>
                <w:rFonts w:ascii="Arial" w:eastAsia="Arial" w:hAnsi="Arial" w:cs="Arial"/>
                <w:bCs/>
                <w:sz w:val="16"/>
                <w:szCs w:val="16"/>
              </w:rPr>
              <w:t>th people</w:t>
            </w:r>
          </w:p>
        </w:tc>
        <w:tc>
          <w:tcPr>
            <w:tcW w:w="4091" w:type="dxa"/>
            <w:tcBorders>
              <w:top w:val="dotted" w:sz="4" w:space="0" w:color="auto"/>
              <w:left w:val="single" w:sz="4" w:space="0" w:color="auto"/>
              <w:bottom w:val="single" w:sz="4" w:space="0" w:color="auto"/>
              <w:right w:val="single" w:sz="4" w:space="0" w:color="auto"/>
            </w:tcBorders>
            <w:shd w:val="clear" w:color="auto" w:fill="auto"/>
          </w:tcPr>
          <w:p w14:paraId="622FCC0A" w14:textId="3E3B6D3A" w:rsidR="003C7740" w:rsidRPr="00186721" w:rsidRDefault="003C7740" w:rsidP="00386A06">
            <w:pPr>
              <w:autoSpaceDE w:val="0"/>
              <w:autoSpaceDN w:val="0"/>
              <w:adjustRightInd w:val="0"/>
              <w:spacing w:before="60" w:after="60" w:line="240" w:lineRule="auto"/>
              <w:rPr>
                <w:rFonts w:ascii="Arial" w:hAnsi="Arial" w:cs="Arial"/>
                <w:bCs/>
                <w:sz w:val="16"/>
                <w:szCs w:val="16"/>
                <w:lang w:eastAsia="en-US"/>
              </w:rPr>
            </w:pPr>
            <w:r w:rsidRPr="00186721">
              <w:rPr>
                <w:rFonts w:ascii="Arial" w:hAnsi="Arial" w:cs="Arial"/>
                <w:bCs/>
                <w:sz w:val="16"/>
                <w:szCs w:val="16"/>
                <w:lang w:eastAsia="en-US"/>
              </w:rPr>
              <w:t>The GovCMS platform is available to entities seeking to develop and maintain websites 99% of the time with the exception of scheduled outages</w:t>
            </w:r>
            <w:r w:rsidR="00D0147F">
              <w:rPr>
                <w:rFonts w:ascii="Arial" w:hAnsi="Arial" w:cs="Arial"/>
                <w:bCs/>
                <w:sz w:val="16"/>
                <w:szCs w:val="16"/>
                <w:lang w:eastAsia="en-US"/>
              </w:rPr>
              <w:t>.</w:t>
            </w:r>
          </w:p>
          <w:p w14:paraId="28661555" w14:textId="161D95D8" w:rsidR="003C7740" w:rsidRPr="00186721" w:rsidRDefault="003C7740" w:rsidP="00386A06">
            <w:pPr>
              <w:autoSpaceDE w:val="0"/>
              <w:autoSpaceDN w:val="0"/>
              <w:adjustRightInd w:val="0"/>
              <w:spacing w:before="60" w:after="60" w:line="240" w:lineRule="auto"/>
              <w:rPr>
                <w:rFonts w:ascii="Arial" w:hAnsi="Arial" w:cs="Arial"/>
                <w:bCs/>
                <w:sz w:val="16"/>
                <w:szCs w:val="16"/>
                <w:lang w:eastAsia="en-US"/>
              </w:rPr>
            </w:pPr>
            <w:r w:rsidRPr="00186721">
              <w:rPr>
                <w:rFonts w:ascii="Arial" w:hAnsi="Arial" w:cs="Arial"/>
                <w:bCs/>
                <w:sz w:val="16"/>
                <w:szCs w:val="16"/>
                <w:lang w:eastAsia="en-US"/>
              </w:rPr>
              <w:t>Evidence of continued use of GovCMS by non-corporate Commonwealth entities (target ~350 websites)</w:t>
            </w:r>
            <w:r w:rsidR="00D0147F">
              <w:rPr>
                <w:rFonts w:ascii="Arial" w:hAnsi="Arial" w:cs="Arial"/>
                <w:bCs/>
                <w:sz w:val="16"/>
                <w:szCs w:val="16"/>
                <w:lang w:eastAsia="en-US"/>
              </w:rPr>
              <w:t>.</w:t>
            </w:r>
          </w:p>
        </w:tc>
      </w:tr>
    </w:tbl>
    <w:p w14:paraId="372454E2" w14:textId="77777777" w:rsidR="00511496" w:rsidRDefault="00F0167C" w:rsidP="004B5360">
      <w:pPr>
        <w:pStyle w:val="TableHeading"/>
        <w:spacing w:before="30" w:after="0"/>
        <w:rPr>
          <w:b w:val="0"/>
          <w:color w:val="000000"/>
          <w:sz w:val="16"/>
          <w:lang w:val="x-none" w:eastAsia="x-none"/>
        </w:rPr>
      </w:pPr>
      <w:r w:rsidRPr="004A6E29">
        <w:rPr>
          <w:b w:val="0"/>
          <w:color w:val="000000"/>
          <w:sz w:val="16"/>
          <w:lang w:val="x-none" w:eastAsia="x-none"/>
        </w:rPr>
        <w:t>Table continues on next page</w:t>
      </w:r>
      <w:r w:rsidR="00511496">
        <w:rPr>
          <w:b w:val="0"/>
          <w:color w:val="000000"/>
          <w:sz w:val="16"/>
          <w:lang w:val="x-none" w:eastAsia="x-none"/>
        </w:rPr>
        <w:br w:type="page"/>
      </w:r>
    </w:p>
    <w:p w14:paraId="0FB3B593" w14:textId="77777777" w:rsidR="00E06A4D" w:rsidRDefault="00511496" w:rsidP="004A6E29">
      <w:pPr>
        <w:pStyle w:val="TableHeading"/>
        <w:spacing w:before="0"/>
      </w:pPr>
      <w:r w:rsidRPr="00511496">
        <w:lastRenderedPageBreak/>
        <w:t>Table 2.2.2: Performance measure for Outcome 2 (continued)</w:t>
      </w:r>
    </w:p>
    <w:tbl>
      <w:tblPr>
        <w:tblpPr w:leftFromText="180" w:rightFromText="180" w:vertAnchor="text" w:tblpY="1"/>
        <w:tblOverlap w:val="neve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90"/>
        <w:gridCol w:w="4091"/>
      </w:tblGrid>
      <w:tr w:rsidR="00E06A4D" w:rsidRPr="00ED5B0C" w14:paraId="502A9E81" w14:textId="77777777" w:rsidTr="00757EE6">
        <w:trPr>
          <w:trHeight w:val="527"/>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7C498BC2" w14:textId="77777777" w:rsidR="00E06A4D" w:rsidRPr="00ED5B0C" w:rsidRDefault="00E06A4D" w:rsidP="00386A06">
            <w:pPr>
              <w:tabs>
                <w:tab w:val="left" w:pos="709"/>
              </w:tabs>
              <w:spacing w:before="60" w:after="60" w:line="240" w:lineRule="auto"/>
              <w:rPr>
                <w:rFonts w:ascii="Arial" w:eastAsia="Arial" w:hAnsi="Arial" w:cs="Arial"/>
                <w:b/>
                <w:sz w:val="16"/>
                <w:szCs w:val="16"/>
              </w:rPr>
            </w:pPr>
            <w:r w:rsidRPr="00ED5B0C">
              <w:rPr>
                <w:rFonts w:ascii="Arial" w:eastAsia="Arial" w:hAnsi="Arial" w:cs="Arial"/>
                <w:b/>
                <w:sz w:val="16"/>
                <w:szCs w:val="16"/>
              </w:rPr>
              <w:t xml:space="preserve">Program 2.2- Transforming Government </w:t>
            </w:r>
          </w:p>
          <w:p w14:paraId="2C839CFF" w14:textId="77777777" w:rsidR="00E06A4D" w:rsidRPr="00ED5B0C" w:rsidRDefault="00E06A4D" w:rsidP="00386A06">
            <w:pPr>
              <w:tabs>
                <w:tab w:val="left" w:pos="709"/>
              </w:tabs>
              <w:spacing w:before="60" w:after="60" w:line="240" w:lineRule="auto"/>
              <w:rPr>
                <w:rFonts w:ascii="Arial" w:hAnsi="Arial" w:cs="Arial"/>
                <w:sz w:val="16"/>
                <w:szCs w:val="16"/>
              </w:rPr>
            </w:pPr>
            <w:r w:rsidRPr="00ED5B0C">
              <w:rPr>
                <w:rFonts w:ascii="Arial" w:eastAsia="Arial" w:hAnsi="Arial" w:cs="Arial"/>
                <w:sz w:val="16"/>
                <w:szCs w:val="16"/>
              </w:rPr>
              <w:t>This program contributes to the outcome by providing leadership in the development and delivery of reforms and initiatives that support the modernisation of government and increase public sector productivity.</w:t>
            </w:r>
          </w:p>
        </w:tc>
      </w:tr>
      <w:tr w:rsidR="00E06A4D" w:rsidRPr="00361E69" w14:paraId="25FCC0B4" w14:textId="77777777" w:rsidTr="00757EE6">
        <w:trPr>
          <w:trHeight w:val="312"/>
        </w:trPr>
        <w:tc>
          <w:tcPr>
            <w:tcW w:w="1414" w:type="dxa"/>
            <w:tcBorders>
              <w:top w:val="single" w:sz="4" w:space="0" w:color="auto"/>
              <w:bottom w:val="single" w:sz="4" w:space="0" w:color="auto"/>
              <w:right w:val="single" w:sz="4" w:space="0" w:color="auto"/>
            </w:tcBorders>
            <w:shd w:val="clear" w:color="auto" w:fill="auto"/>
          </w:tcPr>
          <w:p w14:paraId="0E0F99BA" w14:textId="77777777" w:rsidR="00E06A4D" w:rsidRPr="00361E69" w:rsidRDefault="00E06A4D" w:rsidP="00386A06">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Year</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7892667" w14:textId="77777777" w:rsidR="00E06A4D" w:rsidRPr="00361E69" w:rsidRDefault="00E06A4D" w:rsidP="00386A06">
            <w:pPr>
              <w:tabs>
                <w:tab w:val="left" w:pos="709"/>
                <w:tab w:val="center" w:pos="1818"/>
              </w:tabs>
              <w:spacing w:before="60" w:after="60" w:line="240" w:lineRule="auto"/>
              <w:rPr>
                <w:rFonts w:ascii="Arial" w:hAnsi="Arial" w:cs="Arial"/>
                <w:b/>
                <w:bCs/>
                <w:sz w:val="16"/>
                <w:szCs w:val="16"/>
              </w:rPr>
            </w:pPr>
            <w:r w:rsidRPr="1362A57E">
              <w:rPr>
                <w:rFonts w:ascii="Arial" w:hAnsi="Arial" w:cs="Arial"/>
                <w:b/>
                <w:bCs/>
                <w:sz w:val="16"/>
                <w:szCs w:val="16"/>
              </w:rPr>
              <w:t>Performance measures</w:t>
            </w:r>
          </w:p>
        </w:tc>
        <w:tc>
          <w:tcPr>
            <w:tcW w:w="4091" w:type="dxa"/>
            <w:tcBorders>
              <w:top w:val="single" w:sz="4" w:space="0" w:color="auto"/>
              <w:left w:val="single" w:sz="4" w:space="0" w:color="auto"/>
              <w:bottom w:val="single" w:sz="4" w:space="0" w:color="auto"/>
            </w:tcBorders>
            <w:shd w:val="clear" w:color="auto" w:fill="auto"/>
          </w:tcPr>
          <w:p w14:paraId="3392E8E1" w14:textId="77777777" w:rsidR="00E06A4D" w:rsidRPr="00361E69" w:rsidRDefault="00E06A4D" w:rsidP="00386A06">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Expected Performance Results</w:t>
            </w:r>
          </w:p>
        </w:tc>
      </w:tr>
      <w:tr w:rsidR="00E06A4D" w:rsidRPr="009415D5" w14:paraId="7D4D2B46" w14:textId="77777777" w:rsidTr="00757EE6">
        <w:trPr>
          <w:trHeight w:val="1999"/>
        </w:trPr>
        <w:tc>
          <w:tcPr>
            <w:tcW w:w="1414" w:type="dxa"/>
            <w:tcBorders>
              <w:top w:val="single" w:sz="4" w:space="0" w:color="auto"/>
              <w:left w:val="single" w:sz="4" w:space="0" w:color="auto"/>
              <w:bottom w:val="dotted" w:sz="4" w:space="0" w:color="auto"/>
              <w:right w:val="single" w:sz="4" w:space="0" w:color="auto"/>
            </w:tcBorders>
            <w:shd w:val="clear" w:color="auto" w:fill="auto"/>
          </w:tcPr>
          <w:p w14:paraId="6C797F5F" w14:textId="77777777" w:rsidR="00E06A4D" w:rsidRPr="006B7BE5" w:rsidRDefault="00E06A4D" w:rsidP="00386A06">
            <w:pPr>
              <w:pStyle w:val="TableTextLeft"/>
              <w:spacing w:before="60" w:after="60"/>
              <w:rPr>
                <w:rFonts w:cs="Arial"/>
                <w:szCs w:val="16"/>
              </w:rPr>
            </w:pPr>
            <w:r w:rsidRPr="006B7BE5">
              <w:rPr>
                <w:rFonts w:cs="Arial"/>
                <w:szCs w:val="16"/>
              </w:rPr>
              <w:t xml:space="preserve">Budget Year </w:t>
            </w:r>
          </w:p>
          <w:p w14:paraId="0C185261" w14:textId="77777777" w:rsidR="00E06A4D" w:rsidRPr="00361E69" w:rsidRDefault="00E06A4D" w:rsidP="00386A06">
            <w:pPr>
              <w:pStyle w:val="TableTextLeft"/>
              <w:spacing w:before="60" w:after="60"/>
              <w:rPr>
                <w:rFonts w:cs="Arial"/>
                <w:szCs w:val="16"/>
              </w:rPr>
            </w:pPr>
            <w:r w:rsidRPr="006B7BE5">
              <w:rPr>
                <w:rFonts w:cs="Arial"/>
                <w:szCs w:val="16"/>
              </w:rPr>
              <w:t xml:space="preserve">2022-23 </w:t>
            </w:r>
            <w:r>
              <w:rPr>
                <w:rFonts w:cs="Arial"/>
                <w:szCs w:val="16"/>
              </w:rPr>
              <w:t>(continued)</w:t>
            </w:r>
          </w:p>
        </w:tc>
        <w:tc>
          <w:tcPr>
            <w:tcW w:w="2290" w:type="dxa"/>
            <w:tcBorders>
              <w:top w:val="single" w:sz="4" w:space="0" w:color="auto"/>
              <w:left w:val="single" w:sz="4" w:space="0" w:color="auto"/>
              <w:bottom w:val="dotted" w:sz="4" w:space="0" w:color="auto"/>
              <w:right w:val="single" w:sz="4" w:space="0" w:color="auto"/>
            </w:tcBorders>
            <w:shd w:val="clear" w:color="auto" w:fill="auto"/>
          </w:tcPr>
          <w:p w14:paraId="1C1D1840" w14:textId="77777777" w:rsidR="00E06A4D" w:rsidRPr="00CC6CF9" w:rsidRDefault="00E06A4D" w:rsidP="00386A06">
            <w:pPr>
              <w:pStyle w:val="TableTextBase"/>
              <w:spacing w:before="60" w:after="60"/>
              <w:rPr>
                <w:rFonts w:cs="Arial"/>
                <w:b/>
                <w:i/>
                <w:szCs w:val="16"/>
              </w:rPr>
            </w:pPr>
            <w:r w:rsidRPr="00CC6CF9">
              <w:rPr>
                <w:rFonts w:cs="Arial"/>
                <w:b/>
                <w:i/>
                <w:szCs w:val="16"/>
              </w:rPr>
              <w:t xml:space="preserve">Participation in the DATA Scheme </w:t>
            </w:r>
          </w:p>
          <w:p w14:paraId="23380DE4" w14:textId="77777777" w:rsidR="00E06A4D" w:rsidRPr="006B7BE5" w:rsidRDefault="00E06A4D" w:rsidP="00386A06">
            <w:pPr>
              <w:tabs>
                <w:tab w:val="left" w:pos="709"/>
              </w:tabs>
              <w:spacing w:before="60" w:after="60" w:line="240" w:lineRule="auto"/>
              <w:rPr>
                <w:rFonts w:ascii="Arial" w:eastAsia="Arial" w:hAnsi="Arial" w:cs="Arial"/>
                <w:sz w:val="16"/>
                <w:szCs w:val="16"/>
              </w:rPr>
            </w:pPr>
            <w:r w:rsidRPr="00CC6CF9">
              <w:rPr>
                <w:rFonts w:ascii="Arial" w:hAnsi="Arial" w:cs="Arial"/>
                <w:i/>
                <w:sz w:val="16"/>
                <w:szCs w:val="16"/>
              </w:rPr>
              <w:t>Finance, through the Office of the National Data Commissioner, is supporting safe data sharing to deliver better government services, policies and programs and to support research and innovation.</w:t>
            </w:r>
          </w:p>
        </w:tc>
        <w:tc>
          <w:tcPr>
            <w:tcW w:w="4091" w:type="dxa"/>
            <w:tcBorders>
              <w:top w:val="single" w:sz="4" w:space="0" w:color="auto"/>
              <w:left w:val="single" w:sz="4" w:space="0" w:color="auto"/>
              <w:bottom w:val="dotted" w:sz="4" w:space="0" w:color="auto"/>
              <w:right w:val="single" w:sz="4" w:space="0" w:color="auto"/>
            </w:tcBorders>
            <w:shd w:val="clear" w:color="auto" w:fill="auto"/>
          </w:tcPr>
          <w:p w14:paraId="3093A49F" w14:textId="500B60E0" w:rsidR="00E06A4D" w:rsidRPr="00CC6CF9" w:rsidRDefault="00E06A4D" w:rsidP="00386A06">
            <w:pPr>
              <w:tabs>
                <w:tab w:val="left" w:pos="709"/>
              </w:tabs>
              <w:spacing w:before="60" w:after="60" w:line="240" w:lineRule="auto"/>
              <w:rPr>
                <w:rFonts w:ascii="Arial" w:hAnsi="Arial" w:cs="Arial"/>
                <w:i/>
                <w:sz w:val="16"/>
                <w:szCs w:val="16"/>
              </w:rPr>
            </w:pPr>
            <w:r w:rsidRPr="00CC6CF9">
              <w:rPr>
                <w:rFonts w:ascii="Arial" w:hAnsi="Arial" w:cs="Arial"/>
                <w:i/>
                <w:sz w:val="16"/>
                <w:szCs w:val="16"/>
              </w:rPr>
              <w:t xml:space="preserve">Strengthened data handling and sharing across the </w:t>
            </w:r>
            <w:r w:rsidR="00D0147F" w:rsidRPr="00CC6CF9">
              <w:rPr>
                <w:rFonts w:ascii="Arial" w:hAnsi="Arial" w:cs="Arial"/>
                <w:i/>
                <w:sz w:val="16"/>
                <w:szCs w:val="16"/>
              </w:rPr>
              <w:t>APS</w:t>
            </w:r>
            <w:r w:rsidRPr="00CC6CF9">
              <w:rPr>
                <w:rFonts w:ascii="Arial" w:hAnsi="Arial" w:cs="Arial"/>
                <w:i/>
                <w:sz w:val="16"/>
                <w:szCs w:val="16"/>
              </w:rPr>
              <w:t xml:space="preserve"> (target: 10 Data Discovery projects complete)</w:t>
            </w:r>
            <w:r w:rsidR="00D0147F" w:rsidRPr="00CC6CF9">
              <w:rPr>
                <w:rFonts w:ascii="Arial" w:hAnsi="Arial" w:cs="Arial"/>
                <w:i/>
                <w:sz w:val="16"/>
                <w:szCs w:val="16"/>
              </w:rPr>
              <w:t>.</w:t>
            </w:r>
          </w:p>
          <w:p w14:paraId="2B1F4772" w14:textId="4D554572" w:rsidR="00E06A4D" w:rsidRPr="00CC6CF9" w:rsidRDefault="00E06A4D" w:rsidP="00386A06">
            <w:pPr>
              <w:tabs>
                <w:tab w:val="left" w:pos="709"/>
              </w:tabs>
              <w:spacing w:before="60" w:after="60" w:line="240" w:lineRule="auto"/>
              <w:rPr>
                <w:rFonts w:ascii="Arial" w:hAnsi="Arial" w:cs="Arial"/>
                <w:i/>
                <w:sz w:val="16"/>
                <w:szCs w:val="16"/>
              </w:rPr>
            </w:pPr>
            <w:r w:rsidRPr="00CC6CF9">
              <w:rPr>
                <w:rFonts w:ascii="Arial" w:hAnsi="Arial" w:cs="Arial"/>
                <w:i/>
                <w:sz w:val="16"/>
                <w:szCs w:val="16"/>
              </w:rPr>
              <w:t>Institutional arrangements in place to support safe, transparent and consistent data sharing. (target: legislative requirements such as the Data Code are in place; and timelines for implementing the DATA Scheme including opening accreditation are met)</w:t>
            </w:r>
            <w:r w:rsidR="00D0147F" w:rsidRPr="00CC6CF9">
              <w:rPr>
                <w:rFonts w:ascii="Arial" w:hAnsi="Arial" w:cs="Arial"/>
                <w:i/>
                <w:sz w:val="16"/>
                <w:szCs w:val="16"/>
              </w:rPr>
              <w:t>.</w:t>
            </w:r>
          </w:p>
          <w:p w14:paraId="52280442" w14:textId="3CC0B012" w:rsidR="00E06A4D" w:rsidRPr="00CC6CF9" w:rsidRDefault="00E06A4D" w:rsidP="00386A06">
            <w:pPr>
              <w:tabs>
                <w:tab w:val="left" w:pos="709"/>
              </w:tabs>
              <w:spacing w:before="60" w:after="60" w:line="240" w:lineRule="auto"/>
              <w:rPr>
                <w:rFonts w:ascii="Arial" w:hAnsi="Arial" w:cs="Arial"/>
                <w:i/>
                <w:sz w:val="16"/>
                <w:szCs w:val="16"/>
              </w:rPr>
            </w:pPr>
            <w:r w:rsidRPr="00CC6CF9">
              <w:rPr>
                <w:rFonts w:ascii="Arial" w:hAnsi="Arial" w:cs="Arial"/>
                <w:i/>
                <w:sz w:val="16"/>
                <w:szCs w:val="16"/>
              </w:rPr>
              <w:t>Awareness and understanding of the DATA Scheme (% participants engaged) (target: 100% of potential participants are made aware of the DATA Scheme and requirements through information sessions, briefings and other media)</w:t>
            </w:r>
            <w:r w:rsidR="00D0147F" w:rsidRPr="00CC6CF9">
              <w:rPr>
                <w:rFonts w:ascii="Arial" w:hAnsi="Arial" w:cs="Arial"/>
                <w:i/>
                <w:sz w:val="16"/>
                <w:szCs w:val="16"/>
              </w:rPr>
              <w:t>.</w:t>
            </w:r>
          </w:p>
          <w:p w14:paraId="5D7F7234" w14:textId="15B062BD" w:rsidR="00E06A4D" w:rsidRPr="006B7BE5" w:rsidRDefault="00E06A4D" w:rsidP="00386A06">
            <w:pPr>
              <w:tabs>
                <w:tab w:val="left" w:pos="709"/>
              </w:tabs>
              <w:spacing w:before="60" w:after="60" w:line="240" w:lineRule="auto"/>
              <w:rPr>
                <w:rFonts w:ascii="Arial" w:hAnsi="Arial" w:cs="Arial"/>
                <w:sz w:val="16"/>
                <w:szCs w:val="16"/>
              </w:rPr>
            </w:pPr>
            <w:r w:rsidRPr="00CC6CF9">
              <w:rPr>
                <w:rFonts w:ascii="Arial" w:hAnsi="Arial" w:cs="Arial"/>
                <w:i/>
                <w:sz w:val="16"/>
                <w:szCs w:val="16"/>
              </w:rPr>
              <w:t>Participants on Dataplace (target: 40 participants)</w:t>
            </w:r>
            <w:r w:rsidR="00D0147F" w:rsidRPr="00CC6CF9">
              <w:rPr>
                <w:rFonts w:ascii="Arial" w:hAnsi="Arial" w:cs="Arial"/>
                <w:i/>
                <w:sz w:val="16"/>
                <w:szCs w:val="16"/>
              </w:rPr>
              <w:t>.</w:t>
            </w:r>
          </w:p>
        </w:tc>
      </w:tr>
      <w:tr w:rsidR="00E06A4D" w:rsidRPr="009415D5" w14:paraId="0FB496C5" w14:textId="77777777" w:rsidTr="00757EE6">
        <w:trPr>
          <w:trHeight w:val="1999"/>
        </w:trPr>
        <w:tc>
          <w:tcPr>
            <w:tcW w:w="1414" w:type="dxa"/>
            <w:tcBorders>
              <w:top w:val="dotted" w:sz="4" w:space="0" w:color="auto"/>
              <w:left w:val="single" w:sz="4" w:space="0" w:color="auto"/>
              <w:bottom w:val="nil"/>
              <w:right w:val="single" w:sz="4" w:space="0" w:color="auto"/>
            </w:tcBorders>
            <w:shd w:val="clear" w:color="auto" w:fill="auto"/>
          </w:tcPr>
          <w:p w14:paraId="14821C56" w14:textId="77777777" w:rsidR="00E06A4D" w:rsidRPr="00D357ED" w:rsidRDefault="00E06A4D" w:rsidP="00386A06">
            <w:pPr>
              <w:pStyle w:val="TableTextLeft"/>
              <w:spacing w:before="60" w:after="60"/>
            </w:pPr>
            <w:r w:rsidRPr="00D357ED">
              <w:t xml:space="preserve">Forward Estimates </w:t>
            </w:r>
          </w:p>
          <w:p w14:paraId="5E85C51D" w14:textId="77777777" w:rsidR="00E06A4D" w:rsidRPr="00D357ED" w:rsidRDefault="00E06A4D" w:rsidP="00386A06">
            <w:pPr>
              <w:pStyle w:val="TableTextLeft"/>
              <w:spacing w:before="60" w:after="60"/>
              <w:rPr>
                <w:b/>
              </w:rPr>
            </w:pPr>
            <w:r w:rsidRPr="00D357ED">
              <w:t>2023-26</w:t>
            </w:r>
          </w:p>
          <w:p w14:paraId="4CE7DA60" w14:textId="77777777" w:rsidR="00E06A4D" w:rsidRPr="005612F7" w:rsidRDefault="00E06A4D" w:rsidP="00386A06">
            <w:pPr>
              <w:pStyle w:val="TableTextLeft"/>
              <w:spacing w:before="60" w:after="60"/>
              <w:rPr>
                <w:rFonts w:cs="Arial"/>
                <w:szCs w:val="16"/>
              </w:rPr>
            </w:pPr>
          </w:p>
        </w:tc>
        <w:tc>
          <w:tcPr>
            <w:tcW w:w="2290" w:type="dxa"/>
            <w:tcBorders>
              <w:top w:val="dotted" w:sz="4" w:space="0" w:color="auto"/>
              <w:left w:val="single" w:sz="4" w:space="0" w:color="auto"/>
              <w:bottom w:val="dotted" w:sz="4" w:space="0" w:color="auto"/>
              <w:right w:val="single" w:sz="4" w:space="0" w:color="auto"/>
            </w:tcBorders>
            <w:shd w:val="clear" w:color="auto" w:fill="auto"/>
          </w:tcPr>
          <w:p w14:paraId="75B183D7" w14:textId="77777777" w:rsidR="00E06A4D" w:rsidRPr="00D357ED" w:rsidRDefault="00E06A4D" w:rsidP="00386A06">
            <w:pPr>
              <w:pStyle w:val="TableTextBase"/>
              <w:spacing w:before="60" w:after="60"/>
              <w:rPr>
                <w:b/>
              </w:rPr>
            </w:pPr>
            <w:r w:rsidRPr="00D357ED">
              <w:rPr>
                <w:b/>
              </w:rPr>
              <w:t>GovTEAMS improves public sector productivity</w:t>
            </w:r>
          </w:p>
          <w:p w14:paraId="63FB3AB9" w14:textId="57E4FDC5" w:rsidR="00E06A4D" w:rsidRDefault="00E06A4D" w:rsidP="00386A06">
            <w:pPr>
              <w:pStyle w:val="TableTextBase"/>
              <w:spacing w:before="60" w:after="60"/>
            </w:pPr>
            <w:r w:rsidRPr="00D357ED">
              <w:t>As per 2022-23</w:t>
            </w:r>
          </w:p>
          <w:p w14:paraId="3808B65B" w14:textId="77777777" w:rsidR="00E06A4D" w:rsidRDefault="00E06A4D" w:rsidP="00386A06">
            <w:pPr>
              <w:pStyle w:val="TableTextBase"/>
              <w:spacing w:before="60" w:after="60"/>
              <w:rPr>
                <w:rFonts w:cs="Arial"/>
                <w:b/>
                <w:szCs w:val="16"/>
              </w:rPr>
            </w:pPr>
          </w:p>
          <w:p w14:paraId="41489128" w14:textId="77777777" w:rsidR="00E06A4D" w:rsidRDefault="00E06A4D" w:rsidP="00386A06">
            <w:pPr>
              <w:pStyle w:val="TableTextBase"/>
              <w:spacing w:before="60" w:after="60"/>
              <w:rPr>
                <w:rFonts w:cs="Arial"/>
                <w:b/>
                <w:szCs w:val="16"/>
              </w:rPr>
            </w:pPr>
          </w:p>
          <w:p w14:paraId="17F58C0B" w14:textId="77777777" w:rsidR="00E06A4D" w:rsidRDefault="00E06A4D" w:rsidP="00386A06">
            <w:pPr>
              <w:pStyle w:val="TableTextBase"/>
              <w:spacing w:before="60" w:after="60"/>
              <w:rPr>
                <w:rFonts w:cs="Arial"/>
                <w:b/>
                <w:szCs w:val="16"/>
              </w:rPr>
            </w:pPr>
          </w:p>
          <w:p w14:paraId="420A33AC" w14:textId="77777777" w:rsidR="00E06A4D" w:rsidRDefault="00E06A4D" w:rsidP="00386A06">
            <w:pPr>
              <w:pStyle w:val="TableTextBase"/>
              <w:spacing w:before="60" w:after="60"/>
              <w:rPr>
                <w:rFonts w:cs="Arial"/>
                <w:b/>
                <w:szCs w:val="16"/>
              </w:rPr>
            </w:pPr>
          </w:p>
          <w:p w14:paraId="1C6D37BC" w14:textId="77777777" w:rsidR="00E06A4D" w:rsidRDefault="00E06A4D" w:rsidP="00386A06">
            <w:pPr>
              <w:pStyle w:val="TableTextBase"/>
              <w:spacing w:before="60" w:after="60"/>
              <w:rPr>
                <w:rFonts w:cs="Arial"/>
                <w:b/>
                <w:szCs w:val="16"/>
              </w:rPr>
            </w:pPr>
          </w:p>
          <w:p w14:paraId="24FFF081" w14:textId="77777777" w:rsidR="00E06A4D" w:rsidRDefault="00E06A4D" w:rsidP="00386A06">
            <w:pPr>
              <w:pStyle w:val="TableTextBase"/>
              <w:spacing w:before="60" w:after="60"/>
              <w:rPr>
                <w:rFonts w:cs="Arial"/>
                <w:b/>
                <w:szCs w:val="16"/>
              </w:rPr>
            </w:pPr>
          </w:p>
          <w:p w14:paraId="47BC0C45" w14:textId="75A8D059" w:rsidR="00E06A4D" w:rsidRPr="00DD55D1" w:rsidRDefault="00E06A4D" w:rsidP="00386A06">
            <w:pPr>
              <w:pStyle w:val="TableTextBase"/>
              <w:spacing w:before="60" w:after="60"/>
              <w:rPr>
                <w:rFonts w:cs="Arial"/>
                <w:szCs w:val="16"/>
              </w:rPr>
            </w:pPr>
          </w:p>
        </w:tc>
        <w:tc>
          <w:tcPr>
            <w:tcW w:w="4091" w:type="dxa"/>
            <w:tcBorders>
              <w:top w:val="dotted" w:sz="4" w:space="0" w:color="auto"/>
              <w:left w:val="single" w:sz="4" w:space="0" w:color="auto"/>
              <w:bottom w:val="dotted" w:sz="4" w:space="0" w:color="auto"/>
              <w:right w:val="single" w:sz="4" w:space="0" w:color="auto"/>
            </w:tcBorders>
            <w:shd w:val="clear" w:color="auto" w:fill="auto"/>
          </w:tcPr>
          <w:p w14:paraId="142F8D5C" w14:textId="5BC0D2B9" w:rsidR="00E06A4D" w:rsidRPr="00DD55D1" w:rsidRDefault="00E06A4D" w:rsidP="00D71DF6">
            <w:pPr>
              <w:tabs>
                <w:tab w:val="left" w:pos="709"/>
              </w:tabs>
              <w:spacing w:before="60" w:after="60" w:line="240" w:lineRule="auto"/>
              <w:rPr>
                <w:rFonts w:ascii="Arial" w:hAnsi="Arial" w:cs="Arial"/>
                <w:sz w:val="16"/>
                <w:szCs w:val="16"/>
              </w:rPr>
            </w:pPr>
            <w:r w:rsidRPr="00DD55D1">
              <w:rPr>
                <w:rFonts w:ascii="Arial" w:hAnsi="Arial" w:cs="Arial"/>
                <w:sz w:val="16"/>
                <w:szCs w:val="16"/>
              </w:rPr>
              <w:t>GovTEAMS platform is fully operational in accordance with set pe</w:t>
            </w:r>
            <w:r>
              <w:rPr>
                <w:rFonts w:ascii="Arial" w:hAnsi="Arial" w:cs="Arial"/>
                <w:sz w:val="16"/>
                <w:szCs w:val="16"/>
              </w:rPr>
              <w:t>rformance targets (target: 99%)</w:t>
            </w:r>
            <w:r w:rsidR="00D0147F">
              <w:rPr>
                <w:rFonts w:ascii="Arial" w:hAnsi="Arial" w:cs="Arial"/>
                <w:sz w:val="16"/>
                <w:szCs w:val="16"/>
              </w:rPr>
              <w:t>.</w:t>
            </w:r>
          </w:p>
          <w:p w14:paraId="7F4EB12C" w14:textId="77777777" w:rsidR="00E06A4D" w:rsidRPr="00DD55D1" w:rsidRDefault="00E06A4D" w:rsidP="00D71DF6">
            <w:pPr>
              <w:tabs>
                <w:tab w:val="left" w:pos="709"/>
              </w:tabs>
              <w:spacing w:before="60" w:after="60" w:line="240" w:lineRule="auto"/>
              <w:rPr>
                <w:rFonts w:ascii="Arial" w:hAnsi="Arial" w:cs="Arial"/>
                <w:sz w:val="16"/>
                <w:szCs w:val="16"/>
              </w:rPr>
            </w:pPr>
            <w:r w:rsidRPr="00DD55D1">
              <w:rPr>
                <w:rFonts w:ascii="Arial" w:hAnsi="Arial" w:cs="Arial"/>
                <w:sz w:val="16"/>
                <w:szCs w:val="16"/>
              </w:rPr>
              <w:t xml:space="preserve">GovTEAMS active user count </w:t>
            </w:r>
          </w:p>
          <w:p w14:paraId="08EFF261" w14:textId="77777777" w:rsidR="00E06A4D" w:rsidRPr="00D12B3D" w:rsidRDefault="00E06A4D" w:rsidP="00D71DF6">
            <w:pPr>
              <w:pStyle w:val="ListParagraph"/>
              <w:numPr>
                <w:ilvl w:val="1"/>
                <w:numId w:val="60"/>
              </w:numPr>
              <w:tabs>
                <w:tab w:val="left" w:pos="709"/>
              </w:tabs>
              <w:spacing w:before="60" w:after="60" w:line="240" w:lineRule="auto"/>
              <w:ind w:left="527" w:hanging="357"/>
              <w:contextualSpacing w:val="0"/>
              <w:rPr>
                <w:rFonts w:ascii="Arial" w:hAnsi="Arial" w:cs="Arial"/>
                <w:sz w:val="16"/>
                <w:szCs w:val="16"/>
              </w:rPr>
            </w:pPr>
            <w:r w:rsidRPr="00D12B3D">
              <w:rPr>
                <w:rFonts w:ascii="Arial" w:hAnsi="Arial" w:cs="Arial"/>
                <w:sz w:val="16"/>
                <w:szCs w:val="16"/>
              </w:rPr>
              <w:t>2023-24 target: 32,500</w:t>
            </w:r>
          </w:p>
          <w:p w14:paraId="78321D6B" w14:textId="77777777" w:rsidR="00E06A4D" w:rsidRPr="00D12B3D" w:rsidRDefault="00E06A4D" w:rsidP="00D71DF6">
            <w:pPr>
              <w:pStyle w:val="ListParagraph"/>
              <w:numPr>
                <w:ilvl w:val="1"/>
                <w:numId w:val="60"/>
              </w:numPr>
              <w:tabs>
                <w:tab w:val="left" w:pos="709"/>
              </w:tabs>
              <w:spacing w:before="60" w:after="60" w:line="240" w:lineRule="auto"/>
              <w:ind w:left="527" w:hanging="357"/>
              <w:contextualSpacing w:val="0"/>
              <w:rPr>
                <w:rFonts w:ascii="Arial" w:hAnsi="Arial" w:cs="Arial"/>
                <w:sz w:val="16"/>
                <w:szCs w:val="16"/>
              </w:rPr>
            </w:pPr>
            <w:r w:rsidRPr="00D12B3D">
              <w:rPr>
                <w:rFonts w:ascii="Arial" w:hAnsi="Arial" w:cs="Arial"/>
                <w:sz w:val="16"/>
                <w:szCs w:val="16"/>
              </w:rPr>
              <w:t>2024-25 target: 35,000</w:t>
            </w:r>
          </w:p>
          <w:p w14:paraId="4737C344" w14:textId="4216F004" w:rsidR="00E06A4D" w:rsidRPr="00386A06" w:rsidRDefault="00E06A4D" w:rsidP="00D71DF6">
            <w:pPr>
              <w:pStyle w:val="ListParagraph"/>
              <w:numPr>
                <w:ilvl w:val="1"/>
                <w:numId w:val="60"/>
              </w:numPr>
              <w:tabs>
                <w:tab w:val="left" w:pos="709"/>
              </w:tabs>
              <w:spacing w:before="60" w:after="60" w:line="240" w:lineRule="auto"/>
              <w:ind w:left="527" w:hanging="357"/>
              <w:contextualSpacing w:val="0"/>
              <w:rPr>
                <w:rFonts w:ascii="Arial" w:hAnsi="Arial" w:cs="Arial"/>
                <w:sz w:val="16"/>
                <w:szCs w:val="16"/>
              </w:rPr>
            </w:pPr>
            <w:r w:rsidRPr="00D12B3D">
              <w:rPr>
                <w:rFonts w:ascii="Arial" w:hAnsi="Arial" w:cs="Arial"/>
                <w:sz w:val="16"/>
                <w:szCs w:val="16"/>
              </w:rPr>
              <w:t>2025-26 target: 37,500</w:t>
            </w:r>
          </w:p>
          <w:p w14:paraId="414ADBC6" w14:textId="77777777" w:rsidR="00E06A4D" w:rsidRPr="00DD55D1" w:rsidRDefault="00E06A4D" w:rsidP="00D71DF6">
            <w:pPr>
              <w:tabs>
                <w:tab w:val="left" w:pos="709"/>
              </w:tabs>
              <w:spacing w:before="60" w:after="60" w:line="240" w:lineRule="auto"/>
              <w:rPr>
                <w:rFonts w:ascii="Arial" w:hAnsi="Arial" w:cs="Arial"/>
                <w:sz w:val="16"/>
                <w:szCs w:val="16"/>
              </w:rPr>
            </w:pPr>
            <w:r w:rsidRPr="00DD55D1">
              <w:rPr>
                <w:rFonts w:ascii="Arial" w:hAnsi="Arial" w:cs="Arial"/>
                <w:sz w:val="16"/>
                <w:szCs w:val="16"/>
              </w:rPr>
              <w:t xml:space="preserve">GovTEAMS usage – average number of interactions per active user per month </w:t>
            </w:r>
          </w:p>
          <w:p w14:paraId="6FDE0D20" w14:textId="77777777" w:rsidR="00E06A4D" w:rsidRPr="00D12B3D" w:rsidRDefault="00E06A4D" w:rsidP="00D71DF6">
            <w:pPr>
              <w:pStyle w:val="ListParagraph"/>
              <w:numPr>
                <w:ilvl w:val="1"/>
                <w:numId w:val="61"/>
              </w:numPr>
              <w:tabs>
                <w:tab w:val="left" w:pos="709"/>
              </w:tabs>
              <w:spacing w:before="60" w:after="60" w:line="240" w:lineRule="auto"/>
              <w:ind w:left="527" w:hanging="357"/>
              <w:contextualSpacing w:val="0"/>
              <w:rPr>
                <w:rFonts w:ascii="Arial" w:hAnsi="Arial" w:cs="Arial"/>
                <w:sz w:val="16"/>
                <w:szCs w:val="16"/>
              </w:rPr>
            </w:pPr>
            <w:r w:rsidRPr="00D12B3D">
              <w:rPr>
                <w:rFonts w:ascii="Arial" w:hAnsi="Arial" w:cs="Arial"/>
                <w:sz w:val="16"/>
                <w:szCs w:val="16"/>
              </w:rPr>
              <w:t>2023-24 target: 29.29</w:t>
            </w:r>
          </w:p>
          <w:p w14:paraId="34AA686E" w14:textId="77777777" w:rsidR="00E06A4D" w:rsidRPr="00D12B3D" w:rsidRDefault="00E06A4D" w:rsidP="00D71DF6">
            <w:pPr>
              <w:pStyle w:val="ListParagraph"/>
              <w:numPr>
                <w:ilvl w:val="1"/>
                <w:numId w:val="61"/>
              </w:numPr>
              <w:tabs>
                <w:tab w:val="left" w:pos="709"/>
              </w:tabs>
              <w:spacing w:before="60" w:after="60" w:line="240" w:lineRule="auto"/>
              <w:ind w:left="527" w:hanging="357"/>
              <w:contextualSpacing w:val="0"/>
              <w:rPr>
                <w:rFonts w:ascii="Arial" w:hAnsi="Arial" w:cs="Arial"/>
                <w:sz w:val="16"/>
                <w:szCs w:val="16"/>
              </w:rPr>
            </w:pPr>
            <w:r w:rsidRPr="00D12B3D">
              <w:rPr>
                <w:rFonts w:ascii="Arial" w:hAnsi="Arial" w:cs="Arial"/>
                <w:sz w:val="16"/>
                <w:szCs w:val="16"/>
              </w:rPr>
              <w:t>2024-25 target: 29.49</w:t>
            </w:r>
          </w:p>
          <w:p w14:paraId="08751BB5" w14:textId="77777777" w:rsidR="00E06A4D" w:rsidRPr="00B813A0" w:rsidRDefault="00E06A4D" w:rsidP="00D71DF6">
            <w:pPr>
              <w:pStyle w:val="ListParagraph"/>
              <w:numPr>
                <w:ilvl w:val="1"/>
                <w:numId w:val="61"/>
              </w:numPr>
              <w:tabs>
                <w:tab w:val="left" w:pos="709"/>
              </w:tabs>
              <w:spacing w:before="60" w:after="60" w:line="240" w:lineRule="auto"/>
              <w:ind w:left="527" w:hanging="357"/>
              <w:contextualSpacing w:val="0"/>
              <w:rPr>
                <w:rFonts w:ascii="Arial" w:hAnsi="Arial" w:cs="Arial"/>
                <w:sz w:val="16"/>
                <w:szCs w:val="16"/>
              </w:rPr>
            </w:pPr>
            <w:r w:rsidRPr="00D12B3D">
              <w:rPr>
                <w:rFonts w:ascii="Arial" w:hAnsi="Arial" w:cs="Arial"/>
                <w:sz w:val="16"/>
                <w:szCs w:val="16"/>
              </w:rPr>
              <w:t>2025-26 target: 29.65</w:t>
            </w:r>
          </w:p>
        </w:tc>
      </w:tr>
      <w:tr w:rsidR="00E06A4D" w:rsidRPr="009415D5" w14:paraId="3586F860" w14:textId="77777777" w:rsidTr="00386A06">
        <w:trPr>
          <w:trHeight w:val="1035"/>
        </w:trPr>
        <w:tc>
          <w:tcPr>
            <w:tcW w:w="1414" w:type="dxa"/>
            <w:tcBorders>
              <w:top w:val="nil"/>
              <w:left w:val="single" w:sz="4" w:space="0" w:color="auto"/>
              <w:bottom w:val="single" w:sz="4" w:space="0" w:color="auto"/>
              <w:right w:val="single" w:sz="4" w:space="0" w:color="auto"/>
            </w:tcBorders>
            <w:shd w:val="clear" w:color="auto" w:fill="auto"/>
          </w:tcPr>
          <w:p w14:paraId="1E08B6E5" w14:textId="77777777" w:rsidR="00E06A4D" w:rsidRPr="00D357ED" w:rsidRDefault="00E06A4D" w:rsidP="00386A06">
            <w:pPr>
              <w:pStyle w:val="TableTextLeft"/>
              <w:spacing w:before="60" w:after="60"/>
            </w:pPr>
          </w:p>
        </w:tc>
        <w:tc>
          <w:tcPr>
            <w:tcW w:w="2290" w:type="dxa"/>
            <w:tcBorders>
              <w:top w:val="dotted" w:sz="4" w:space="0" w:color="auto"/>
              <w:left w:val="single" w:sz="4" w:space="0" w:color="auto"/>
              <w:bottom w:val="single" w:sz="4" w:space="0" w:color="auto"/>
              <w:right w:val="single" w:sz="4" w:space="0" w:color="auto"/>
            </w:tcBorders>
            <w:shd w:val="clear" w:color="auto" w:fill="auto"/>
          </w:tcPr>
          <w:p w14:paraId="4F5D32ED" w14:textId="77777777" w:rsidR="00E06A4D" w:rsidRPr="00B813A0" w:rsidRDefault="00E06A4D" w:rsidP="00386A06">
            <w:pPr>
              <w:pStyle w:val="TableTextBase"/>
              <w:spacing w:before="60" w:after="60"/>
              <w:rPr>
                <w:b/>
              </w:rPr>
            </w:pPr>
            <w:r w:rsidRPr="00B813A0">
              <w:rPr>
                <w:b/>
              </w:rPr>
              <w:t>GovCMS supports creation of websites that better connect government with people</w:t>
            </w:r>
          </w:p>
          <w:p w14:paraId="78B0D3A7" w14:textId="52400B1B" w:rsidR="00E06A4D" w:rsidRPr="00386A06" w:rsidRDefault="00E06A4D" w:rsidP="00386A06">
            <w:pPr>
              <w:pStyle w:val="TableTextBase"/>
              <w:spacing w:before="60" w:after="60"/>
            </w:pPr>
            <w:r w:rsidRPr="00B813A0">
              <w:t>As per 2022-23</w:t>
            </w:r>
          </w:p>
        </w:tc>
        <w:tc>
          <w:tcPr>
            <w:tcW w:w="4091" w:type="dxa"/>
            <w:tcBorders>
              <w:top w:val="dotted" w:sz="4" w:space="0" w:color="auto"/>
              <w:left w:val="single" w:sz="4" w:space="0" w:color="auto"/>
              <w:bottom w:val="single" w:sz="4" w:space="0" w:color="auto"/>
              <w:right w:val="single" w:sz="4" w:space="0" w:color="auto"/>
            </w:tcBorders>
            <w:shd w:val="clear" w:color="auto" w:fill="auto"/>
          </w:tcPr>
          <w:p w14:paraId="08B57CF2" w14:textId="77777777" w:rsidR="00E06A4D" w:rsidRPr="00DD55D1" w:rsidRDefault="00E06A4D" w:rsidP="00386A06">
            <w:pPr>
              <w:tabs>
                <w:tab w:val="left" w:pos="709"/>
              </w:tabs>
              <w:spacing w:before="60" w:after="60" w:line="240" w:lineRule="auto"/>
              <w:rPr>
                <w:rFonts w:ascii="Arial" w:hAnsi="Arial" w:cs="Arial"/>
                <w:sz w:val="16"/>
                <w:szCs w:val="16"/>
              </w:rPr>
            </w:pPr>
            <w:r w:rsidRPr="00B813A0">
              <w:rPr>
                <w:rFonts w:ascii="Arial" w:hAnsi="Arial" w:cs="Arial"/>
                <w:sz w:val="16"/>
                <w:szCs w:val="16"/>
              </w:rPr>
              <w:t>As per 2022-23</w:t>
            </w:r>
          </w:p>
        </w:tc>
      </w:tr>
    </w:tbl>
    <w:p w14:paraId="28FC9365" w14:textId="26AA5D0C" w:rsidR="00544718" w:rsidRDefault="00544718" w:rsidP="004B5360">
      <w:pPr>
        <w:pStyle w:val="TableHeading"/>
        <w:spacing w:before="30" w:after="0"/>
        <w:rPr>
          <w:b w:val="0"/>
          <w:color w:val="000000"/>
          <w:sz w:val="16"/>
          <w:lang w:val="x-none" w:eastAsia="x-none"/>
        </w:rPr>
      </w:pPr>
      <w:r w:rsidRPr="00544718">
        <w:rPr>
          <w:b w:val="0"/>
          <w:color w:val="000000"/>
          <w:sz w:val="16"/>
          <w:lang w:val="x-none" w:eastAsia="x-none"/>
        </w:rPr>
        <w:t>Table continues on next page</w:t>
      </w:r>
      <w:r>
        <w:rPr>
          <w:b w:val="0"/>
          <w:color w:val="000000"/>
          <w:sz w:val="16"/>
          <w:lang w:val="x-none" w:eastAsia="x-none"/>
        </w:rPr>
        <w:br w:type="page"/>
      </w:r>
    </w:p>
    <w:p w14:paraId="2CBB8263" w14:textId="77777777" w:rsidR="00562816" w:rsidRDefault="00544718" w:rsidP="00544718">
      <w:pPr>
        <w:pStyle w:val="TableHeading"/>
        <w:spacing w:before="0"/>
      </w:pPr>
      <w:r w:rsidRPr="00511496">
        <w:lastRenderedPageBreak/>
        <w:t>Table 2.2.2: Performance measure 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90"/>
        <w:gridCol w:w="4091"/>
      </w:tblGrid>
      <w:tr w:rsidR="00562816" w:rsidRPr="00ED5B0C" w14:paraId="2FE5F5A8" w14:textId="77777777" w:rsidTr="005140FF">
        <w:trPr>
          <w:trHeight w:val="527"/>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3085DD71" w14:textId="77777777" w:rsidR="00562816" w:rsidRPr="00ED5B0C" w:rsidRDefault="00562816" w:rsidP="005140FF">
            <w:pPr>
              <w:tabs>
                <w:tab w:val="left" w:pos="709"/>
              </w:tabs>
              <w:spacing w:before="60" w:after="60" w:line="240" w:lineRule="auto"/>
              <w:rPr>
                <w:rFonts w:ascii="Arial" w:eastAsia="Arial" w:hAnsi="Arial" w:cs="Arial"/>
                <w:b/>
                <w:sz w:val="16"/>
                <w:szCs w:val="16"/>
              </w:rPr>
            </w:pPr>
            <w:r w:rsidRPr="00ED5B0C">
              <w:rPr>
                <w:rFonts w:ascii="Arial" w:eastAsia="Arial" w:hAnsi="Arial" w:cs="Arial"/>
                <w:b/>
                <w:sz w:val="16"/>
                <w:szCs w:val="16"/>
              </w:rPr>
              <w:t xml:space="preserve">Program 2.2- Transforming Government </w:t>
            </w:r>
          </w:p>
          <w:p w14:paraId="1A8D0AD9" w14:textId="77777777" w:rsidR="00562816" w:rsidRPr="00ED5B0C" w:rsidRDefault="00562816" w:rsidP="005140FF">
            <w:pPr>
              <w:tabs>
                <w:tab w:val="left" w:pos="709"/>
              </w:tabs>
              <w:spacing w:before="60" w:after="60" w:line="240" w:lineRule="auto"/>
              <w:rPr>
                <w:rFonts w:ascii="Arial" w:hAnsi="Arial" w:cs="Arial"/>
                <w:sz w:val="16"/>
                <w:szCs w:val="16"/>
              </w:rPr>
            </w:pPr>
            <w:r w:rsidRPr="00ED5B0C">
              <w:rPr>
                <w:rFonts w:ascii="Arial" w:eastAsia="Arial" w:hAnsi="Arial" w:cs="Arial"/>
                <w:sz w:val="16"/>
                <w:szCs w:val="16"/>
              </w:rPr>
              <w:t>This program contributes to the outcome by providing leadership in the development and delivery of reforms and initiatives that support the modernisation of government and increase public sector productivity.</w:t>
            </w:r>
          </w:p>
        </w:tc>
      </w:tr>
      <w:tr w:rsidR="00562816" w:rsidRPr="00361E69" w14:paraId="028463E2" w14:textId="77777777" w:rsidTr="005140FF">
        <w:trPr>
          <w:trHeight w:val="312"/>
        </w:trPr>
        <w:tc>
          <w:tcPr>
            <w:tcW w:w="1414" w:type="dxa"/>
            <w:tcBorders>
              <w:top w:val="single" w:sz="4" w:space="0" w:color="auto"/>
              <w:bottom w:val="single" w:sz="4" w:space="0" w:color="auto"/>
              <w:right w:val="single" w:sz="4" w:space="0" w:color="auto"/>
            </w:tcBorders>
            <w:shd w:val="clear" w:color="auto" w:fill="auto"/>
          </w:tcPr>
          <w:p w14:paraId="240E0B2B" w14:textId="77777777" w:rsidR="00562816" w:rsidRPr="00361E69" w:rsidRDefault="00562816" w:rsidP="005140FF">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Year</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49CF41FE" w14:textId="77777777" w:rsidR="00562816" w:rsidRPr="00361E69" w:rsidRDefault="00562816" w:rsidP="005140FF">
            <w:pPr>
              <w:tabs>
                <w:tab w:val="left" w:pos="709"/>
                <w:tab w:val="center" w:pos="1818"/>
              </w:tabs>
              <w:spacing w:before="60" w:after="60" w:line="240" w:lineRule="auto"/>
              <w:rPr>
                <w:rFonts w:ascii="Arial" w:hAnsi="Arial" w:cs="Arial"/>
                <w:b/>
                <w:bCs/>
                <w:sz w:val="16"/>
                <w:szCs w:val="16"/>
              </w:rPr>
            </w:pPr>
            <w:r w:rsidRPr="1362A57E">
              <w:rPr>
                <w:rFonts w:ascii="Arial" w:hAnsi="Arial" w:cs="Arial"/>
                <w:b/>
                <w:bCs/>
                <w:sz w:val="16"/>
                <w:szCs w:val="16"/>
              </w:rPr>
              <w:t>Performance measures</w:t>
            </w:r>
          </w:p>
        </w:tc>
        <w:tc>
          <w:tcPr>
            <w:tcW w:w="4091" w:type="dxa"/>
            <w:tcBorders>
              <w:top w:val="single" w:sz="4" w:space="0" w:color="auto"/>
              <w:left w:val="single" w:sz="4" w:space="0" w:color="auto"/>
              <w:bottom w:val="single" w:sz="4" w:space="0" w:color="auto"/>
            </w:tcBorders>
            <w:shd w:val="clear" w:color="auto" w:fill="auto"/>
          </w:tcPr>
          <w:p w14:paraId="2F239127" w14:textId="77777777" w:rsidR="00562816" w:rsidRPr="00361E69" w:rsidRDefault="00562816" w:rsidP="005140FF">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Expected Performance Results</w:t>
            </w:r>
          </w:p>
        </w:tc>
      </w:tr>
      <w:tr w:rsidR="00562816" w:rsidRPr="006B7BE5" w14:paraId="1C08245B" w14:textId="77777777" w:rsidTr="005140FF">
        <w:trPr>
          <w:trHeight w:val="1999"/>
        </w:trPr>
        <w:tc>
          <w:tcPr>
            <w:tcW w:w="1414" w:type="dxa"/>
            <w:tcBorders>
              <w:top w:val="single" w:sz="4" w:space="0" w:color="auto"/>
              <w:left w:val="single" w:sz="4" w:space="0" w:color="auto"/>
              <w:bottom w:val="dotted" w:sz="4" w:space="0" w:color="auto"/>
              <w:right w:val="single" w:sz="4" w:space="0" w:color="auto"/>
            </w:tcBorders>
            <w:shd w:val="clear" w:color="auto" w:fill="auto"/>
          </w:tcPr>
          <w:p w14:paraId="2BF878FE" w14:textId="77777777" w:rsidR="00562816" w:rsidRPr="00D357ED" w:rsidRDefault="00562816" w:rsidP="005140FF">
            <w:pPr>
              <w:pStyle w:val="TableTextLeft"/>
              <w:spacing w:before="60" w:after="60"/>
            </w:pPr>
            <w:r w:rsidRPr="00D357ED">
              <w:t xml:space="preserve">Forward Estimates </w:t>
            </w:r>
          </w:p>
          <w:p w14:paraId="0A031AD3" w14:textId="1A5CEB2E" w:rsidR="00562816" w:rsidRPr="00DD55D1" w:rsidRDefault="00562816" w:rsidP="00D0147F">
            <w:pPr>
              <w:pStyle w:val="TableTextLeft"/>
              <w:spacing w:before="60" w:after="60"/>
              <w:rPr>
                <w:b/>
              </w:rPr>
            </w:pPr>
            <w:r w:rsidRPr="00D357ED">
              <w:t>2023-26</w:t>
            </w:r>
            <w:r w:rsidR="00D0147F">
              <w:t xml:space="preserve"> </w:t>
            </w:r>
            <w:r>
              <w:rPr>
                <w:rFonts w:cs="Arial"/>
                <w:szCs w:val="16"/>
              </w:rPr>
              <w:t>(continued)</w:t>
            </w:r>
          </w:p>
        </w:tc>
        <w:tc>
          <w:tcPr>
            <w:tcW w:w="2290" w:type="dxa"/>
            <w:tcBorders>
              <w:top w:val="single" w:sz="4" w:space="0" w:color="auto"/>
              <w:left w:val="single" w:sz="4" w:space="0" w:color="auto"/>
              <w:bottom w:val="dotted" w:sz="4" w:space="0" w:color="auto"/>
              <w:right w:val="single" w:sz="4" w:space="0" w:color="auto"/>
            </w:tcBorders>
            <w:shd w:val="clear" w:color="auto" w:fill="auto"/>
          </w:tcPr>
          <w:p w14:paraId="3428D49D" w14:textId="77777777" w:rsidR="00562816" w:rsidRPr="00CC6CF9" w:rsidRDefault="00562816" w:rsidP="005140FF">
            <w:pPr>
              <w:pStyle w:val="TableTextBase"/>
              <w:spacing w:before="60" w:after="60"/>
              <w:rPr>
                <w:rFonts w:cs="Arial"/>
                <w:b/>
                <w:i/>
                <w:szCs w:val="16"/>
              </w:rPr>
            </w:pPr>
            <w:r w:rsidRPr="00CC6CF9">
              <w:rPr>
                <w:rFonts w:cs="Arial"/>
                <w:b/>
                <w:i/>
                <w:szCs w:val="16"/>
              </w:rPr>
              <w:t xml:space="preserve">Participation in the DATA Scheme </w:t>
            </w:r>
          </w:p>
          <w:p w14:paraId="1D715B36" w14:textId="77777777" w:rsidR="00562816" w:rsidRPr="00DD55D1" w:rsidRDefault="00562816" w:rsidP="005140FF">
            <w:pPr>
              <w:tabs>
                <w:tab w:val="left" w:pos="709"/>
              </w:tabs>
              <w:spacing w:before="60" w:after="60" w:line="240" w:lineRule="auto"/>
              <w:rPr>
                <w:rFonts w:ascii="Arial" w:eastAsia="Arial" w:hAnsi="Arial" w:cs="Arial"/>
                <w:sz w:val="16"/>
                <w:szCs w:val="16"/>
              </w:rPr>
            </w:pPr>
            <w:r w:rsidRPr="00CC6CF9">
              <w:rPr>
                <w:rFonts w:ascii="Arial" w:hAnsi="Arial" w:cs="Arial"/>
                <w:i/>
                <w:sz w:val="16"/>
                <w:szCs w:val="16"/>
              </w:rPr>
              <w:t>Finance, through the Office of the National Data Commissioner, is supporting safe data sharing to deliver better government services, policies and programs and to support research and innovation.</w:t>
            </w:r>
          </w:p>
        </w:tc>
        <w:tc>
          <w:tcPr>
            <w:tcW w:w="4091" w:type="dxa"/>
            <w:tcBorders>
              <w:top w:val="single" w:sz="4" w:space="0" w:color="auto"/>
              <w:left w:val="single" w:sz="4" w:space="0" w:color="auto"/>
              <w:bottom w:val="dotted" w:sz="4" w:space="0" w:color="auto"/>
              <w:right w:val="single" w:sz="4" w:space="0" w:color="auto"/>
            </w:tcBorders>
            <w:shd w:val="clear" w:color="auto" w:fill="auto"/>
          </w:tcPr>
          <w:p w14:paraId="20C4E7BB" w14:textId="3B391C84" w:rsidR="00562816" w:rsidRPr="00CC6CF9" w:rsidRDefault="00562816" w:rsidP="005140FF">
            <w:pPr>
              <w:tabs>
                <w:tab w:val="left" w:pos="709"/>
              </w:tabs>
              <w:spacing w:before="60" w:after="60" w:line="240" w:lineRule="auto"/>
              <w:rPr>
                <w:rFonts w:ascii="Arial" w:hAnsi="Arial" w:cs="Arial"/>
                <w:i/>
                <w:sz w:val="16"/>
                <w:szCs w:val="16"/>
              </w:rPr>
            </w:pPr>
            <w:r w:rsidRPr="00CC6CF9">
              <w:rPr>
                <w:rFonts w:ascii="Arial" w:hAnsi="Arial" w:cs="Arial"/>
                <w:i/>
                <w:sz w:val="16"/>
                <w:szCs w:val="16"/>
              </w:rPr>
              <w:t xml:space="preserve">Strengthened data handling and sharing across the </w:t>
            </w:r>
            <w:r w:rsidR="00D0147F" w:rsidRPr="00CC6CF9">
              <w:rPr>
                <w:rFonts w:ascii="Arial" w:hAnsi="Arial" w:cs="Arial"/>
                <w:i/>
                <w:sz w:val="16"/>
                <w:szCs w:val="16"/>
              </w:rPr>
              <w:t>APS</w:t>
            </w:r>
            <w:r w:rsidRPr="00CC6CF9">
              <w:rPr>
                <w:rFonts w:ascii="Arial" w:hAnsi="Arial" w:cs="Arial"/>
                <w:i/>
                <w:sz w:val="16"/>
                <w:szCs w:val="16"/>
              </w:rPr>
              <w:t xml:space="preserve"> (target: baseline to be established in first year of operation)</w:t>
            </w:r>
            <w:r w:rsidR="00D0147F" w:rsidRPr="00CC6CF9">
              <w:rPr>
                <w:rFonts w:ascii="Arial" w:hAnsi="Arial" w:cs="Arial"/>
                <w:i/>
                <w:sz w:val="16"/>
                <w:szCs w:val="16"/>
              </w:rPr>
              <w:t>.</w:t>
            </w:r>
          </w:p>
          <w:p w14:paraId="7E7142F8" w14:textId="4202F192" w:rsidR="00562816" w:rsidRPr="00CC6CF9" w:rsidRDefault="00562816" w:rsidP="005140FF">
            <w:pPr>
              <w:tabs>
                <w:tab w:val="left" w:pos="709"/>
              </w:tabs>
              <w:spacing w:before="60" w:after="60" w:line="240" w:lineRule="auto"/>
              <w:rPr>
                <w:rFonts w:ascii="Arial" w:hAnsi="Arial" w:cs="Arial"/>
                <w:i/>
                <w:sz w:val="16"/>
                <w:szCs w:val="16"/>
              </w:rPr>
            </w:pPr>
            <w:r w:rsidRPr="00CC6CF9">
              <w:rPr>
                <w:rFonts w:ascii="Arial" w:hAnsi="Arial" w:cs="Arial"/>
                <w:i/>
                <w:sz w:val="16"/>
                <w:szCs w:val="16"/>
              </w:rPr>
              <w:t>Institutional arrangements in place to support safe, transparent and consistent data sharing (target: legislative requirements and timelines are met)</w:t>
            </w:r>
            <w:r w:rsidR="00D0147F" w:rsidRPr="00CC6CF9">
              <w:rPr>
                <w:rFonts w:ascii="Arial" w:hAnsi="Arial" w:cs="Arial"/>
                <w:i/>
                <w:sz w:val="16"/>
                <w:szCs w:val="16"/>
              </w:rPr>
              <w:t>.</w:t>
            </w:r>
          </w:p>
          <w:p w14:paraId="10CCCE04" w14:textId="57D675BC" w:rsidR="00562816" w:rsidRPr="006B7BE5" w:rsidRDefault="00562816" w:rsidP="005140FF">
            <w:pPr>
              <w:tabs>
                <w:tab w:val="left" w:pos="709"/>
              </w:tabs>
              <w:spacing w:before="60" w:after="60" w:line="240" w:lineRule="auto"/>
              <w:rPr>
                <w:rFonts w:ascii="Arial" w:hAnsi="Arial" w:cs="Arial"/>
                <w:sz w:val="16"/>
                <w:szCs w:val="16"/>
              </w:rPr>
            </w:pPr>
            <w:r w:rsidRPr="00CC6CF9">
              <w:rPr>
                <w:rFonts w:ascii="Arial" w:hAnsi="Arial" w:cs="Arial"/>
                <w:i/>
                <w:sz w:val="16"/>
                <w:szCs w:val="16"/>
              </w:rPr>
              <w:t>Data sharing agreements delivering public benefit (target: baseline to be established in first year of operation)</w:t>
            </w:r>
            <w:r w:rsidR="00D0147F" w:rsidRPr="00CC6CF9">
              <w:rPr>
                <w:rFonts w:ascii="Arial" w:hAnsi="Arial" w:cs="Arial"/>
                <w:i/>
                <w:sz w:val="16"/>
                <w:szCs w:val="16"/>
              </w:rPr>
              <w:t>.</w:t>
            </w:r>
          </w:p>
        </w:tc>
      </w:tr>
      <w:tr w:rsidR="00562816" w:rsidRPr="00DD55D1" w14:paraId="3ECD8BAA" w14:textId="77777777" w:rsidTr="005140FF">
        <w:trPr>
          <w:trHeight w:val="291"/>
        </w:trPr>
        <w:tc>
          <w:tcPr>
            <w:tcW w:w="7795" w:type="dxa"/>
            <w:gridSpan w:val="3"/>
          </w:tcPr>
          <w:p w14:paraId="7F6773AC" w14:textId="77777777" w:rsidR="00562816" w:rsidRPr="00DD55D1" w:rsidRDefault="00562816" w:rsidP="005140FF">
            <w:pPr>
              <w:pStyle w:val="TableTextLeft"/>
              <w:spacing w:before="60" w:after="60"/>
              <w:rPr>
                <w:rFonts w:eastAsia="Cambria"/>
                <w:bCs/>
                <w:iCs/>
                <w:spacing w:val="-6"/>
                <w:lang w:val="x-none"/>
              </w:rPr>
            </w:pPr>
            <w:r w:rsidRPr="00DD55D1">
              <w:t>Material changes to Program 2.2 resulting from October 2022-23 Budget Measures:</w:t>
            </w:r>
            <w:r w:rsidRPr="00DD55D1">
              <w:rPr>
                <w:bCs/>
                <w:iCs/>
                <w:spacing w:val="-6"/>
              </w:rPr>
              <w:t xml:space="preserve"> Nil</w:t>
            </w:r>
          </w:p>
        </w:tc>
      </w:tr>
    </w:tbl>
    <w:p w14:paraId="02F1335A" w14:textId="2BABAD26" w:rsidR="00CC6CF9" w:rsidRDefault="00CC6CF9" w:rsidP="00C8474A">
      <w:pPr>
        <w:pStyle w:val="ChartandTableFootnoteAlpha"/>
        <w:numPr>
          <w:ilvl w:val="0"/>
          <w:numId w:val="74"/>
        </w:numPr>
        <w:spacing w:before="60"/>
        <w:ind w:left="284" w:hanging="284"/>
        <w:rPr>
          <w:lang w:eastAsia="x-none"/>
        </w:rPr>
      </w:pPr>
      <w:r w:rsidRPr="00CC65C0">
        <w:rPr>
          <w:lang w:eastAsia="x-none"/>
        </w:rPr>
        <w:t>Refers to updated key activities th</w:t>
      </w:r>
      <w:r>
        <w:rPr>
          <w:lang w:eastAsia="x-none"/>
        </w:rPr>
        <w:t>at will be reflected in the 2022-23</w:t>
      </w:r>
      <w:r w:rsidRPr="00CC65C0">
        <w:rPr>
          <w:lang w:eastAsia="x-none"/>
        </w:rPr>
        <w:t xml:space="preserve"> Corporate Plan</w:t>
      </w:r>
      <w:r>
        <w:rPr>
          <w:lang w:eastAsia="x-none"/>
        </w:rPr>
        <w:t>.</w:t>
      </w:r>
    </w:p>
    <w:p w14:paraId="741E5E7F" w14:textId="7DD62CF2" w:rsidR="00CC6CF9" w:rsidRPr="00CC6CF9" w:rsidRDefault="00CC6CF9" w:rsidP="00C8474A">
      <w:pPr>
        <w:pStyle w:val="ChartandTableFootnoteAlpha"/>
        <w:numPr>
          <w:ilvl w:val="0"/>
          <w:numId w:val="74"/>
        </w:numPr>
        <w:spacing w:before="60"/>
        <w:ind w:left="284" w:hanging="284"/>
        <w:rPr>
          <w:lang w:eastAsia="x-none"/>
        </w:rPr>
      </w:pPr>
      <w:r w:rsidRPr="001B2F81">
        <w:rPr>
          <w:lang w:eastAsia="x-none"/>
        </w:rPr>
        <w:t xml:space="preserve">New or modified performance </w:t>
      </w:r>
      <w:r w:rsidRPr="00E12264">
        <w:rPr>
          <w:lang w:eastAsia="x-none"/>
        </w:rPr>
        <w:t>measures</w:t>
      </w:r>
      <w:r w:rsidRPr="001B2F81">
        <w:rPr>
          <w:lang w:eastAsia="x-none"/>
        </w:rPr>
        <w:t xml:space="preserve"> that reflect new or materially changed programs are shown in </w:t>
      </w:r>
      <w:r w:rsidRPr="005B6A94">
        <w:rPr>
          <w:lang w:eastAsia="x-none"/>
        </w:rPr>
        <w:t>italics.</w:t>
      </w:r>
    </w:p>
    <w:p w14:paraId="574A687F" w14:textId="77777777" w:rsidR="0045165E" w:rsidRDefault="0045165E" w:rsidP="0045165E">
      <w:pPr>
        <w:pStyle w:val="TableHeading"/>
        <w:spacing w:before="0"/>
      </w:pPr>
      <w:r>
        <w:br w:type="page"/>
      </w:r>
    </w:p>
    <w:p w14:paraId="2239E14C" w14:textId="43455E96" w:rsidR="00F0167C" w:rsidRDefault="00F0167C" w:rsidP="0045165E">
      <w:pPr>
        <w:pStyle w:val="TableHeading"/>
        <w:spacing w:before="0"/>
      </w:pPr>
      <w:r>
        <w:lastRenderedPageBreak/>
        <w:t>Table 2.2</w:t>
      </w:r>
      <w:r w:rsidRPr="00F71634">
        <w:t>.</w:t>
      </w:r>
      <w:r>
        <w:t>2</w:t>
      </w:r>
      <w:r w:rsidRPr="00F71634">
        <w:t xml:space="preserve">: Performance </w:t>
      </w:r>
      <w:r w:rsidRPr="00026D37">
        <w:t>measure</w:t>
      </w:r>
      <w:r w:rsidRPr="00F71634">
        <w:t xml:space="preserve"> </w:t>
      </w:r>
      <w:r>
        <w:t>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130"/>
        <w:gridCol w:w="4251"/>
      </w:tblGrid>
      <w:tr w:rsidR="00F0167C" w:rsidRPr="00361E69" w14:paraId="2239E14F" w14:textId="77777777" w:rsidTr="00C27356">
        <w:trPr>
          <w:trHeight w:val="527"/>
        </w:trPr>
        <w:tc>
          <w:tcPr>
            <w:tcW w:w="7795" w:type="dxa"/>
            <w:gridSpan w:val="3"/>
            <w:shd w:val="clear" w:color="auto" w:fill="F2F2F2"/>
          </w:tcPr>
          <w:p w14:paraId="1BF56BA3" w14:textId="77777777" w:rsidR="0045165E" w:rsidRPr="0045165E" w:rsidRDefault="0045165E" w:rsidP="00C27356">
            <w:pPr>
              <w:tabs>
                <w:tab w:val="left" w:pos="709"/>
              </w:tabs>
              <w:spacing w:before="60" w:after="60" w:line="240" w:lineRule="auto"/>
              <w:rPr>
                <w:rFonts w:ascii="Arial" w:hAnsi="Arial" w:cs="Arial"/>
                <w:b/>
                <w:sz w:val="16"/>
                <w:szCs w:val="16"/>
              </w:rPr>
            </w:pPr>
            <w:r w:rsidRPr="0045165E">
              <w:rPr>
                <w:rFonts w:ascii="Arial" w:hAnsi="Arial" w:cs="Arial"/>
                <w:b/>
                <w:sz w:val="16"/>
                <w:szCs w:val="16"/>
              </w:rPr>
              <w:t>Program 2.3- Property and Construction</w:t>
            </w:r>
          </w:p>
          <w:p w14:paraId="2239E14E" w14:textId="312F0A68" w:rsidR="00F0167C" w:rsidRPr="0045165E" w:rsidRDefault="0045165E" w:rsidP="00C27356">
            <w:pPr>
              <w:tabs>
                <w:tab w:val="left" w:pos="709"/>
              </w:tabs>
              <w:spacing w:before="60" w:after="60" w:line="240" w:lineRule="auto"/>
              <w:rPr>
                <w:rFonts w:ascii="Arial" w:hAnsi="Arial" w:cs="Arial"/>
                <w:sz w:val="16"/>
                <w:szCs w:val="16"/>
              </w:rPr>
            </w:pPr>
            <w:r w:rsidRPr="0045165E">
              <w:rPr>
                <w:rFonts w:ascii="Arial" w:hAnsi="Arial" w:cs="Arial"/>
                <w:sz w:val="16"/>
                <w:szCs w:val="16"/>
              </w:rPr>
              <w:t>This program contributes to the outcome by providing policy advice, guidance and support on managing Commonwealth property, land and public works across the Government; and managing specified major capital works projects and the government’s non-Defence property portfolio within Australia.</w:t>
            </w:r>
          </w:p>
        </w:tc>
      </w:tr>
      <w:tr w:rsidR="00F0167C" w:rsidRPr="00361E69" w14:paraId="2239E153" w14:textId="77777777" w:rsidTr="00C27356">
        <w:trPr>
          <w:trHeight w:val="694"/>
        </w:trPr>
        <w:tc>
          <w:tcPr>
            <w:tcW w:w="1414" w:type="dxa"/>
            <w:tcBorders>
              <w:bottom w:val="double" w:sz="4" w:space="0" w:color="auto"/>
            </w:tcBorders>
          </w:tcPr>
          <w:p w14:paraId="2239E150" w14:textId="77777777" w:rsidR="00F0167C" w:rsidRPr="00361E69" w:rsidRDefault="00F0167C" w:rsidP="00C27356">
            <w:pPr>
              <w:tabs>
                <w:tab w:val="left" w:pos="709"/>
              </w:tabs>
              <w:spacing w:before="60" w:after="60" w:line="240" w:lineRule="auto"/>
              <w:rPr>
                <w:rFonts w:ascii="Arial" w:hAnsi="Arial" w:cs="Arial"/>
                <w:b/>
                <w:sz w:val="16"/>
                <w:szCs w:val="16"/>
              </w:rPr>
            </w:pPr>
            <w:r>
              <w:rPr>
                <w:rFonts w:ascii="Arial" w:hAnsi="Arial" w:cs="Arial"/>
                <w:b/>
                <w:sz w:val="16"/>
                <w:szCs w:val="16"/>
              </w:rPr>
              <w:t>Key Activities</w:t>
            </w:r>
          </w:p>
        </w:tc>
        <w:tc>
          <w:tcPr>
            <w:tcW w:w="6381" w:type="dxa"/>
            <w:gridSpan w:val="2"/>
            <w:tcBorders>
              <w:bottom w:val="double" w:sz="4" w:space="0" w:color="auto"/>
            </w:tcBorders>
          </w:tcPr>
          <w:p w14:paraId="72DB37A6" w14:textId="77777777" w:rsidR="0045165E" w:rsidRPr="0045165E" w:rsidRDefault="0045165E" w:rsidP="00C27356">
            <w:pPr>
              <w:tabs>
                <w:tab w:val="left" w:pos="709"/>
              </w:tabs>
              <w:spacing w:before="60" w:after="60" w:line="240" w:lineRule="auto"/>
              <w:rPr>
                <w:rFonts w:ascii="Arial" w:hAnsi="Arial" w:cs="Arial"/>
                <w:b/>
                <w:bCs/>
                <w:sz w:val="16"/>
                <w:szCs w:val="16"/>
              </w:rPr>
            </w:pPr>
            <w:r w:rsidRPr="0045165E">
              <w:rPr>
                <w:rFonts w:ascii="Arial" w:hAnsi="Arial" w:cs="Arial"/>
                <w:b/>
                <w:bCs/>
                <w:sz w:val="16"/>
                <w:szCs w:val="16"/>
              </w:rPr>
              <w:t>Support Commonwealth property management</w:t>
            </w:r>
          </w:p>
          <w:p w14:paraId="2239E152" w14:textId="5EF2DFED" w:rsidR="00F0167C" w:rsidRPr="0045165E" w:rsidRDefault="0045165E" w:rsidP="00C27356">
            <w:pPr>
              <w:tabs>
                <w:tab w:val="left" w:pos="709"/>
              </w:tabs>
              <w:spacing w:before="60" w:after="60" w:line="240" w:lineRule="auto"/>
              <w:rPr>
                <w:rFonts w:ascii="Arial" w:hAnsi="Arial" w:cs="Arial"/>
                <w:bCs/>
                <w:sz w:val="16"/>
                <w:szCs w:val="16"/>
              </w:rPr>
            </w:pPr>
            <w:r w:rsidRPr="0045165E">
              <w:rPr>
                <w:rFonts w:ascii="Arial" w:hAnsi="Arial" w:cs="Arial"/>
                <w:bCs/>
                <w:sz w:val="16"/>
                <w:szCs w:val="16"/>
              </w:rPr>
              <w:t>Deliver an efficient and commercial approach to the management of Commonwealth property through the Commonwealth Property Management Framework.</w:t>
            </w:r>
          </w:p>
        </w:tc>
      </w:tr>
      <w:tr w:rsidR="00F0167C" w:rsidRPr="00361E69" w14:paraId="2239E157" w14:textId="77777777" w:rsidTr="00C27356">
        <w:trPr>
          <w:trHeight w:val="312"/>
        </w:trPr>
        <w:tc>
          <w:tcPr>
            <w:tcW w:w="1414" w:type="dxa"/>
            <w:tcBorders>
              <w:top w:val="double" w:sz="4" w:space="0" w:color="auto"/>
              <w:bottom w:val="single" w:sz="4" w:space="0" w:color="auto"/>
              <w:right w:val="single" w:sz="4" w:space="0" w:color="auto"/>
            </w:tcBorders>
          </w:tcPr>
          <w:p w14:paraId="2239E154" w14:textId="77777777" w:rsidR="00F0167C" w:rsidRPr="001777A1" w:rsidRDefault="00F0167C" w:rsidP="00C27356">
            <w:pPr>
              <w:tabs>
                <w:tab w:val="left" w:pos="709"/>
              </w:tabs>
              <w:spacing w:before="60" w:after="60" w:line="240" w:lineRule="auto"/>
              <w:rPr>
                <w:rFonts w:ascii="Arial" w:hAnsi="Arial" w:cs="Arial"/>
                <w:b/>
                <w:sz w:val="16"/>
                <w:szCs w:val="16"/>
              </w:rPr>
            </w:pPr>
            <w:r w:rsidRPr="001777A1">
              <w:rPr>
                <w:rFonts w:ascii="Arial" w:hAnsi="Arial" w:cs="Arial"/>
                <w:b/>
                <w:sz w:val="16"/>
                <w:szCs w:val="16"/>
              </w:rPr>
              <w:t>Year</w:t>
            </w:r>
          </w:p>
        </w:tc>
        <w:tc>
          <w:tcPr>
            <w:tcW w:w="2130" w:type="dxa"/>
            <w:tcBorders>
              <w:top w:val="double" w:sz="4" w:space="0" w:color="auto"/>
              <w:left w:val="single" w:sz="4" w:space="0" w:color="auto"/>
              <w:bottom w:val="single" w:sz="4" w:space="0" w:color="auto"/>
              <w:right w:val="single" w:sz="4" w:space="0" w:color="auto"/>
            </w:tcBorders>
          </w:tcPr>
          <w:p w14:paraId="2239E155" w14:textId="77777777" w:rsidR="00F0167C" w:rsidRPr="001777A1" w:rsidRDefault="00F0167C" w:rsidP="00C27356">
            <w:pPr>
              <w:tabs>
                <w:tab w:val="left" w:pos="709"/>
                <w:tab w:val="center" w:pos="1818"/>
              </w:tabs>
              <w:spacing w:before="60" w:after="60" w:line="240" w:lineRule="auto"/>
              <w:rPr>
                <w:rFonts w:ascii="Arial" w:hAnsi="Arial" w:cs="Arial"/>
                <w:b/>
                <w:sz w:val="16"/>
                <w:szCs w:val="16"/>
              </w:rPr>
            </w:pPr>
            <w:r w:rsidRPr="001777A1">
              <w:rPr>
                <w:rFonts w:ascii="Arial" w:hAnsi="Arial" w:cs="Arial"/>
                <w:b/>
                <w:sz w:val="16"/>
                <w:szCs w:val="16"/>
              </w:rPr>
              <w:t>Performance measures</w:t>
            </w:r>
          </w:p>
        </w:tc>
        <w:tc>
          <w:tcPr>
            <w:tcW w:w="4251" w:type="dxa"/>
            <w:tcBorders>
              <w:top w:val="double" w:sz="4" w:space="0" w:color="auto"/>
              <w:left w:val="single" w:sz="4" w:space="0" w:color="auto"/>
              <w:bottom w:val="single" w:sz="4" w:space="0" w:color="auto"/>
            </w:tcBorders>
          </w:tcPr>
          <w:p w14:paraId="2239E156" w14:textId="77777777" w:rsidR="00F0167C" w:rsidRPr="001777A1" w:rsidRDefault="00F0167C" w:rsidP="00C27356">
            <w:pPr>
              <w:tabs>
                <w:tab w:val="left" w:pos="709"/>
              </w:tabs>
              <w:spacing w:before="60" w:after="60" w:line="240" w:lineRule="auto"/>
              <w:rPr>
                <w:rFonts w:ascii="Arial" w:hAnsi="Arial" w:cs="Arial"/>
                <w:b/>
                <w:sz w:val="16"/>
                <w:szCs w:val="16"/>
              </w:rPr>
            </w:pPr>
            <w:r w:rsidRPr="001777A1">
              <w:rPr>
                <w:rFonts w:ascii="Arial" w:hAnsi="Arial" w:cs="Arial"/>
                <w:b/>
                <w:sz w:val="16"/>
                <w:szCs w:val="16"/>
              </w:rPr>
              <w:t>Expected Performance Results</w:t>
            </w:r>
          </w:p>
        </w:tc>
      </w:tr>
      <w:tr w:rsidR="00F0167C" w:rsidRPr="00267C11" w14:paraId="2239E160" w14:textId="77777777" w:rsidTr="00C27356">
        <w:trPr>
          <w:trHeight w:val="3349"/>
        </w:trPr>
        <w:tc>
          <w:tcPr>
            <w:tcW w:w="1414" w:type="dxa"/>
            <w:tcBorders>
              <w:top w:val="single" w:sz="4" w:space="0" w:color="auto"/>
              <w:right w:val="single" w:sz="4" w:space="0" w:color="auto"/>
            </w:tcBorders>
          </w:tcPr>
          <w:p w14:paraId="47C7968A" w14:textId="77777777" w:rsidR="0045165E" w:rsidRPr="005612F7" w:rsidRDefault="0045165E" w:rsidP="00C27356">
            <w:pPr>
              <w:pStyle w:val="TableTextLeft"/>
              <w:spacing w:before="60" w:after="60"/>
              <w:rPr>
                <w:rFonts w:cs="Arial"/>
                <w:szCs w:val="16"/>
              </w:rPr>
            </w:pPr>
            <w:r w:rsidRPr="005612F7">
              <w:rPr>
                <w:rFonts w:cs="Arial"/>
                <w:szCs w:val="16"/>
              </w:rPr>
              <w:t xml:space="preserve">Prior year </w:t>
            </w:r>
          </w:p>
          <w:p w14:paraId="2239E158" w14:textId="0EB20095" w:rsidR="00F0167C" w:rsidRPr="001079D3" w:rsidRDefault="0045165E" w:rsidP="00C27356">
            <w:pPr>
              <w:tabs>
                <w:tab w:val="left" w:pos="709"/>
              </w:tabs>
              <w:spacing w:before="60" w:after="60" w:line="240" w:lineRule="auto"/>
              <w:rPr>
                <w:rFonts w:ascii="Arial" w:hAnsi="Arial" w:cs="Arial"/>
                <w:sz w:val="16"/>
                <w:szCs w:val="16"/>
              </w:rPr>
            </w:pPr>
            <w:r w:rsidRPr="005612F7">
              <w:rPr>
                <w:rFonts w:ascii="Arial" w:hAnsi="Arial" w:cs="Arial"/>
                <w:sz w:val="16"/>
                <w:szCs w:val="16"/>
              </w:rPr>
              <w:t>2021-22</w:t>
            </w:r>
          </w:p>
        </w:tc>
        <w:tc>
          <w:tcPr>
            <w:tcW w:w="2130" w:type="dxa"/>
            <w:tcBorders>
              <w:top w:val="single" w:sz="4" w:space="0" w:color="auto"/>
              <w:left w:val="single" w:sz="4" w:space="0" w:color="auto"/>
              <w:right w:val="single" w:sz="4" w:space="0" w:color="auto"/>
            </w:tcBorders>
          </w:tcPr>
          <w:p w14:paraId="6312C0FD" w14:textId="77777777" w:rsidR="0045165E" w:rsidRPr="0045165E" w:rsidRDefault="0045165E" w:rsidP="00C27356">
            <w:pPr>
              <w:tabs>
                <w:tab w:val="left" w:pos="709"/>
              </w:tabs>
              <w:autoSpaceDE w:val="0"/>
              <w:autoSpaceDN w:val="0"/>
              <w:spacing w:before="60" w:after="60" w:line="240" w:lineRule="auto"/>
              <w:rPr>
                <w:rFonts w:ascii="Arial" w:eastAsia="Arial" w:hAnsi="Arial" w:cs="Arial"/>
                <w:b/>
                <w:sz w:val="16"/>
                <w:szCs w:val="16"/>
              </w:rPr>
            </w:pPr>
            <w:r w:rsidRPr="0045165E">
              <w:rPr>
                <w:rFonts w:ascii="Arial" w:eastAsia="Arial" w:hAnsi="Arial" w:cs="Arial"/>
                <w:b/>
                <w:sz w:val="16"/>
                <w:szCs w:val="16"/>
              </w:rPr>
              <w:t>Commonwealth property initiatives are efficient and effective</w:t>
            </w:r>
          </w:p>
          <w:p w14:paraId="2239E15B" w14:textId="618292BC" w:rsidR="00F0167C" w:rsidRPr="0045165E" w:rsidRDefault="0045165E" w:rsidP="00C27356">
            <w:pPr>
              <w:tabs>
                <w:tab w:val="left" w:pos="709"/>
              </w:tabs>
              <w:spacing w:before="60" w:after="60" w:line="240" w:lineRule="auto"/>
              <w:rPr>
                <w:rFonts w:ascii="Arial" w:hAnsi="Arial" w:cs="Arial"/>
                <w:sz w:val="16"/>
                <w:szCs w:val="16"/>
              </w:rPr>
            </w:pPr>
            <w:r w:rsidRPr="0045165E">
              <w:rPr>
                <w:rFonts w:ascii="Arial" w:eastAsia="Arial" w:hAnsi="Arial" w:cs="Arial"/>
                <w:sz w:val="16"/>
                <w:szCs w:val="16"/>
              </w:rPr>
              <w:t xml:space="preserve">The management of Commonwealth property demonstrates best practice effectiveness in an evolving environment, and delivers efficiencies in relation to leasing and facilities management for non-corporate Commonwealth entities. </w:t>
            </w:r>
          </w:p>
        </w:tc>
        <w:tc>
          <w:tcPr>
            <w:tcW w:w="4251" w:type="dxa"/>
            <w:tcBorders>
              <w:top w:val="single" w:sz="4" w:space="0" w:color="auto"/>
              <w:left w:val="single" w:sz="4" w:space="0" w:color="auto"/>
            </w:tcBorders>
          </w:tcPr>
          <w:p w14:paraId="3CA1EB9F" w14:textId="77777777" w:rsidR="0045165E" w:rsidRPr="0045165E" w:rsidRDefault="0045165E" w:rsidP="00C27356">
            <w:pPr>
              <w:autoSpaceDE w:val="0"/>
              <w:autoSpaceDN w:val="0"/>
              <w:spacing w:before="60" w:after="60" w:line="240" w:lineRule="auto"/>
              <w:rPr>
                <w:rFonts w:ascii="Arial" w:hAnsi="Arial" w:cs="Arial"/>
                <w:b/>
                <w:bCs/>
                <w:sz w:val="16"/>
                <w:szCs w:val="16"/>
                <w:lang w:eastAsia="en-US"/>
              </w:rPr>
            </w:pPr>
            <w:r w:rsidRPr="0045165E">
              <w:rPr>
                <w:rFonts w:ascii="Arial" w:hAnsi="Arial" w:cs="Arial"/>
                <w:b/>
                <w:bCs/>
                <w:sz w:val="16"/>
                <w:szCs w:val="16"/>
                <w:lang w:eastAsia="en-US"/>
              </w:rPr>
              <w:t>Achieved</w:t>
            </w:r>
          </w:p>
          <w:p w14:paraId="2AD91538" w14:textId="77777777" w:rsidR="0045165E" w:rsidRPr="0045165E" w:rsidRDefault="0045165E" w:rsidP="00C27356">
            <w:pPr>
              <w:autoSpaceDE w:val="0"/>
              <w:autoSpaceDN w:val="0"/>
              <w:spacing w:before="60" w:after="60" w:line="240" w:lineRule="auto"/>
              <w:rPr>
                <w:rFonts w:ascii="Arial" w:hAnsi="Arial" w:cs="Arial"/>
                <w:bCs/>
                <w:sz w:val="16"/>
                <w:szCs w:val="16"/>
                <w:lang w:eastAsia="en-US"/>
              </w:rPr>
            </w:pPr>
            <w:r w:rsidRPr="0045165E">
              <w:rPr>
                <w:rFonts w:ascii="Arial" w:hAnsi="Arial" w:cs="Arial"/>
                <w:bCs/>
                <w:sz w:val="16"/>
                <w:szCs w:val="16"/>
                <w:lang w:eastAsia="en-US"/>
              </w:rPr>
              <w:t>The 2021 Australian Government Office Occupancy data collection is complete and the 2021 Occupancy Report continues to track ongoing improvements in the efficiency of the Commonwealth’s leased property portfolio.</w:t>
            </w:r>
          </w:p>
          <w:p w14:paraId="650FD2BE" w14:textId="77777777" w:rsidR="0045165E" w:rsidRPr="0045165E" w:rsidRDefault="0045165E" w:rsidP="00C27356">
            <w:pPr>
              <w:autoSpaceDE w:val="0"/>
              <w:autoSpaceDN w:val="0"/>
              <w:spacing w:before="60" w:after="60" w:line="240" w:lineRule="auto"/>
              <w:rPr>
                <w:rFonts w:ascii="Arial" w:hAnsi="Arial" w:cs="Arial"/>
                <w:bCs/>
                <w:sz w:val="16"/>
                <w:szCs w:val="16"/>
                <w:lang w:eastAsia="en-US"/>
              </w:rPr>
            </w:pPr>
            <w:r w:rsidRPr="0045165E">
              <w:rPr>
                <w:rFonts w:ascii="Arial" w:hAnsi="Arial" w:cs="Arial"/>
                <w:bCs/>
                <w:sz w:val="16"/>
                <w:szCs w:val="16"/>
                <w:lang w:eastAsia="en-US"/>
              </w:rPr>
              <w:t>The national occupational density has improved from 15.1 m</w:t>
            </w:r>
            <w:r w:rsidRPr="006B1DD8">
              <w:rPr>
                <w:rFonts w:ascii="Arial" w:hAnsi="Arial" w:cs="Arial"/>
                <w:bCs/>
                <w:sz w:val="16"/>
                <w:szCs w:val="16"/>
                <w:vertAlign w:val="superscript"/>
                <w:lang w:eastAsia="en-US"/>
              </w:rPr>
              <w:t>2</w:t>
            </w:r>
            <w:r w:rsidRPr="0045165E">
              <w:rPr>
                <w:rFonts w:ascii="Arial" w:hAnsi="Arial" w:cs="Arial"/>
                <w:bCs/>
                <w:sz w:val="16"/>
                <w:szCs w:val="16"/>
                <w:lang w:eastAsia="en-US"/>
              </w:rPr>
              <w:t xml:space="preserve"> in 2020 to 14.7 m</w:t>
            </w:r>
            <w:r w:rsidRPr="006B1DD8">
              <w:rPr>
                <w:rFonts w:ascii="Arial" w:hAnsi="Arial" w:cs="Arial"/>
                <w:bCs/>
                <w:sz w:val="16"/>
                <w:szCs w:val="16"/>
                <w:vertAlign w:val="superscript"/>
                <w:lang w:eastAsia="en-US"/>
              </w:rPr>
              <w:t>2</w:t>
            </w:r>
            <w:r w:rsidRPr="0045165E">
              <w:rPr>
                <w:rFonts w:ascii="Arial" w:hAnsi="Arial" w:cs="Arial"/>
                <w:bCs/>
                <w:sz w:val="16"/>
                <w:szCs w:val="16"/>
                <w:lang w:eastAsia="en-US"/>
              </w:rPr>
              <w:t xml:space="preserve"> in 2021, and the percentage of tenancies meeting the occupational density target has increased from 40.1% in 2020 to 43.6% in 2021. The work-point vacancy rate has reduced, from 8.8% in 2020 to 7.4% in 2021.</w:t>
            </w:r>
          </w:p>
          <w:p w14:paraId="2B14B537" w14:textId="77777777" w:rsidR="0045165E" w:rsidRPr="0045165E" w:rsidRDefault="0045165E" w:rsidP="00C27356">
            <w:pPr>
              <w:autoSpaceDE w:val="0"/>
              <w:autoSpaceDN w:val="0"/>
              <w:spacing w:before="60" w:after="60" w:line="240" w:lineRule="auto"/>
              <w:rPr>
                <w:rFonts w:ascii="Arial" w:hAnsi="Arial" w:cs="Arial"/>
                <w:bCs/>
                <w:sz w:val="16"/>
                <w:szCs w:val="16"/>
                <w:lang w:eastAsia="en-US"/>
              </w:rPr>
            </w:pPr>
            <w:r w:rsidRPr="0045165E">
              <w:rPr>
                <w:rFonts w:ascii="Arial" w:hAnsi="Arial" w:cs="Arial"/>
                <w:bCs/>
                <w:sz w:val="16"/>
                <w:szCs w:val="16"/>
                <w:lang w:eastAsia="en-US"/>
              </w:rPr>
              <w:t>Despite most leases including an annual escalation of cost as a component of the lease, in line with market norms, cost indicators for 2021 only increased marginally, with the national cost per m</w:t>
            </w:r>
            <w:r w:rsidRPr="003959E6">
              <w:rPr>
                <w:rFonts w:ascii="Arial" w:hAnsi="Arial" w:cs="Arial"/>
                <w:bCs/>
                <w:sz w:val="16"/>
                <w:szCs w:val="16"/>
                <w:vertAlign w:val="superscript"/>
                <w:lang w:eastAsia="en-US"/>
              </w:rPr>
              <w:t>2</w:t>
            </w:r>
            <w:r w:rsidRPr="0045165E">
              <w:rPr>
                <w:rFonts w:ascii="Arial" w:hAnsi="Arial" w:cs="Arial"/>
                <w:bCs/>
                <w:sz w:val="16"/>
                <w:szCs w:val="16"/>
                <w:lang w:eastAsia="en-US"/>
              </w:rPr>
              <w:t xml:space="preserve"> increasing by $15 per m</w:t>
            </w:r>
            <w:r w:rsidRPr="003959E6">
              <w:rPr>
                <w:rFonts w:ascii="Arial" w:hAnsi="Arial" w:cs="Arial"/>
                <w:bCs/>
                <w:sz w:val="16"/>
                <w:szCs w:val="16"/>
                <w:vertAlign w:val="superscript"/>
                <w:lang w:eastAsia="en-US"/>
              </w:rPr>
              <w:t>2</w:t>
            </w:r>
            <w:r w:rsidRPr="0045165E">
              <w:rPr>
                <w:rFonts w:ascii="Arial" w:hAnsi="Arial" w:cs="Arial"/>
                <w:bCs/>
                <w:sz w:val="16"/>
                <w:szCs w:val="16"/>
                <w:lang w:eastAsia="en-US"/>
              </w:rPr>
              <w:t xml:space="preserve"> in 2021, to $496 per m</w:t>
            </w:r>
            <w:r w:rsidRPr="003959E6">
              <w:rPr>
                <w:rFonts w:ascii="Arial" w:hAnsi="Arial" w:cs="Arial"/>
                <w:bCs/>
                <w:sz w:val="16"/>
                <w:szCs w:val="16"/>
                <w:vertAlign w:val="superscript"/>
                <w:lang w:eastAsia="en-US"/>
              </w:rPr>
              <w:t>2</w:t>
            </w:r>
            <w:r w:rsidRPr="0045165E">
              <w:rPr>
                <w:rFonts w:ascii="Arial" w:hAnsi="Arial" w:cs="Arial"/>
                <w:bCs/>
                <w:sz w:val="16"/>
                <w:szCs w:val="16"/>
                <w:lang w:eastAsia="en-US"/>
              </w:rPr>
              <w:t xml:space="preserve">.  </w:t>
            </w:r>
          </w:p>
          <w:p w14:paraId="5478D1ED" w14:textId="766F6767" w:rsidR="0045165E" w:rsidRPr="0045165E" w:rsidRDefault="0045165E" w:rsidP="00C27356">
            <w:pPr>
              <w:autoSpaceDE w:val="0"/>
              <w:autoSpaceDN w:val="0"/>
              <w:spacing w:before="60" w:after="60" w:line="240" w:lineRule="auto"/>
              <w:rPr>
                <w:rFonts w:ascii="Arial" w:hAnsi="Arial" w:cs="Arial"/>
                <w:bCs/>
                <w:sz w:val="16"/>
                <w:szCs w:val="16"/>
                <w:lang w:eastAsia="en-US"/>
              </w:rPr>
            </w:pPr>
            <w:r w:rsidRPr="0045165E">
              <w:rPr>
                <w:rFonts w:ascii="Arial" w:hAnsi="Arial" w:cs="Arial"/>
                <w:bCs/>
                <w:sz w:val="16"/>
                <w:szCs w:val="16"/>
                <w:lang w:eastAsia="en-US"/>
              </w:rPr>
              <w:t>Th</w:t>
            </w:r>
            <w:r w:rsidR="003B73CF">
              <w:rPr>
                <w:rFonts w:ascii="Arial" w:hAnsi="Arial" w:cs="Arial"/>
                <w:bCs/>
                <w:sz w:val="16"/>
                <w:szCs w:val="16"/>
                <w:lang w:eastAsia="en-US"/>
              </w:rPr>
              <w:t xml:space="preserve">e </w:t>
            </w:r>
            <w:r w:rsidR="00C92E3C">
              <w:rPr>
                <w:rFonts w:ascii="Arial" w:hAnsi="Arial" w:cs="Arial"/>
                <w:bCs/>
                <w:sz w:val="16"/>
                <w:szCs w:val="16"/>
                <w:lang w:eastAsia="en-US"/>
              </w:rPr>
              <w:t>whole-of-Australian-Government (</w:t>
            </w:r>
            <w:r w:rsidR="003B73CF">
              <w:rPr>
                <w:rFonts w:ascii="Arial" w:hAnsi="Arial" w:cs="Arial"/>
                <w:bCs/>
                <w:sz w:val="16"/>
                <w:szCs w:val="16"/>
                <w:lang w:eastAsia="en-US"/>
              </w:rPr>
              <w:t>WoAG</w:t>
            </w:r>
            <w:r w:rsidR="00C92E3C">
              <w:rPr>
                <w:rFonts w:ascii="Arial" w:hAnsi="Arial" w:cs="Arial"/>
                <w:bCs/>
                <w:sz w:val="16"/>
                <w:szCs w:val="16"/>
                <w:lang w:eastAsia="en-US"/>
              </w:rPr>
              <w:t>)</w:t>
            </w:r>
            <w:r w:rsidR="003B73CF">
              <w:rPr>
                <w:rFonts w:ascii="Arial" w:hAnsi="Arial" w:cs="Arial"/>
                <w:bCs/>
                <w:sz w:val="16"/>
                <w:szCs w:val="16"/>
                <w:lang w:eastAsia="en-US"/>
              </w:rPr>
              <w:t xml:space="preserve"> </w:t>
            </w:r>
            <w:r w:rsidRPr="0045165E">
              <w:rPr>
                <w:rFonts w:ascii="Arial" w:hAnsi="Arial" w:cs="Arial"/>
                <w:bCs/>
                <w:sz w:val="16"/>
                <w:szCs w:val="16"/>
                <w:lang w:eastAsia="en-US"/>
              </w:rPr>
              <w:t xml:space="preserve">Property Services Coordinated Procurement </w:t>
            </w:r>
            <w:r w:rsidR="0095029E">
              <w:rPr>
                <w:rFonts w:ascii="Arial" w:hAnsi="Arial" w:cs="Arial"/>
                <w:bCs/>
                <w:sz w:val="16"/>
                <w:szCs w:val="16"/>
                <w:lang w:eastAsia="en-US"/>
              </w:rPr>
              <w:t xml:space="preserve">(PSCP) </w:t>
            </w:r>
            <w:r w:rsidRPr="0045165E">
              <w:rPr>
                <w:rFonts w:ascii="Arial" w:hAnsi="Arial" w:cs="Arial"/>
                <w:bCs/>
                <w:sz w:val="16"/>
                <w:szCs w:val="16"/>
                <w:lang w:eastAsia="en-US"/>
              </w:rPr>
              <w:t>Arrangements continue to deliver efficiencies for entities, with Property Service Providers (PSPs) collectively exceeding the Property Operating Expense savings targets over the duration of the Deed for the 2020-21 period.</w:t>
            </w:r>
          </w:p>
          <w:p w14:paraId="3A1A4DDC" w14:textId="7EA82C2E" w:rsidR="0045165E" w:rsidRPr="0045165E" w:rsidRDefault="0045165E" w:rsidP="00C27356">
            <w:pPr>
              <w:autoSpaceDE w:val="0"/>
              <w:autoSpaceDN w:val="0"/>
              <w:spacing w:before="60" w:after="60" w:line="240" w:lineRule="auto"/>
              <w:rPr>
                <w:rFonts w:ascii="Arial" w:hAnsi="Arial" w:cs="Arial"/>
                <w:bCs/>
                <w:sz w:val="16"/>
                <w:szCs w:val="16"/>
                <w:lang w:eastAsia="en-US"/>
              </w:rPr>
            </w:pPr>
            <w:r w:rsidRPr="0045165E">
              <w:rPr>
                <w:rFonts w:ascii="Arial" w:hAnsi="Arial" w:cs="Arial"/>
                <w:bCs/>
                <w:sz w:val="16"/>
                <w:szCs w:val="16"/>
                <w:lang w:eastAsia="en-US"/>
              </w:rPr>
              <w:t xml:space="preserve">The measured performance of the PSPs under the </w:t>
            </w:r>
            <w:r w:rsidR="0095029E">
              <w:rPr>
                <w:rFonts w:ascii="Arial" w:hAnsi="Arial" w:cs="Arial"/>
                <w:bCs/>
                <w:sz w:val="16"/>
                <w:szCs w:val="16"/>
                <w:lang w:eastAsia="en-US"/>
              </w:rPr>
              <w:t xml:space="preserve">PSCP </w:t>
            </w:r>
            <w:r w:rsidRPr="0045165E">
              <w:rPr>
                <w:rFonts w:ascii="Arial" w:hAnsi="Arial" w:cs="Arial"/>
                <w:bCs/>
                <w:sz w:val="16"/>
                <w:szCs w:val="16"/>
                <w:lang w:eastAsia="en-US"/>
              </w:rPr>
              <w:t>Arrangements for the July to December 2021 period has shown performance continues to collectively improve across the PSPs.</w:t>
            </w:r>
          </w:p>
          <w:p w14:paraId="2239E15F" w14:textId="4BEC5848" w:rsidR="00F0167C" w:rsidRPr="001079D3" w:rsidRDefault="0045165E" w:rsidP="00C27356">
            <w:pPr>
              <w:autoSpaceDE w:val="0"/>
              <w:autoSpaceDN w:val="0"/>
              <w:spacing w:before="60" w:after="60" w:line="240" w:lineRule="auto"/>
              <w:rPr>
                <w:rFonts w:ascii="Arial" w:hAnsi="Arial" w:cs="Arial"/>
                <w:bCs/>
                <w:sz w:val="16"/>
                <w:szCs w:val="16"/>
              </w:rPr>
            </w:pPr>
            <w:r w:rsidRPr="0045165E">
              <w:rPr>
                <w:rFonts w:ascii="Arial" w:hAnsi="Arial" w:cs="Arial"/>
                <w:bCs/>
                <w:sz w:val="16"/>
                <w:szCs w:val="16"/>
                <w:lang w:eastAsia="en-US"/>
              </w:rPr>
              <w:t xml:space="preserve">The PSPs exceeded the 10% small to medium-sized enterprises target and the 4% Indigenous Participation Plan target of applicable spend on property services provided by downstream contractors within the </w:t>
            </w:r>
            <w:r w:rsidR="0095029E">
              <w:rPr>
                <w:rFonts w:ascii="Arial" w:hAnsi="Arial" w:cs="Arial"/>
                <w:bCs/>
                <w:sz w:val="16"/>
                <w:szCs w:val="16"/>
                <w:lang w:eastAsia="en-US"/>
              </w:rPr>
              <w:t xml:space="preserve">PSCP </w:t>
            </w:r>
            <w:r w:rsidRPr="0045165E">
              <w:rPr>
                <w:rFonts w:ascii="Arial" w:hAnsi="Arial" w:cs="Arial"/>
                <w:bCs/>
                <w:sz w:val="16"/>
                <w:szCs w:val="16"/>
                <w:lang w:eastAsia="en-US"/>
              </w:rPr>
              <w:t>Arrangements for the 2020-21 period.</w:t>
            </w:r>
          </w:p>
        </w:tc>
      </w:tr>
    </w:tbl>
    <w:p w14:paraId="0847EE55" w14:textId="77777777" w:rsidR="00AF3A6D" w:rsidRDefault="00AF3A6D" w:rsidP="004B5360">
      <w:pPr>
        <w:pStyle w:val="TableHeading"/>
        <w:spacing w:before="30" w:after="0"/>
        <w:rPr>
          <w:b w:val="0"/>
          <w:color w:val="000000"/>
          <w:sz w:val="16"/>
          <w:lang w:val="x-none" w:eastAsia="x-none"/>
        </w:rPr>
      </w:pPr>
      <w:r>
        <w:rPr>
          <w:b w:val="0"/>
          <w:color w:val="000000"/>
          <w:sz w:val="16"/>
          <w:lang w:val="x-none" w:eastAsia="x-none"/>
        </w:rPr>
        <w:t>Table continues on next page</w:t>
      </w:r>
      <w:r>
        <w:rPr>
          <w:b w:val="0"/>
          <w:color w:val="000000"/>
          <w:sz w:val="16"/>
          <w:lang w:val="x-none" w:eastAsia="x-none"/>
        </w:rPr>
        <w:br w:type="page"/>
      </w:r>
    </w:p>
    <w:p w14:paraId="5418E3F2" w14:textId="77777777" w:rsidR="00D740E6" w:rsidRDefault="00F0167C" w:rsidP="00AF3A6D">
      <w:pPr>
        <w:pStyle w:val="TableHeading"/>
        <w:spacing w:before="0"/>
      </w:pPr>
      <w:r>
        <w:lastRenderedPageBreak/>
        <w:t>Table 2.2.2</w:t>
      </w:r>
      <w:r w:rsidRPr="00F71634">
        <w:t xml:space="preserve">: Performance </w:t>
      </w:r>
      <w:r w:rsidRPr="00026D37">
        <w:t>measure</w:t>
      </w:r>
      <w:r w:rsidRPr="00F71634">
        <w:t xml:space="preserve"> </w:t>
      </w:r>
      <w:r>
        <w:t>for Outcome 2</w:t>
      </w:r>
      <w:r w:rsidRPr="00EF3E32">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130"/>
        <w:gridCol w:w="4251"/>
      </w:tblGrid>
      <w:tr w:rsidR="00D740E6" w:rsidRPr="0045165E" w14:paraId="71CFC3F4" w14:textId="77777777" w:rsidTr="0077625F">
        <w:trPr>
          <w:trHeight w:val="527"/>
        </w:trPr>
        <w:tc>
          <w:tcPr>
            <w:tcW w:w="7795" w:type="dxa"/>
            <w:gridSpan w:val="3"/>
            <w:shd w:val="clear" w:color="auto" w:fill="F2F2F2"/>
          </w:tcPr>
          <w:p w14:paraId="59ED9461" w14:textId="77777777" w:rsidR="00D740E6" w:rsidRPr="0045165E" w:rsidRDefault="00D740E6" w:rsidP="00443C38">
            <w:pPr>
              <w:tabs>
                <w:tab w:val="left" w:pos="709"/>
              </w:tabs>
              <w:spacing w:before="60" w:after="60" w:line="240" w:lineRule="auto"/>
              <w:rPr>
                <w:rFonts w:ascii="Arial" w:hAnsi="Arial" w:cs="Arial"/>
                <w:b/>
                <w:sz w:val="16"/>
                <w:szCs w:val="16"/>
              </w:rPr>
            </w:pPr>
            <w:r w:rsidRPr="0045165E">
              <w:rPr>
                <w:rFonts w:ascii="Arial" w:hAnsi="Arial" w:cs="Arial"/>
                <w:b/>
                <w:sz w:val="16"/>
                <w:szCs w:val="16"/>
              </w:rPr>
              <w:t>Program 2.3- Property and Construction</w:t>
            </w:r>
          </w:p>
          <w:p w14:paraId="0A62226F" w14:textId="77777777" w:rsidR="00D740E6" w:rsidRPr="0045165E" w:rsidRDefault="00D740E6" w:rsidP="00443C38">
            <w:pPr>
              <w:tabs>
                <w:tab w:val="left" w:pos="709"/>
              </w:tabs>
              <w:spacing w:before="60" w:after="60" w:line="240" w:lineRule="auto"/>
              <w:rPr>
                <w:rFonts w:ascii="Arial" w:hAnsi="Arial" w:cs="Arial"/>
                <w:sz w:val="16"/>
                <w:szCs w:val="16"/>
              </w:rPr>
            </w:pPr>
            <w:r w:rsidRPr="0045165E">
              <w:rPr>
                <w:rFonts w:ascii="Arial" w:hAnsi="Arial" w:cs="Arial"/>
                <w:sz w:val="16"/>
                <w:szCs w:val="16"/>
              </w:rPr>
              <w:t>This program contributes to the outcome by providing policy advice, guidance and support on managing Commonwealth property, land and public works across the Government; and managing specified major capital works projects and the government’s non-Defence property portfolio within Australia.</w:t>
            </w:r>
          </w:p>
        </w:tc>
      </w:tr>
      <w:tr w:rsidR="00D740E6" w:rsidRPr="001079D3" w14:paraId="18070837" w14:textId="77777777" w:rsidTr="00443C38">
        <w:trPr>
          <w:trHeight w:val="269"/>
        </w:trPr>
        <w:tc>
          <w:tcPr>
            <w:tcW w:w="1414" w:type="dxa"/>
            <w:tcBorders>
              <w:top w:val="single" w:sz="4" w:space="0" w:color="auto"/>
              <w:right w:val="single" w:sz="4" w:space="0" w:color="auto"/>
            </w:tcBorders>
          </w:tcPr>
          <w:p w14:paraId="4A9D5A5B" w14:textId="77777777" w:rsidR="00D740E6" w:rsidRPr="001079D3" w:rsidRDefault="00D740E6" w:rsidP="00443C38">
            <w:pPr>
              <w:tabs>
                <w:tab w:val="left" w:pos="709"/>
              </w:tabs>
              <w:spacing w:before="60" w:after="60" w:line="240" w:lineRule="auto"/>
              <w:rPr>
                <w:rFonts w:ascii="Arial" w:hAnsi="Arial" w:cs="Arial"/>
                <w:sz w:val="16"/>
                <w:szCs w:val="16"/>
              </w:rPr>
            </w:pPr>
            <w:r w:rsidRPr="001079D3">
              <w:rPr>
                <w:rFonts w:ascii="Arial" w:hAnsi="Arial" w:cs="Arial"/>
                <w:b/>
                <w:sz w:val="16"/>
                <w:szCs w:val="16"/>
              </w:rPr>
              <w:t>Year</w:t>
            </w:r>
          </w:p>
        </w:tc>
        <w:tc>
          <w:tcPr>
            <w:tcW w:w="2130" w:type="dxa"/>
            <w:tcBorders>
              <w:top w:val="single" w:sz="4" w:space="0" w:color="auto"/>
              <w:left w:val="single" w:sz="4" w:space="0" w:color="auto"/>
              <w:right w:val="single" w:sz="4" w:space="0" w:color="auto"/>
            </w:tcBorders>
          </w:tcPr>
          <w:p w14:paraId="11A0327F" w14:textId="77777777" w:rsidR="00D740E6" w:rsidRPr="001079D3" w:rsidRDefault="00D740E6" w:rsidP="00443C38">
            <w:pPr>
              <w:tabs>
                <w:tab w:val="left" w:pos="709"/>
              </w:tabs>
              <w:spacing w:before="60" w:after="60" w:line="240" w:lineRule="auto"/>
              <w:rPr>
                <w:rFonts w:ascii="Arial" w:hAnsi="Arial" w:cs="Arial"/>
              </w:rPr>
            </w:pPr>
            <w:r w:rsidRPr="001079D3">
              <w:rPr>
                <w:rFonts w:ascii="Arial" w:hAnsi="Arial" w:cs="Arial"/>
                <w:b/>
                <w:sz w:val="16"/>
                <w:szCs w:val="16"/>
              </w:rPr>
              <w:t>Performance measures</w:t>
            </w:r>
          </w:p>
        </w:tc>
        <w:tc>
          <w:tcPr>
            <w:tcW w:w="4251" w:type="dxa"/>
            <w:tcBorders>
              <w:top w:val="single" w:sz="4" w:space="0" w:color="auto"/>
              <w:left w:val="single" w:sz="4" w:space="0" w:color="auto"/>
            </w:tcBorders>
          </w:tcPr>
          <w:p w14:paraId="49BDF905" w14:textId="77777777" w:rsidR="00D740E6" w:rsidRPr="001079D3" w:rsidRDefault="00D740E6" w:rsidP="00443C38">
            <w:pPr>
              <w:tabs>
                <w:tab w:val="left" w:pos="709"/>
              </w:tabs>
              <w:spacing w:before="60" w:after="60" w:line="240" w:lineRule="auto"/>
              <w:rPr>
                <w:rFonts w:ascii="Arial" w:hAnsi="Arial" w:cs="Arial"/>
                <w:i/>
                <w:sz w:val="16"/>
                <w:szCs w:val="16"/>
              </w:rPr>
            </w:pPr>
            <w:r w:rsidRPr="001079D3">
              <w:rPr>
                <w:rFonts w:ascii="Arial" w:hAnsi="Arial" w:cs="Arial"/>
                <w:b/>
                <w:sz w:val="16"/>
                <w:szCs w:val="16"/>
              </w:rPr>
              <w:t>Planned Performance Results</w:t>
            </w:r>
          </w:p>
        </w:tc>
      </w:tr>
      <w:tr w:rsidR="00D740E6" w:rsidRPr="001079D3" w14:paraId="04C621CE" w14:textId="77777777" w:rsidTr="00443C38">
        <w:trPr>
          <w:trHeight w:val="1699"/>
        </w:trPr>
        <w:tc>
          <w:tcPr>
            <w:tcW w:w="1414" w:type="dxa"/>
            <w:tcBorders>
              <w:top w:val="single" w:sz="4" w:space="0" w:color="auto"/>
              <w:bottom w:val="dotted" w:sz="4" w:space="0" w:color="auto"/>
              <w:right w:val="single" w:sz="4" w:space="0" w:color="auto"/>
            </w:tcBorders>
          </w:tcPr>
          <w:p w14:paraId="74049168" w14:textId="77777777" w:rsidR="00716574" w:rsidRDefault="00716574" w:rsidP="00443C38">
            <w:pPr>
              <w:tabs>
                <w:tab w:val="left" w:pos="709"/>
              </w:tabs>
              <w:spacing w:before="60" w:after="60" w:line="240" w:lineRule="auto"/>
              <w:rPr>
                <w:rFonts w:ascii="Arial" w:hAnsi="Arial" w:cs="Arial"/>
                <w:sz w:val="16"/>
                <w:szCs w:val="16"/>
              </w:rPr>
            </w:pPr>
            <w:r>
              <w:rPr>
                <w:rFonts w:ascii="Arial" w:hAnsi="Arial" w:cs="Arial"/>
                <w:sz w:val="16"/>
                <w:szCs w:val="16"/>
              </w:rPr>
              <w:t>Budget Year</w:t>
            </w:r>
          </w:p>
          <w:p w14:paraId="60D2DFD3" w14:textId="6AF5D54B" w:rsidR="00D740E6" w:rsidRPr="001079D3" w:rsidRDefault="00D740E6" w:rsidP="00443C38">
            <w:pPr>
              <w:tabs>
                <w:tab w:val="left" w:pos="709"/>
              </w:tabs>
              <w:spacing w:before="60" w:after="60" w:line="240" w:lineRule="auto"/>
              <w:rPr>
                <w:rFonts w:ascii="Arial" w:hAnsi="Arial" w:cs="Arial"/>
                <w:sz w:val="16"/>
                <w:szCs w:val="16"/>
              </w:rPr>
            </w:pPr>
            <w:r w:rsidRPr="001079D3">
              <w:rPr>
                <w:rFonts w:ascii="Arial" w:hAnsi="Arial" w:cs="Arial"/>
                <w:sz w:val="16"/>
                <w:szCs w:val="16"/>
              </w:rPr>
              <w:t>2022-23</w:t>
            </w:r>
          </w:p>
        </w:tc>
        <w:tc>
          <w:tcPr>
            <w:tcW w:w="2130" w:type="dxa"/>
            <w:tcBorders>
              <w:top w:val="single" w:sz="4" w:space="0" w:color="auto"/>
              <w:left w:val="single" w:sz="4" w:space="0" w:color="auto"/>
              <w:bottom w:val="dotted" w:sz="4" w:space="0" w:color="auto"/>
              <w:right w:val="single" w:sz="4" w:space="0" w:color="auto"/>
            </w:tcBorders>
          </w:tcPr>
          <w:p w14:paraId="14E18430" w14:textId="77777777" w:rsidR="00D740E6" w:rsidRPr="0034315D" w:rsidRDefault="00D740E6" w:rsidP="00443C38">
            <w:pPr>
              <w:tabs>
                <w:tab w:val="left" w:pos="709"/>
              </w:tabs>
              <w:autoSpaceDE w:val="0"/>
              <w:autoSpaceDN w:val="0"/>
              <w:spacing w:before="60" w:after="60" w:line="240" w:lineRule="auto"/>
              <w:rPr>
                <w:rFonts w:ascii="Arial" w:eastAsia="Arial" w:hAnsi="Arial" w:cs="Arial"/>
                <w:b/>
                <w:sz w:val="16"/>
                <w:szCs w:val="16"/>
              </w:rPr>
            </w:pPr>
            <w:r w:rsidRPr="0034315D">
              <w:rPr>
                <w:rFonts w:ascii="Arial" w:eastAsia="Arial" w:hAnsi="Arial" w:cs="Arial"/>
                <w:b/>
                <w:sz w:val="16"/>
                <w:szCs w:val="16"/>
              </w:rPr>
              <w:t>Commonwealth property initiatives are efficient and effective</w:t>
            </w:r>
          </w:p>
          <w:p w14:paraId="2A98D372" w14:textId="77777777" w:rsidR="00D740E6" w:rsidRPr="0034315D" w:rsidRDefault="00D740E6" w:rsidP="00443C38">
            <w:pPr>
              <w:tabs>
                <w:tab w:val="left" w:pos="709"/>
              </w:tabs>
              <w:autoSpaceDE w:val="0"/>
              <w:autoSpaceDN w:val="0"/>
              <w:spacing w:before="60" w:after="60" w:line="240" w:lineRule="auto"/>
              <w:rPr>
                <w:rFonts w:ascii="Arial" w:eastAsia="Arial" w:hAnsi="Arial" w:cs="Arial"/>
                <w:sz w:val="16"/>
                <w:szCs w:val="16"/>
                <w:vertAlign w:val="superscript"/>
              </w:rPr>
            </w:pPr>
            <w:r w:rsidRPr="0034315D">
              <w:rPr>
                <w:rFonts w:ascii="Arial" w:eastAsia="Arial" w:hAnsi="Arial" w:cs="Arial"/>
                <w:sz w:val="16"/>
                <w:szCs w:val="16"/>
              </w:rPr>
              <w:t>The management of Commonwealth property demonstrates best practice effectiveness in an evolving environment, and delivers efficiencies in relation to leasing and facilities management for non-corporate Commonwealth entities.</w:t>
            </w:r>
          </w:p>
        </w:tc>
        <w:tc>
          <w:tcPr>
            <w:tcW w:w="4251" w:type="dxa"/>
            <w:tcBorders>
              <w:top w:val="single" w:sz="4" w:space="0" w:color="auto"/>
              <w:left w:val="single" w:sz="4" w:space="0" w:color="auto"/>
              <w:bottom w:val="dotted" w:sz="4" w:space="0" w:color="auto"/>
            </w:tcBorders>
          </w:tcPr>
          <w:p w14:paraId="167D6C96" w14:textId="11598287" w:rsidR="00D740E6" w:rsidRPr="0034315D" w:rsidRDefault="00D740E6" w:rsidP="00443C38">
            <w:pPr>
              <w:autoSpaceDE w:val="0"/>
              <w:autoSpaceDN w:val="0"/>
              <w:spacing w:before="60" w:after="60" w:line="240" w:lineRule="auto"/>
              <w:rPr>
                <w:rFonts w:ascii="Arial" w:eastAsia="Arial" w:hAnsi="Arial" w:cs="Arial"/>
                <w:sz w:val="16"/>
                <w:szCs w:val="16"/>
              </w:rPr>
            </w:pPr>
            <w:r w:rsidRPr="0034315D">
              <w:rPr>
                <w:rFonts w:ascii="Arial" w:eastAsia="Arial" w:hAnsi="Arial" w:cs="Arial"/>
                <w:sz w:val="16"/>
                <w:szCs w:val="16"/>
              </w:rPr>
              <w:t>Property efficiencies are delivered through the</w:t>
            </w:r>
            <w:r w:rsidR="003B73CF">
              <w:rPr>
                <w:rFonts w:ascii="Arial" w:eastAsia="Arial" w:hAnsi="Arial" w:cs="Arial"/>
                <w:sz w:val="16"/>
                <w:szCs w:val="16"/>
              </w:rPr>
              <w:t xml:space="preserve"> WoAG </w:t>
            </w:r>
            <w:r w:rsidR="0095029E">
              <w:rPr>
                <w:rFonts w:ascii="Arial" w:eastAsia="Arial" w:hAnsi="Arial" w:cs="Arial"/>
                <w:sz w:val="16"/>
                <w:szCs w:val="16"/>
              </w:rPr>
              <w:t>PSCP A</w:t>
            </w:r>
            <w:r w:rsidRPr="0034315D">
              <w:rPr>
                <w:rFonts w:ascii="Arial" w:eastAsia="Arial" w:hAnsi="Arial" w:cs="Arial"/>
                <w:sz w:val="16"/>
                <w:szCs w:val="16"/>
              </w:rPr>
              <w:t>rrangements for leasing and facilities management. Measured and reported through the Annual Australian Gover</w:t>
            </w:r>
            <w:r w:rsidR="0095029E">
              <w:rPr>
                <w:rFonts w:ascii="Arial" w:eastAsia="Arial" w:hAnsi="Arial" w:cs="Arial"/>
                <w:sz w:val="16"/>
                <w:szCs w:val="16"/>
              </w:rPr>
              <w:t>nment Office Occupancy Report, PSCP A</w:t>
            </w:r>
            <w:r w:rsidRPr="0034315D">
              <w:rPr>
                <w:rFonts w:ascii="Arial" w:eastAsia="Arial" w:hAnsi="Arial" w:cs="Arial"/>
                <w:sz w:val="16"/>
                <w:szCs w:val="16"/>
              </w:rPr>
              <w:t>rrangements for leasing and facilities management, agency forums, entity correspondenc</w:t>
            </w:r>
            <w:r w:rsidR="00716574">
              <w:rPr>
                <w:rFonts w:ascii="Arial" w:eastAsia="Arial" w:hAnsi="Arial" w:cs="Arial"/>
                <w:sz w:val="16"/>
                <w:szCs w:val="16"/>
              </w:rPr>
              <w:t>e and qualitative case studies.</w:t>
            </w:r>
          </w:p>
          <w:p w14:paraId="64BB695E" w14:textId="16291861" w:rsidR="00D740E6" w:rsidRPr="001079D3" w:rsidRDefault="00D740E6" w:rsidP="0095029E">
            <w:pPr>
              <w:autoSpaceDE w:val="0"/>
              <w:autoSpaceDN w:val="0"/>
              <w:spacing w:before="60" w:after="60" w:line="240" w:lineRule="auto"/>
              <w:rPr>
                <w:rFonts w:ascii="Arial" w:hAnsi="Arial" w:cs="Arial"/>
                <w:i/>
                <w:sz w:val="16"/>
                <w:szCs w:val="16"/>
              </w:rPr>
            </w:pPr>
            <w:r w:rsidRPr="0034315D">
              <w:rPr>
                <w:rFonts w:ascii="Arial" w:eastAsia="Arial" w:hAnsi="Arial" w:cs="Arial"/>
                <w:sz w:val="16"/>
                <w:szCs w:val="16"/>
              </w:rPr>
              <w:t xml:space="preserve">Effectiveness of Finance’s stewardship, policy advice, engagement and guidance on Commonwealth property management. Measured and reported through a range of contractual and stakeholder engagement methods under the </w:t>
            </w:r>
            <w:r w:rsidR="0095029E">
              <w:rPr>
                <w:rFonts w:ascii="Arial" w:eastAsia="Arial" w:hAnsi="Arial" w:cs="Arial"/>
                <w:sz w:val="16"/>
                <w:szCs w:val="16"/>
              </w:rPr>
              <w:t>PSCP</w:t>
            </w:r>
            <w:r>
              <w:rPr>
                <w:rFonts w:ascii="Arial" w:eastAsia="Arial" w:hAnsi="Arial" w:cs="Arial"/>
                <w:sz w:val="16"/>
                <w:szCs w:val="16"/>
              </w:rPr>
              <w:t xml:space="preserve"> Arrangements</w:t>
            </w:r>
            <w:r w:rsidRPr="001079D3">
              <w:rPr>
                <w:rFonts w:ascii="Arial" w:eastAsia="Arial" w:hAnsi="Arial" w:cs="Arial"/>
                <w:sz w:val="16"/>
                <w:szCs w:val="16"/>
                <w:lang w:eastAsia="en-US"/>
              </w:rPr>
              <w:t>.</w:t>
            </w:r>
          </w:p>
        </w:tc>
      </w:tr>
      <w:tr w:rsidR="00D740E6" w:rsidRPr="001079D3" w14:paraId="7C0D1858" w14:textId="77777777" w:rsidTr="00443C38">
        <w:trPr>
          <w:trHeight w:val="491"/>
        </w:trPr>
        <w:tc>
          <w:tcPr>
            <w:tcW w:w="1414" w:type="dxa"/>
            <w:tcBorders>
              <w:top w:val="dotted" w:sz="4" w:space="0" w:color="auto"/>
              <w:left w:val="single" w:sz="4" w:space="0" w:color="auto"/>
              <w:bottom w:val="single" w:sz="4" w:space="0" w:color="auto"/>
              <w:right w:val="single" w:sz="4" w:space="0" w:color="auto"/>
            </w:tcBorders>
          </w:tcPr>
          <w:p w14:paraId="0A44386D" w14:textId="77777777" w:rsidR="00716574" w:rsidRDefault="00D740E6" w:rsidP="00716574">
            <w:pPr>
              <w:pStyle w:val="TableTextBase"/>
              <w:spacing w:before="60" w:after="60"/>
              <w:rPr>
                <w:rFonts w:cs="Arial"/>
                <w:szCs w:val="16"/>
              </w:rPr>
            </w:pPr>
            <w:r w:rsidRPr="001079D3">
              <w:rPr>
                <w:rFonts w:cs="Arial"/>
                <w:szCs w:val="16"/>
              </w:rPr>
              <w:t xml:space="preserve">Forward Estimates </w:t>
            </w:r>
          </w:p>
          <w:p w14:paraId="400B8978" w14:textId="37887D85" w:rsidR="00D740E6" w:rsidRPr="001079D3" w:rsidRDefault="00D740E6" w:rsidP="00716574">
            <w:pPr>
              <w:pStyle w:val="TableTextBase"/>
              <w:spacing w:before="60" w:after="60"/>
              <w:rPr>
                <w:rFonts w:cs="Arial"/>
                <w:b/>
                <w:szCs w:val="16"/>
              </w:rPr>
            </w:pPr>
            <w:r w:rsidRPr="001079D3">
              <w:rPr>
                <w:rFonts w:cs="Arial"/>
                <w:szCs w:val="16"/>
              </w:rPr>
              <w:t>2023-26</w:t>
            </w:r>
          </w:p>
        </w:tc>
        <w:tc>
          <w:tcPr>
            <w:tcW w:w="2130" w:type="dxa"/>
            <w:tcBorders>
              <w:top w:val="dotted" w:sz="4" w:space="0" w:color="auto"/>
              <w:left w:val="single" w:sz="4" w:space="0" w:color="auto"/>
              <w:bottom w:val="single" w:sz="4" w:space="0" w:color="auto"/>
              <w:right w:val="single" w:sz="4" w:space="0" w:color="auto"/>
            </w:tcBorders>
          </w:tcPr>
          <w:p w14:paraId="15A58BD3" w14:textId="77777777" w:rsidR="00D740E6" w:rsidRPr="001079D3" w:rsidRDefault="00D740E6" w:rsidP="00443C38">
            <w:pPr>
              <w:tabs>
                <w:tab w:val="left" w:pos="709"/>
              </w:tabs>
              <w:spacing w:before="60" w:after="60" w:line="240" w:lineRule="auto"/>
              <w:rPr>
                <w:rFonts w:ascii="Arial" w:hAnsi="Arial" w:cs="Arial"/>
                <w:b/>
                <w:sz w:val="16"/>
                <w:szCs w:val="16"/>
              </w:rPr>
            </w:pPr>
            <w:r>
              <w:rPr>
                <w:rFonts w:ascii="Arial" w:eastAsia="Arial" w:hAnsi="Arial" w:cs="Arial"/>
                <w:sz w:val="16"/>
                <w:szCs w:val="16"/>
              </w:rPr>
              <w:t>As per 2022-23</w:t>
            </w:r>
          </w:p>
        </w:tc>
        <w:tc>
          <w:tcPr>
            <w:tcW w:w="4251" w:type="dxa"/>
            <w:tcBorders>
              <w:top w:val="dotted" w:sz="4" w:space="0" w:color="auto"/>
              <w:left w:val="single" w:sz="4" w:space="0" w:color="auto"/>
              <w:bottom w:val="single" w:sz="4" w:space="0" w:color="auto"/>
              <w:right w:val="single" w:sz="4" w:space="0" w:color="auto"/>
            </w:tcBorders>
          </w:tcPr>
          <w:p w14:paraId="0AF1DF38" w14:textId="77777777" w:rsidR="00D740E6" w:rsidRPr="001079D3" w:rsidRDefault="00D740E6" w:rsidP="00443C38">
            <w:pPr>
              <w:tabs>
                <w:tab w:val="left" w:pos="709"/>
              </w:tabs>
              <w:spacing w:before="60" w:after="60" w:line="240" w:lineRule="auto"/>
              <w:rPr>
                <w:rFonts w:ascii="Arial" w:hAnsi="Arial" w:cs="Arial"/>
                <w:b/>
                <w:sz w:val="16"/>
                <w:szCs w:val="16"/>
              </w:rPr>
            </w:pPr>
            <w:r>
              <w:rPr>
                <w:rFonts w:ascii="Arial" w:eastAsia="Arial" w:hAnsi="Arial" w:cs="Arial"/>
                <w:sz w:val="16"/>
                <w:szCs w:val="16"/>
              </w:rPr>
              <w:t xml:space="preserve">As per </w:t>
            </w:r>
            <w:r w:rsidRPr="00D740E6">
              <w:rPr>
                <w:rFonts w:ascii="Arial" w:eastAsia="Arial" w:hAnsi="Arial" w:cs="Arial"/>
                <w:sz w:val="16"/>
                <w:szCs w:val="16"/>
              </w:rPr>
              <w:t>2022-23</w:t>
            </w:r>
          </w:p>
        </w:tc>
      </w:tr>
      <w:tr w:rsidR="00D740E6" w:rsidRPr="001079D3" w14:paraId="4E85FF70" w14:textId="77777777" w:rsidTr="00443C38">
        <w:trPr>
          <w:trHeight w:val="291"/>
        </w:trPr>
        <w:tc>
          <w:tcPr>
            <w:tcW w:w="7795" w:type="dxa"/>
            <w:gridSpan w:val="3"/>
            <w:tcBorders>
              <w:top w:val="single" w:sz="4" w:space="0" w:color="auto"/>
              <w:bottom w:val="single" w:sz="4" w:space="0" w:color="auto"/>
            </w:tcBorders>
          </w:tcPr>
          <w:p w14:paraId="1D6BE03B" w14:textId="77777777" w:rsidR="00D740E6" w:rsidRPr="001079D3" w:rsidRDefault="00D740E6" w:rsidP="00443C38">
            <w:pPr>
              <w:tabs>
                <w:tab w:val="left" w:pos="709"/>
              </w:tabs>
              <w:spacing w:before="60" w:after="60" w:line="240" w:lineRule="auto"/>
              <w:rPr>
                <w:rFonts w:ascii="Arial" w:eastAsia="Cambria" w:hAnsi="Arial" w:cs="Arial"/>
                <w:bCs/>
                <w:iCs/>
                <w:spacing w:val="-6"/>
                <w:sz w:val="16"/>
                <w:szCs w:val="16"/>
              </w:rPr>
            </w:pPr>
            <w:r w:rsidRPr="0034315D">
              <w:rPr>
                <w:rFonts w:ascii="Arial" w:hAnsi="Arial" w:cs="Arial"/>
                <w:sz w:val="16"/>
                <w:szCs w:val="16"/>
              </w:rPr>
              <w:t>Material changes to Program 2.3 resulting from October 2022-23 Budget Measures: Nil</w:t>
            </w:r>
          </w:p>
        </w:tc>
      </w:tr>
    </w:tbl>
    <w:p w14:paraId="2239E173" w14:textId="386EFF3E" w:rsidR="00374312" w:rsidRDefault="00374312" w:rsidP="00AF3A6D">
      <w:pPr>
        <w:pStyle w:val="TableHeading"/>
        <w:spacing w:before="0"/>
      </w:pPr>
      <w:r>
        <w:br w:type="page"/>
      </w:r>
    </w:p>
    <w:p w14:paraId="14F2FFBA" w14:textId="3ADDAD3B" w:rsidR="00D740E6" w:rsidRPr="0031691A" w:rsidRDefault="00374312" w:rsidP="0031691A">
      <w:pPr>
        <w:pStyle w:val="TableHeading"/>
        <w:spacing w:before="0"/>
      </w:pPr>
      <w:r>
        <w:lastRenderedPageBreak/>
        <w:t>Table 2.2.2</w:t>
      </w:r>
      <w:r w:rsidRPr="00F71634">
        <w:t xml:space="preserve">: Performance </w:t>
      </w:r>
      <w:r w:rsidRPr="00026D37">
        <w:t>measure</w:t>
      </w:r>
      <w:r w:rsidRPr="00F71634">
        <w:t xml:space="preserve"> </w:t>
      </w:r>
      <w:r>
        <w:t>for Outcome 2</w:t>
      </w:r>
      <w:r w:rsidRPr="00EF3E32">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291"/>
        <w:gridCol w:w="4088"/>
      </w:tblGrid>
      <w:tr w:rsidR="00F0167C" w:rsidRPr="00361E69" w14:paraId="2239E176" w14:textId="77777777" w:rsidTr="00E419DF">
        <w:trPr>
          <w:trHeight w:val="527"/>
          <w:tblHeader/>
        </w:trPr>
        <w:tc>
          <w:tcPr>
            <w:tcW w:w="7795" w:type="dxa"/>
            <w:gridSpan w:val="3"/>
            <w:shd w:val="clear" w:color="auto" w:fill="F2F2F2"/>
          </w:tcPr>
          <w:p w14:paraId="43A9EE1B" w14:textId="77777777" w:rsidR="0031691A" w:rsidRPr="0031691A" w:rsidRDefault="0031691A" w:rsidP="00E419DF">
            <w:pPr>
              <w:tabs>
                <w:tab w:val="left" w:pos="709"/>
              </w:tabs>
              <w:spacing w:before="60" w:after="60" w:line="240" w:lineRule="auto"/>
              <w:rPr>
                <w:rFonts w:ascii="Arial" w:hAnsi="Arial" w:cs="Arial"/>
                <w:b/>
                <w:sz w:val="16"/>
                <w:szCs w:val="16"/>
              </w:rPr>
            </w:pPr>
            <w:r w:rsidRPr="0031691A">
              <w:rPr>
                <w:rFonts w:ascii="Arial" w:hAnsi="Arial" w:cs="Arial"/>
                <w:b/>
                <w:sz w:val="16"/>
                <w:szCs w:val="16"/>
              </w:rPr>
              <w:t>Program 2.4 – Insurance and Risk Management</w:t>
            </w:r>
          </w:p>
          <w:p w14:paraId="2239E175" w14:textId="69206A42" w:rsidR="00F0167C" w:rsidRPr="0031691A" w:rsidRDefault="0031691A" w:rsidP="00E419DF">
            <w:pPr>
              <w:tabs>
                <w:tab w:val="left" w:pos="709"/>
              </w:tabs>
              <w:spacing w:before="60" w:after="60" w:line="240" w:lineRule="auto"/>
              <w:rPr>
                <w:rFonts w:ascii="Arial" w:hAnsi="Arial" w:cs="Arial"/>
                <w:sz w:val="16"/>
                <w:szCs w:val="16"/>
              </w:rPr>
            </w:pPr>
            <w:r w:rsidRPr="0031691A">
              <w:rPr>
                <w:rFonts w:ascii="Arial" w:hAnsi="Arial" w:cs="Arial"/>
                <w:sz w:val="16"/>
                <w:szCs w:val="16"/>
              </w:rPr>
              <w:t>This program contributes to the outcome by providing general insurance services and promoting risk management across the Government through the Comcover Special Account.</w:t>
            </w:r>
          </w:p>
        </w:tc>
      </w:tr>
      <w:tr w:rsidR="00F0167C" w:rsidRPr="00361E69" w14:paraId="2239E17B" w14:textId="77777777" w:rsidTr="00E419DF">
        <w:trPr>
          <w:trHeight w:val="694"/>
        </w:trPr>
        <w:tc>
          <w:tcPr>
            <w:tcW w:w="1416" w:type="dxa"/>
            <w:tcBorders>
              <w:bottom w:val="double" w:sz="4" w:space="0" w:color="auto"/>
            </w:tcBorders>
          </w:tcPr>
          <w:p w14:paraId="2239E177" w14:textId="77777777" w:rsidR="00F0167C" w:rsidRDefault="00F0167C" w:rsidP="00E419DF">
            <w:pPr>
              <w:tabs>
                <w:tab w:val="left" w:pos="709"/>
              </w:tabs>
              <w:spacing w:before="60" w:after="60" w:line="240" w:lineRule="auto"/>
              <w:rPr>
                <w:rFonts w:ascii="Arial" w:hAnsi="Arial" w:cs="Arial"/>
                <w:b/>
                <w:sz w:val="16"/>
                <w:szCs w:val="16"/>
              </w:rPr>
            </w:pPr>
            <w:r>
              <w:rPr>
                <w:rFonts w:ascii="Arial" w:hAnsi="Arial" w:cs="Arial"/>
                <w:b/>
                <w:sz w:val="16"/>
                <w:szCs w:val="16"/>
              </w:rPr>
              <w:t>Key Activities</w:t>
            </w:r>
          </w:p>
          <w:p w14:paraId="2239E178" w14:textId="77777777" w:rsidR="00F0167C" w:rsidRPr="00361E69" w:rsidRDefault="00F0167C" w:rsidP="00E419DF">
            <w:pPr>
              <w:tabs>
                <w:tab w:val="left" w:pos="709"/>
              </w:tabs>
              <w:spacing w:before="60" w:after="60" w:line="240" w:lineRule="auto"/>
              <w:rPr>
                <w:rFonts w:ascii="Arial" w:hAnsi="Arial" w:cs="Arial"/>
                <w:b/>
                <w:sz w:val="16"/>
                <w:szCs w:val="16"/>
              </w:rPr>
            </w:pPr>
          </w:p>
        </w:tc>
        <w:tc>
          <w:tcPr>
            <w:tcW w:w="6379" w:type="dxa"/>
            <w:gridSpan w:val="2"/>
            <w:tcBorders>
              <w:bottom w:val="double" w:sz="4" w:space="0" w:color="auto"/>
            </w:tcBorders>
          </w:tcPr>
          <w:p w14:paraId="17BDE29E" w14:textId="77777777" w:rsidR="00192DAF" w:rsidRPr="00192DAF" w:rsidRDefault="00192DAF" w:rsidP="00E419DF">
            <w:pPr>
              <w:tabs>
                <w:tab w:val="left" w:pos="709"/>
              </w:tabs>
              <w:spacing w:before="60" w:after="60" w:line="240" w:lineRule="auto"/>
              <w:rPr>
                <w:rFonts w:ascii="Arial" w:hAnsi="Arial" w:cs="Arial"/>
                <w:b/>
                <w:bCs/>
                <w:sz w:val="16"/>
                <w:szCs w:val="16"/>
              </w:rPr>
            </w:pPr>
            <w:r w:rsidRPr="00192DAF">
              <w:rPr>
                <w:rFonts w:ascii="Arial" w:hAnsi="Arial" w:cs="Arial"/>
                <w:b/>
                <w:bCs/>
                <w:sz w:val="16"/>
                <w:szCs w:val="16"/>
              </w:rPr>
              <w:t>Provide insurance and risk management support for Commonwealth entities</w:t>
            </w:r>
          </w:p>
          <w:p w14:paraId="2239E17A" w14:textId="6AAB8476" w:rsidR="00F0167C" w:rsidRPr="00192DAF" w:rsidRDefault="00192DAF" w:rsidP="00E419DF">
            <w:pPr>
              <w:tabs>
                <w:tab w:val="left" w:pos="709"/>
              </w:tabs>
              <w:spacing w:before="60" w:after="60" w:line="240" w:lineRule="auto"/>
              <w:rPr>
                <w:rFonts w:ascii="Arial" w:hAnsi="Arial" w:cs="Arial"/>
                <w:i/>
                <w:sz w:val="16"/>
                <w:szCs w:val="16"/>
              </w:rPr>
            </w:pPr>
            <w:r w:rsidRPr="00192DAF">
              <w:rPr>
                <w:rFonts w:ascii="Arial" w:hAnsi="Arial" w:cs="Arial"/>
                <w:bCs/>
                <w:sz w:val="16"/>
                <w:szCs w:val="16"/>
              </w:rPr>
              <w:t>Support best practice risk management and protect Commonwealth entities against insurable losses through the Government’s self-managed insurance fund, Comcover.</w:t>
            </w:r>
          </w:p>
        </w:tc>
      </w:tr>
      <w:tr w:rsidR="00F0167C" w:rsidRPr="00361E69" w14:paraId="2239E17F" w14:textId="77777777" w:rsidTr="00E419DF">
        <w:trPr>
          <w:trHeight w:val="312"/>
        </w:trPr>
        <w:tc>
          <w:tcPr>
            <w:tcW w:w="1416" w:type="dxa"/>
            <w:tcBorders>
              <w:top w:val="double" w:sz="4" w:space="0" w:color="auto"/>
              <w:bottom w:val="single" w:sz="4" w:space="0" w:color="auto"/>
              <w:right w:val="single" w:sz="4" w:space="0" w:color="auto"/>
            </w:tcBorders>
          </w:tcPr>
          <w:p w14:paraId="2239E17C" w14:textId="77777777" w:rsidR="00F0167C" w:rsidRPr="00361E69" w:rsidRDefault="00F0167C" w:rsidP="00E419DF">
            <w:pPr>
              <w:tabs>
                <w:tab w:val="left" w:pos="709"/>
              </w:tabs>
              <w:spacing w:before="60" w:after="60" w:line="240" w:lineRule="auto"/>
              <w:rPr>
                <w:rFonts w:ascii="Arial" w:hAnsi="Arial" w:cs="Arial"/>
                <w:b/>
                <w:sz w:val="16"/>
                <w:szCs w:val="16"/>
              </w:rPr>
            </w:pPr>
            <w:r w:rsidRPr="00361E69">
              <w:rPr>
                <w:rFonts w:ascii="Arial" w:hAnsi="Arial" w:cs="Arial"/>
                <w:b/>
                <w:sz w:val="16"/>
                <w:szCs w:val="16"/>
              </w:rPr>
              <w:t>Year</w:t>
            </w:r>
          </w:p>
        </w:tc>
        <w:tc>
          <w:tcPr>
            <w:tcW w:w="2291" w:type="dxa"/>
            <w:tcBorders>
              <w:top w:val="double" w:sz="4" w:space="0" w:color="auto"/>
              <w:left w:val="single" w:sz="4" w:space="0" w:color="auto"/>
              <w:bottom w:val="single" w:sz="4" w:space="0" w:color="auto"/>
              <w:right w:val="single" w:sz="4" w:space="0" w:color="auto"/>
            </w:tcBorders>
          </w:tcPr>
          <w:p w14:paraId="2239E17D" w14:textId="77777777" w:rsidR="00F0167C" w:rsidRPr="00361E69" w:rsidRDefault="00F0167C" w:rsidP="00E419DF">
            <w:pPr>
              <w:tabs>
                <w:tab w:val="left" w:pos="709"/>
                <w:tab w:val="center" w:pos="1818"/>
              </w:tabs>
              <w:spacing w:before="60" w:after="60" w:line="240" w:lineRule="auto"/>
              <w:rPr>
                <w:rFonts w:ascii="Arial" w:hAnsi="Arial" w:cs="Arial"/>
                <w:b/>
                <w:sz w:val="16"/>
                <w:szCs w:val="16"/>
              </w:rPr>
            </w:pPr>
            <w:r w:rsidRPr="00361E69">
              <w:rPr>
                <w:rFonts w:ascii="Arial" w:hAnsi="Arial" w:cs="Arial"/>
                <w:b/>
                <w:sz w:val="16"/>
                <w:szCs w:val="16"/>
              </w:rPr>
              <w:t>Performance measures</w:t>
            </w:r>
          </w:p>
        </w:tc>
        <w:tc>
          <w:tcPr>
            <w:tcW w:w="4088" w:type="dxa"/>
            <w:tcBorders>
              <w:top w:val="double" w:sz="4" w:space="0" w:color="auto"/>
              <w:left w:val="single" w:sz="4" w:space="0" w:color="auto"/>
              <w:bottom w:val="single" w:sz="4" w:space="0" w:color="auto"/>
            </w:tcBorders>
          </w:tcPr>
          <w:p w14:paraId="2239E17E" w14:textId="77777777" w:rsidR="00F0167C" w:rsidRPr="00361E69" w:rsidRDefault="00F0167C" w:rsidP="00E419DF">
            <w:pPr>
              <w:tabs>
                <w:tab w:val="left" w:pos="709"/>
              </w:tabs>
              <w:spacing w:before="60" w:after="60" w:line="240" w:lineRule="auto"/>
              <w:rPr>
                <w:rFonts w:ascii="Arial" w:hAnsi="Arial" w:cs="Arial"/>
                <w:b/>
                <w:sz w:val="16"/>
                <w:szCs w:val="16"/>
              </w:rPr>
            </w:pPr>
            <w:r w:rsidRPr="00361E69">
              <w:rPr>
                <w:rFonts w:ascii="Arial" w:hAnsi="Arial" w:cs="Arial"/>
                <w:b/>
                <w:sz w:val="16"/>
                <w:szCs w:val="16"/>
              </w:rPr>
              <w:t>Expected Performance Results</w:t>
            </w:r>
          </w:p>
        </w:tc>
      </w:tr>
      <w:tr w:rsidR="00F0167C" w:rsidRPr="009F0A2E" w14:paraId="2239E189" w14:textId="77777777" w:rsidTr="00E419DF">
        <w:trPr>
          <w:trHeight w:val="2527"/>
        </w:trPr>
        <w:tc>
          <w:tcPr>
            <w:tcW w:w="1416" w:type="dxa"/>
            <w:tcBorders>
              <w:top w:val="single" w:sz="4" w:space="0" w:color="auto"/>
              <w:right w:val="single" w:sz="4" w:space="0" w:color="auto"/>
            </w:tcBorders>
          </w:tcPr>
          <w:p w14:paraId="695A47C5" w14:textId="77777777" w:rsidR="00192DAF" w:rsidRPr="00192DAF" w:rsidRDefault="00192DAF" w:rsidP="00E419DF">
            <w:pPr>
              <w:tabs>
                <w:tab w:val="left" w:pos="709"/>
              </w:tabs>
              <w:spacing w:before="60" w:after="60" w:line="240" w:lineRule="auto"/>
              <w:rPr>
                <w:rFonts w:ascii="Arial" w:hAnsi="Arial" w:cs="Arial"/>
                <w:sz w:val="16"/>
                <w:szCs w:val="16"/>
              </w:rPr>
            </w:pPr>
            <w:r w:rsidRPr="00192DAF">
              <w:rPr>
                <w:rFonts w:ascii="Arial" w:hAnsi="Arial" w:cs="Arial"/>
                <w:sz w:val="16"/>
                <w:szCs w:val="16"/>
              </w:rPr>
              <w:t xml:space="preserve">Prior year </w:t>
            </w:r>
          </w:p>
          <w:p w14:paraId="2239E180" w14:textId="203D0C07" w:rsidR="00F0167C" w:rsidRPr="00361E69" w:rsidRDefault="00192DAF" w:rsidP="00E419DF">
            <w:pPr>
              <w:tabs>
                <w:tab w:val="left" w:pos="709"/>
              </w:tabs>
              <w:spacing w:before="60" w:after="60" w:line="240" w:lineRule="auto"/>
              <w:rPr>
                <w:rFonts w:ascii="Arial" w:hAnsi="Arial" w:cs="Arial"/>
                <w:sz w:val="16"/>
                <w:szCs w:val="16"/>
              </w:rPr>
            </w:pPr>
            <w:r w:rsidRPr="00192DAF">
              <w:rPr>
                <w:rFonts w:ascii="Arial" w:hAnsi="Arial" w:cs="Arial"/>
                <w:sz w:val="16"/>
                <w:szCs w:val="16"/>
              </w:rPr>
              <w:t>2021-22</w:t>
            </w:r>
          </w:p>
        </w:tc>
        <w:tc>
          <w:tcPr>
            <w:tcW w:w="2291" w:type="dxa"/>
            <w:tcBorders>
              <w:top w:val="single" w:sz="4" w:space="0" w:color="auto"/>
              <w:left w:val="single" w:sz="4" w:space="0" w:color="auto"/>
              <w:right w:val="single" w:sz="4" w:space="0" w:color="auto"/>
            </w:tcBorders>
          </w:tcPr>
          <w:p w14:paraId="2B099E1B" w14:textId="77777777" w:rsidR="00192DAF" w:rsidRPr="00192DAF" w:rsidRDefault="00192DAF" w:rsidP="00E419DF">
            <w:pPr>
              <w:tabs>
                <w:tab w:val="left" w:pos="709"/>
              </w:tabs>
              <w:suppressAutoHyphens/>
              <w:spacing w:before="60" w:after="60" w:line="240" w:lineRule="auto"/>
              <w:rPr>
                <w:rFonts w:ascii="Arial" w:eastAsia="Arial" w:hAnsi="Arial" w:cs="Arial"/>
                <w:b/>
                <w:sz w:val="16"/>
                <w:szCs w:val="16"/>
              </w:rPr>
            </w:pPr>
            <w:r w:rsidRPr="00192DAF">
              <w:rPr>
                <w:rFonts w:ascii="Arial" w:eastAsia="Arial" w:hAnsi="Arial" w:cs="Arial"/>
                <w:b/>
                <w:sz w:val="16"/>
                <w:szCs w:val="16"/>
              </w:rPr>
              <w:t>Treatment of insurable risks and claims management</w:t>
            </w:r>
          </w:p>
          <w:p w14:paraId="2239E183" w14:textId="2B033219" w:rsidR="00F0167C" w:rsidRPr="00192DAF" w:rsidRDefault="00192DAF" w:rsidP="00E419DF">
            <w:pPr>
              <w:tabs>
                <w:tab w:val="left" w:pos="709"/>
              </w:tabs>
              <w:spacing w:before="60" w:after="60" w:line="240" w:lineRule="auto"/>
              <w:rPr>
                <w:rFonts w:ascii="Arial" w:hAnsi="Arial" w:cs="Arial"/>
              </w:rPr>
            </w:pPr>
            <w:r w:rsidRPr="00192DAF">
              <w:rPr>
                <w:rFonts w:ascii="Arial" w:eastAsia="Arial" w:hAnsi="Arial" w:cs="Arial"/>
                <w:sz w:val="16"/>
                <w:szCs w:val="16"/>
              </w:rPr>
              <w:t>Comcover is effectively managed to ensure the fund is financially sustainable, there is a consistent, WoAG approach to the management of claims and Comcover supports the improvement of risk maturity in General Government Sector entities over time.</w:t>
            </w:r>
          </w:p>
        </w:tc>
        <w:tc>
          <w:tcPr>
            <w:tcW w:w="4088" w:type="dxa"/>
            <w:tcBorders>
              <w:top w:val="single" w:sz="4" w:space="0" w:color="auto"/>
              <w:left w:val="single" w:sz="4" w:space="0" w:color="auto"/>
            </w:tcBorders>
          </w:tcPr>
          <w:p w14:paraId="73F4B108" w14:textId="77777777" w:rsidR="00900A24" w:rsidRPr="00900A24" w:rsidRDefault="00900A24" w:rsidP="00E419DF">
            <w:pPr>
              <w:tabs>
                <w:tab w:val="left" w:pos="709"/>
              </w:tabs>
              <w:suppressAutoHyphens/>
              <w:spacing w:before="60" w:after="60" w:line="240" w:lineRule="auto"/>
              <w:rPr>
                <w:rFonts w:ascii="Arial" w:eastAsia="Arial" w:hAnsi="Arial" w:cs="Arial"/>
                <w:b/>
                <w:sz w:val="16"/>
                <w:szCs w:val="16"/>
              </w:rPr>
            </w:pPr>
            <w:r w:rsidRPr="00900A24">
              <w:rPr>
                <w:rFonts w:ascii="Arial" w:eastAsia="Arial" w:hAnsi="Arial" w:cs="Arial"/>
                <w:b/>
                <w:sz w:val="16"/>
                <w:szCs w:val="16"/>
              </w:rPr>
              <w:t>Partially Achieved</w:t>
            </w:r>
          </w:p>
          <w:p w14:paraId="0D386570" w14:textId="6D2F6B5B" w:rsidR="00900A24" w:rsidRPr="00900A24" w:rsidRDefault="00900A24" w:rsidP="00E419DF">
            <w:pPr>
              <w:tabs>
                <w:tab w:val="left" w:pos="709"/>
              </w:tabs>
              <w:suppressAutoHyphens/>
              <w:spacing w:before="60" w:after="60" w:line="240" w:lineRule="auto"/>
              <w:rPr>
                <w:rFonts w:ascii="Arial" w:eastAsia="Arial" w:hAnsi="Arial" w:cs="Arial"/>
                <w:sz w:val="16"/>
                <w:szCs w:val="16"/>
              </w:rPr>
            </w:pPr>
            <w:r w:rsidRPr="00900A24">
              <w:rPr>
                <w:rFonts w:ascii="Arial" w:eastAsia="Arial" w:hAnsi="Arial" w:cs="Arial"/>
                <w:sz w:val="16"/>
                <w:szCs w:val="16"/>
              </w:rPr>
              <w:t>At 30 June 2022, Comcover’s net assets were -$144.8</w:t>
            </w:r>
            <w:r w:rsidR="00AD6D16">
              <w:rPr>
                <w:rFonts w:eastAsia="Arial"/>
              </w:rPr>
              <w:t> </w:t>
            </w:r>
            <w:r w:rsidRPr="00900A24">
              <w:rPr>
                <w:rFonts w:ascii="Arial" w:eastAsia="Arial" w:hAnsi="Arial" w:cs="Arial"/>
                <w:sz w:val="16"/>
                <w:szCs w:val="16"/>
              </w:rPr>
              <w:t xml:space="preserve"> million. As at 30 June 2022, Finance had a net claims liability of $1,273.8 million, with cash and equivalents of $1,135.8 million in the Comcover Special Account. Finance will, however, be able to meet the Comcover claims liabilities when they fall due, as cash balances and future premiums are suffi</w:t>
            </w:r>
            <w:r w:rsidR="000A5007">
              <w:rPr>
                <w:rFonts w:ascii="Arial" w:eastAsia="Arial" w:hAnsi="Arial" w:cs="Arial"/>
                <w:sz w:val="16"/>
                <w:szCs w:val="16"/>
              </w:rPr>
              <w:t>cient to cover at least three</w:t>
            </w:r>
            <w:r w:rsidRPr="00900A24">
              <w:rPr>
                <w:rFonts w:ascii="Arial" w:eastAsia="Arial" w:hAnsi="Arial" w:cs="Arial"/>
                <w:sz w:val="16"/>
                <w:szCs w:val="16"/>
              </w:rPr>
              <w:t xml:space="preserve"> years of ordinary claims. In addition, Finance is undertaking a review of the Comcover capital management strategy and will be bringing forward a propos</w:t>
            </w:r>
            <w:r w:rsidR="00AD6D16">
              <w:rPr>
                <w:rFonts w:ascii="Arial" w:eastAsia="Arial" w:hAnsi="Arial" w:cs="Arial"/>
                <w:sz w:val="16"/>
                <w:szCs w:val="16"/>
              </w:rPr>
              <w:t>al to government in 2022-</w:t>
            </w:r>
            <w:r w:rsidRPr="00900A24">
              <w:rPr>
                <w:rFonts w:ascii="Arial" w:eastAsia="Arial" w:hAnsi="Arial" w:cs="Arial"/>
                <w:sz w:val="16"/>
                <w:szCs w:val="16"/>
              </w:rPr>
              <w:t>23 to enable Comcover to withstand future pressures.</w:t>
            </w:r>
          </w:p>
          <w:p w14:paraId="479831F5" w14:textId="77777777" w:rsidR="00900A24" w:rsidRPr="00900A24" w:rsidRDefault="00900A24" w:rsidP="00E419DF">
            <w:pPr>
              <w:tabs>
                <w:tab w:val="left" w:pos="709"/>
              </w:tabs>
              <w:suppressAutoHyphens/>
              <w:spacing w:before="60" w:after="60" w:line="240" w:lineRule="auto"/>
              <w:rPr>
                <w:rFonts w:ascii="Arial" w:eastAsia="Arial" w:hAnsi="Arial" w:cs="Arial"/>
                <w:sz w:val="16"/>
                <w:szCs w:val="16"/>
              </w:rPr>
            </w:pPr>
            <w:r w:rsidRPr="00900A24">
              <w:rPr>
                <w:rFonts w:ascii="Arial" w:eastAsia="Arial" w:hAnsi="Arial" w:cs="Arial"/>
                <w:sz w:val="16"/>
                <w:szCs w:val="16"/>
              </w:rPr>
              <w:t>In 2021–22, Comcover received 6,677 claims and, at 30 June 2022, had 3,421 active claims. Finance undertook all claims litigation consistently with the obligations to act as a model litigant under the Legal Services Directions 2017.</w:t>
            </w:r>
          </w:p>
          <w:p w14:paraId="34C16DA7" w14:textId="77777777" w:rsidR="00900A24" w:rsidRPr="00900A24" w:rsidRDefault="00900A24" w:rsidP="00E419DF">
            <w:pPr>
              <w:tabs>
                <w:tab w:val="left" w:pos="709"/>
              </w:tabs>
              <w:suppressAutoHyphens/>
              <w:spacing w:before="60" w:after="60" w:line="240" w:lineRule="auto"/>
              <w:rPr>
                <w:rFonts w:ascii="Arial" w:eastAsia="Arial" w:hAnsi="Arial" w:cs="Arial"/>
                <w:sz w:val="16"/>
                <w:szCs w:val="16"/>
              </w:rPr>
            </w:pPr>
            <w:r w:rsidRPr="00900A24">
              <w:rPr>
                <w:rFonts w:ascii="Arial" w:eastAsia="Arial" w:hAnsi="Arial" w:cs="Arial"/>
                <w:sz w:val="16"/>
                <w:szCs w:val="16"/>
              </w:rPr>
              <w:t>Finance continued to provide stewardship, policy advice, education, project-based support and guidance on risk management. In 2022, there was increased uptake of Comcover's risk education across all levels of the program.</w:t>
            </w:r>
          </w:p>
          <w:p w14:paraId="7B987DD9" w14:textId="77777777" w:rsidR="00900A24" w:rsidRPr="00900A24" w:rsidRDefault="00900A24" w:rsidP="00E419DF">
            <w:pPr>
              <w:tabs>
                <w:tab w:val="left" w:pos="709"/>
              </w:tabs>
              <w:suppressAutoHyphens/>
              <w:spacing w:before="60" w:after="60" w:line="240" w:lineRule="auto"/>
              <w:rPr>
                <w:rFonts w:ascii="Arial" w:eastAsia="Arial" w:hAnsi="Arial" w:cs="Arial"/>
                <w:sz w:val="16"/>
                <w:szCs w:val="16"/>
              </w:rPr>
            </w:pPr>
            <w:r w:rsidRPr="00900A24">
              <w:rPr>
                <w:rFonts w:ascii="Arial" w:eastAsia="Arial" w:hAnsi="Arial" w:cs="Arial"/>
                <w:sz w:val="16"/>
                <w:szCs w:val="16"/>
              </w:rPr>
              <w:t>A net positive presenter score was achieved for face-to-face and virtual workshops for 2021-22 from respondent evaluation surveys. 90% of officials who responded to our survey self-assessed an increase in their capability to manage risk as a result of undertaking the workshops. Subscription rates for the 2021-22 year were 75% and 72% respectively for face-to-face and virtual workshops against a target of 80%.</w:t>
            </w:r>
          </w:p>
          <w:p w14:paraId="2420FA66" w14:textId="7055EF03" w:rsidR="00900A24" w:rsidRPr="00900A24" w:rsidRDefault="00900A24" w:rsidP="00E419DF">
            <w:pPr>
              <w:tabs>
                <w:tab w:val="left" w:pos="709"/>
              </w:tabs>
              <w:suppressAutoHyphens/>
              <w:spacing w:before="60" w:after="60" w:line="240" w:lineRule="auto"/>
              <w:rPr>
                <w:rFonts w:ascii="Arial" w:eastAsia="Arial" w:hAnsi="Arial" w:cs="Arial"/>
                <w:sz w:val="16"/>
                <w:szCs w:val="16"/>
              </w:rPr>
            </w:pPr>
            <w:r w:rsidRPr="00900A24">
              <w:rPr>
                <w:rFonts w:ascii="Arial" w:eastAsia="Arial" w:hAnsi="Arial" w:cs="Arial"/>
                <w:sz w:val="16"/>
                <w:szCs w:val="16"/>
              </w:rPr>
              <w:t xml:space="preserve">The Comcover Risk Management Benchmarking Program was conducted in 2021 with 98% of members completing the program. </w:t>
            </w:r>
            <w:r w:rsidR="000A5007">
              <w:rPr>
                <w:rFonts w:ascii="Arial" w:eastAsia="Arial" w:hAnsi="Arial" w:cs="Arial"/>
                <w:sz w:val="16"/>
                <w:szCs w:val="16"/>
              </w:rPr>
              <w:t>The program is conducted every two</w:t>
            </w:r>
            <w:r w:rsidRPr="00900A24">
              <w:rPr>
                <w:rFonts w:ascii="Arial" w:eastAsia="Arial" w:hAnsi="Arial" w:cs="Arial"/>
                <w:sz w:val="16"/>
                <w:szCs w:val="16"/>
              </w:rPr>
              <w:t xml:space="preserve"> years and enable fund members to assess their risk management capability against the following five themes - Risk Management Governance, Risk Culture, Risk Capability, Risk Management Practices, and Organisational Resilience and Agility.</w:t>
            </w:r>
          </w:p>
          <w:p w14:paraId="2239E188" w14:textId="2032EB9B" w:rsidR="00F0167C" w:rsidRPr="001079D3" w:rsidRDefault="00900A24" w:rsidP="00E419DF">
            <w:pPr>
              <w:tabs>
                <w:tab w:val="left" w:pos="709"/>
              </w:tabs>
              <w:suppressAutoHyphens/>
              <w:spacing w:before="60" w:after="60" w:line="240" w:lineRule="auto"/>
              <w:rPr>
                <w:rFonts w:ascii="Arial" w:hAnsi="Arial" w:cs="Arial"/>
                <w:sz w:val="16"/>
                <w:szCs w:val="16"/>
              </w:rPr>
            </w:pPr>
            <w:r w:rsidRPr="00900A24">
              <w:rPr>
                <w:rFonts w:ascii="Arial" w:eastAsia="Arial" w:hAnsi="Arial" w:cs="Arial"/>
                <w:sz w:val="16"/>
                <w:szCs w:val="16"/>
              </w:rPr>
              <w:t>The Commonwealth Risk Management Policy guidance is up to date and available on the Department of Finance website.</w:t>
            </w:r>
          </w:p>
        </w:tc>
      </w:tr>
    </w:tbl>
    <w:p w14:paraId="0899C701" w14:textId="77777777" w:rsidR="00AF0C64" w:rsidRDefault="00AF0C64" w:rsidP="004B5360">
      <w:pPr>
        <w:pStyle w:val="TableHeading"/>
        <w:spacing w:before="30" w:after="0"/>
        <w:rPr>
          <w:b w:val="0"/>
          <w:color w:val="000000"/>
          <w:sz w:val="16"/>
          <w:lang w:val="x-none" w:eastAsia="x-none"/>
        </w:rPr>
      </w:pPr>
      <w:r>
        <w:rPr>
          <w:b w:val="0"/>
          <w:color w:val="000000"/>
          <w:sz w:val="16"/>
          <w:lang w:val="x-none" w:eastAsia="x-none"/>
        </w:rPr>
        <w:t>Table continues on next page</w:t>
      </w:r>
      <w:r>
        <w:rPr>
          <w:b w:val="0"/>
          <w:color w:val="000000"/>
          <w:sz w:val="16"/>
          <w:lang w:val="x-none" w:eastAsia="x-none"/>
        </w:rPr>
        <w:br w:type="page"/>
      </w:r>
    </w:p>
    <w:p w14:paraId="1B219D28" w14:textId="77777777" w:rsidR="0001712E" w:rsidRDefault="00AF0C64" w:rsidP="00AF0C64">
      <w:pPr>
        <w:pStyle w:val="TableHeading"/>
      </w:pPr>
      <w:r>
        <w:lastRenderedPageBreak/>
        <w:t>Table 2.2.2</w:t>
      </w:r>
      <w:r w:rsidRPr="00F71634">
        <w:t xml:space="preserve">: Performance </w:t>
      </w:r>
      <w:r w:rsidRPr="00026D37">
        <w:t>measure</w:t>
      </w:r>
      <w:r w:rsidRPr="00F71634">
        <w:t xml:space="preserve"> </w:t>
      </w:r>
      <w:r>
        <w:t>for Outcome 2</w:t>
      </w:r>
      <w:r w:rsidRPr="00BB0A58">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292"/>
        <w:gridCol w:w="4086"/>
      </w:tblGrid>
      <w:tr w:rsidR="00A35052" w:rsidRPr="0045165E" w14:paraId="07B102A2" w14:textId="77777777" w:rsidTr="00E419DF">
        <w:trPr>
          <w:trHeight w:val="527"/>
        </w:trPr>
        <w:tc>
          <w:tcPr>
            <w:tcW w:w="7795" w:type="dxa"/>
            <w:gridSpan w:val="3"/>
            <w:shd w:val="clear" w:color="auto" w:fill="F2F2F2"/>
          </w:tcPr>
          <w:p w14:paraId="4B5B346A" w14:textId="77777777" w:rsidR="00A35052" w:rsidRPr="0092354F" w:rsidRDefault="00A35052" w:rsidP="00E419DF">
            <w:pPr>
              <w:tabs>
                <w:tab w:val="left" w:pos="709"/>
              </w:tabs>
              <w:spacing w:before="60" w:after="60" w:line="240" w:lineRule="auto"/>
              <w:rPr>
                <w:rFonts w:ascii="Arial" w:hAnsi="Arial" w:cs="Arial"/>
                <w:b/>
                <w:sz w:val="16"/>
                <w:szCs w:val="16"/>
              </w:rPr>
            </w:pPr>
            <w:r w:rsidRPr="0092354F">
              <w:rPr>
                <w:rFonts w:ascii="Arial" w:hAnsi="Arial" w:cs="Arial"/>
                <w:b/>
                <w:sz w:val="16"/>
                <w:szCs w:val="16"/>
              </w:rPr>
              <w:t>Program 2.4 – Insurance and Risk Management</w:t>
            </w:r>
          </w:p>
          <w:p w14:paraId="04F6B601" w14:textId="77777777" w:rsidR="00A35052" w:rsidRPr="0092354F" w:rsidRDefault="00A35052" w:rsidP="00E419DF">
            <w:pPr>
              <w:tabs>
                <w:tab w:val="left" w:pos="709"/>
              </w:tabs>
              <w:spacing w:before="60" w:after="60" w:line="240" w:lineRule="auto"/>
              <w:rPr>
                <w:rFonts w:ascii="Arial" w:hAnsi="Arial" w:cs="Arial"/>
                <w:sz w:val="16"/>
                <w:szCs w:val="16"/>
              </w:rPr>
            </w:pPr>
            <w:r w:rsidRPr="0092354F">
              <w:rPr>
                <w:rFonts w:ascii="Arial" w:hAnsi="Arial" w:cs="Arial"/>
                <w:sz w:val="16"/>
                <w:szCs w:val="16"/>
              </w:rPr>
              <w:t>This program contributes to the outcome by providing general insurance services and promoting risk management across the Government through the Comcover Special Account.</w:t>
            </w:r>
          </w:p>
        </w:tc>
      </w:tr>
      <w:tr w:rsidR="00A35052" w:rsidRPr="001079D3" w14:paraId="645F4B5C" w14:textId="77777777" w:rsidTr="00E419DF">
        <w:trPr>
          <w:trHeight w:val="312"/>
        </w:trPr>
        <w:tc>
          <w:tcPr>
            <w:tcW w:w="1417" w:type="dxa"/>
            <w:tcBorders>
              <w:top w:val="single" w:sz="4" w:space="0" w:color="auto"/>
              <w:bottom w:val="single" w:sz="4" w:space="0" w:color="auto"/>
              <w:right w:val="single" w:sz="4" w:space="0" w:color="auto"/>
            </w:tcBorders>
          </w:tcPr>
          <w:p w14:paraId="2CBEB228" w14:textId="77777777" w:rsidR="00A35052" w:rsidRPr="00361E69" w:rsidRDefault="00A35052" w:rsidP="00E419DF">
            <w:pPr>
              <w:tabs>
                <w:tab w:val="left" w:pos="709"/>
              </w:tabs>
              <w:spacing w:before="60" w:after="60" w:line="240" w:lineRule="auto"/>
              <w:rPr>
                <w:rFonts w:ascii="Arial" w:hAnsi="Arial" w:cs="Arial"/>
                <w:sz w:val="16"/>
                <w:szCs w:val="16"/>
              </w:rPr>
            </w:pPr>
            <w:r w:rsidRPr="00361E69">
              <w:rPr>
                <w:rFonts w:ascii="Arial" w:hAnsi="Arial" w:cs="Arial"/>
                <w:b/>
                <w:sz w:val="16"/>
                <w:szCs w:val="16"/>
              </w:rPr>
              <w:t>Year</w:t>
            </w:r>
          </w:p>
        </w:tc>
        <w:tc>
          <w:tcPr>
            <w:tcW w:w="2292" w:type="dxa"/>
            <w:tcBorders>
              <w:top w:val="single" w:sz="4" w:space="0" w:color="auto"/>
              <w:left w:val="single" w:sz="4" w:space="0" w:color="auto"/>
              <w:bottom w:val="dotted" w:sz="4" w:space="0" w:color="auto"/>
              <w:right w:val="single" w:sz="4" w:space="0" w:color="auto"/>
            </w:tcBorders>
          </w:tcPr>
          <w:p w14:paraId="2AC56FF1" w14:textId="77777777" w:rsidR="00A35052" w:rsidRPr="001079D3" w:rsidRDefault="00A35052" w:rsidP="00E419DF">
            <w:pPr>
              <w:tabs>
                <w:tab w:val="left" w:pos="709"/>
              </w:tabs>
              <w:spacing w:before="60" w:after="60" w:line="240" w:lineRule="auto"/>
              <w:rPr>
                <w:rFonts w:ascii="Arial" w:hAnsi="Arial" w:cs="Arial"/>
              </w:rPr>
            </w:pPr>
            <w:r w:rsidRPr="001079D3">
              <w:rPr>
                <w:rFonts w:ascii="Arial" w:hAnsi="Arial" w:cs="Arial"/>
                <w:b/>
                <w:sz w:val="16"/>
                <w:szCs w:val="16"/>
              </w:rPr>
              <w:t>Performance measures</w:t>
            </w:r>
          </w:p>
        </w:tc>
        <w:tc>
          <w:tcPr>
            <w:tcW w:w="4086" w:type="dxa"/>
            <w:tcBorders>
              <w:top w:val="single" w:sz="4" w:space="0" w:color="auto"/>
              <w:left w:val="single" w:sz="4" w:space="0" w:color="auto"/>
              <w:bottom w:val="dotted" w:sz="4" w:space="0" w:color="auto"/>
            </w:tcBorders>
          </w:tcPr>
          <w:p w14:paraId="736427FF" w14:textId="77777777" w:rsidR="00A35052" w:rsidRPr="001079D3" w:rsidRDefault="00A35052" w:rsidP="00E419DF">
            <w:pPr>
              <w:tabs>
                <w:tab w:val="left" w:pos="709"/>
              </w:tabs>
              <w:spacing w:before="60" w:after="60" w:line="240" w:lineRule="auto"/>
              <w:rPr>
                <w:rFonts w:ascii="Arial" w:hAnsi="Arial" w:cs="Arial"/>
                <w:i/>
                <w:sz w:val="16"/>
                <w:szCs w:val="16"/>
              </w:rPr>
            </w:pPr>
            <w:r w:rsidRPr="001079D3">
              <w:rPr>
                <w:rFonts w:ascii="Arial" w:hAnsi="Arial" w:cs="Arial"/>
                <w:b/>
                <w:sz w:val="16"/>
                <w:szCs w:val="16"/>
              </w:rPr>
              <w:t>Planned Performance Results</w:t>
            </w:r>
          </w:p>
        </w:tc>
      </w:tr>
      <w:tr w:rsidR="00A35052" w:rsidRPr="001079D3" w14:paraId="309C5B25" w14:textId="77777777" w:rsidTr="000A5007">
        <w:trPr>
          <w:trHeight w:val="2079"/>
        </w:trPr>
        <w:tc>
          <w:tcPr>
            <w:tcW w:w="1417" w:type="dxa"/>
            <w:tcBorders>
              <w:top w:val="single" w:sz="4" w:space="0" w:color="auto"/>
              <w:bottom w:val="nil"/>
              <w:right w:val="single" w:sz="4" w:space="0" w:color="auto"/>
            </w:tcBorders>
          </w:tcPr>
          <w:p w14:paraId="6B3F7A3C" w14:textId="77777777" w:rsidR="0095029E" w:rsidRDefault="0095029E" w:rsidP="00E419DF">
            <w:pPr>
              <w:tabs>
                <w:tab w:val="left" w:pos="709"/>
              </w:tabs>
              <w:spacing w:before="60" w:after="60" w:line="240" w:lineRule="auto"/>
              <w:rPr>
                <w:rFonts w:ascii="Arial" w:hAnsi="Arial" w:cs="Arial"/>
                <w:sz w:val="16"/>
                <w:szCs w:val="16"/>
              </w:rPr>
            </w:pPr>
            <w:r>
              <w:rPr>
                <w:rFonts w:ascii="Arial" w:hAnsi="Arial" w:cs="Arial"/>
                <w:sz w:val="16"/>
                <w:szCs w:val="16"/>
              </w:rPr>
              <w:t>Budget Year</w:t>
            </w:r>
          </w:p>
          <w:p w14:paraId="36DAEDA7" w14:textId="782980CF" w:rsidR="00A35052" w:rsidRPr="001079D3" w:rsidRDefault="00A35052" w:rsidP="00E419DF">
            <w:pPr>
              <w:tabs>
                <w:tab w:val="left" w:pos="709"/>
              </w:tabs>
              <w:spacing w:before="60" w:after="60" w:line="240" w:lineRule="auto"/>
              <w:rPr>
                <w:rFonts w:ascii="Arial" w:hAnsi="Arial" w:cs="Arial"/>
                <w:sz w:val="16"/>
                <w:szCs w:val="16"/>
              </w:rPr>
            </w:pPr>
            <w:r w:rsidRPr="001079D3">
              <w:rPr>
                <w:rFonts w:ascii="Arial" w:hAnsi="Arial" w:cs="Arial"/>
                <w:sz w:val="16"/>
                <w:szCs w:val="16"/>
              </w:rPr>
              <w:t>2022-23</w:t>
            </w:r>
          </w:p>
        </w:tc>
        <w:tc>
          <w:tcPr>
            <w:tcW w:w="2292" w:type="dxa"/>
            <w:tcBorders>
              <w:top w:val="single" w:sz="4" w:space="0" w:color="auto"/>
              <w:left w:val="single" w:sz="4" w:space="0" w:color="auto"/>
              <w:bottom w:val="dotted" w:sz="4" w:space="0" w:color="auto"/>
              <w:right w:val="single" w:sz="4" w:space="0" w:color="auto"/>
            </w:tcBorders>
          </w:tcPr>
          <w:p w14:paraId="07DBE25C" w14:textId="77777777" w:rsidR="00A35052" w:rsidRPr="001677B5" w:rsidRDefault="00A35052" w:rsidP="00E419DF">
            <w:pPr>
              <w:tabs>
                <w:tab w:val="left" w:pos="709"/>
              </w:tabs>
              <w:suppressAutoHyphens/>
              <w:spacing w:before="60" w:after="60" w:line="240" w:lineRule="auto"/>
              <w:rPr>
                <w:rFonts w:ascii="Arial" w:eastAsia="Arial" w:hAnsi="Arial" w:cs="Arial"/>
                <w:b/>
                <w:sz w:val="16"/>
                <w:szCs w:val="16"/>
              </w:rPr>
            </w:pPr>
            <w:r w:rsidRPr="001677B5">
              <w:rPr>
                <w:rFonts w:ascii="Arial" w:eastAsia="Arial" w:hAnsi="Arial" w:cs="Arial"/>
                <w:b/>
                <w:sz w:val="16"/>
                <w:szCs w:val="16"/>
              </w:rPr>
              <w:t>Financial sustainability of Comcover</w:t>
            </w:r>
          </w:p>
          <w:p w14:paraId="198789DD" w14:textId="3CC6D8DA" w:rsidR="00A35052" w:rsidRPr="001677B5" w:rsidRDefault="00A35052" w:rsidP="00E419DF">
            <w:pPr>
              <w:tabs>
                <w:tab w:val="left" w:pos="709"/>
              </w:tabs>
              <w:suppressAutoHyphens/>
              <w:spacing w:before="60" w:after="60" w:line="240" w:lineRule="auto"/>
              <w:rPr>
                <w:rFonts w:ascii="Arial" w:eastAsia="Arial" w:hAnsi="Arial" w:cs="Arial"/>
                <w:sz w:val="16"/>
                <w:szCs w:val="16"/>
                <w:vertAlign w:val="superscript"/>
              </w:rPr>
            </w:pPr>
            <w:r w:rsidRPr="001677B5">
              <w:rPr>
                <w:rFonts w:ascii="Arial" w:eastAsia="Arial" w:hAnsi="Arial" w:cs="Arial"/>
                <w:sz w:val="16"/>
                <w:szCs w:val="16"/>
              </w:rPr>
              <w:t>Comcover is effectively managed to ensure the f</w:t>
            </w:r>
            <w:r w:rsidR="000A5007">
              <w:rPr>
                <w:rFonts w:ascii="Arial" w:eastAsia="Arial" w:hAnsi="Arial" w:cs="Arial"/>
                <w:sz w:val="16"/>
                <w:szCs w:val="16"/>
              </w:rPr>
              <w:t>und is financially sustainable.</w:t>
            </w:r>
          </w:p>
          <w:p w14:paraId="7FC09DBA" w14:textId="77777777" w:rsidR="00A35052" w:rsidRDefault="00A35052" w:rsidP="00E419DF">
            <w:pPr>
              <w:spacing w:before="60" w:after="60" w:line="240" w:lineRule="auto"/>
              <w:rPr>
                <w:rFonts w:ascii="Arial" w:eastAsia="Arial" w:hAnsi="Arial" w:cs="Arial"/>
                <w:sz w:val="16"/>
                <w:szCs w:val="16"/>
              </w:rPr>
            </w:pPr>
          </w:p>
          <w:p w14:paraId="1B6FDC7D" w14:textId="77777777" w:rsidR="00A35052" w:rsidRDefault="00A35052" w:rsidP="00E419DF">
            <w:pPr>
              <w:spacing w:before="60" w:after="60" w:line="240" w:lineRule="auto"/>
              <w:rPr>
                <w:rFonts w:ascii="Arial" w:eastAsia="Arial" w:hAnsi="Arial" w:cs="Arial"/>
                <w:sz w:val="16"/>
                <w:szCs w:val="16"/>
              </w:rPr>
            </w:pPr>
          </w:p>
          <w:p w14:paraId="2D6A5AE3" w14:textId="77777777" w:rsidR="00A35052" w:rsidRDefault="00A35052" w:rsidP="00E419DF">
            <w:pPr>
              <w:spacing w:before="60" w:after="60" w:line="240" w:lineRule="auto"/>
              <w:rPr>
                <w:rFonts w:ascii="Arial" w:eastAsia="Arial" w:hAnsi="Arial" w:cs="Arial"/>
                <w:sz w:val="16"/>
                <w:szCs w:val="16"/>
              </w:rPr>
            </w:pPr>
          </w:p>
          <w:p w14:paraId="1499D706" w14:textId="77777777" w:rsidR="00A35052" w:rsidRPr="001079D3" w:rsidRDefault="00A35052" w:rsidP="00E419DF">
            <w:pPr>
              <w:spacing w:before="60" w:after="60" w:line="240" w:lineRule="auto"/>
              <w:rPr>
                <w:rFonts w:ascii="Arial" w:eastAsia="Arial" w:hAnsi="Arial" w:cs="Arial"/>
                <w:sz w:val="16"/>
                <w:szCs w:val="16"/>
              </w:rPr>
            </w:pPr>
          </w:p>
        </w:tc>
        <w:tc>
          <w:tcPr>
            <w:tcW w:w="4086" w:type="dxa"/>
            <w:tcBorders>
              <w:top w:val="single" w:sz="4" w:space="0" w:color="auto"/>
              <w:left w:val="single" w:sz="4" w:space="0" w:color="auto"/>
              <w:bottom w:val="dotted" w:sz="4" w:space="0" w:color="auto"/>
            </w:tcBorders>
          </w:tcPr>
          <w:p w14:paraId="6CDACD28" w14:textId="77777777" w:rsidR="00A35052" w:rsidRPr="001677B5" w:rsidRDefault="00A35052" w:rsidP="00E419DF">
            <w:pPr>
              <w:tabs>
                <w:tab w:val="left" w:pos="709"/>
              </w:tabs>
              <w:autoSpaceDE w:val="0"/>
              <w:autoSpaceDN w:val="0"/>
              <w:spacing w:before="60" w:after="60" w:line="240" w:lineRule="auto"/>
              <w:rPr>
                <w:rFonts w:ascii="Arial" w:eastAsia="Arial" w:hAnsi="Arial" w:cs="Arial"/>
                <w:sz w:val="16"/>
                <w:szCs w:val="16"/>
              </w:rPr>
            </w:pPr>
            <w:r w:rsidRPr="001677B5">
              <w:rPr>
                <w:rFonts w:ascii="Arial" w:eastAsia="Arial" w:hAnsi="Arial" w:cs="Arial"/>
                <w:sz w:val="16"/>
                <w:szCs w:val="16"/>
              </w:rPr>
              <w:t xml:space="preserve">Comcover reviews and publishes an annual statement of cover that consistently applies to fund members. </w:t>
            </w:r>
          </w:p>
          <w:p w14:paraId="508B550E" w14:textId="14545C0C" w:rsidR="00A35052" w:rsidRPr="001677B5" w:rsidRDefault="00A35052" w:rsidP="00E419DF">
            <w:pPr>
              <w:tabs>
                <w:tab w:val="left" w:pos="709"/>
              </w:tabs>
              <w:autoSpaceDE w:val="0"/>
              <w:autoSpaceDN w:val="0"/>
              <w:spacing w:before="60" w:after="60" w:line="240" w:lineRule="auto"/>
              <w:rPr>
                <w:rFonts w:ascii="Arial" w:eastAsia="Arial" w:hAnsi="Arial" w:cs="Arial"/>
                <w:sz w:val="16"/>
                <w:szCs w:val="16"/>
              </w:rPr>
            </w:pPr>
            <w:r w:rsidRPr="001677B5">
              <w:rPr>
                <w:rFonts w:ascii="Arial" w:eastAsia="Arial" w:hAnsi="Arial" w:cs="Arial"/>
                <w:sz w:val="16"/>
                <w:szCs w:val="16"/>
              </w:rPr>
              <w:t>Actuarial assess</w:t>
            </w:r>
            <w:r>
              <w:rPr>
                <w:rFonts w:ascii="Arial" w:eastAsia="Arial" w:hAnsi="Arial" w:cs="Arial"/>
                <w:sz w:val="16"/>
                <w:szCs w:val="16"/>
              </w:rPr>
              <w:t>ments are undertaken (at least four</w:t>
            </w:r>
            <w:r w:rsidRPr="001677B5">
              <w:rPr>
                <w:rFonts w:ascii="Arial" w:eastAsia="Arial" w:hAnsi="Arial" w:cs="Arial"/>
                <w:sz w:val="16"/>
                <w:szCs w:val="16"/>
              </w:rPr>
              <w:t xml:space="preserve"> per year), with consideration of claims history and the risk profile of fund members, to inform the setting of annual member premiums and to prudently manage the fund. </w:t>
            </w:r>
          </w:p>
          <w:p w14:paraId="0C4AE769" w14:textId="77777777" w:rsidR="00A35052" w:rsidRPr="009158E7" w:rsidRDefault="00A35052" w:rsidP="00E419DF">
            <w:pPr>
              <w:autoSpaceDE w:val="0"/>
              <w:autoSpaceDN w:val="0"/>
              <w:spacing w:before="60" w:after="60" w:line="240" w:lineRule="auto"/>
              <w:rPr>
                <w:rFonts w:ascii="Arial" w:eastAsia="Arial" w:hAnsi="Arial" w:cs="Arial"/>
                <w:sz w:val="16"/>
                <w:szCs w:val="16"/>
              </w:rPr>
            </w:pPr>
            <w:r w:rsidRPr="001677B5">
              <w:rPr>
                <w:rFonts w:ascii="Arial" w:eastAsia="Arial" w:hAnsi="Arial" w:cs="Arial"/>
                <w:sz w:val="16"/>
                <w:szCs w:val="16"/>
              </w:rPr>
              <w:t>The Comcover Fund has adequ</w:t>
            </w:r>
            <w:r>
              <w:rPr>
                <w:rFonts w:ascii="Arial" w:eastAsia="Arial" w:hAnsi="Arial" w:cs="Arial"/>
                <w:sz w:val="16"/>
                <w:szCs w:val="16"/>
              </w:rPr>
              <w:t xml:space="preserve">ate reserves to meet at least three </w:t>
            </w:r>
            <w:r w:rsidRPr="001677B5">
              <w:rPr>
                <w:rFonts w:ascii="Arial" w:eastAsia="Arial" w:hAnsi="Arial" w:cs="Arial"/>
                <w:sz w:val="16"/>
                <w:szCs w:val="16"/>
              </w:rPr>
              <w:t>years of actuarially assessed ordinary claim payments.</w:t>
            </w:r>
          </w:p>
        </w:tc>
      </w:tr>
      <w:tr w:rsidR="00A35052" w:rsidRPr="001079D3" w14:paraId="6AAB47C7" w14:textId="77777777" w:rsidTr="00E419DF">
        <w:trPr>
          <w:trHeight w:val="2404"/>
        </w:trPr>
        <w:tc>
          <w:tcPr>
            <w:tcW w:w="1417" w:type="dxa"/>
            <w:tcBorders>
              <w:top w:val="nil"/>
              <w:left w:val="single" w:sz="4" w:space="0" w:color="auto"/>
              <w:bottom w:val="dotted" w:sz="4" w:space="0" w:color="auto"/>
              <w:right w:val="single" w:sz="4" w:space="0" w:color="auto"/>
            </w:tcBorders>
          </w:tcPr>
          <w:p w14:paraId="79617686" w14:textId="77777777" w:rsidR="00A35052" w:rsidRPr="001079D3" w:rsidRDefault="00A35052" w:rsidP="00E419DF">
            <w:pPr>
              <w:tabs>
                <w:tab w:val="left" w:pos="709"/>
              </w:tabs>
              <w:spacing w:before="60" w:after="60" w:line="240" w:lineRule="auto"/>
              <w:rPr>
                <w:rFonts w:ascii="Arial" w:hAnsi="Arial" w:cs="Arial"/>
                <w:sz w:val="16"/>
                <w:szCs w:val="16"/>
              </w:rPr>
            </w:pPr>
          </w:p>
        </w:tc>
        <w:tc>
          <w:tcPr>
            <w:tcW w:w="2292" w:type="dxa"/>
            <w:tcBorders>
              <w:top w:val="dotted" w:sz="4" w:space="0" w:color="auto"/>
              <w:left w:val="single" w:sz="4" w:space="0" w:color="auto"/>
              <w:bottom w:val="dotted" w:sz="4" w:space="0" w:color="auto"/>
              <w:right w:val="single" w:sz="4" w:space="0" w:color="auto"/>
            </w:tcBorders>
          </w:tcPr>
          <w:p w14:paraId="2B0CFBF3" w14:textId="77777777" w:rsidR="00A35052" w:rsidRPr="001677B5" w:rsidRDefault="00A35052" w:rsidP="00E419DF">
            <w:pPr>
              <w:spacing w:before="60" w:after="60" w:line="240" w:lineRule="auto"/>
              <w:rPr>
                <w:rFonts w:ascii="Arial" w:eastAsia="Arial" w:hAnsi="Arial" w:cs="Arial"/>
                <w:b/>
                <w:sz w:val="16"/>
                <w:szCs w:val="16"/>
              </w:rPr>
            </w:pPr>
            <w:r w:rsidRPr="001677B5">
              <w:rPr>
                <w:rFonts w:ascii="Arial" w:eastAsia="Arial" w:hAnsi="Arial" w:cs="Arial"/>
                <w:b/>
                <w:sz w:val="16"/>
                <w:szCs w:val="16"/>
              </w:rPr>
              <w:t>Treatment of insurable risks and claims management</w:t>
            </w:r>
          </w:p>
          <w:p w14:paraId="2C2A6A20" w14:textId="77777777" w:rsidR="00A35052" w:rsidRPr="001677B5" w:rsidRDefault="00A35052" w:rsidP="00E419DF">
            <w:pPr>
              <w:tabs>
                <w:tab w:val="left" w:pos="709"/>
              </w:tabs>
              <w:suppressAutoHyphens/>
              <w:spacing w:before="60" w:after="60" w:line="240" w:lineRule="auto"/>
              <w:rPr>
                <w:rFonts w:ascii="Arial" w:eastAsia="Arial" w:hAnsi="Arial" w:cs="Arial"/>
                <w:b/>
                <w:sz w:val="16"/>
                <w:szCs w:val="16"/>
              </w:rPr>
            </w:pPr>
            <w:r w:rsidRPr="001677B5">
              <w:rPr>
                <w:rFonts w:ascii="Arial" w:eastAsia="Arial" w:hAnsi="Arial" w:cs="Arial"/>
                <w:sz w:val="16"/>
                <w:szCs w:val="16"/>
              </w:rPr>
              <w:t>Comcover is effectively managed to ensure the fund is financially sustainable, there is a consistent, WoAG approach to the management of claims and Comcover supports the improvement of risk maturity in General Government Sector entities over time.</w:t>
            </w:r>
          </w:p>
        </w:tc>
        <w:tc>
          <w:tcPr>
            <w:tcW w:w="4086" w:type="dxa"/>
            <w:tcBorders>
              <w:top w:val="dotted" w:sz="4" w:space="0" w:color="auto"/>
              <w:left w:val="single" w:sz="4" w:space="0" w:color="auto"/>
              <w:bottom w:val="dotted" w:sz="4" w:space="0" w:color="auto"/>
              <w:right w:val="single" w:sz="4" w:space="0" w:color="auto"/>
            </w:tcBorders>
          </w:tcPr>
          <w:p w14:paraId="2286728D" w14:textId="720C069E" w:rsidR="00A35052" w:rsidRPr="001677B5" w:rsidRDefault="00A35052" w:rsidP="00E419DF">
            <w:pPr>
              <w:pStyle w:val="TableTextBase"/>
              <w:spacing w:before="60" w:after="60"/>
              <w:rPr>
                <w:rFonts w:cs="Arial"/>
                <w:szCs w:val="16"/>
              </w:rPr>
            </w:pPr>
            <w:r w:rsidRPr="001677B5">
              <w:rPr>
                <w:rFonts w:cs="Arial"/>
                <w:szCs w:val="16"/>
              </w:rPr>
              <w:t xml:space="preserve">Litigation is undertaken honestly and fairly as a model litigant. </w:t>
            </w:r>
          </w:p>
          <w:p w14:paraId="1AE552EE" w14:textId="77777777" w:rsidR="00A35052" w:rsidRPr="001677B5" w:rsidRDefault="00A35052" w:rsidP="00E419DF">
            <w:pPr>
              <w:tabs>
                <w:tab w:val="left" w:pos="709"/>
              </w:tabs>
              <w:autoSpaceDE w:val="0"/>
              <w:autoSpaceDN w:val="0"/>
              <w:spacing w:before="60" w:after="60" w:line="240" w:lineRule="auto"/>
              <w:rPr>
                <w:rFonts w:ascii="Arial" w:eastAsia="Arial" w:hAnsi="Arial" w:cs="Arial"/>
                <w:sz w:val="16"/>
                <w:szCs w:val="16"/>
              </w:rPr>
            </w:pPr>
            <w:r w:rsidRPr="001677B5">
              <w:rPr>
                <w:rFonts w:ascii="Arial" w:hAnsi="Arial" w:cs="Arial"/>
                <w:sz w:val="16"/>
                <w:szCs w:val="16"/>
              </w:rPr>
              <w:t>Effectiveness of Comcover’s stewardship, policy advice, engagement and guidance on risk management is measures through direct feedback from workshop participants, workshop attendance, the biennial risk management benchmarking program, and that the Commonwealth Risk Management Policy is up to date.</w:t>
            </w:r>
            <w:r w:rsidRPr="00D357ED">
              <w:rPr>
                <w:i/>
              </w:rPr>
              <w:t xml:space="preserve">  </w:t>
            </w:r>
          </w:p>
        </w:tc>
      </w:tr>
      <w:tr w:rsidR="00A35052" w:rsidRPr="001079D3" w14:paraId="0A270577" w14:textId="77777777" w:rsidTr="00E419DF">
        <w:trPr>
          <w:trHeight w:val="491"/>
        </w:trPr>
        <w:tc>
          <w:tcPr>
            <w:tcW w:w="1417" w:type="dxa"/>
            <w:tcBorders>
              <w:top w:val="dotted" w:sz="4" w:space="0" w:color="auto"/>
              <w:left w:val="single" w:sz="4" w:space="0" w:color="auto"/>
              <w:bottom w:val="single" w:sz="4" w:space="0" w:color="auto"/>
              <w:right w:val="single" w:sz="4" w:space="0" w:color="auto"/>
            </w:tcBorders>
          </w:tcPr>
          <w:p w14:paraId="1E5ED5BF" w14:textId="77777777" w:rsidR="0095029E" w:rsidRDefault="00A35052" w:rsidP="0095029E">
            <w:pPr>
              <w:tabs>
                <w:tab w:val="left" w:pos="709"/>
              </w:tabs>
              <w:spacing w:before="60" w:after="60" w:line="240" w:lineRule="auto"/>
              <w:rPr>
                <w:rFonts w:ascii="Arial" w:hAnsi="Arial" w:cs="Arial"/>
                <w:sz w:val="16"/>
                <w:szCs w:val="16"/>
              </w:rPr>
            </w:pPr>
            <w:r w:rsidRPr="001079D3">
              <w:rPr>
                <w:rFonts w:ascii="Arial" w:hAnsi="Arial" w:cs="Arial"/>
                <w:sz w:val="16"/>
                <w:szCs w:val="16"/>
              </w:rPr>
              <w:t xml:space="preserve">Forward Estimates </w:t>
            </w:r>
          </w:p>
          <w:p w14:paraId="47ED9CE5" w14:textId="03A6502F" w:rsidR="00A35052" w:rsidRPr="009158E7" w:rsidRDefault="00A35052" w:rsidP="0095029E">
            <w:pPr>
              <w:tabs>
                <w:tab w:val="left" w:pos="709"/>
              </w:tabs>
              <w:spacing w:before="60" w:after="60" w:line="240" w:lineRule="auto"/>
              <w:rPr>
                <w:rFonts w:ascii="Arial" w:hAnsi="Arial" w:cs="Arial"/>
                <w:sz w:val="16"/>
                <w:szCs w:val="16"/>
              </w:rPr>
            </w:pPr>
            <w:r>
              <w:rPr>
                <w:rFonts w:ascii="Arial" w:hAnsi="Arial" w:cs="Arial"/>
                <w:sz w:val="16"/>
                <w:szCs w:val="16"/>
              </w:rPr>
              <w:t>2</w:t>
            </w:r>
            <w:r w:rsidRPr="001079D3">
              <w:rPr>
                <w:rFonts w:ascii="Arial" w:hAnsi="Arial" w:cs="Arial"/>
                <w:sz w:val="16"/>
                <w:szCs w:val="16"/>
              </w:rPr>
              <w:t>023-26</w:t>
            </w:r>
          </w:p>
        </w:tc>
        <w:tc>
          <w:tcPr>
            <w:tcW w:w="2292" w:type="dxa"/>
            <w:tcBorders>
              <w:top w:val="dotted" w:sz="4" w:space="0" w:color="auto"/>
              <w:left w:val="single" w:sz="4" w:space="0" w:color="auto"/>
              <w:bottom w:val="single" w:sz="4" w:space="0" w:color="auto"/>
              <w:right w:val="single" w:sz="4" w:space="0" w:color="auto"/>
            </w:tcBorders>
          </w:tcPr>
          <w:p w14:paraId="01A8E3D9" w14:textId="77777777" w:rsidR="00A35052" w:rsidRPr="009158E7" w:rsidRDefault="00A35052" w:rsidP="00E419DF">
            <w:pPr>
              <w:tabs>
                <w:tab w:val="left" w:pos="709"/>
              </w:tabs>
              <w:spacing w:before="60" w:after="60" w:line="240" w:lineRule="auto"/>
              <w:rPr>
                <w:rFonts w:ascii="Arial" w:hAnsi="Arial" w:cs="Arial"/>
                <w:sz w:val="16"/>
                <w:szCs w:val="16"/>
              </w:rPr>
            </w:pPr>
            <w:r w:rsidRPr="009158E7">
              <w:rPr>
                <w:rFonts w:ascii="Arial" w:hAnsi="Arial" w:cs="Arial"/>
                <w:sz w:val="16"/>
                <w:szCs w:val="16"/>
              </w:rPr>
              <w:t>As per 2022-23</w:t>
            </w:r>
          </w:p>
        </w:tc>
        <w:tc>
          <w:tcPr>
            <w:tcW w:w="4086" w:type="dxa"/>
            <w:tcBorders>
              <w:top w:val="dotted" w:sz="4" w:space="0" w:color="auto"/>
              <w:left w:val="single" w:sz="4" w:space="0" w:color="auto"/>
              <w:bottom w:val="single" w:sz="4" w:space="0" w:color="auto"/>
              <w:right w:val="single" w:sz="4" w:space="0" w:color="auto"/>
            </w:tcBorders>
          </w:tcPr>
          <w:p w14:paraId="4739A977" w14:textId="77777777" w:rsidR="00A35052" w:rsidRPr="009158E7" w:rsidRDefault="00A35052" w:rsidP="00E419DF">
            <w:pPr>
              <w:tabs>
                <w:tab w:val="left" w:pos="709"/>
              </w:tabs>
              <w:spacing w:before="60" w:after="60" w:line="240" w:lineRule="auto"/>
              <w:rPr>
                <w:rFonts w:ascii="Arial" w:hAnsi="Arial" w:cs="Arial"/>
                <w:sz w:val="16"/>
                <w:szCs w:val="16"/>
              </w:rPr>
            </w:pPr>
            <w:r w:rsidRPr="009158E7">
              <w:rPr>
                <w:rFonts w:ascii="Arial" w:hAnsi="Arial" w:cs="Arial"/>
                <w:sz w:val="16"/>
                <w:szCs w:val="16"/>
              </w:rPr>
              <w:t>As per 2022-23</w:t>
            </w:r>
          </w:p>
        </w:tc>
      </w:tr>
      <w:tr w:rsidR="00A35052" w:rsidRPr="001079D3" w14:paraId="7DD7BC89" w14:textId="77777777" w:rsidTr="00E419DF">
        <w:trPr>
          <w:trHeight w:val="291"/>
        </w:trPr>
        <w:tc>
          <w:tcPr>
            <w:tcW w:w="7795" w:type="dxa"/>
            <w:gridSpan w:val="3"/>
            <w:tcBorders>
              <w:top w:val="single" w:sz="4" w:space="0" w:color="auto"/>
            </w:tcBorders>
          </w:tcPr>
          <w:p w14:paraId="16094CE5" w14:textId="2B1E2972" w:rsidR="00A35052" w:rsidRPr="001079D3" w:rsidRDefault="00A35052" w:rsidP="00E419DF">
            <w:pPr>
              <w:tabs>
                <w:tab w:val="left" w:pos="709"/>
              </w:tabs>
              <w:spacing w:before="60" w:after="60" w:line="240" w:lineRule="auto"/>
              <w:rPr>
                <w:rFonts w:ascii="Arial" w:eastAsia="Cambria" w:hAnsi="Arial" w:cs="Arial"/>
                <w:bCs/>
                <w:iCs/>
                <w:spacing w:val="-6"/>
                <w:sz w:val="16"/>
                <w:szCs w:val="16"/>
              </w:rPr>
            </w:pPr>
            <w:r w:rsidRPr="001677B5">
              <w:rPr>
                <w:rFonts w:ascii="Arial" w:hAnsi="Arial" w:cs="Arial"/>
                <w:sz w:val="16"/>
                <w:szCs w:val="16"/>
              </w:rPr>
              <w:t>Material changes to Program 2.4 resulting from Octob</w:t>
            </w:r>
            <w:r w:rsidR="003959E6">
              <w:rPr>
                <w:rFonts w:ascii="Arial" w:hAnsi="Arial" w:cs="Arial"/>
                <w:sz w:val="16"/>
                <w:szCs w:val="16"/>
              </w:rPr>
              <w:t>er 2022-23 Budget Measures: Nil</w:t>
            </w:r>
          </w:p>
        </w:tc>
      </w:tr>
    </w:tbl>
    <w:p w14:paraId="0F647E16" w14:textId="77777777" w:rsidR="00D8456D" w:rsidRDefault="00D8456D" w:rsidP="00F0167C">
      <w:pPr>
        <w:pStyle w:val="TableHeading"/>
      </w:pPr>
      <w:r>
        <w:br w:type="page"/>
      </w:r>
    </w:p>
    <w:p w14:paraId="2239E1A1" w14:textId="3E1A3B5F" w:rsidR="00F0167C" w:rsidRDefault="00F0167C" w:rsidP="00F0167C">
      <w:pPr>
        <w:pStyle w:val="TableHeading"/>
      </w:pPr>
      <w:r>
        <w:lastRenderedPageBreak/>
        <w:t>Table 2.2.2</w:t>
      </w:r>
      <w:r w:rsidRPr="00F71634">
        <w:t xml:space="preserve">: Performance </w:t>
      </w:r>
      <w:r w:rsidRPr="00026D37">
        <w:t>measure</w:t>
      </w:r>
      <w:r w:rsidRPr="00F71634">
        <w:t xml:space="preserve"> </w:t>
      </w:r>
      <w:r>
        <w:t>for Outcome 2</w:t>
      </w:r>
      <w:r w:rsidRPr="00BB0A58">
        <w:t xml:space="preserve">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287"/>
        <w:gridCol w:w="4091"/>
      </w:tblGrid>
      <w:tr w:rsidR="00F0167C" w:rsidRPr="00F96D93" w14:paraId="2239E1A4" w14:textId="77777777" w:rsidTr="00C14577">
        <w:trPr>
          <w:trHeight w:val="527"/>
        </w:trPr>
        <w:tc>
          <w:tcPr>
            <w:tcW w:w="7795" w:type="dxa"/>
            <w:gridSpan w:val="3"/>
            <w:shd w:val="clear" w:color="auto" w:fill="F2F2F2"/>
          </w:tcPr>
          <w:p w14:paraId="07E3D0C6" w14:textId="77777777" w:rsidR="00B85E30" w:rsidRPr="00B85E30" w:rsidRDefault="00B85E30" w:rsidP="00752F3D">
            <w:pPr>
              <w:tabs>
                <w:tab w:val="left" w:pos="709"/>
              </w:tabs>
              <w:spacing w:before="60" w:after="60" w:line="240" w:lineRule="auto"/>
              <w:rPr>
                <w:rFonts w:ascii="Arial" w:hAnsi="Arial" w:cs="Arial"/>
                <w:b/>
                <w:sz w:val="16"/>
                <w:szCs w:val="16"/>
              </w:rPr>
            </w:pPr>
            <w:r w:rsidRPr="00B85E30">
              <w:rPr>
                <w:rFonts w:ascii="Arial" w:hAnsi="Arial" w:cs="Arial"/>
                <w:b/>
                <w:sz w:val="16"/>
                <w:szCs w:val="16"/>
              </w:rPr>
              <w:t>Program 2.5- Technology and Procurement</w:t>
            </w:r>
          </w:p>
          <w:p w14:paraId="2239E1A3" w14:textId="49CCF28D" w:rsidR="00F0167C" w:rsidRPr="00B85E30" w:rsidRDefault="00B85E30" w:rsidP="00752F3D">
            <w:pPr>
              <w:tabs>
                <w:tab w:val="left" w:pos="709"/>
              </w:tabs>
              <w:spacing w:before="60" w:after="60" w:line="240" w:lineRule="auto"/>
              <w:rPr>
                <w:rFonts w:ascii="Arial" w:hAnsi="Arial" w:cs="Arial"/>
                <w:sz w:val="16"/>
                <w:szCs w:val="16"/>
              </w:rPr>
            </w:pPr>
            <w:r w:rsidRPr="00B85E30">
              <w:rPr>
                <w:rFonts w:ascii="Arial" w:hAnsi="Arial" w:cs="Arial"/>
                <w:sz w:val="16"/>
                <w:szCs w:val="16"/>
              </w:rPr>
              <w:t>This program contributes to the outcome through providing timely and relevant procurement policy advice; providing advice to the Government on advertising; establishing and maintaining WoAG procurement arrangements for common goods and services; and establishing, developing and maintaining WoAG and cross-entity ICT infrastructure, platforms, systems and services.</w:t>
            </w:r>
          </w:p>
        </w:tc>
      </w:tr>
      <w:tr w:rsidR="00F0167C" w:rsidRPr="000738F4" w14:paraId="2239E1A8" w14:textId="77777777" w:rsidTr="00C14577">
        <w:trPr>
          <w:trHeight w:val="694"/>
        </w:trPr>
        <w:tc>
          <w:tcPr>
            <w:tcW w:w="1417" w:type="dxa"/>
            <w:tcBorders>
              <w:bottom w:val="double" w:sz="4" w:space="0" w:color="auto"/>
            </w:tcBorders>
          </w:tcPr>
          <w:p w14:paraId="2239E1A5" w14:textId="4D86CAC3" w:rsidR="00F0167C" w:rsidRPr="000738F4" w:rsidRDefault="00F0167C" w:rsidP="00752F3D">
            <w:pPr>
              <w:tabs>
                <w:tab w:val="left" w:pos="709"/>
              </w:tabs>
              <w:spacing w:before="60" w:after="60" w:line="240" w:lineRule="auto"/>
              <w:rPr>
                <w:rFonts w:ascii="Arial" w:hAnsi="Arial" w:cs="Arial"/>
                <w:b/>
                <w:bCs/>
                <w:sz w:val="18"/>
                <w:szCs w:val="18"/>
              </w:rPr>
            </w:pPr>
            <w:r w:rsidRPr="00CC6CF9">
              <w:rPr>
                <w:rFonts w:ascii="Arial" w:hAnsi="Arial" w:cs="Arial"/>
                <w:b/>
                <w:sz w:val="16"/>
                <w:szCs w:val="16"/>
              </w:rPr>
              <w:t>Key Activities</w:t>
            </w:r>
          </w:p>
        </w:tc>
        <w:tc>
          <w:tcPr>
            <w:tcW w:w="6378" w:type="dxa"/>
            <w:gridSpan w:val="2"/>
            <w:tcBorders>
              <w:bottom w:val="double" w:sz="4" w:space="0" w:color="auto"/>
            </w:tcBorders>
          </w:tcPr>
          <w:p w14:paraId="1B4C9519" w14:textId="77777777" w:rsidR="004E2DFB" w:rsidRPr="00CC6CF9" w:rsidRDefault="004E2DFB" w:rsidP="00752F3D">
            <w:pPr>
              <w:tabs>
                <w:tab w:val="left" w:pos="709"/>
              </w:tabs>
              <w:spacing w:before="60" w:after="60" w:line="240" w:lineRule="auto"/>
              <w:rPr>
                <w:rFonts w:ascii="Arial" w:hAnsi="Arial" w:cs="Arial"/>
                <w:b/>
                <w:sz w:val="16"/>
                <w:szCs w:val="16"/>
              </w:rPr>
            </w:pPr>
            <w:r w:rsidRPr="00CC6CF9">
              <w:rPr>
                <w:rFonts w:ascii="Arial" w:hAnsi="Arial" w:cs="Arial"/>
                <w:b/>
                <w:sz w:val="16"/>
                <w:szCs w:val="16"/>
              </w:rPr>
              <w:t>Enable value for money procurements</w:t>
            </w:r>
          </w:p>
          <w:p w14:paraId="2239E1A7" w14:textId="6400A6E3" w:rsidR="00F0167C" w:rsidRPr="004E2DFB" w:rsidRDefault="004E2DFB" w:rsidP="00752F3D">
            <w:pPr>
              <w:tabs>
                <w:tab w:val="left" w:pos="709"/>
              </w:tabs>
              <w:spacing w:before="60" w:after="60" w:line="240" w:lineRule="auto"/>
              <w:rPr>
                <w:rFonts w:ascii="Arial" w:hAnsi="Arial" w:cs="Arial"/>
                <w:iCs/>
                <w:sz w:val="16"/>
                <w:szCs w:val="16"/>
              </w:rPr>
            </w:pPr>
            <w:r w:rsidRPr="004E2DFB">
              <w:rPr>
                <w:rFonts w:ascii="Arial" w:hAnsi="Arial" w:cs="Arial"/>
                <w:iCs/>
                <w:sz w:val="16"/>
                <w:szCs w:val="16"/>
              </w:rPr>
              <w:t>Leverage experience and support the Australian Government to achieve value-for-money procurements and support the national interest.</w:t>
            </w:r>
          </w:p>
        </w:tc>
      </w:tr>
      <w:tr w:rsidR="00F0167C" w:rsidRPr="00F96D93" w14:paraId="2239E1AC" w14:textId="77777777" w:rsidTr="00C14577">
        <w:trPr>
          <w:trHeight w:val="312"/>
        </w:trPr>
        <w:tc>
          <w:tcPr>
            <w:tcW w:w="1417" w:type="dxa"/>
            <w:tcBorders>
              <w:top w:val="single" w:sz="4" w:space="0" w:color="auto"/>
              <w:bottom w:val="dotted" w:sz="4" w:space="0" w:color="auto"/>
              <w:right w:val="single" w:sz="4" w:space="0" w:color="auto"/>
            </w:tcBorders>
          </w:tcPr>
          <w:p w14:paraId="2239E1A9" w14:textId="77777777" w:rsidR="00F0167C" w:rsidRPr="00F96D93" w:rsidRDefault="00F0167C" w:rsidP="00752F3D">
            <w:pPr>
              <w:tabs>
                <w:tab w:val="left" w:pos="709"/>
              </w:tabs>
              <w:spacing w:before="60" w:after="60" w:line="240" w:lineRule="auto"/>
              <w:rPr>
                <w:rFonts w:ascii="Arial" w:hAnsi="Arial" w:cs="Arial"/>
                <w:sz w:val="16"/>
                <w:szCs w:val="16"/>
              </w:rPr>
            </w:pPr>
            <w:r w:rsidRPr="00F96D93">
              <w:rPr>
                <w:rFonts w:ascii="Arial" w:hAnsi="Arial" w:cs="Arial"/>
                <w:b/>
                <w:sz w:val="16"/>
                <w:szCs w:val="16"/>
              </w:rPr>
              <w:t>Year</w:t>
            </w:r>
          </w:p>
        </w:tc>
        <w:tc>
          <w:tcPr>
            <w:tcW w:w="2287" w:type="dxa"/>
            <w:tcBorders>
              <w:top w:val="single" w:sz="4" w:space="0" w:color="auto"/>
              <w:left w:val="single" w:sz="4" w:space="0" w:color="auto"/>
              <w:bottom w:val="dotted" w:sz="4" w:space="0" w:color="auto"/>
              <w:right w:val="single" w:sz="4" w:space="0" w:color="auto"/>
            </w:tcBorders>
          </w:tcPr>
          <w:p w14:paraId="2239E1AA" w14:textId="77777777" w:rsidR="00F0167C" w:rsidRPr="00F96D93" w:rsidRDefault="00F0167C" w:rsidP="00752F3D">
            <w:pPr>
              <w:tabs>
                <w:tab w:val="left" w:pos="709"/>
              </w:tabs>
              <w:spacing w:before="60" w:after="60" w:line="240" w:lineRule="auto"/>
              <w:rPr>
                <w:rFonts w:ascii="Arial" w:hAnsi="Arial" w:cs="Arial"/>
                <w:sz w:val="16"/>
                <w:szCs w:val="16"/>
              </w:rPr>
            </w:pPr>
            <w:r w:rsidRPr="00F96D93">
              <w:rPr>
                <w:rFonts w:ascii="Arial" w:hAnsi="Arial" w:cs="Arial"/>
                <w:b/>
                <w:sz w:val="16"/>
                <w:szCs w:val="16"/>
              </w:rPr>
              <w:t>Performance measures</w:t>
            </w:r>
          </w:p>
        </w:tc>
        <w:tc>
          <w:tcPr>
            <w:tcW w:w="4091" w:type="dxa"/>
            <w:tcBorders>
              <w:top w:val="single" w:sz="4" w:space="0" w:color="auto"/>
              <w:left w:val="single" w:sz="4" w:space="0" w:color="auto"/>
              <w:bottom w:val="dotted" w:sz="4" w:space="0" w:color="auto"/>
            </w:tcBorders>
          </w:tcPr>
          <w:p w14:paraId="2239E1AB" w14:textId="77777777" w:rsidR="00F0167C" w:rsidRPr="00F96D93" w:rsidRDefault="00F0167C" w:rsidP="00752F3D">
            <w:pPr>
              <w:tabs>
                <w:tab w:val="left" w:pos="709"/>
              </w:tabs>
              <w:spacing w:before="60" w:after="60" w:line="240" w:lineRule="auto"/>
              <w:rPr>
                <w:rFonts w:ascii="Arial" w:hAnsi="Arial" w:cs="Arial"/>
                <w:i/>
                <w:color w:val="0070C0"/>
                <w:sz w:val="16"/>
                <w:szCs w:val="16"/>
              </w:rPr>
            </w:pPr>
            <w:r w:rsidRPr="00F96D93">
              <w:rPr>
                <w:rFonts w:ascii="Arial" w:hAnsi="Arial" w:cs="Arial"/>
                <w:b/>
                <w:sz w:val="16"/>
                <w:szCs w:val="16"/>
              </w:rPr>
              <w:t>Expected Performance Results</w:t>
            </w:r>
          </w:p>
        </w:tc>
      </w:tr>
      <w:tr w:rsidR="00F0167C" w:rsidRPr="0052248D" w14:paraId="2239E1BE" w14:textId="77777777" w:rsidTr="00C14577">
        <w:trPr>
          <w:trHeight w:val="1699"/>
        </w:trPr>
        <w:tc>
          <w:tcPr>
            <w:tcW w:w="1417" w:type="dxa"/>
            <w:tcBorders>
              <w:top w:val="single" w:sz="4" w:space="0" w:color="auto"/>
              <w:right w:val="single" w:sz="4" w:space="0" w:color="auto"/>
            </w:tcBorders>
          </w:tcPr>
          <w:p w14:paraId="5C1105B6" w14:textId="77777777" w:rsidR="00000AB8" w:rsidRPr="00000AB8" w:rsidRDefault="00000AB8" w:rsidP="00752F3D">
            <w:pPr>
              <w:tabs>
                <w:tab w:val="left" w:pos="709"/>
              </w:tabs>
              <w:spacing w:before="60" w:after="60" w:line="240" w:lineRule="auto"/>
              <w:rPr>
                <w:rFonts w:ascii="Arial" w:hAnsi="Arial" w:cs="Arial"/>
                <w:sz w:val="16"/>
                <w:szCs w:val="16"/>
              </w:rPr>
            </w:pPr>
            <w:r w:rsidRPr="00000AB8">
              <w:rPr>
                <w:rFonts w:ascii="Arial" w:hAnsi="Arial" w:cs="Arial"/>
                <w:sz w:val="16"/>
                <w:szCs w:val="16"/>
              </w:rPr>
              <w:t xml:space="preserve">Prior year </w:t>
            </w:r>
          </w:p>
          <w:p w14:paraId="2239E1AD" w14:textId="0335EFA1" w:rsidR="00F0167C" w:rsidRPr="00F96D93" w:rsidRDefault="00000AB8" w:rsidP="00752F3D">
            <w:pPr>
              <w:tabs>
                <w:tab w:val="left" w:pos="709"/>
              </w:tabs>
              <w:spacing w:before="60" w:after="60" w:line="240" w:lineRule="auto"/>
              <w:rPr>
                <w:rFonts w:ascii="Arial" w:hAnsi="Arial" w:cs="Arial"/>
                <w:sz w:val="16"/>
                <w:szCs w:val="16"/>
              </w:rPr>
            </w:pPr>
            <w:r w:rsidRPr="00000AB8">
              <w:rPr>
                <w:rFonts w:ascii="Arial" w:hAnsi="Arial" w:cs="Arial"/>
                <w:sz w:val="16"/>
                <w:szCs w:val="16"/>
              </w:rPr>
              <w:t>2021-22</w:t>
            </w:r>
          </w:p>
        </w:tc>
        <w:tc>
          <w:tcPr>
            <w:tcW w:w="2287" w:type="dxa"/>
            <w:tcBorders>
              <w:top w:val="single" w:sz="4" w:space="0" w:color="auto"/>
              <w:left w:val="single" w:sz="4" w:space="0" w:color="auto"/>
              <w:right w:val="single" w:sz="4" w:space="0" w:color="auto"/>
            </w:tcBorders>
          </w:tcPr>
          <w:p w14:paraId="6F53E537" w14:textId="77777777" w:rsidR="00000AB8" w:rsidRPr="00000AB8" w:rsidRDefault="00000AB8" w:rsidP="00752F3D">
            <w:pPr>
              <w:tabs>
                <w:tab w:val="left" w:pos="709"/>
              </w:tabs>
              <w:autoSpaceDE w:val="0"/>
              <w:autoSpaceDN w:val="0"/>
              <w:spacing w:before="60" w:after="60" w:line="240" w:lineRule="auto"/>
              <w:rPr>
                <w:rFonts w:ascii="Arial" w:hAnsi="Arial" w:cs="Arial"/>
                <w:b/>
                <w:bCs/>
                <w:sz w:val="16"/>
                <w:szCs w:val="16"/>
              </w:rPr>
            </w:pPr>
            <w:r w:rsidRPr="00000AB8">
              <w:rPr>
                <w:rFonts w:ascii="Arial" w:hAnsi="Arial" w:cs="Arial"/>
                <w:b/>
                <w:bCs/>
                <w:sz w:val="16"/>
                <w:szCs w:val="16"/>
              </w:rPr>
              <w:t>Stewardship over procurement systems and policies</w:t>
            </w:r>
          </w:p>
          <w:p w14:paraId="008D5470" w14:textId="77777777" w:rsidR="00000AB8" w:rsidRPr="00000AB8" w:rsidRDefault="00000AB8" w:rsidP="00752F3D">
            <w:pPr>
              <w:tabs>
                <w:tab w:val="left" w:pos="709"/>
              </w:tabs>
              <w:autoSpaceDE w:val="0"/>
              <w:autoSpaceDN w:val="0"/>
              <w:spacing w:before="60" w:after="60" w:line="240" w:lineRule="auto"/>
              <w:rPr>
                <w:rFonts w:ascii="Arial" w:hAnsi="Arial" w:cs="Arial"/>
                <w:bCs/>
                <w:sz w:val="16"/>
                <w:szCs w:val="16"/>
              </w:rPr>
            </w:pPr>
            <w:r w:rsidRPr="00000AB8">
              <w:rPr>
                <w:rFonts w:ascii="Arial" w:hAnsi="Arial" w:cs="Arial"/>
                <w:bCs/>
                <w:sz w:val="16"/>
                <w:szCs w:val="16"/>
              </w:rPr>
              <w:t>Finance works with external stakeholders to: Provide stewardship over systems and policies to support a fair, efficient, and transparent procurement framework.</w:t>
            </w:r>
          </w:p>
          <w:p w14:paraId="2239E1B0" w14:textId="48ECFE11" w:rsidR="00F0167C" w:rsidRPr="00F96D93" w:rsidRDefault="00000AB8" w:rsidP="00752F3D">
            <w:pPr>
              <w:autoSpaceDE w:val="0"/>
              <w:autoSpaceDN w:val="0"/>
              <w:spacing w:before="60" w:after="60" w:line="240" w:lineRule="auto"/>
              <w:rPr>
                <w:rFonts w:ascii="Arial" w:hAnsi="Arial" w:cs="Arial"/>
                <w:sz w:val="16"/>
                <w:szCs w:val="16"/>
              </w:rPr>
            </w:pPr>
            <w:r w:rsidRPr="00000AB8">
              <w:rPr>
                <w:rFonts w:ascii="Arial" w:hAnsi="Arial" w:cs="Arial"/>
                <w:bCs/>
                <w:sz w:val="16"/>
                <w:szCs w:val="16"/>
              </w:rPr>
              <w:t>Implement and maintain WoAG procurement arrangements for non-ICT services (e.g. travel bookings and major office equipment) to generate price savings and operating efficiencies.</w:t>
            </w:r>
          </w:p>
        </w:tc>
        <w:tc>
          <w:tcPr>
            <w:tcW w:w="4091" w:type="dxa"/>
            <w:tcBorders>
              <w:top w:val="single" w:sz="4" w:space="0" w:color="auto"/>
              <w:left w:val="single" w:sz="4" w:space="0" w:color="auto"/>
            </w:tcBorders>
          </w:tcPr>
          <w:p w14:paraId="37D6B327" w14:textId="77777777" w:rsidR="00000AB8" w:rsidRPr="00E42FCE" w:rsidRDefault="00000AB8" w:rsidP="00752F3D">
            <w:pPr>
              <w:autoSpaceDE w:val="0"/>
              <w:autoSpaceDN w:val="0"/>
              <w:spacing w:before="60" w:after="60" w:line="240" w:lineRule="auto"/>
              <w:rPr>
                <w:rFonts w:ascii="Arial" w:hAnsi="Arial" w:cs="Arial"/>
                <w:b/>
                <w:sz w:val="16"/>
                <w:szCs w:val="16"/>
              </w:rPr>
            </w:pPr>
            <w:r w:rsidRPr="00E42FCE">
              <w:rPr>
                <w:rFonts w:ascii="Arial" w:hAnsi="Arial" w:cs="Arial"/>
                <w:b/>
                <w:sz w:val="16"/>
                <w:szCs w:val="16"/>
              </w:rPr>
              <w:t>Achieved</w:t>
            </w:r>
          </w:p>
          <w:p w14:paraId="42A3C166" w14:textId="19E9C900" w:rsidR="00000AB8" w:rsidRPr="00000AB8" w:rsidRDefault="00000AB8" w:rsidP="000A5007">
            <w:pPr>
              <w:autoSpaceDE w:val="0"/>
              <w:autoSpaceDN w:val="0"/>
              <w:spacing w:before="60" w:after="60" w:line="240" w:lineRule="auto"/>
              <w:rPr>
                <w:rFonts w:ascii="Arial" w:hAnsi="Arial" w:cs="Arial"/>
                <w:sz w:val="16"/>
                <w:szCs w:val="16"/>
              </w:rPr>
            </w:pPr>
            <w:r w:rsidRPr="00000AB8">
              <w:rPr>
                <w:rFonts w:ascii="Arial" w:hAnsi="Arial" w:cs="Arial"/>
                <w:sz w:val="16"/>
                <w:szCs w:val="16"/>
              </w:rPr>
              <w:t>In 2021-22, Finance hosted 32 s</w:t>
            </w:r>
            <w:r w:rsidR="000A5007">
              <w:rPr>
                <w:rFonts w:ascii="Arial" w:hAnsi="Arial" w:cs="Arial"/>
                <w:sz w:val="16"/>
                <w:szCs w:val="16"/>
              </w:rPr>
              <w:t>trategic outreach meetings and seven</w:t>
            </w:r>
            <w:r w:rsidRPr="00000AB8">
              <w:rPr>
                <w:rFonts w:ascii="Arial" w:hAnsi="Arial" w:cs="Arial"/>
                <w:sz w:val="16"/>
                <w:szCs w:val="16"/>
              </w:rPr>
              <w:t xml:space="preserve"> Senior Procurement Officials Reference Group (SPORG) meetings. Finance also facilitated the first procurement-connected policy working group, attended by policy owning entities. Finance also responded to Commonwealth Procurement</w:t>
            </w:r>
            <w:r w:rsidR="0064681A">
              <w:rPr>
                <w:rFonts w:ascii="Arial" w:hAnsi="Arial" w:cs="Arial"/>
                <w:sz w:val="16"/>
                <w:szCs w:val="16"/>
              </w:rPr>
              <w:t xml:space="preserve"> Framework queries, within the three day key performance indicator</w:t>
            </w:r>
            <w:r w:rsidRPr="00000AB8">
              <w:rPr>
                <w:rFonts w:ascii="Arial" w:hAnsi="Arial" w:cs="Arial"/>
                <w:sz w:val="16"/>
                <w:szCs w:val="16"/>
              </w:rPr>
              <w:t xml:space="preserve">, 98% of the time. Through the Centre of Procurement Excellence, Finance delivered the Commonwealth Procurement Capability Self-Assessment Survey, providing reports to 96 participating entities, and launched the 2022 Commonwealth Procurement Awards for Excellence. Finally, Finance delivered </w:t>
            </w:r>
            <w:r w:rsidR="000A5007">
              <w:rPr>
                <w:rFonts w:ascii="Arial" w:hAnsi="Arial" w:cs="Arial"/>
                <w:sz w:val="16"/>
                <w:szCs w:val="16"/>
              </w:rPr>
              <w:t>two</w:t>
            </w:r>
            <w:r w:rsidRPr="00000AB8">
              <w:rPr>
                <w:rFonts w:ascii="Arial" w:hAnsi="Arial" w:cs="Arial"/>
                <w:sz w:val="16"/>
                <w:szCs w:val="16"/>
              </w:rPr>
              <w:t xml:space="preserve"> updates to the Commonwealth Procurement Rules, involving close consultations with key agencies.</w:t>
            </w:r>
          </w:p>
          <w:p w14:paraId="60897085" w14:textId="376A7CC3" w:rsidR="00000AB8" w:rsidRDefault="00000AB8" w:rsidP="000A5007">
            <w:pPr>
              <w:tabs>
                <w:tab w:val="left" w:pos="442"/>
              </w:tabs>
              <w:autoSpaceDE w:val="0"/>
              <w:autoSpaceDN w:val="0"/>
              <w:adjustRightInd w:val="0"/>
              <w:spacing w:before="60" w:after="60" w:line="240" w:lineRule="auto"/>
              <w:rPr>
                <w:rFonts w:ascii="Arial" w:hAnsi="Arial" w:cs="Arial"/>
                <w:sz w:val="16"/>
                <w:szCs w:val="16"/>
              </w:rPr>
            </w:pPr>
            <w:r w:rsidRPr="00000AB8">
              <w:rPr>
                <w:rFonts w:ascii="Arial" w:hAnsi="Arial" w:cs="Arial"/>
                <w:sz w:val="16"/>
                <w:szCs w:val="16"/>
              </w:rPr>
              <w:t>In 2021–22, the AusTender platform and data were available to users for more than 99.9% of the reporting period</w:t>
            </w:r>
            <w:r>
              <w:rPr>
                <w:rFonts w:ascii="Arial" w:hAnsi="Arial" w:cs="Arial"/>
                <w:sz w:val="16"/>
                <w:szCs w:val="16"/>
              </w:rPr>
              <w:t>.</w:t>
            </w:r>
          </w:p>
          <w:p w14:paraId="5157D773" w14:textId="77777777" w:rsidR="00000AB8" w:rsidRPr="00000AB8" w:rsidRDefault="00000AB8" w:rsidP="000A5007">
            <w:pPr>
              <w:tabs>
                <w:tab w:val="left" w:pos="442"/>
              </w:tabs>
              <w:autoSpaceDE w:val="0"/>
              <w:autoSpaceDN w:val="0"/>
              <w:adjustRightInd w:val="0"/>
              <w:spacing w:before="60" w:after="60" w:line="240" w:lineRule="auto"/>
              <w:rPr>
                <w:rFonts w:ascii="Arial" w:hAnsi="Arial" w:cs="Arial"/>
                <w:sz w:val="16"/>
                <w:szCs w:val="16"/>
              </w:rPr>
            </w:pPr>
            <w:r w:rsidRPr="00000AB8">
              <w:rPr>
                <w:rFonts w:ascii="Arial" w:hAnsi="Arial" w:cs="Arial"/>
                <w:sz w:val="16"/>
                <w:szCs w:val="16"/>
              </w:rPr>
              <w:t>In 2021–22, Finance participated in:</w:t>
            </w:r>
          </w:p>
          <w:p w14:paraId="31F13E7B" w14:textId="1A736767" w:rsidR="00000AB8" w:rsidRPr="00E42FCE" w:rsidRDefault="000A500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N</w:t>
            </w:r>
            <w:r w:rsidR="00000AB8" w:rsidRPr="00E42FCE">
              <w:rPr>
                <w:rFonts w:ascii="Arial" w:hAnsi="Arial" w:cs="Arial"/>
                <w:sz w:val="16"/>
                <w:szCs w:val="16"/>
              </w:rPr>
              <w:t>egotiations to finalise the Australia-United Kingdom Free Trade Agreement (FTA)</w:t>
            </w:r>
            <w:r>
              <w:rPr>
                <w:rFonts w:ascii="Arial" w:hAnsi="Arial" w:cs="Arial"/>
                <w:sz w:val="16"/>
                <w:szCs w:val="16"/>
              </w:rPr>
              <w:t>.</w:t>
            </w:r>
          </w:p>
          <w:p w14:paraId="0EF6B726" w14:textId="137B13BC" w:rsidR="00000AB8" w:rsidRPr="00E42FCE" w:rsidRDefault="000A500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Four</w:t>
            </w:r>
            <w:r w:rsidR="00000AB8" w:rsidRPr="00E42FCE">
              <w:rPr>
                <w:rFonts w:ascii="Arial" w:hAnsi="Arial" w:cs="Arial"/>
                <w:sz w:val="16"/>
                <w:szCs w:val="16"/>
              </w:rPr>
              <w:t xml:space="preserve"> negotiation rounds of the Association of Southeast Asian Nations (ASEAN)-Australia-New Zealand FTA (AAN</w:t>
            </w:r>
            <w:r>
              <w:rPr>
                <w:rFonts w:ascii="Arial" w:hAnsi="Arial" w:cs="Arial"/>
                <w:sz w:val="16"/>
                <w:szCs w:val="16"/>
              </w:rPr>
              <w:t>ZFTA), as well as facilitating two</w:t>
            </w:r>
            <w:r w:rsidR="00000AB8" w:rsidRPr="00E42FCE">
              <w:rPr>
                <w:rFonts w:ascii="Arial" w:hAnsi="Arial" w:cs="Arial"/>
                <w:sz w:val="16"/>
                <w:szCs w:val="16"/>
              </w:rPr>
              <w:t xml:space="preserve"> knowledge sharing s</w:t>
            </w:r>
            <w:r>
              <w:rPr>
                <w:rFonts w:ascii="Arial" w:hAnsi="Arial" w:cs="Arial"/>
                <w:sz w:val="16"/>
                <w:szCs w:val="16"/>
              </w:rPr>
              <w:t>essions for all AANZFTA parties.</w:t>
            </w:r>
          </w:p>
          <w:p w14:paraId="29DCE4B4" w14:textId="11CD2924" w:rsidR="00000AB8" w:rsidRPr="00E42FCE" w:rsidRDefault="000A500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Three</w:t>
            </w:r>
            <w:r w:rsidR="00000AB8" w:rsidRPr="00E42FCE">
              <w:rPr>
                <w:rFonts w:ascii="Arial" w:hAnsi="Arial" w:cs="Arial"/>
                <w:sz w:val="16"/>
                <w:szCs w:val="16"/>
              </w:rPr>
              <w:t xml:space="preserve"> meetings with the Indian Government regarding the possible inclusion of government procurement in an Australia-India Comprehensive Economic Cooperation Agreement</w:t>
            </w:r>
            <w:r>
              <w:rPr>
                <w:rFonts w:ascii="Arial" w:hAnsi="Arial" w:cs="Arial"/>
                <w:sz w:val="16"/>
                <w:szCs w:val="16"/>
              </w:rPr>
              <w:t>.</w:t>
            </w:r>
          </w:p>
          <w:p w14:paraId="2239E1BD" w14:textId="6178DADB" w:rsidR="00F0167C" w:rsidRPr="00E42FCE" w:rsidRDefault="000A500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O</w:t>
            </w:r>
            <w:r w:rsidR="00000AB8" w:rsidRPr="00E42FCE">
              <w:rPr>
                <w:rFonts w:ascii="Arial" w:hAnsi="Arial" w:cs="Arial"/>
                <w:sz w:val="16"/>
                <w:szCs w:val="16"/>
              </w:rPr>
              <w:t>ne meeting of the Organisation for Economic Co-operation and Development (OECD) Working Party of the Leading Practitio</w:t>
            </w:r>
            <w:r>
              <w:rPr>
                <w:rFonts w:ascii="Arial" w:hAnsi="Arial" w:cs="Arial"/>
                <w:sz w:val="16"/>
                <w:szCs w:val="16"/>
              </w:rPr>
              <w:t>ners on Public Procurement and four</w:t>
            </w:r>
            <w:r w:rsidR="00000AB8" w:rsidRPr="00E42FCE">
              <w:rPr>
                <w:rFonts w:ascii="Arial" w:hAnsi="Arial" w:cs="Arial"/>
                <w:sz w:val="16"/>
                <w:szCs w:val="16"/>
              </w:rPr>
              <w:t xml:space="preserve"> meetings of the OECD Garment and Public Procurement Pilot</w:t>
            </w:r>
            <w:r>
              <w:rPr>
                <w:rFonts w:ascii="Arial" w:hAnsi="Arial" w:cs="Arial"/>
                <w:sz w:val="16"/>
                <w:szCs w:val="16"/>
              </w:rPr>
              <w:t>.</w:t>
            </w:r>
          </w:p>
        </w:tc>
      </w:tr>
    </w:tbl>
    <w:p w14:paraId="1E8051AC" w14:textId="6A57CBFD" w:rsidR="0064681A" w:rsidRDefault="0064681A" w:rsidP="00853030">
      <w:pPr>
        <w:pStyle w:val="TableHeading"/>
        <w:spacing w:before="30" w:after="0"/>
        <w:rPr>
          <w:b w:val="0"/>
          <w:color w:val="000000"/>
          <w:sz w:val="16"/>
          <w:lang w:val="x-none" w:eastAsia="x-none"/>
        </w:rPr>
      </w:pPr>
      <w:r>
        <w:rPr>
          <w:b w:val="0"/>
          <w:color w:val="000000"/>
          <w:sz w:val="16"/>
          <w:lang w:val="x-none" w:eastAsia="x-none"/>
        </w:rPr>
        <w:t>Table continues on next page</w:t>
      </w:r>
    </w:p>
    <w:p w14:paraId="4539890B" w14:textId="77777777" w:rsidR="0064681A" w:rsidRDefault="0064681A">
      <w:pPr>
        <w:spacing w:before="0" w:after="0" w:line="240" w:lineRule="auto"/>
        <w:rPr>
          <w:rFonts w:ascii="Arial" w:hAnsi="Arial"/>
          <w:color w:val="000000"/>
          <w:sz w:val="16"/>
          <w:lang w:val="x-none" w:eastAsia="x-none"/>
        </w:rPr>
      </w:pPr>
      <w:r>
        <w:rPr>
          <w:b/>
          <w:color w:val="000000"/>
          <w:sz w:val="16"/>
          <w:lang w:val="x-none" w:eastAsia="x-none"/>
        </w:rPr>
        <w:br w:type="page"/>
      </w:r>
    </w:p>
    <w:p w14:paraId="2239E1C4" w14:textId="0BA044E9" w:rsidR="00F0167C" w:rsidRPr="00775A10" w:rsidRDefault="00F0167C" w:rsidP="00775A10">
      <w:pPr>
        <w:pStyle w:val="TableHeading"/>
        <w:spacing w:before="0" w:after="0"/>
        <w:ind w:right="-113"/>
        <w:rPr>
          <w:b w:val="0"/>
          <w:color w:val="000000"/>
          <w:sz w:val="16"/>
          <w:lang w:val="x-none" w:eastAsia="x-none"/>
        </w:rPr>
      </w:pPr>
      <w:r>
        <w:lastRenderedPageBreak/>
        <w:t>Table 2.2.2</w:t>
      </w:r>
      <w:r w:rsidRPr="0052248D">
        <w:t>: Performance measure 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88"/>
        <w:gridCol w:w="4093"/>
      </w:tblGrid>
      <w:tr w:rsidR="00F0167C" w:rsidRPr="00361E69" w14:paraId="2239E1C6" w14:textId="77777777" w:rsidTr="005111D1">
        <w:trPr>
          <w:trHeight w:val="309"/>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20947FFD" w14:textId="77777777" w:rsidR="00000AB8" w:rsidRPr="00000AB8" w:rsidRDefault="00000AB8" w:rsidP="00183CFA">
            <w:pPr>
              <w:tabs>
                <w:tab w:val="left" w:pos="709"/>
              </w:tabs>
              <w:spacing w:before="60" w:after="60" w:line="240" w:lineRule="auto"/>
              <w:rPr>
                <w:rFonts w:ascii="Arial" w:hAnsi="Arial"/>
                <w:b/>
                <w:sz w:val="16"/>
                <w:szCs w:val="16"/>
              </w:rPr>
            </w:pPr>
            <w:r w:rsidRPr="00000AB8">
              <w:rPr>
                <w:rFonts w:ascii="Arial" w:hAnsi="Arial"/>
                <w:b/>
                <w:sz w:val="16"/>
                <w:szCs w:val="16"/>
              </w:rPr>
              <w:t>Program 2.5- Technology and Procurement</w:t>
            </w:r>
          </w:p>
          <w:p w14:paraId="2239E1C5" w14:textId="7BFEC9AC" w:rsidR="00F0167C" w:rsidRPr="00000AB8" w:rsidRDefault="00000AB8" w:rsidP="00183CFA">
            <w:pPr>
              <w:tabs>
                <w:tab w:val="left" w:pos="709"/>
              </w:tabs>
              <w:spacing w:before="60" w:after="60" w:line="240" w:lineRule="auto"/>
              <w:rPr>
                <w:rFonts w:ascii="Arial" w:hAnsi="Arial" w:cs="Arial"/>
                <w:sz w:val="16"/>
                <w:szCs w:val="16"/>
              </w:rPr>
            </w:pPr>
            <w:r w:rsidRPr="00000AB8">
              <w:rPr>
                <w:rFonts w:ascii="Arial" w:hAnsi="Arial"/>
                <w:sz w:val="16"/>
                <w:szCs w:val="16"/>
              </w:rPr>
              <w:t>This program contributes to the outcome through providing timely and relevant procurement policy advice; providing advice to the Government on advertising; establishing and maintaining WoAG procurement arrangements for common goods and services; and establishing, developing and maintaining WoAG and cross-entity ICT infrastructure, platforms, systems and services.</w:t>
            </w:r>
          </w:p>
        </w:tc>
      </w:tr>
      <w:tr w:rsidR="00F0167C" w:rsidRPr="00361E69" w14:paraId="2239E1CA" w14:textId="77777777" w:rsidTr="005111D1">
        <w:trPr>
          <w:trHeight w:val="312"/>
        </w:trPr>
        <w:tc>
          <w:tcPr>
            <w:tcW w:w="1414" w:type="dxa"/>
            <w:tcBorders>
              <w:top w:val="single" w:sz="4" w:space="0" w:color="auto"/>
              <w:bottom w:val="single" w:sz="4" w:space="0" w:color="auto"/>
              <w:right w:val="single" w:sz="4" w:space="0" w:color="auto"/>
            </w:tcBorders>
          </w:tcPr>
          <w:p w14:paraId="2239E1C7" w14:textId="77777777" w:rsidR="00F0167C" w:rsidRPr="00102932" w:rsidRDefault="00F0167C" w:rsidP="00183CFA">
            <w:pPr>
              <w:tabs>
                <w:tab w:val="left" w:pos="709"/>
              </w:tabs>
              <w:spacing w:before="60" w:after="60"/>
              <w:rPr>
                <w:rFonts w:ascii="Arial" w:hAnsi="Arial" w:cs="Arial"/>
                <w:b/>
                <w:sz w:val="16"/>
                <w:szCs w:val="16"/>
              </w:rPr>
            </w:pPr>
            <w:r w:rsidRPr="00102932">
              <w:rPr>
                <w:rFonts w:ascii="Arial" w:hAnsi="Arial" w:cs="Arial"/>
                <w:b/>
                <w:sz w:val="16"/>
                <w:szCs w:val="16"/>
              </w:rPr>
              <w:t>Year</w:t>
            </w:r>
          </w:p>
        </w:tc>
        <w:tc>
          <w:tcPr>
            <w:tcW w:w="2288" w:type="dxa"/>
            <w:tcBorders>
              <w:top w:val="single" w:sz="4" w:space="0" w:color="auto"/>
              <w:left w:val="single" w:sz="4" w:space="0" w:color="auto"/>
              <w:bottom w:val="single" w:sz="4" w:space="0" w:color="auto"/>
              <w:right w:val="single" w:sz="4" w:space="0" w:color="auto"/>
            </w:tcBorders>
          </w:tcPr>
          <w:p w14:paraId="2239E1C8" w14:textId="77777777" w:rsidR="00F0167C" w:rsidRPr="00102932" w:rsidRDefault="00F0167C" w:rsidP="00183CFA">
            <w:pPr>
              <w:tabs>
                <w:tab w:val="left" w:pos="709"/>
                <w:tab w:val="center" w:pos="1818"/>
              </w:tabs>
              <w:spacing w:before="60" w:after="60"/>
              <w:rPr>
                <w:rFonts w:ascii="Arial" w:hAnsi="Arial" w:cs="Arial"/>
                <w:b/>
                <w:sz w:val="16"/>
                <w:szCs w:val="16"/>
              </w:rPr>
            </w:pPr>
            <w:r w:rsidRPr="00102932">
              <w:rPr>
                <w:rFonts w:ascii="Arial" w:hAnsi="Arial" w:cs="Arial"/>
                <w:b/>
                <w:sz w:val="16"/>
                <w:szCs w:val="16"/>
              </w:rPr>
              <w:t>Performance measures</w:t>
            </w:r>
          </w:p>
        </w:tc>
        <w:tc>
          <w:tcPr>
            <w:tcW w:w="4093" w:type="dxa"/>
            <w:tcBorders>
              <w:top w:val="single" w:sz="4" w:space="0" w:color="auto"/>
              <w:left w:val="single" w:sz="4" w:space="0" w:color="auto"/>
              <w:bottom w:val="single" w:sz="4" w:space="0" w:color="auto"/>
            </w:tcBorders>
          </w:tcPr>
          <w:p w14:paraId="2239E1C9" w14:textId="77777777" w:rsidR="00F0167C" w:rsidRPr="00102932" w:rsidRDefault="00F0167C" w:rsidP="00183CFA">
            <w:pPr>
              <w:tabs>
                <w:tab w:val="left" w:pos="709"/>
              </w:tabs>
              <w:spacing w:before="60" w:after="60"/>
              <w:rPr>
                <w:rFonts w:ascii="Arial" w:hAnsi="Arial" w:cs="Arial"/>
                <w:b/>
                <w:sz w:val="16"/>
                <w:szCs w:val="16"/>
              </w:rPr>
            </w:pPr>
            <w:r w:rsidRPr="00102932">
              <w:rPr>
                <w:rFonts w:ascii="Arial" w:hAnsi="Arial" w:cs="Arial"/>
                <w:b/>
                <w:sz w:val="16"/>
                <w:szCs w:val="16"/>
              </w:rPr>
              <w:t>Expected Performance Results</w:t>
            </w:r>
          </w:p>
        </w:tc>
      </w:tr>
      <w:tr w:rsidR="00F0167C" w:rsidRPr="004559BE" w14:paraId="2239E1D0" w14:textId="77777777" w:rsidTr="005111D1">
        <w:trPr>
          <w:trHeight w:val="2437"/>
        </w:trPr>
        <w:tc>
          <w:tcPr>
            <w:tcW w:w="1414" w:type="dxa"/>
            <w:tcBorders>
              <w:top w:val="single" w:sz="4" w:space="0" w:color="auto"/>
              <w:right w:val="single" w:sz="4" w:space="0" w:color="auto"/>
            </w:tcBorders>
          </w:tcPr>
          <w:p w14:paraId="57FEDE14" w14:textId="77777777" w:rsidR="00000AB8" w:rsidRPr="00000AB8" w:rsidRDefault="00000AB8" w:rsidP="00183CFA">
            <w:pPr>
              <w:tabs>
                <w:tab w:val="left" w:pos="709"/>
              </w:tabs>
              <w:spacing w:before="60" w:after="60" w:line="240" w:lineRule="auto"/>
              <w:rPr>
                <w:rFonts w:ascii="Arial" w:hAnsi="Arial" w:cs="Arial"/>
                <w:sz w:val="16"/>
                <w:szCs w:val="16"/>
              </w:rPr>
            </w:pPr>
            <w:r w:rsidRPr="00000AB8">
              <w:rPr>
                <w:rFonts w:ascii="Arial" w:hAnsi="Arial" w:cs="Arial"/>
                <w:sz w:val="16"/>
                <w:szCs w:val="16"/>
              </w:rPr>
              <w:t xml:space="preserve">Prior year </w:t>
            </w:r>
          </w:p>
          <w:p w14:paraId="2239E1CB" w14:textId="2F8643E7" w:rsidR="00F0167C" w:rsidRPr="00102932" w:rsidRDefault="00000AB8" w:rsidP="00183CFA">
            <w:pPr>
              <w:tabs>
                <w:tab w:val="left" w:pos="709"/>
              </w:tabs>
              <w:spacing w:before="60" w:after="60" w:line="240" w:lineRule="auto"/>
              <w:rPr>
                <w:rFonts w:ascii="Arial" w:hAnsi="Arial" w:cs="Arial"/>
                <w:sz w:val="16"/>
                <w:szCs w:val="16"/>
              </w:rPr>
            </w:pPr>
            <w:r w:rsidRPr="00000AB8">
              <w:rPr>
                <w:rFonts w:ascii="Arial" w:hAnsi="Arial" w:cs="Arial"/>
                <w:sz w:val="16"/>
                <w:szCs w:val="16"/>
              </w:rPr>
              <w:t>2021-22</w:t>
            </w:r>
            <w:r w:rsidR="00F0167C">
              <w:rPr>
                <w:rFonts w:ascii="Arial" w:hAnsi="Arial" w:cs="Arial"/>
                <w:sz w:val="16"/>
                <w:szCs w:val="16"/>
              </w:rPr>
              <w:t xml:space="preserve"> (continued)</w:t>
            </w:r>
          </w:p>
        </w:tc>
        <w:tc>
          <w:tcPr>
            <w:tcW w:w="2288" w:type="dxa"/>
            <w:tcBorders>
              <w:top w:val="single" w:sz="4" w:space="0" w:color="auto"/>
              <w:left w:val="single" w:sz="4" w:space="0" w:color="auto"/>
              <w:right w:val="single" w:sz="4" w:space="0" w:color="auto"/>
            </w:tcBorders>
          </w:tcPr>
          <w:p w14:paraId="2239E1CC" w14:textId="77777777" w:rsidR="00F0167C" w:rsidRPr="00102932" w:rsidRDefault="00F0167C" w:rsidP="00183CFA">
            <w:pPr>
              <w:autoSpaceDE w:val="0"/>
              <w:autoSpaceDN w:val="0"/>
              <w:adjustRightInd w:val="0"/>
              <w:spacing w:before="60" w:after="60" w:line="240" w:lineRule="auto"/>
              <w:rPr>
                <w:rFonts w:ascii="Arial" w:hAnsi="Arial" w:cs="Arial"/>
                <w:sz w:val="16"/>
                <w:szCs w:val="16"/>
              </w:rPr>
            </w:pPr>
          </w:p>
        </w:tc>
        <w:tc>
          <w:tcPr>
            <w:tcW w:w="4093" w:type="dxa"/>
            <w:tcBorders>
              <w:top w:val="single" w:sz="4" w:space="0" w:color="auto"/>
              <w:left w:val="single" w:sz="4" w:space="0" w:color="auto"/>
            </w:tcBorders>
          </w:tcPr>
          <w:p w14:paraId="5C9EA485" w14:textId="1E6BB790" w:rsidR="0064681A" w:rsidRDefault="0064681A"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O</w:t>
            </w:r>
            <w:r w:rsidRPr="00E42FCE">
              <w:rPr>
                <w:rFonts w:ascii="Arial" w:hAnsi="Arial" w:cs="Arial"/>
                <w:sz w:val="16"/>
                <w:szCs w:val="16"/>
              </w:rPr>
              <w:t>ne meeting of the World Trade Organization (WTO) Committee on Government Procurement, as well as various bilateral and plurilateral meetings to support the work of the WTO Agreement on Government Procurement, including meetings at the WTO, Geneva.</w:t>
            </w:r>
          </w:p>
          <w:p w14:paraId="3A3EE7D0" w14:textId="562A222A" w:rsidR="00000AB8" w:rsidRPr="00E42FCE" w:rsidRDefault="0064681A"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V</w:t>
            </w:r>
            <w:r w:rsidR="00000AB8" w:rsidRPr="00E42FCE">
              <w:rPr>
                <w:rFonts w:ascii="Arial" w:hAnsi="Arial" w:cs="Arial"/>
                <w:sz w:val="16"/>
                <w:szCs w:val="16"/>
              </w:rPr>
              <w:t>arious bilateral and plurilateral meetings with Parties to the Comprehensive and Progressive Agreement for Trans-Pacific Partnership regarding the United Kingdom’s proposed accession to the agreement, including one meeting of the working group in Sydney</w:t>
            </w:r>
            <w:r>
              <w:rPr>
                <w:rFonts w:ascii="Arial" w:hAnsi="Arial" w:cs="Arial"/>
                <w:sz w:val="16"/>
                <w:szCs w:val="16"/>
              </w:rPr>
              <w:t>.</w:t>
            </w:r>
          </w:p>
          <w:p w14:paraId="1A4FDBE0" w14:textId="604FD48D" w:rsidR="00000AB8" w:rsidRPr="00E42FCE" w:rsidRDefault="0064681A"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O</w:t>
            </w:r>
            <w:r w:rsidR="00000AB8" w:rsidRPr="00E42FCE">
              <w:rPr>
                <w:rFonts w:ascii="Arial" w:hAnsi="Arial" w:cs="Arial"/>
                <w:sz w:val="16"/>
                <w:szCs w:val="16"/>
              </w:rPr>
              <w:t>ne negotiation round for the Australia-European Union FTA</w:t>
            </w:r>
            <w:r>
              <w:rPr>
                <w:rFonts w:ascii="Arial" w:hAnsi="Arial" w:cs="Arial"/>
                <w:sz w:val="16"/>
                <w:szCs w:val="16"/>
              </w:rPr>
              <w:t>.</w:t>
            </w:r>
          </w:p>
          <w:p w14:paraId="04B2D487" w14:textId="6E87854D" w:rsidR="00000AB8" w:rsidRPr="00E42FCE" w:rsidRDefault="0064681A"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Three</w:t>
            </w:r>
            <w:r w:rsidR="00000AB8" w:rsidRPr="00E42FCE">
              <w:rPr>
                <w:rFonts w:ascii="Arial" w:hAnsi="Arial" w:cs="Arial"/>
                <w:sz w:val="16"/>
                <w:szCs w:val="16"/>
              </w:rPr>
              <w:t xml:space="preserve"> meetings with the Singapore Government regarding the development of a Singapore-Australia Green Economy Agreement</w:t>
            </w:r>
            <w:r>
              <w:rPr>
                <w:rFonts w:ascii="Arial" w:hAnsi="Arial" w:cs="Arial"/>
                <w:sz w:val="16"/>
                <w:szCs w:val="16"/>
              </w:rPr>
              <w:t>.</w:t>
            </w:r>
          </w:p>
          <w:p w14:paraId="5B9002B4" w14:textId="3C9D3E7F" w:rsidR="00000AB8" w:rsidRPr="00E42FCE" w:rsidRDefault="0064681A"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M</w:t>
            </w:r>
            <w:r w:rsidR="00000AB8" w:rsidRPr="00E42FCE">
              <w:rPr>
                <w:rFonts w:ascii="Arial" w:hAnsi="Arial" w:cs="Arial"/>
                <w:sz w:val="16"/>
                <w:szCs w:val="16"/>
              </w:rPr>
              <w:t>eetings and knowledge sharing events held by the Asia-Pacific Economic Cooperation forum, the OECD and the ASEAN Secretariat</w:t>
            </w:r>
            <w:r>
              <w:rPr>
                <w:rFonts w:ascii="Arial" w:hAnsi="Arial" w:cs="Arial"/>
                <w:sz w:val="16"/>
                <w:szCs w:val="16"/>
              </w:rPr>
              <w:t>.</w:t>
            </w:r>
          </w:p>
          <w:p w14:paraId="3EC48E0E" w14:textId="52DF86E9" w:rsidR="00000AB8" w:rsidRPr="00E42FCE" w:rsidRDefault="0064681A"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V</w:t>
            </w:r>
            <w:r w:rsidR="00000AB8" w:rsidRPr="00E42FCE">
              <w:rPr>
                <w:rFonts w:ascii="Arial" w:hAnsi="Arial" w:cs="Arial"/>
                <w:sz w:val="16"/>
                <w:szCs w:val="16"/>
              </w:rPr>
              <w:t>arious bilateral meetings with trade partners to support work on government procurement across numerous agreements, and with states and territories for outreach purposes and to advance work required for compliance with international obligations.</w:t>
            </w:r>
          </w:p>
          <w:p w14:paraId="59C691EA" w14:textId="76C91919" w:rsidR="00DD399E" w:rsidRPr="00000AB8" w:rsidRDefault="00000AB8" w:rsidP="0064681A">
            <w:pPr>
              <w:autoSpaceDE w:val="0"/>
              <w:autoSpaceDN w:val="0"/>
              <w:adjustRightInd w:val="0"/>
              <w:spacing w:before="60" w:after="60" w:line="240" w:lineRule="auto"/>
              <w:rPr>
                <w:rFonts w:ascii="Arial" w:hAnsi="Arial" w:cs="Arial"/>
                <w:sz w:val="16"/>
                <w:szCs w:val="16"/>
              </w:rPr>
            </w:pPr>
            <w:r w:rsidRPr="00000AB8">
              <w:rPr>
                <w:rFonts w:ascii="Arial" w:hAnsi="Arial" w:cs="Arial"/>
                <w:sz w:val="16"/>
                <w:szCs w:val="16"/>
              </w:rPr>
              <w:t>With the first and second phases of the Management Advisory Services Panel, Finance achieved an average reduction in cost of 22% when compared t</w:t>
            </w:r>
            <w:r w:rsidR="00DD399E">
              <w:rPr>
                <w:rFonts w:ascii="Arial" w:hAnsi="Arial" w:cs="Arial"/>
                <w:sz w:val="16"/>
                <w:szCs w:val="16"/>
              </w:rPr>
              <w:t xml:space="preserve">o existing Panel arrangements. </w:t>
            </w:r>
          </w:p>
          <w:p w14:paraId="2239E1CF" w14:textId="22BC599F" w:rsidR="00F0167C" w:rsidRPr="00000AB8" w:rsidRDefault="00000AB8" w:rsidP="0064681A">
            <w:pPr>
              <w:pStyle w:val="TableTextBase"/>
              <w:spacing w:before="60" w:after="60"/>
            </w:pPr>
            <w:r w:rsidRPr="00000AB8">
              <w:rPr>
                <w:rFonts w:cs="Arial"/>
                <w:szCs w:val="16"/>
              </w:rPr>
              <w:t>QBT and the Fleet Management cont</w:t>
            </w:r>
            <w:r w:rsidR="0064681A">
              <w:rPr>
                <w:rFonts w:cs="Arial"/>
                <w:szCs w:val="16"/>
              </w:rPr>
              <w:t>racts were extended during 2021-</w:t>
            </w:r>
            <w:r w:rsidRPr="00000AB8">
              <w:rPr>
                <w:rFonts w:cs="Arial"/>
                <w:szCs w:val="16"/>
              </w:rPr>
              <w:t>22, with analysis demonstrating that value for money continues to be achieved.</w:t>
            </w:r>
          </w:p>
        </w:tc>
      </w:tr>
    </w:tbl>
    <w:p w14:paraId="2341E104" w14:textId="77777777" w:rsidR="00000AB8" w:rsidRDefault="00000AB8" w:rsidP="00853030">
      <w:pPr>
        <w:pStyle w:val="TableHeading"/>
        <w:spacing w:before="30" w:after="0"/>
        <w:rPr>
          <w:b w:val="0"/>
          <w:color w:val="000000"/>
          <w:sz w:val="16"/>
          <w:lang w:val="x-none" w:eastAsia="x-none"/>
        </w:rPr>
      </w:pPr>
      <w:r>
        <w:rPr>
          <w:b w:val="0"/>
          <w:color w:val="000000"/>
          <w:sz w:val="16"/>
          <w:lang w:val="x-none" w:eastAsia="x-none"/>
        </w:rPr>
        <w:t>Table continues on next page</w:t>
      </w:r>
      <w:r>
        <w:rPr>
          <w:b w:val="0"/>
          <w:color w:val="000000"/>
          <w:sz w:val="16"/>
          <w:lang w:val="x-none" w:eastAsia="x-none"/>
        </w:rPr>
        <w:br w:type="page"/>
      </w:r>
    </w:p>
    <w:p w14:paraId="5EC57576" w14:textId="77777777" w:rsidR="00B22252" w:rsidRDefault="00F0167C" w:rsidP="00000AB8">
      <w:pPr>
        <w:pStyle w:val="TableHeading"/>
        <w:spacing w:before="0" w:after="0"/>
        <w:ind w:right="-113"/>
      </w:pPr>
      <w:r>
        <w:lastRenderedPageBreak/>
        <w:t>Table 2.2.2</w:t>
      </w:r>
      <w:r w:rsidRPr="00F71634">
        <w:t xml:space="preserve">: Performance </w:t>
      </w:r>
      <w:r w:rsidRPr="00026D37">
        <w:t>measure</w:t>
      </w:r>
      <w:r w:rsidRPr="00F71634">
        <w:t xml:space="preserve"> </w:t>
      </w:r>
      <w:r>
        <w:t>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88"/>
        <w:gridCol w:w="4093"/>
      </w:tblGrid>
      <w:tr w:rsidR="00B22252" w:rsidRPr="00000AB8" w14:paraId="248F8859" w14:textId="77777777" w:rsidTr="00DD399E">
        <w:trPr>
          <w:trHeight w:val="309"/>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58380609" w14:textId="77777777" w:rsidR="00B22252" w:rsidRPr="00000AB8" w:rsidRDefault="00B22252" w:rsidP="00DD399E">
            <w:pPr>
              <w:tabs>
                <w:tab w:val="left" w:pos="709"/>
              </w:tabs>
              <w:spacing w:before="60" w:after="60" w:line="240" w:lineRule="auto"/>
              <w:rPr>
                <w:rFonts w:ascii="Arial" w:hAnsi="Arial"/>
                <w:b/>
                <w:sz w:val="16"/>
                <w:szCs w:val="16"/>
              </w:rPr>
            </w:pPr>
            <w:r w:rsidRPr="00000AB8">
              <w:rPr>
                <w:rFonts w:ascii="Arial" w:hAnsi="Arial"/>
                <w:b/>
                <w:sz w:val="16"/>
                <w:szCs w:val="16"/>
              </w:rPr>
              <w:t>Program 2.5- Technology and Procurement</w:t>
            </w:r>
          </w:p>
          <w:p w14:paraId="784C5CC2" w14:textId="77777777" w:rsidR="00B22252" w:rsidRPr="00000AB8" w:rsidRDefault="00B22252" w:rsidP="00DD399E">
            <w:pPr>
              <w:tabs>
                <w:tab w:val="left" w:pos="709"/>
              </w:tabs>
              <w:spacing w:before="60" w:after="60" w:line="240" w:lineRule="auto"/>
              <w:rPr>
                <w:rFonts w:ascii="Arial" w:hAnsi="Arial" w:cs="Arial"/>
                <w:sz w:val="16"/>
                <w:szCs w:val="16"/>
              </w:rPr>
            </w:pPr>
            <w:r w:rsidRPr="00000AB8">
              <w:rPr>
                <w:rFonts w:ascii="Arial" w:hAnsi="Arial"/>
                <w:sz w:val="16"/>
                <w:szCs w:val="16"/>
              </w:rPr>
              <w:t>This program contributes to the outcome through providing timely and relevant procurement policy advice; providing advice to the Government on advertising; establishing and maintaining WoAG procurement arrangements for common goods and services; and establishing, developing and maintaining WoAG and cross-entity ICT infrastructure, platforms, systems and services.</w:t>
            </w:r>
          </w:p>
        </w:tc>
      </w:tr>
      <w:tr w:rsidR="00B22252" w:rsidRPr="008636BF" w14:paraId="093F436E" w14:textId="77777777" w:rsidTr="00DD399E">
        <w:trPr>
          <w:trHeight w:val="309"/>
        </w:trPr>
        <w:tc>
          <w:tcPr>
            <w:tcW w:w="1414" w:type="dxa"/>
            <w:tcBorders>
              <w:top w:val="single" w:sz="4" w:space="0" w:color="auto"/>
              <w:bottom w:val="dotted" w:sz="4" w:space="0" w:color="auto"/>
              <w:right w:val="single" w:sz="4" w:space="0" w:color="auto"/>
            </w:tcBorders>
          </w:tcPr>
          <w:p w14:paraId="316E7A33" w14:textId="77777777" w:rsidR="00B22252" w:rsidRPr="008636BF" w:rsidRDefault="00B22252" w:rsidP="00DD399E">
            <w:pPr>
              <w:tabs>
                <w:tab w:val="left" w:pos="709"/>
              </w:tabs>
              <w:spacing w:before="60" w:after="60" w:line="240" w:lineRule="auto"/>
              <w:rPr>
                <w:rFonts w:ascii="Arial" w:hAnsi="Arial" w:cs="Arial"/>
                <w:sz w:val="16"/>
                <w:szCs w:val="16"/>
              </w:rPr>
            </w:pPr>
            <w:r w:rsidRPr="008636BF">
              <w:rPr>
                <w:rFonts w:ascii="Arial" w:hAnsi="Arial" w:cs="Arial"/>
                <w:b/>
                <w:sz w:val="16"/>
                <w:szCs w:val="16"/>
              </w:rPr>
              <w:t>Year</w:t>
            </w:r>
          </w:p>
        </w:tc>
        <w:tc>
          <w:tcPr>
            <w:tcW w:w="2288" w:type="dxa"/>
            <w:tcBorders>
              <w:top w:val="single" w:sz="4" w:space="0" w:color="auto"/>
              <w:left w:val="single" w:sz="4" w:space="0" w:color="auto"/>
              <w:bottom w:val="dotted" w:sz="4" w:space="0" w:color="auto"/>
              <w:right w:val="single" w:sz="4" w:space="0" w:color="auto"/>
            </w:tcBorders>
          </w:tcPr>
          <w:p w14:paraId="7652D562" w14:textId="77777777" w:rsidR="00B22252" w:rsidRPr="008636BF" w:rsidRDefault="00B22252" w:rsidP="00DD399E">
            <w:pPr>
              <w:tabs>
                <w:tab w:val="left" w:pos="709"/>
              </w:tabs>
              <w:spacing w:before="60" w:after="60" w:line="240" w:lineRule="auto"/>
              <w:rPr>
                <w:rFonts w:ascii="Arial" w:hAnsi="Arial" w:cs="Arial"/>
                <w:sz w:val="16"/>
                <w:szCs w:val="16"/>
              </w:rPr>
            </w:pPr>
            <w:r w:rsidRPr="008636BF">
              <w:rPr>
                <w:rFonts w:ascii="Arial" w:hAnsi="Arial" w:cs="Arial"/>
                <w:b/>
                <w:sz w:val="16"/>
                <w:szCs w:val="16"/>
              </w:rPr>
              <w:t xml:space="preserve">Performance measures </w:t>
            </w:r>
          </w:p>
        </w:tc>
        <w:tc>
          <w:tcPr>
            <w:tcW w:w="4093" w:type="dxa"/>
            <w:tcBorders>
              <w:top w:val="single" w:sz="4" w:space="0" w:color="auto"/>
              <w:left w:val="single" w:sz="4" w:space="0" w:color="auto"/>
              <w:bottom w:val="dotted" w:sz="4" w:space="0" w:color="auto"/>
            </w:tcBorders>
          </w:tcPr>
          <w:p w14:paraId="62D10F27" w14:textId="77777777" w:rsidR="00B22252" w:rsidRPr="008636BF" w:rsidRDefault="00B22252" w:rsidP="00DD399E">
            <w:pPr>
              <w:tabs>
                <w:tab w:val="left" w:pos="709"/>
              </w:tabs>
              <w:spacing w:before="60" w:after="60" w:line="240" w:lineRule="auto"/>
              <w:rPr>
                <w:rFonts w:ascii="Arial" w:hAnsi="Arial" w:cs="Arial"/>
                <w:i/>
                <w:color w:val="0070C0"/>
                <w:sz w:val="16"/>
                <w:szCs w:val="16"/>
              </w:rPr>
            </w:pPr>
            <w:r w:rsidRPr="008636BF">
              <w:rPr>
                <w:rFonts w:ascii="Arial" w:hAnsi="Arial" w:cs="Arial"/>
                <w:b/>
                <w:sz w:val="16"/>
                <w:szCs w:val="16"/>
              </w:rPr>
              <w:t>Planned Performance Results</w:t>
            </w:r>
          </w:p>
        </w:tc>
      </w:tr>
      <w:tr w:rsidR="00B22252" w:rsidRPr="008636BF" w14:paraId="50191357" w14:textId="77777777" w:rsidTr="00DD399E">
        <w:trPr>
          <w:trHeight w:val="2318"/>
        </w:trPr>
        <w:tc>
          <w:tcPr>
            <w:tcW w:w="1414" w:type="dxa"/>
            <w:tcBorders>
              <w:top w:val="single" w:sz="4" w:space="0" w:color="auto"/>
              <w:bottom w:val="dotted" w:sz="4" w:space="0" w:color="auto"/>
              <w:right w:val="single" w:sz="4" w:space="0" w:color="auto"/>
            </w:tcBorders>
          </w:tcPr>
          <w:p w14:paraId="7D573E4C" w14:textId="77777777" w:rsidR="0064681A" w:rsidRDefault="0064681A" w:rsidP="00DD399E">
            <w:pPr>
              <w:tabs>
                <w:tab w:val="left" w:pos="709"/>
              </w:tabs>
              <w:spacing w:before="60" w:after="60" w:line="240" w:lineRule="auto"/>
              <w:rPr>
                <w:rFonts w:ascii="Arial" w:hAnsi="Arial" w:cs="Arial"/>
                <w:sz w:val="16"/>
                <w:szCs w:val="16"/>
              </w:rPr>
            </w:pPr>
            <w:r>
              <w:rPr>
                <w:rFonts w:ascii="Arial" w:hAnsi="Arial" w:cs="Arial"/>
                <w:sz w:val="16"/>
                <w:szCs w:val="16"/>
              </w:rPr>
              <w:t>Budget Year</w:t>
            </w:r>
          </w:p>
          <w:p w14:paraId="5B0A9AE4" w14:textId="292B4DDF" w:rsidR="00B22252" w:rsidRPr="008636BF" w:rsidRDefault="00B22252" w:rsidP="00DD399E">
            <w:pPr>
              <w:tabs>
                <w:tab w:val="left" w:pos="709"/>
              </w:tabs>
              <w:spacing w:before="60" w:after="60" w:line="240" w:lineRule="auto"/>
              <w:rPr>
                <w:rFonts w:ascii="Arial" w:hAnsi="Arial" w:cs="Arial"/>
                <w:sz w:val="16"/>
                <w:szCs w:val="16"/>
              </w:rPr>
            </w:pPr>
            <w:r w:rsidRPr="008636BF">
              <w:rPr>
                <w:rFonts w:ascii="Arial" w:hAnsi="Arial" w:cs="Arial"/>
                <w:sz w:val="16"/>
                <w:szCs w:val="16"/>
              </w:rPr>
              <w:t>2022-23</w:t>
            </w:r>
          </w:p>
        </w:tc>
        <w:tc>
          <w:tcPr>
            <w:tcW w:w="2288" w:type="dxa"/>
            <w:tcBorders>
              <w:top w:val="single" w:sz="4" w:space="0" w:color="auto"/>
              <w:left w:val="single" w:sz="4" w:space="0" w:color="auto"/>
              <w:bottom w:val="dotted" w:sz="4" w:space="0" w:color="auto"/>
              <w:right w:val="single" w:sz="4" w:space="0" w:color="auto"/>
            </w:tcBorders>
          </w:tcPr>
          <w:p w14:paraId="40E5050E" w14:textId="77777777" w:rsidR="00B22252" w:rsidRPr="006F0EA1" w:rsidRDefault="00B22252" w:rsidP="00DD399E">
            <w:pPr>
              <w:tabs>
                <w:tab w:val="left" w:pos="709"/>
              </w:tabs>
              <w:autoSpaceDE w:val="0"/>
              <w:autoSpaceDN w:val="0"/>
              <w:spacing w:before="60" w:after="60" w:line="240" w:lineRule="auto"/>
              <w:rPr>
                <w:rFonts w:ascii="Arial" w:eastAsia="Arial" w:hAnsi="Arial" w:cs="Arial"/>
                <w:b/>
                <w:sz w:val="16"/>
                <w:szCs w:val="16"/>
              </w:rPr>
            </w:pPr>
            <w:r w:rsidRPr="006F0EA1">
              <w:rPr>
                <w:rFonts w:ascii="Arial" w:eastAsia="Arial" w:hAnsi="Arial" w:cs="Arial"/>
                <w:b/>
                <w:sz w:val="16"/>
                <w:szCs w:val="16"/>
              </w:rPr>
              <w:t>Stewardship over procurement systems and policies</w:t>
            </w:r>
          </w:p>
          <w:p w14:paraId="2CFFB6F7" w14:textId="1467EFA1" w:rsidR="00B22252" w:rsidRPr="006F0EA1" w:rsidRDefault="00B22252" w:rsidP="00DD399E">
            <w:pPr>
              <w:tabs>
                <w:tab w:val="left" w:pos="709"/>
              </w:tabs>
              <w:autoSpaceDE w:val="0"/>
              <w:autoSpaceDN w:val="0"/>
              <w:spacing w:before="60" w:after="60" w:line="240" w:lineRule="auto"/>
              <w:rPr>
                <w:rFonts w:ascii="Arial" w:eastAsia="Arial" w:hAnsi="Arial" w:cs="Arial"/>
                <w:sz w:val="16"/>
                <w:szCs w:val="16"/>
              </w:rPr>
            </w:pPr>
            <w:r w:rsidRPr="006F0EA1">
              <w:rPr>
                <w:rFonts w:ascii="Arial" w:eastAsia="Arial" w:hAnsi="Arial" w:cs="Arial"/>
                <w:sz w:val="16"/>
                <w:szCs w:val="16"/>
              </w:rPr>
              <w:t>Finance works with external stakeholders to provide stewardship over systems and policies to support a fair, efficient, and transparent procurement framework</w:t>
            </w:r>
            <w:r w:rsidR="00F70EA1">
              <w:rPr>
                <w:rFonts w:ascii="Arial" w:eastAsia="Arial" w:hAnsi="Arial" w:cs="Arial"/>
                <w:sz w:val="16"/>
                <w:szCs w:val="16"/>
              </w:rPr>
              <w:t xml:space="preserve">, and to implement and maintain WoAG </w:t>
            </w:r>
            <w:r w:rsidRPr="006F0EA1">
              <w:rPr>
                <w:rFonts w:ascii="Arial" w:eastAsia="Arial" w:hAnsi="Arial" w:cs="Arial"/>
                <w:sz w:val="16"/>
                <w:szCs w:val="16"/>
              </w:rPr>
              <w:t>procurement arrangements for non-ICT services (e.g. travel bookings, stationary and management advisory services) to generate price savings and operating efficiencies.</w:t>
            </w:r>
          </w:p>
        </w:tc>
        <w:tc>
          <w:tcPr>
            <w:tcW w:w="4093" w:type="dxa"/>
            <w:tcBorders>
              <w:top w:val="single" w:sz="4" w:space="0" w:color="auto"/>
              <w:left w:val="single" w:sz="4" w:space="0" w:color="auto"/>
              <w:bottom w:val="dotted" w:sz="4" w:space="0" w:color="auto"/>
            </w:tcBorders>
          </w:tcPr>
          <w:p w14:paraId="1A52FBC1" w14:textId="6A5616DF" w:rsidR="00DD399E" w:rsidRPr="006F0EA1" w:rsidRDefault="00B22252" w:rsidP="00DD399E">
            <w:pPr>
              <w:tabs>
                <w:tab w:val="left" w:pos="709"/>
              </w:tabs>
              <w:autoSpaceDE w:val="0"/>
              <w:autoSpaceDN w:val="0"/>
              <w:spacing w:before="60" w:after="60" w:line="240" w:lineRule="auto"/>
              <w:rPr>
                <w:rFonts w:ascii="Arial" w:eastAsia="Arial" w:hAnsi="Arial" w:cs="Arial"/>
                <w:sz w:val="16"/>
                <w:szCs w:val="16"/>
              </w:rPr>
            </w:pPr>
            <w:r w:rsidRPr="006F0EA1">
              <w:rPr>
                <w:rFonts w:ascii="Arial" w:eastAsia="Arial" w:hAnsi="Arial" w:cs="Arial"/>
                <w:sz w:val="16"/>
                <w:szCs w:val="16"/>
              </w:rPr>
              <w:t>Finance’s stewardship, policy advice, engagement and guidance on procurement systems and polices are effective, targeting 30 outreach sessions held per year and 98% of enquiries respon</w:t>
            </w:r>
            <w:r w:rsidR="0064681A">
              <w:rPr>
                <w:rFonts w:ascii="Arial" w:eastAsia="Arial" w:hAnsi="Arial" w:cs="Arial"/>
                <w:sz w:val="16"/>
                <w:szCs w:val="16"/>
              </w:rPr>
              <w:t>ded to within three</w:t>
            </w:r>
            <w:r w:rsidR="00DD399E">
              <w:rPr>
                <w:rFonts w:ascii="Arial" w:eastAsia="Arial" w:hAnsi="Arial" w:cs="Arial"/>
                <w:sz w:val="16"/>
                <w:szCs w:val="16"/>
              </w:rPr>
              <w:t xml:space="preserve"> business days. </w:t>
            </w:r>
          </w:p>
          <w:p w14:paraId="76661359" w14:textId="29F5BB5D" w:rsidR="00B22252" w:rsidRDefault="00B22252" w:rsidP="00DD399E">
            <w:pPr>
              <w:tabs>
                <w:tab w:val="left" w:pos="709"/>
              </w:tabs>
              <w:autoSpaceDE w:val="0"/>
              <w:autoSpaceDN w:val="0"/>
              <w:spacing w:before="60" w:after="60" w:line="240" w:lineRule="auto"/>
              <w:rPr>
                <w:rFonts w:ascii="Arial" w:eastAsia="Arial" w:hAnsi="Arial" w:cs="Arial"/>
                <w:sz w:val="16"/>
                <w:szCs w:val="16"/>
              </w:rPr>
            </w:pPr>
            <w:r w:rsidRPr="006F0EA1">
              <w:rPr>
                <w:rFonts w:ascii="Arial" w:eastAsia="Arial" w:hAnsi="Arial" w:cs="Arial"/>
                <w:sz w:val="16"/>
                <w:szCs w:val="16"/>
              </w:rPr>
              <w:t>AusTender platform and data are availab</w:t>
            </w:r>
            <w:r w:rsidR="00DD399E">
              <w:rPr>
                <w:rFonts w:ascii="Arial" w:eastAsia="Arial" w:hAnsi="Arial" w:cs="Arial"/>
                <w:sz w:val="16"/>
                <w:szCs w:val="16"/>
              </w:rPr>
              <w:t xml:space="preserve">le to users 99.5% of the time. </w:t>
            </w:r>
          </w:p>
          <w:p w14:paraId="45012C9A" w14:textId="77777777" w:rsidR="00B22252" w:rsidRPr="006F0EA1" w:rsidRDefault="00B22252" w:rsidP="00DD399E">
            <w:pPr>
              <w:tabs>
                <w:tab w:val="left" w:pos="709"/>
              </w:tabs>
              <w:autoSpaceDE w:val="0"/>
              <w:autoSpaceDN w:val="0"/>
              <w:spacing w:before="60" w:after="60" w:line="240" w:lineRule="auto"/>
              <w:rPr>
                <w:rFonts w:ascii="Arial" w:eastAsia="Arial" w:hAnsi="Arial" w:cs="Arial"/>
                <w:sz w:val="16"/>
                <w:szCs w:val="16"/>
              </w:rPr>
            </w:pPr>
            <w:r w:rsidRPr="006F0EA1">
              <w:rPr>
                <w:rFonts w:ascii="Arial" w:eastAsia="Arial" w:hAnsi="Arial" w:cs="Arial"/>
                <w:sz w:val="16"/>
                <w:szCs w:val="16"/>
              </w:rPr>
              <w:t xml:space="preserve">Engagement with domestic and international stakeholders supports information exchange on advancements in procurement policy. </w:t>
            </w:r>
          </w:p>
          <w:p w14:paraId="2A4C6706" w14:textId="77AA1EF9" w:rsidR="00B22252" w:rsidRPr="008636BF" w:rsidRDefault="00B22252" w:rsidP="00DD399E">
            <w:pPr>
              <w:autoSpaceDE w:val="0"/>
              <w:autoSpaceDN w:val="0"/>
              <w:spacing w:before="60" w:after="60" w:line="240" w:lineRule="auto"/>
              <w:rPr>
                <w:rFonts w:ascii="Arial" w:eastAsia="Arial" w:hAnsi="Arial" w:cs="Arial"/>
                <w:sz w:val="16"/>
                <w:szCs w:val="16"/>
              </w:rPr>
            </w:pPr>
            <w:r w:rsidRPr="006F0EA1">
              <w:rPr>
                <w:rFonts w:ascii="Arial" w:eastAsia="Arial" w:hAnsi="Arial" w:cs="Arial"/>
                <w:sz w:val="16"/>
                <w:szCs w:val="16"/>
              </w:rPr>
              <w:t>Savings and efficiencies from WoAG arrangements are compared, where possible, against similar arrangements, previous arrangements or markets.</w:t>
            </w:r>
          </w:p>
        </w:tc>
      </w:tr>
      <w:tr w:rsidR="00B22252" w:rsidRPr="00BB5846" w14:paraId="51C8780C" w14:textId="77777777" w:rsidTr="00DD399E">
        <w:trPr>
          <w:trHeight w:val="281"/>
        </w:trPr>
        <w:tc>
          <w:tcPr>
            <w:tcW w:w="1414" w:type="dxa"/>
            <w:tcBorders>
              <w:top w:val="dotted" w:sz="4" w:space="0" w:color="auto"/>
              <w:left w:val="single" w:sz="4" w:space="0" w:color="auto"/>
              <w:bottom w:val="single" w:sz="4" w:space="0" w:color="auto"/>
              <w:right w:val="single" w:sz="4" w:space="0" w:color="auto"/>
            </w:tcBorders>
          </w:tcPr>
          <w:p w14:paraId="35D5B0C2" w14:textId="77777777" w:rsidR="0064681A" w:rsidRDefault="00B22252" w:rsidP="0064681A">
            <w:pPr>
              <w:tabs>
                <w:tab w:val="left" w:pos="709"/>
              </w:tabs>
              <w:spacing w:before="60" w:after="60" w:line="240" w:lineRule="auto"/>
              <w:rPr>
                <w:rFonts w:ascii="Arial" w:hAnsi="Arial" w:cs="Arial"/>
                <w:sz w:val="16"/>
                <w:szCs w:val="16"/>
              </w:rPr>
            </w:pPr>
            <w:r w:rsidRPr="00BB5846">
              <w:rPr>
                <w:rFonts w:ascii="Arial" w:hAnsi="Arial" w:cs="Arial"/>
                <w:sz w:val="16"/>
                <w:szCs w:val="16"/>
              </w:rPr>
              <w:t xml:space="preserve">Forward Estimates </w:t>
            </w:r>
          </w:p>
          <w:p w14:paraId="6D07D95A" w14:textId="5B465FCA" w:rsidR="00B22252" w:rsidRPr="00BB5846" w:rsidRDefault="00B22252" w:rsidP="0064681A">
            <w:pPr>
              <w:tabs>
                <w:tab w:val="left" w:pos="709"/>
              </w:tabs>
              <w:spacing w:before="60" w:after="60" w:line="240" w:lineRule="auto"/>
              <w:rPr>
                <w:rFonts w:ascii="Arial" w:hAnsi="Arial" w:cs="Arial"/>
                <w:sz w:val="16"/>
                <w:szCs w:val="16"/>
              </w:rPr>
            </w:pPr>
            <w:r>
              <w:rPr>
                <w:rFonts w:ascii="Arial" w:hAnsi="Arial" w:cs="Arial"/>
                <w:sz w:val="16"/>
                <w:szCs w:val="16"/>
              </w:rPr>
              <w:t>2</w:t>
            </w:r>
            <w:r w:rsidRPr="00BB5846">
              <w:rPr>
                <w:rFonts w:ascii="Arial" w:hAnsi="Arial" w:cs="Arial"/>
                <w:sz w:val="16"/>
                <w:szCs w:val="16"/>
              </w:rPr>
              <w:t>023-26</w:t>
            </w:r>
          </w:p>
        </w:tc>
        <w:tc>
          <w:tcPr>
            <w:tcW w:w="2288" w:type="dxa"/>
            <w:tcBorders>
              <w:top w:val="dotted" w:sz="4" w:space="0" w:color="auto"/>
              <w:left w:val="single" w:sz="4" w:space="0" w:color="auto"/>
              <w:bottom w:val="single" w:sz="4" w:space="0" w:color="auto"/>
              <w:right w:val="single" w:sz="4" w:space="0" w:color="auto"/>
            </w:tcBorders>
          </w:tcPr>
          <w:p w14:paraId="612A4F59" w14:textId="77777777" w:rsidR="00B22252" w:rsidRPr="00BB5846" w:rsidRDefault="00B22252" w:rsidP="00DD399E">
            <w:pPr>
              <w:tabs>
                <w:tab w:val="left" w:pos="709"/>
              </w:tabs>
              <w:suppressAutoHyphens/>
              <w:spacing w:before="60" w:after="60" w:line="240" w:lineRule="auto"/>
              <w:rPr>
                <w:rFonts w:ascii="Arial" w:eastAsia="Arial" w:hAnsi="Arial" w:cs="Arial"/>
                <w:sz w:val="16"/>
                <w:szCs w:val="16"/>
              </w:rPr>
            </w:pPr>
            <w:r>
              <w:rPr>
                <w:rFonts w:ascii="Arial" w:eastAsia="Arial" w:hAnsi="Arial" w:cs="Arial"/>
                <w:sz w:val="16"/>
                <w:szCs w:val="16"/>
              </w:rPr>
              <w:t>As per 2022-23</w:t>
            </w:r>
          </w:p>
        </w:tc>
        <w:tc>
          <w:tcPr>
            <w:tcW w:w="4093" w:type="dxa"/>
            <w:tcBorders>
              <w:top w:val="dotted" w:sz="4" w:space="0" w:color="auto"/>
              <w:left w:val="single" w:sz="4" w:space="0" w:color="auto"/>
              <w:bottom w:val="single" w:sz="4" w:space="0" w:color="auto"/>
              <w:right w:val="single" w:sz="4" w:space="0" w:color="auto"/>
            </w:tcBorders>
          </w:tcPr>
          <w:p w14:paraId="2F32FAB3" w14:textId="77777777" w:rsidR="00B22252" w:rsidRPr="00BB5846" w:rsidRDefault="00B22252" w:rsidP="00DD399E">
            <w:pPr>
              <w:tabs>
                <w:tab w:val="left" w:pos="709"/>
              </w:tabs>
              <w:suppressAutoHyphens/>
              <w:spacing w:before="60" w:after="60" w:line="240" w:lineRule="auto"/>
              <w:rPr>
                <w:rFonts w:ascii="Arial" w:eastAsia="Arial" w:hAnsi="Arial" w:cs="Arial"/>
                <w:sz w:val="16"/>
                <w:szCs w:val="16"/>
              </w:rPr>
            </w:pPr>
            <w:r>
              <w:rPr>
                <w:rFonts w:ascii="Arial" w:eastAsia="Arial" w:hAnsi="Arial" w:cs="Arial"/>
                <w:sz w:val="16"/>
                <w:szCs w:val="16"/>
              </w:rPr>
              <w:t>As per 2022-23</w:t>
            </w:r>
          </w:p>
        </w:tc>
      </w:tr>
      <w:tr w:rsidR="00B22252" w:rsidRPr="00D61BE4" w14:paraId="5C846B20" w14:textId="77777777" w:rsidTr="00DD399E">
        <w:trPr>
          <w:trHeight w:val="291"/>
        </w:trPr>
        <w:tc>
          <w:tcPr>
            <w:tcW w:w="7795" w:type="dxa"/>
            <w:gridSpan w:val="3"/>
            <w:tcBorders>
              <w:top w:val="single" w:sz="4" w:space="0" w:color="auto"/>
              <w:left w:val="single" w:sz="4" w:space="0" w:color="auto"/>
              <w:bottom w:val="single" w:sz="4" w:space="0" w:color="auto"/>
              <w:right w:val="single" w:sz="4" w:space="0" w:color="auto"/>
            </w:tcBorders>
          </w:tcPr>
          <w:p w14:paraId="12B24818" w14:textId="5788DF03" w:rsidR="00B22252" w:rsidRPr="00D61BE4" w:rsidRDefault="00B22252" w:rsidP="00DD399E">
            <w:pPr>
              <w:tabs>
                <w:tab w:val="left" w:pos="709"/>
              </w:tabs>
              <w:spacing w:before="60" w:after="60" w:line="240" w:lineRule="auto"/>
              <w:rPr>
                <w:rFonts w:ascii="Arial" w:eastAsia="Cambria" w:hAnsi="Arial" w:cs="Arial"/>
                <w:bCs/>
                <w:iCs/>
                <w:color w:val="0070C0"/>
                <w:spacing w:val="-6"/>
                <w:sz w:val="16"/>
                <w:szCs w:val="16"/>
              </w:rPr>
            </w:pPr>
            <w:r w:rsidRPr="006F0EA1">
              <w:rPr>
                <w:rFonts w:ascii="Arial" w:hAnsi="Arial" w:cs="Arial"/>
                <w:sz w:val="16"/>
                <w:szCs w:val="16"/>
              </w:rPr>
              <w:t>Material changes to Program 2.5 resulting from Octob</w:t>
            </w:r>
            <w:r w:rsidR="009D6102">
              <w:rPr>
                <w:rFonts w:ascii="Arial" w:hAnsi="Arial" w:cs="Arial"/>
                <w:sz w:val="16"/>
                <w:szCs w:val="16"/>
              </w:rPr>
              <w:t>er 2022-23 Budget Measures: Nil</w:t>
            </w:r>
          </w:p>
        </w:tc>
      </w:tr>
    </w:tbl>
    <w:p w14:paraId="71E81A30" w14:textId="77777777" w:rsidR="00B22252" w:rsidRDefault="00B22252" w:rsidP="00B22252">
      <w:pPr>
        <w:pStyle w:val="TableHeading"/>
        <w:spacing w:before="0" w:after="0"/>
        <w:ind w:right="-113"/>
        <w:rPr>
          <w:b w:val="0"/>
          <w:color w:val="000000"/>
          <w:sz w:val="16"/>
          <w:lang w:val="x-none" w:eastAsia="x-none"/>
        </w:rPr>
      </w:pPr>
      <w:r>
        <w:rPr>
          <w:b w:val="0"/>
          <w:color w:val="000000"/>
          <w:sz w:val="16"/>
          <w:lang w:val="x-none" w:eastAsia="x-none"/>
        </w:rPr>
        <w:br w:type="page"/>
      </w:r>
    </w:p>
    <w:p w14:paraId="03AC41C2" w14:textId="003AFC27" w:rsidR="00000AB8" w:rsidRPr="00B22252" w:rsidRDefault="00B22252" w:rsidP="00B22252">
      <w:pPr>
        <w:pStyle w:val="TableHeading"/>
        <w:spacing w:before="0" w:after="0"/>
        <w:ind w:right="-113"/>
        <w:rPr>
          <w:b w:val="0"/>
          <w:color w:val="000000"/>
          <w:sz w:val="16"/>
          <w:lang w:val="x-none" w:eastAsia="x-none"/>
        </w:rPr>
      </w:pPr>
      <w:r>
        <w:lastRenderedPageBreak/>
        <w:t>Table 2.2.2</w:t>
      </w:r>
      <w:r w:rsidRPr="00F71634">
        <w:t xml:space="preserve">: Performance </w:t>
      </w:r>
      <w:r w:rsidRPr="00026D37">
        <w:t>measure</w:t>
      </w:r>
      <w:r w:rsidRPr="00F71634">
        <w:t xml:space="preserve"> </w:t>
      </w:r>
      <w:r>
        <w:t>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48"/>
        <w:gridCol w:w="4129"/>
      </w:tblGrid>
      <w:tr w:rsidR="00F0167C" w:rsidRPr="00361E69" w14:paraId="2239E1EE" w14:textId="77777777" w:rsidTr="00EB0624">
        <w:trPr>
          <w:trHeight w:val="527"/>
          <w:tblHeader/>
        </w:trPr>
        <w:tc>
          <w:tcPr>
            <w:tcW w:w="7795" w:type="dxa"/>
            <w:gridSpan w:val="3"/>
            <w:shd w:val="clear" w:color="auto" w:fill="F2F2F2"/>
          </w:tcPr>
          <w:p w14:paraId="2638559B" w14:textId="77777777" w:rsidR="00226614" w:rsidRPr="00226614" w:rsidRDefault="00226614" w:rsidP="00EB0624">
            <w:pPr>
              <w:tabs>
                <w:tab w:val="left" w:pos="709"/>
              </w:tabs>
              <w:spacing w:before="60" w:after="60" w:line="240" w:lineRule="auto"/>
              <w:rPr>
                <w:rFonts w:ascii="Arial" w:hAnsi="Arial" w:cs="Arial"/>
                <w:b/>
                <w:bCs/>
                <w:sz w:val="16"/>
                <w:szCs w:val="16"/>
              </w:rPr>
            </w:pPr>
            <w:r w:rsidRPr="00226614">
              <w:rPr>
                <w:rFonts w:ascii="Arial" w:hAnsi="Arial" w:cs="Arial"/>
                <w:b/>
                <w:bCs/>
                <w:sz w:val="16"/>
                <w:szCs w:val="16"/>
              </w:rPr>
              <w:t>Program 2.6 – Service Delivery Office</w:t>
            </w:r>
          </w:p>
          <w:p w14:paraId="2239E1ED" w14:textId="5A38D78D" w:rsidR="00F0167C" w:rsidRPr="00226614" w:rsidRDefault="00226614" w:rsidP="00EB0624">
            <w:pPr>
              <w:tabs>
                <w:tab w:val="left" w:pos="709"/>
              </w:tabs>
              <w:spacing w:before="60" w:after="60" w:line="240" w:lineRule="auto"/>
              <w:rPr>
                <w:rFonts w:ascii="Arial" w:hAnsi="Arial" w:cs="Arial"/>
                <w:sz w:val="16"/>
                <w:szCs w:val="16"/>
              </w:rPr>
            </w:pPr>
            <w:r w:rsidRPr="00226614">
              <w:rPr>
                <w:rFonts w:ascii="Arial" w:hAnsi="Arial" w:cs="Arial"/>
                <w:bCs/>
                <w:sz w:val="16"/>
                <w:szCs w:val="16"/>
              </w:rPr>
              <w:t>This program contributes to the outcome through providing a range of corporate services to Australian Government entities.</w:t>
            </w:r>
          </w:p>
        </w:tc>
      </w:tr>
      <w:tr w:rsidR="00F0167C" w:rsidRPr="000738F4" w14:paraId="2239E1F2" w14:textId="77777777" w:rsidTr="00EB0624">
        <w:trPr>
          <w:trHeight w:val="694"/>
        </w:trPr>
        <w:tc>
          <w:tcPr>
            <w:tcW w:w="1418" w:type="dxa"/>
            <w:tcBorders>
              <w:bottom w:val="double" w:sz="4" w:space="0" w:color="auto"/>
            </w:tcBorders>
          </w:tcPr>
          <w:p w14:paraId="2239E1EF" w14:textId="54910447" w:rsidR="00F0167C" w:rsidRPr="00225631" w:rsidRDefault="00F0167C" w:rsidP="00EB0624">
            <w:pPr>
              <w:tabs>
                <w:tab w:val="left" w:pos="709"/>
              </w:tabs>
              <w:spacing w:before="60" w:after="60" w:line="240" w:lineRule="auto"/>
              <w:rPr>
                <w:rFonts w:ascii="Arial" w:hAnsi="Arial" w:cs="Arial"/>
                <w:b/>
                <w:bCs/>
                <w:sz w:val="16"/>
                <w:szCs w:val="16"/>
              </w:rPr>
            </w:pPr>
            <w:r w:rsidRPr="00225631">
              <w:rPr>
                <w:rFonts w:ascii="Arial" w:hAnsi="Arial" w:cs="Arial"/>
                <w:b/>
                <w:bCs/>
                <w:sz w:val="16"/>
                <w:szCs w:val="16"/>
              </w:rPr>
              <w:t>Key Activities</w:t>
            </w:r>
          </w:p>
        </w:tc>
        <w:tc>
          <w:tcPr>
            <w:tcW w:w="6377" w:type="dxa"/>
            <w:gridSpan w:val="2"/>
            <w:tcBorders>
              <w:bottom w:val="double" w:sz="4" w:space="0" w:color="auto"/>
            </w:tcBorders>
          </w:tcPr>
          <w:p w14:paraId="64A57661" w14:textId="77777777" w:rsidR="00226614" w:rsidRPr="00226614" w:rsidRDefault="00226614" w:rsidP="00EB0624">
            <w:pPr>
              <w:tabs>
                <w:tab w:val="left" w:pos="709"/>
              </w:tabs>
              <w:spacing w:before="60" w:after="60" w:line="240" w:lineRule="auto"/>
              <w:rPr>
                <w:rFonts w:ascii="Arial" w:hAnsi="Arial" w:cs="Arial"/>
                <w:b/>
                <w:bCs/>
                <w:sz w:val="16"/>
                <w:szCs w:val="16"/>
              </w:rPr>
            </w:pPr>
            <w:r w:rsidRPr="00226614">
              <w:rPr>
                <w:rFonts w:ascii="Arial" w:hAnsi="Arial" w:cs="Arial"/>
                <w:b/>
                <w:bCs/>
                <w:sz w:val="16"/>
                <w:szCs w:val="16"/>
              </w:rPr>
              <w:t>Transform Commonwealth entities through shared services</w:t>
            </w:r>
          </w:p>
          <w:p w14:paraId="2239E1F1" w14:textId="3ABB4D97" w:rsidR="00F0167C" w:rsidRPr="00226614" w:rsidRDefault="00226614" w:rsidP="00EB0624">
            <w:pPr>
              <w:tabs>
                <w:tab w:val="left" w:pos="709"/>
              </w:tabs>
              <w:spacing w:before="60" w:after="60" w:line="240" w:lineRule="auto"/>
              <w:rPr>
                <w:rFonts w:ascii="Arial" w:hAnsi="Arial" w:cs="Arial"/>
                <w:i/>
                <w:iCs/>
                <w:sz w:val="16"/>
                <w:szCs w:val="16"/>
              </w:rPr>
            </w:pPr>
            <w:r w:rsidRPr="00226614">
              <w:rPr>
                <w:rFonts w:ascii="Arial" w:hAnsi="Arial" w:cs="Arial"/>
                <w:bCs/>
                <w:sz w:val="16"/>
                <w:szCs w:val="16"/>
              </w:rPr>
              <w:t>Support the transformation of Commonwealth entities through policy development and delivery of shared technologies and standardised processes to increase the effectiveness and efficiency of organisational management.</w:t>
            </w:r>
          </w:p>
        </w:tc>
      </w:tr>
      <w:tr w:rsidR="00F0167C" w:rsidRPr="00361E69" w14:paraId="2239E1F6" w14:textId="77777777" w:rsidTr="00EB0624">
        <w:trPr>
          <w:trHeight w:val="312"/>
        </w:trPr>
        <w:tc>
          <w:tcPr>
            <w:tcW w:w="1418" w:type="dxa"/>
            <w:tcBorders>
              <w:top w:val="double" w:sz="4" w:space="0" w:color="auto"/>
              <w:bottom w:val="single" w:sz="4" w:space="0" w:color="auto"/>
              <w:right w:val="single" w:sz="4" w:space="0" w:color="auto"/>
            </w:tcBorders>
          </w:tcPr>
          <w:p w14:paraId="2239E1F3" w14:textId="77777777" w:rsidR="00F0167C" w:rsidRPr="00361E69" w:rsidRDefault="00F0167C" w:rsidP="00EB0624">
            <w:pPr>
              <w:tabs>
                <w:tab w:val="left" w:pos="709"/>
              </w:tabs>
              <w:spacing w:before="60" w:after="60" w:line="240" w:lineRule="auto"/>
              <w:rPr>
                <w:rFonts w:ascii="Arial" w:hAnsi="Arial" w:cs="Arial"/>
                <w:b/>
                <w:bCs/>
                <w:sz w:val="16"/>
                <w:szCs w:val="16"/>
              </w:rPr>
            </w:pPr>
            <w:r w:rsidRPr="70B0D103">
              <w:rPr>
                <w:rFonts w:ascii="Arial" w:hAnsi="Arial" w:cs="Arial"/>
                <w:b/>
                <w:bCs/>
                <w:sz w:val="16"/>
                <w:szCs w:val="16"/>
              </w:rPr>
              <w:t>Year</w:t>
            </w:r>
          </w:p>
        </w:tc>
        <w:tc>
          <w:tcPr>
            <w:tcW w:w="2248" w:type="dxa"/>
            <w:tcBorders>
              <w:top w:val="double" w:sz="4" w:space="0" w:color="auto"/>
              <w:left w:val="single" w:sz="4" w:space="0" w:color="auto"/>
              <w:bottom w:val="single" w:sz="4" w:space="0" w:color="auto"/>
              <w:right w:val="single" w:sz="4" w:space="0" w:color="auto"/>
            </w:tcBorders>
          </w:tcPr>
          <w:p w14:paraId="2239E1F4" w14:textId="77777777" w:rsidR="00F0167C" w:rsidRPr="00361E69" w:rsidRDefault="00F0167C" w:rsidP="00EB0624">
            <w:pPr>
              <w:tabs>
                <w:tab w:val="left" w:pos="709"/>
                <w:tab w:val="center" w:pos="1818"/>
              </w:tabs>
              <w:spacing w:before="60" w:after="60" w:line="240" w:lineRule="auto"/>
              <w:rPr>
                <w:rFonts w:ascii="Arial" w:hAnsi="Arial" w:cs="Arial"/>
                <w:b/>
                <w:bCs/>
                <w:sz w:val="16"/>
                <w:szCs w:val="16"/>
              </w:rPr>
            </w:pPr>
            <w:r w:rsidRPr="70B0D103">
              <w:rPr>
                <w:rFonts w:ascii="Arial" w:hAnsi="Arial" w:cs="Arial"/>
                <w:b/>
                <w:bCs/>
                <w:sz w:val="16"/>
                <w:szCs w:val="16"/>
              </w:rPr>
              <w:t>Performance measures</w:t>
            </w:r>
          </w:p>
        </w:tc>
        <w:tc>
          <w:tcPr>
            <w:tcW w:w="4129" w:type="dxa"/>
            <w:tcBorders>
              <w:top w:val="double" w:sz="4" w:space="0" w:color="auto"/>
              <w:left w:val="single" w:sz="4" w:space="0" w:color="auto"/>
              <w:bottom w:val="single" w:sz="4" w:space="0" w:color="auto"/>
            </w:tcBorders>
          </w:tcPr>
          <w:p w14:paraId="2239E1F5" w14:textId="77777777" w:rsidR="00F0167C" w:rsidRPr="00361E69" w:rsidRDefault="00F0167C" w:rsidP="00EB0624">
            <w:pPr>
              <w:tabs>
                <w:tab w:val="left" w:pos="709"/>
              </w:tabs>
              <w:spacing w:before="60" w:after="60" w:line="240" w:lineRule="auto"/>
              <w:rPr>
                <w:rFonts w:ascii="Arial" w:hAnsi="Arial" w:cs="Arial"/>
                <w:b/>
                <w:bCs/>
                <w:sz w:val="16"/>
                <w:szCs w:val="16"/>
              </w:rPr>
            </w:pPr>
            <w:r w:rsidRPr="70B0D103">
              <w:rPr>
                <w:rFonts w:ascii="Arial" w:hAnsi="Arial" w:cs="Arial"/>
                <w:b/>
                <w:bCs/>
                <w:sz w:val="16"/>
                <w:szCs w:val="16"/>
              </w:rPr>
              <w:t>Expected Performance Results</w:t>
            </w:r>
          </w:p>
        </w:tc>
      </w:tr>
      <w:tr w:rsidR="00F0167C" w:rsidRPr="00C92882" w14:paraId="2239E205" w14:textId="77777777" w:rsidTr="00EB0624">
        <w:trPr>
          <w:trHeight w:val="4297"/>
        </w:trPr>
        <w:tc>
          <w:tcPr>
            <w:tcW w:w="1418" w:type="dxa"/>
            <w:tcBorders>
              <w:top w:val="single" w:sz="4" w:space="0" w:color="auto"/>
              <w:right w:val="single" w:sz="4" w:space="0" w:color="auto"/>
            </w:tcBorders>
          </w:tcPr>
          <w:p w14:paraId="0D1DB03D" w14:textId="7C379059" w:rsidR="00226614" w:rsidRPr="00226614" w:rsidRDefault="0064681A" w:rsidP="00EB0624">
            <w:pPr>
              <w:tabs>
                <w:tab w:val="left" w:pos="709"/>
              </w:tabs>
              <w:spacing w:before="60" w:after="60" w:line="240" w:lineRule="auto"/>
              <w:rPr>
                <w:rFonts w:ascii="Arial" w:hAnsi="Arial" w:cs="Arial"/>
                <w:sz w:val="16"/>
                <w:szCs w:val="16"/>
              </w:rPr>
            </w:pPr>
            <w:r>
              <w:rPr>
                <w:rFonts w:ascii="Arial" w:hAnsi="Arial" w:cs="Arial"/>
                <w:sz w:val="16"/>
                <w:szCs w:val="16"/>
              </w:rPr>
              <w:t>Prior year</w:t>
            </w:r>
          </w:p>
          <w:p w14:paraId="2239E1F7" w14:textId="4639B00A" w:rsidR="00F0167C" w:rsidRPr="00C92882" w:rsidRDefault="002E1E57" w:rsidP="00EB0624">
            <w:pPr>
              <w:tabs>
                <w:tab w:val="left" w:pos="709"/>
              </w:tabs>
              <w:spacing w:before="60" w:after="60" w:line="240" w:lineRule="auto"/>
              <w:rPr>
                <w:rFonts w:ascii="Arial" w:hAnsi="Arial" w:cs="Arial"/>
                <w:sz w:val="16"/>
                <w:szCs w:val="16"/>
              </w:rPr>
            </w:pPr>
            <w:r>
              <w:rPr>
                <w:rFonts w:ascii="Arial" w:hAnsi="Arial" w:cs="Arial"/>
                <w:sz w:val="16"/>
                <w:szCs w:val="16"/>
              </w:rPr>
              <w:t>2021-22</w:t>
            </w:r>
          </w:p>
        </w:tc>
        <w:tc>
          <w:tcPr>
            <w:tcW w:w="2248" w:type="dxa"/>
            <w:tcBorders>
              <w:top w:val="single" w:sz="4" w:space="0" w:color="auto"/>
              <w:left w:val="single" w:sz="4" w:space="0" w:color="auto"/>
              <w:right w:val="single" w:sz="4" w:space="0" w:color="auto"/>
            </w:tcBorders>
          </w:tcPr>
          <w:p w14:paraId="11E4C16F" w14:textId="554FA4AB" w:rsidR="00226614" w:rsidRPr="00226614" w:rsidRDefault="00226614" w:rsidP="00EB0624">
            <w:pPr>
              <w:tabs>
                <w:tab w:val="left" w:pos="709"/>
              </w:tabs>
              <w:spacing w:before="60" w:after="60" w:line="240" w:lineRule="auto"/>
              <w:rPr>
                <w:rFonts w:ascii="Arial" w:hAnsi="Arial" w:cs="Arial"/>
                <w:b/>
                <w:bCs/>
                <w:sz w:val="16"/>
                <w:szCs w:val="16"/>
              </w:rPr>
            </w:pPr>
            <w:r w:rsidRPr="00226614">
              <w:rPr>
                <w:rFonts w:ascii="Arial" w:hAnsi="Arial" w:cs="Arial"/>
                <w:b/>
                <w:bCs/>
                <w:sz w:val="16"/>
                <w:szCs w:val="16"/>
              </w:rPr>
              <w:t xml:space="preserve">Shared </w:t>
            </w:r>
            <w:r w:rsidR="0064681A">
              <w:rPr>
                <w:rFonts w:ascii="Arial" w:hAnsi="Arial" w:cs="Arial"/>
                <w:b/>
                <w:bCs/>
                <w:sz w:val="16"/>
                <w:szCs w:val="16"/>
              </w:rPr>
              <w:t>S</w:t>
            </w:r>
            <w:r w:rsidRPr="00226614">
              <w:rPr>
                <w:rFonts w:ascii="Arial" w:hAnsi="Arial" w:cs="Arial"/>
                <w:b/>
                <w:bCs/>
                <w:sz w:val="16"/>
                <w:szCs w:val="16"/>
              </w:rPr>
              <w:t>ervices hub meets clients’ needs</w:t>
            </w:r>
          </w:p>
          <w:p w14:paraId="2239E1F9" w14:textId="0B2CFC5A" w:rsidR="00F0167C" w:rsidRPr="00226614" w:rsidRDefault="00226614" w:rsidP="00EB0624">
            <w:pPr>
              <w:tabs>
                <w:tab w:val="left" w:pos="709"/>
              </w:tabs>
              <w:spacing w:before="60" w:after="60" w:line="240" w:lineRule="auto"/>
              <w:rPr>
                <w:rFonts w:ascii="Arial" w:hAnsi="Arial" w:cs="Arial"/>
              </w:rPr>
            </w:pPr>
            <w:r w:rsidRPr="00226614">
              <w:rPr>
                <w:rFonts w:ascii="Arial" w:hAnsi="Arial" w:cs="Arial"/>
                <w:bCs/>
                <w:sz w:val="16"/>
                <w:szCs w:val="16"/>
              </w:rPr>
              <w:t xml:space="preserve">As a Shared Services hub, the </w:t>
            </w:r>
            <w:r w:rsidR="002E1E57">
              <w:rPr>
                <w:rFonts w:ascii="Arial" w:hAnsi="Arial" w:cs="Arial"/>
                <w:bCs/>
                <w:sz w:val="16"/>
                <w:szCs w:val="16"/>
              </w:rPr>
              <w:t>Service Delivery Office (</w:t>
            </w:r>
            <w:r w:rsidRPr="00226614">
              <w:rPr>
                <w:rFonts w:ascii="Arial" w:hAnsi="Arial" w:cs="Arial"/>
                <w:bCs/>
                <w:sz w:val="16"/>
                <w:szCs w:val="16"/>
              </w:rPr>
              <w:t>SDO</w:t>
            </w:r>
            <w:r w:rsidR="002E1E57">
              <w:rPr>
                <w:rFonts w:ascii="Arial" w:hAnsi="Arial" w:cs="Arial"/>
                <w:bCs/>
                <w:sz w:val="16"/>
                <w:szCs w:val="16"/>
              </w:rPr>
              <w:t>)</w:t>
            </w:r>
            <w:r w:rsidRPr="00226614">
              <w:rPr>
                <w:rFonts w:ascii="Arial" w:hAnsi="Arial" w:cs="Arial"/>
                <w:bCs/>
                <w:sz w:val="16"/>
                <w:szCs w:val="16"/>
              </w:rPr>
              <w:t xml:space="preserve"> provides quality and efficient services to client entities.</w:t>
            </w:r>
          </w:p>
        </w:tc>
        <w:tc>
          <w:tcPr>
            <w:tcW w:w="4129" w:type="dxa"/>
            <w:tcBorders>
              <w:top w:val="single" w:sz="4" w:space="0" w:color="auto"/>
              <w:left w:val="single" w:sz="4" w:space="0" w:color="auto"/>
            </w:tcBorders>
          </w:tcPr>
          <w:p w14:paraId="277D8F49" w14:textId="4661F34D" w:rsidR="00226614" w:rsidRPr="00226614" w:rsidRDefault="00226614" w:rsidP="00EB0624">
            <w:pPr>
              <w:autoSpaceDE w:val="0"/>
              <w:autoSpaceDN w:val="0"/>
              <w:spacing w:before="60" w:after="60" w:line="240" w:lineRule="auto"/>
              <w:rPr>
                <w:rFonts w:ascii="Arial" w:eastAsia="Calibri" w:hAnsi="Arial" w:cs="Arial"/>
                <w:b/>
                <w:sz w:val="16"/>
                <w:szCs w:val="16"/>
              </w:rPr>
            </w:pPr>
            <w:r w:rsidRPr="00226614">
              <w:rPr>
                <w:rFonts w:ascii="Arial" w:eastAsia="Calibri" w:hAnsi="Arial" w:cs="Arial"/>
                <w:b/>
                <w:sz w:val="16"/>
                <w:szCs w:val="16"/>
              </w:rPr>
              <w:t>Achieved</w:t>
            </w:r>
          </w:p>
          <w:p w14:paraId="16EEAE13" w14:textId="77777777" w:rsidR="00226614" w:rsidRPr="00226614" w:rsidRDefault="00226614" w:rsidP="0064681A">
            <w:pPr>
              <w:autoSpaceDE w:val="0"/>
              <w:autoSpaceDN w:val="0"/>
              <w:spacing w:before="60" w:after="60" w:line="240" w:lineRule="auto"/>
              <w:rPr>
                <w:rFonts w:ascii="Arial" w:eastAsia="Calibri" w:hAnsi="Arial" w:cs="Arial"/>
                <w:sz w:val="16"/>
                <w:szCs w:val="16"/>
              </w:rPr>
            </w:pPr>
            <w:r w:rsidRPr="00226614">
              <w:rPr>
                <w:rFonts w:ascii="Arial" w:eastAsia="Calibri" w:hAnsi="Arial" w:cs="Arial"/>
                <w:sz w:val="16"/>
                <w:szCs w:val="16"/>
              </w:rPr>
              <w:t>Results from the SDO client survey across 2021-22 found ‘positive’ or ‘very positive’ response of 60% across quality, timeliness, interaction and overall experience.</w:t>
            </w:r>
          </w:p>
          <w:p w14:paraId="5D98DE7A" w14:textId="77777777" w:rsidR="00226614" w:rsidRPr="00226614" w:rsidRDefault="00226614" w:rsidP="0064681A">
            <w:pPr>
              <w:autoSpaceDE w:val="0"/>
              <w:autoSpaceDN w:val="0"/>
              <w:spacing w:before="60" w:after="60" w:line="240" w:lineRule="auto"/>
              <w:rPr>
                <w:rFonts w:ascii="Arial" w:eastAsia="Calibri" w:hAnsi="Arial" w:cs="Arial"/>
                <w:sz w:val="16"/>
                <w:szCs w:val="16"/>
              </w:rPr>
            </w:pPr>
            <w:r w:rsidRPr="00226614">
              <w:rPr>
                <w:rFonts w:ascii="Arial" w:eastAsia="Calibri" w:hAnsi="Arial" w:cs="Arial"/>
                <w:sz w:val="16"/>
                <w:szCs w:val="16"/>
              </w:rPr>
              <w:t>As at 30 June 2022:</w:t>
            </w:r>
          </w:p>
          <w:p w14:paraId="4C9BC46A" w14:textId="66CEE42B" w:rsidR="00226614" w:rsidRPr="00AE7FB6" w:rsidRDefault="002E1E5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T</w:t>
            </w:r>
            <w:r w:rsidR="00226614" w:rsidRPr="00AE7FB6">
              <w:rPr>
                <w:rFonts w:ascii="Arial" w:hAnsi="Arial" w:cs="Arial"/>
                <w:sz w:val="16"/>
                <w:szCs w:val="16"/>
              </w:rPr>
              <w:t>he SDO service level outcomes were being met for accounts payable, accounts receivable, payroll administration, credit card management, travel and expense management and HUB availability</w:t>
            </w:r>
            <w:r>
              <w:rPr>
                <w:rFonts w:ascii="Arial" w:hAnsi="Arial" w:cs="Arial"/>
                <w:sz w:val="16"/>
                <w:szCs w:val="16"/>
              </w:rPr>
              <w:t>.</w:t>
            </w:r>
          </w:p>
          <w:p w14:paraId="0ECAE509" w14:textId="6F5E9039" w:rsidR="00226614" w:rsidRPr="00AE7FB6" w:rsidRDefault="002E1E5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N</w:t>
            </w:r>
            <w:r w:rsidR="00226614" w:rsidRPr="00AE7FB6">
              <w:rPr>
                <w:rFonts w:ascii="Arial" w:hAnsi="Arial" w:cs="Arial"/>
                <w:sz w:val="16"/>
                <w:szCs w:val="16"/>
              </w:rPr>
              <w:t>early 119,000 ti</w:t>
            </w:r>
            <w:r>
              <w:rPr>
                <w:rFonts w:ascii="Arial" w:hAnsi="Arial" w:cs="Arial"/>
                <w:sz w:val="16"/>
                <w:szCs w:val="16"/>
              </w:rPr>
              <w:t>ckets were resolved during 2021-</w:t>
            </w:r>
            <w:r w:rsidR="00226614" w:rsidRPr="00AE7FB6">
              <w:rPr>
                <w:rFonts w:ascii="Arial" w:hAnsi="Arial" w:cs="Arial"/>
                <w:sz w:val="16"/>
                <w:szCs w:val="16"/>
              </w:rPr>
              <w:t>22, with an average resolution time of 5.42 days</w:t>
            </w:r>
            <w:r>
              <w:rPr>
                <w:rFonts w:ascii="Arial" w:hAnsi="Arial" w:cs="Arial"/>
                <w:sz w:val="16"/>
                <w:szCs w:val="16"/>
              </w:rPr>
              <w:t>.</w:t>
            </w:r>
          </w:p>
          <w:p w14:paraId="18C14B89" w14:textId="37CBC32E" w:rsidR="00226614" w:rsidRPr="00AE7FB6" w:rsidRDefault="002E1E5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T</w:t>
            </w:r>
            <w:r w:rsidR="00226614" w:rsidRPr="00AE7FB6">
              <w:rPr>
                <w:rFonts w:ascii="Arial" w:hAnsi="Arial" w:cs="Arial"/>
                <w:sz w:val="16"/>
                <w:szCs w:val="16"/>
              </w:rPr>
              <w:t xml:space="preserve">here were 9,681 users of the SDO’s HUB solution, an 18% increase in the number of users of shared </w:t>
            </w:r>
            <w:r>
              <w:rPr>
                <w:rFonts w:ascii="Arial" w:hAnsi="Arial" w:cs="Arial"/>
                <w:sz w:val="16"/>
                <w:szCs w:val="16"/>
              </w:rPr>
              <w:t>Enterprise Resource Planning (</w:t>
            </w:r>
            <w:r w:rsidR="00226614" w:rsidRPr="00AE7FB6">
              <w:rPr>
                <w:rFonts w:ascii="Arial" w:hAnsi="Arial" w:cs="Arial"/>
                <w:sz w:val="16"/>
                <w:szCs w:val="16"/>
              </w:rPr>
              <w:t>ERP</w:t>
            </w:r>
            <w:r>
              <w:rPr>
                <w:rFonts w:ascii="Arial" w:hAnsi="Arial" w:cs="Arial"/>
                <w:sz w:val="16"/>
                <w:szCs w:val="16"/>
              </w:rPr>
              <w:t>)</w:t>
            </w:r>
            <w:r w:rsidR="00226614" w:rsidRPr="00AE7FB6">
              <w:rPr>
                <w:rFonts w:ascii="Arial" w:hAnsi="Arial" w:cs="Arial"/>
                <w:sz w:val="16"/>
                <w:szCs w:val="16"/>
              </w:rPr>
              <w:t xml:space="preserve"> systems</w:t>
            </w:r>
            <w:r>
              <w:rPr>
                <w:rFonts w:ascii="Arial" w:hAnsi="Arial" w:cs="Arial"/>
                <w:sz w:val="16"/>
                <w:szCs w:val="16"/>
              </w:rPr>
              <w:t>.</w:t>
            </w:r>
          </w:p>
          <w:p w14:paraId="4A7B8243" w14:textId="15C3185C" w:rsidR="00226614" w:rsidRPr="00AE7FB6" w:rsidRDefault="002E1E5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T</w:t>
            </w:r>
            <w:r w:rsidR="00226614" w:rsidRPr="00AE7FB6">
              <w:rPr>
                <w:rFonts w:ascii="Arial" w:hAnsi="Arial" w:cs="Arial"/>
                <w:sz w:val="16"/>
                <w:szCs w:val="16"/>
              </w:rPr>
              <w:t>he number of agencies using the SDO’s shared ERP technology increased to 16, with the Office of the Australian Information Commissioner on-boarded to the SDO’s HUB and shared service offering in May 2022</w:t>
            </w:r>
            <w:r>
              <w:rPr>
                <w:rFonts w:ascii="Arial" w:hAnsi="Arial" w:cs="Arial"/>
                <w:sz w:val="16"/>
                <w:szCs w:val="16"/>
              </w:rPr>
              <w:t>.</w:t>
            </w:r>
          </w:p>
          <w:p w14:paraId="7F4126B8" w14:textId="4BF139E7" w:rsidR="00226614" w:rsidRPr="00AE7FB6" w:rsidRDefault="002E1E57"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Pr>
                <w:rFonts w:ascii="Arial" w:hAnsi="Arial" w:cs="Arial"/>
                <w:sz w:val="16"/>
                <w:szCs w:val="16"/>
              </w:rPr>
              <w:t>T</w:t>
            </w:r>
            <w:r w:rsidR="00226614" w:rsidRPr="00AE7FB6">
              <w:rPr>
                <w:rFonts w:ascii="Arial" w:hAnsi="Arial" w:cs="Arial"/>
                <w:sz w:val="16"/>
                <w:szCs w:val="16"/>
              </w:rPr>
              <w:t>he number of agencies adoptin</w:t>
            </w:r>
            <w:r w:rsidR="00F70EA1">
              <w:rPr>
                <w:rFonts w:ascii="Arial" w:hAnsi="Arial" w:cs="Arial"/>
                <w:sz w:val="16"/>
                <w:szCs w:val="16"/>
              </w:rPr>
              <w:t>g end-to-end WoAG</w:t>
            </w:r>
            <w:r w:rsidR="00226614" w:rsidRPr="00AE7FB6">
              <w:rPr>
                <w:rFonts w:ascii="Arial" w:hAnsi="Arial" w:cs="Arial"/>
                <w:sz w:val="16"/>
                <w:szCs w:val="16"/>
              </w:rPr>
              <w:t xml:space="preserve"> bus</w:t>
            </w:r>
            <w:r>
              <w:rPr>
                <w:rFonts w:ascii="Arial" w:hAnsi="Arial" w:cs="Arial"/>
                <w:sz w:val="16"/>
                <w:szCs w:val="16"/>
              </w:rPr>
              <w:t>iness processes increased with eight</w:t>
            </w:r>
            <w:r w:rsidR="00226614" w:rsidRPr="00AE7FB6">
              <w:rPr>
                <w:rFonts w:ascii="Arial" w:hAnsi="Arial" w:cs="Arial"/>
                <w:sz w:val="16"/>
                <w:szCs w:val="16"/>
              </w:rPr>
              <w:t xml:space="preserve"> agencies adopting the SDO accounts payable and/or accounts receivable service offer.</w:t>
            </w:r>
          </w:p>
          <w:p w14:paraId="2239E204" w14:textId="4295B57A" w:rsidR="00F0167C" w:rsidRPr="00C92882" w:rsidRDefault="002E1E57" w:rsidP="0064681A">
            <w:pPr>
              <w:autoSpaceDE w:val="0"/>
              <w:autoSpaceDN w:val="0"/>
              <w:spacing w:before="60" w:after="60" w:line="240" w:lineRule="auto"/>
              <w:rPr>
                <w:rFonts w:ascii="Arial" w:eastAsia="Calibri" w:hAnsi="Arial" w:cs="Arial"/>
                <w:sz w:val="16"/>
                <w:szCs w:val="16"/>
              </w:rPr>
            </w:pPr>
            <w:r>
              <w:rPr>
                <w:rFonts w:ascii="Arial" w:eastAsia="Calibri" w:hAnsi="Arial" w:cs="Arial"/>
                <w:sz w:val="16"/>
                <w:szCs w:val="16"/>
              </w:rPr>
              <w:t>During 2021-</w:t>
            </w:r>
            <w:r w:rsidR="00226614" w:rsidRPr="00226614">
              <w:rPr>
                <w:rFonts w:ascii="Arial" w:eastAsia="Calibri" w:hAnsi="Arial" w:cs="Arial"/>
                <w:sz w:val="16"/>
                <w:szCs w:val="16"/>
              </w:rPr>
              <w:t>22, the SDO work</w:t>
            </w:r>
            <w:r>
              <w:rPr>
                <w:rFonts w:ascii="Arial" w:eastAsia="Calibri" w:hAnsi="Arial" w:cs="Arial"/>
                <w:sz w:val="16"/>
                <w:szCs w:val="16"/>
              </w:rPr>
              <w:t>ed with Services Australia and seven</w:t>
            </w:r>
            <w:r w:rsidR="00226614" w:rsidRPr="00226614">
              <w:rPr>
                <w:rFonts w:ascii="Arial" w:eastAsia="Calibri" w:hAnsi="Arial" w:cs="Arial"/>
                <w:sz w:val="16"/>
                <w:szCs w:val="16"/>
              </w:rPr>
              <w:t xml:space="preserve"> client agencies to uplift them to the GovERP travel and expense management solution, which provided them with some enhanced self-service functionality.</w:t>
            </w:r>
          </w:p>
        </w:tc>
      </w:tr>
    </w:tbl>
    <w:p w14:paraId="366B4AD7" w14:textId="77777777" w:rsidR="00F15B4F" w:rsidRDefault="00F0167C" w:rsidP="00853030">
      <w:pPr>
        <w:pStyle w:val="TableHeading"/>
        <w:spacing w:before="30" w:after="0"/>
      </w:pPr>
      <w:r w:rsidRPr="002D353C">
        <w:rPr>
          <w:b w:val="0"/>
          <w:color w:val="000000"/>
          <w:sz w:val="16"/>
          <w:lang w:val="x-none" w:eastAsia="x-none"/>
        </w:rPr>
        <w:t>Table continues on next page</w:t>
      </w:r>
      <w:r w:rsidR="00F15B4F">
        <w:br w:type="page"/>
      </w:r>
    </w:p>
    <w:p w14:paraId="422630C1" w14:textId="77777777" w:rsidR="00454E78" w:rsidRPr="002D353C" w:rsidRDefault="00F0167C" w:rsidP="00454E78">
      <w:pPr>
        <w:pStyle w:val="TableHeading"/>
        <w:spacing w:before="0" w:after="0"/>
        <w:ind w:right="-113"/>
        <w:rPr>
          <w:b w:val="0"/>
          <w:color w:val="000000"/>
          <w:sz w:val="16"/>
          <w:lang w:val="x-none" w:eastAsia="x-none"/>
        </w:rPr>
      </w:pPr>
      <w:r>
        <w:lastRenderedPageBreak/>
        <w:t>Table 2.2.2</w:t>
      </w:r>
      <w:r w:rsidRPr="00F71634">
        <w:t xml:space="preserve">: Performance </w:t>
      </w:r>
      <w:r w:rsidRPr="00026D37">
        <w:t>measure</w:t>
      </w:r>
      <w:r w:rsidRPr="00F71634">
        <w:t xml:space="preserve"> </w:t>
      </w:r>
      <w:r>
        <w:t>for Outcome 2 (continued</w:t>
      </w:r>
      <w:r w:rsidR="00454E78">
        <w:t>)</w:t>
      </w:r>
    </w:p>
    <w:tbl>
      <w:tblPr>
        <w:tblpPr w:leftFromText="180" w:rightFromText="180" w:vertAnchor="text" w:tblpY="1"/>
        <w:tblOverlap w:val="neve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90"/>
        <w:gridCol w:w="4091"/>
      </w:tblGrid>
      <w:tr w:rsidR="00454E78" w:rsidRPr="00ED5B0C" w14:paraId="49A356C7" w14:textId="77777777" w:rsidTr="00454E78">
        <w:trPr>
          <w:trHeight w:val="527"/>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4E2930EE" w14:textId="77777777" w:rsidR="00454E78" w:rsidRPr="003A2E7D" w:rsidRDefault="00454E78" w:rsidP="00454E78">
            <w:pPr>
              <w:tabs>
                <w:tab w:val="left" w:pos="709"/>
              </w:tabs>
              <w:spacing w:before="60" w:after="60" w:line="240" w:lineRule="auto"/>
              <w:rPr>
                <w:rFonts w:ascii="Arial" w:hAnsi="Arial"/>
                <w:b/>
                <w:sz w:val="16"/>
                <w:szCs w:val="16"/>
              </w:rPr>
            </w:pPr>
            <w:r w:rsidRPr="003A2E7D">
              <w:rPr>
                <w:rFonts w:ascii="Arial" w:hAnsi="Arial"/>
                <w:b/>
                <w:sz w:val="16"/>
                <w:szCs w:val="16"/>
              </w:rPr>
              <w:t>Program 2.6 – Service Delivery Office</w:t>
            </w:r>
          </w:p>
          <w:p w14:paraId="1D470BFB" w14:textId="77777777" w:rsidR="00454E78" w:rsidRPr="00ED5B0C" w:rsidRDefault="00454E78" w:rsidP="00454E78">
            <w:pPr>
              <w:tabs>
                <w:tab w:val="left" w:pos="709"/>
              </w:tabs>
              <w:spacing w:before="60" w:after="60" w:line="240" w:lineRule="auto"/>
              <w:rPr>
                <w:rFonts w:ascii="Arial" w:hAnsi="Arial" w:cs="Arial"/>
                <w:sz w:val="16"/>
                <w:szCs w:val="16"/>
              </w:rPr>
            </w:pPr>
            <w:r w:rsidRPr="003A2E7D">
              <w:rPr>
                <w:rFonts w:ascii="Arial" w:hAnsi="Arial"/>
                <w:sz w:val="16"/>
                <w:szCs w:val="16"/>
              </w:rPr>
              <w:t>This program contributes to the outcome through providing a range of corporate services to Australian Government entities.</w:t>
            </w:r>
          </w:p>
        </w:tc>
      </w:tr>
      <w:tr w:rsidR="00454E78" w:rsidRPr="00361E69" w14:paraId="0B0542BB" w14:textId="77777777" w:rsidTr="00454E78">
        <w:trPr>
          <w:trHeight w:val="312"/>
        </w:trPr>
        <w:tc>
          <w:tcPr>
            <w:tcW w:w="1414" w:type="dxa"/>
            <w:tcBorders>
              <w:top w:val="single" w:sz="4" w:space="0" w:color="auto"/>
              <w:bottom w:val="single" w:sz="4" w:space="0" w:color="auto"/>
              <w:right w:val="single" w:sz="4" w:space="0" w:color="auto"/>
            </w:tcBorders>
            <w:shd w:val="clear" w:color="auto" w:fill="auto"/>
          </w:tcPr>
          <w:p w14:paraId="1A44EBC8" w14:textId="77777777" w:rsidR="00454E78" w:rsidRPr="00361E69" w:rsidRDefault="00454E78" w:rsidP="00454E78">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Year</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6116292D" w14:textId="77777777" w:rsidR="00454E78" w:rsidRPr="00361E69" w:rsidRDefault="00454E78" w:rsidP="00454E78">
            <w:pPr>
              <w:tabs>
                <w:tab w:val="left" w:pos="709"/>
                <w:tab w:val="center" w:pos="1818"/>
              </w:tabs>
              <w:spacing w:before="60" w:after="60" w:line="240" w:lineRule="auto"/>
              <w:rPr>
                <w:rFonts w:ascii="Arial" w:hAnsi="Arial" w:cs="Arial"/>
                <w:b/>
                <w:bCs/>
                <w:sz w:val="16"/>
                <w:szCs w:val="16"/>
              </w:rPr>
            </w:pPr>
            <w:r w:rsidRPr="1362A57E">
              <w:rPr>
                <w:rFonts w:ascii="Arial" w:hAnsi="Arial" w:cs="Arial"/>
                <w:b/>
                <w:bCs/>
                <w:sz w:val="16"/>
                <w:szCs w:val="16"/>
              </w:rPr>
              <w:t>Performance measures</w:t>
            </w:r>
          </w:p>
        </w:tc>
        <w:tc>
          <w:tcPr>
            <w:tcW w:w="4091" w:type="dxa"/>
            <w:tcBorders>
              <w:top w:val="single" w:sz="4" w:space="0" w:color="auto"/>
              <w:left w:val="single" w:sz="4" w:space="0" w:color="auto"/>
              <w:bottom w:val="single" w:sz="4" w:space="0" w:color="auto"/>
            </w:tcBorders>
            <w:shd w:val="clear" w:color="auto" w:fill="auto"/>
          </w:tcPr>
          <w:p w14:paraId="2A36952A" w14:textId="77777777" w:rsidR="00454E78" w:rsidRPr="00361E69" w:rsidRDefault="00454E78" w:rsidP="00454E78">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Expected Performance Results</w:t>
            </w:r>
          </w:p>
        </w:tc>
      </w:tr>
      <w:tr w:rsidR="00454E78" w:rsidRPr="009415D5" w14:paraId="378A0199" w14:textId="77777777" w:rsidTr="00454E78">
        <w:trPr>
          <w:trHeight w:val="1999"/>
        </w:trPr>
        <w:tc>
          <w:tcPr>
            <w:tcW w:w="1414" w:type="dxa"/>
            <w:tcBorders>
              <w:top w:val="single" w:sz="4" w:space="0" w:color="auto"/>
              <w:left w:val="single" w:sz="4" w:space="0" w:color="auto"/>
              <w:bottom w:val="nil"/>
              <w:right w:val="single" w:sz="4" w:space="0" w:color="auto"/>
            </w:tcBorders>
            <w:shd w:val="clear" w:color="auto" w:fill="auto"/>
          </w:tcPr>
          <w:p w14:paraId="63DDA492" w14:textId="77777777" w:rsidR="00454E78" w:rsidRPr="006B7BE5" w:rsidRDefault="00454E78" w:rsidP="00454E78">
            <w:pPr>
              <w:pStyle w:val="TableTextLeft"/>
              <w:spacing w:before="60" w:after="60"/>
              <w:rPr>
                <w:rFonts w:cs="Arial"/>
                <w:szCs w:val="16"/>
              </w:rPr>
            </w:pPr>
            <w:r w:rsidRPr="006B7BE5">
              <w:rPr>
                <w:rFonts w:cs="Arial"/>
                <w:szCs w:val="16"/>
              </w:rPr>
              <w:t xml:space="preserve">Budget Year </w:t>
            </w:r>
          </w:p>
          <w:p w14:paraId="48FF6E6C" w14:textId="77777777" w:rsidR="00454E78" w:rsidRPr="00361E69" w:rsidRDefault="00454E78" w:rsidP="00454E78">
            <w:pPr>
              <w:pStyle w:val="TableTextLeft"/>
              <w:spacing w:before="60" w:after="60"/>
              <w:rPr>
                <w:rFonts w:cs="Arial"/>
                <w:szCs w:val="16"/>
              </w:rPr>
            </w:pPr>
            <w:r w:rsidRPr="006B7BE5">
              <w:rPr>
                <w:rFonts w:cs="Arial"/>
                <w:szCs w:val="16"/>
              </w:rPr>
              <w:t xml:space="preserve">2022-23 </w:t>
            </w:r>
          </w:p>
        </w:tc>
        <w:tc>
          <w:tcPr>
            <w:tcW w:w="2290" w:type="dxa"/>
            <w:tcBorders>
              <w:top w:val="single" w:sz="4" w:space="0" w:color="auto"/>
              <w:left w:val="single" w:sz="4" w:space="0" w:color="auto"/>
              <w:bottom w:val="dotted" w:sz="4" w:space="0" w:color="auto"/>
              <w:right w:val="single" w:sz="4" w:space="0" w:color="auto"/>
            </w:tcBorders>
            <w:shd w:val="clear" w:color="auto" w:fill="auto"/>
          </w:tcPr>
          <w:p w14:paraId="0A3C08F8" w14:textId="532E816F" w:rsidR="00454E78" w:rsidRPr="00F15B4F" w:rsidRDefault="00FB4106" w:rsidP="00454E78">
            <w:pPr>
              <w:tabs>
                <w:tab w:val="left" w:pos="709"/>
              </w:tabs>
              <w:spacing w:before="60" w:after="60" w:line="240" w:lineRule="auto"/>
              <w:rPr>
                <w:rFonts w:ascii="Arial" w:hAnsi="Arial" w:cs="Arial"/>
                <w:b/>
                <w:bCs/>
                <w:sz w:val="16"/>
                <w:szCs w:val="16"/>
              </w:rPr>
            </w:pPr>
            <w:r>
              <w:rPr>
                <w:rFonts w:ascii="Arial" w:hAnsi="Arial" w:cs="Arial"/>
                <w:b/>
                <w:bCs/>
                <w:sz w:val="16"/>
                <w:szCs w:val="16"/>
              </w:rPr>
              <w:t>Shared S</w:t>
            </w:r>
            <w:r w:rsidR="00454E78" w:rsidRPr="00F15B4F">
              <w:rPr>
                <w:rFonts w:ascii="Arial" w:hAnsi="Arial" w:cs="Arial"/>
                <w:b/>
                <w:bCs/>
                <w:sz w:val="16"/>
                <w:szCs w:val="16"/>
              </w:rPr>
              <w:t>ervices hub meets clients’ needs</w:t>
            </w:r>
          </w:p>
          <w:p w14:paraId="3C30BC81" w14:textId="77777777" w:rsidR="00454E78" w:rsidRDefault="00454E78" w:rsidP="00454E78">
            <w:pPr>
              <w:spacing w:before="60" w:after="60" w:line="240" w:lineRule="auto"/>
              <w:rPr>
                <w:rFonts w:ascii="Arial" w:hAnsi="Arial" w:cs="Arial"/>
                <w:bCs/>
                <w:sz w:val="16"/>
                <w:szCs w:val="16"/>
              </w:rPr>
            </w:pPr>
            <w:r w:rsidRPr="00F15B4F">
              <w:rPr>
                <w:rFonts w:ascii="Arial" w:hAnsi="Arial" w:cs="Arial"/>
                <w:bCs/>
                <w:sz w:val="16"/>
                <w:szCs w:val="16"/>
              </w:rPr>
              <w:t>As a Shared Services hub, the SDO provides quality and efficient services to client entities.</w:t>
            </w:r>
          </w:p>
          <w:p w14:paraId="34BC735C" w14:textId="77777777" w:rsidR="00454E78" w:rsidRPr="006B7BE5" w:rsidRDefault="00454E78" w:rsidP="00454E78">
            <w:pPr>
              <w:tabs>
                <w:tab w:val="left" w:pos="709"/>
              </w:tabs>
              <w:spacing w:before="60" w:after="60" w:line="240" w:lineRule="auto"/>
              <w:rPr>
                <w:rFonts w:ascii="Arial" w:eastAsia="Arial" w:hAnsi="Arial" w:cs="Arial"/>
                <w:sz w:val="16"/>
                <w:szCs w:val="16"/>
              </w:rPr>
            </w:pPr>
          </w:p>
        </w:tc>
        <w:tc>
          <w:tcPr>
            <w:tcW w:w="4091" w:type="dxa"/>
            <w:tcBorders>
              <w:top w:val="single" w:sz="4" w:space="0" w:color="auto"/>
              <w:left w:val="single" w:sz="4" w:space="0" w:color="auto"/>
              <w:bottom w:val="dotted" w:sz="4" w:space="0" w:color="auto"/>
              <w:right w:val="single" w:sz="4" w:space="0" w:color="auto"/>
            </w:tcBorders>
            <w:shd w:val="clear" w:color="auto" w:fill="auto"/>
          </w:tcPr>
          <w:p w14:paraId="3CA269BD" w14:textId="77777777" w:rsidR="00454E78" w:rsidRPr="00F15B4F" w:rsidRDefault="00454E78" w:rsidP="00FB4106">
            <w:pPr>
              <w:spacing w:before="60" w:after="60" w:line="240" w:lineRule="auto"/>
              <w:rPr>
                <w:rFonts w:ascii="Arial" w:eastAsia="Arial" w:hAnsi="Arial" w:cs="Arial"/>
                <w:sz w:val="16"/>
                <w:szCs w:val="16"/>
              </w:rPr>
            </w:pPr>
            <w:r w:rsidRPr="00F15B4F">
              <w:rPr>
                <w:rFonts w:ascii="Arial" w:eastAsia="Arial" w:hAnsi="Arial" w:cs="Arial"/>
                <w:sz w:val="16"/>
                <w:szCs w:val="16"/>
              </w:rPr>
              <w:t>Service level agreements with client entities, including measurement of efficiency and effectiveness of services are met including:</w:t>
            </w:r>
          </w:p>
          <w:p w14:paraId="3DBF3EEB" w14:textId="7EF1EF65" w:rsidR="00454E78" w:rsidRPr="00454E78" w:rsidRDefault="00454E78"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sidRPr="00454E78">
              <w:rPr>
                <w:rFonts w:ascii="Arial" w:hAnsi="Arial" w:cs="Arial"/>
                <w:sz w:val="16"/>
                <w:szCs w:val="16"/>
              </w:rPr>
              <w:t>Average resolution ti</w:t>
            </w:r>
            <w:r w:rsidR="00FB4106">
              <w:rPr>
                <w:rFonts w:ascii="Arial" w:hAnsi="Arial" w:cs="Arial"/>
                <w:sz w:val="16"/>
                <w:szCs w:val="16"/>
              </w:rPr>
              <w:t>me of client request of 10 days.</w:t>
            </w:r>
          </w:p>
          <w:p w14:paraId="6CDD8D3E" w14:textId="77777777" w:rsidR="00454E78" w:rsidRPr="00454E78" w:rsidRDefault="00454E78"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sidRPr="00454E78">
              <w:rPr>
                <w:rFonts w:ascii="Arial" w:hAnsi="Arial" w:cs="Arial"/>
                <w:sz w:val="16"/>
                <w:szCs w:val="16"/>
              </w:rPr>
              <w:t>Increased rating year-on-year in client satisfaction surveys.</w:t>
            </w:r>
          </w:p>
          <w:p w14:paraId="0A80757E" w14:textId="77777777" w:rsidR="00454E78" w:rsidRPr="003A7F84" w:rsidRDefault="00454E78" w:rsidP="00FB4106">
            <w:pPr>
              <w:autoSpaceDE w:val="0"/>
              <w:autoSpaceDN w:val="0"/>
              <w:adjustRightInd w:val="0"/>
              <w:spacing w:before="60" w:after="60" w:line="240" w:lineRule="auto"/>
              <w:rPr>
                <w:rFonts w:ascii="Arial" w:eastAsia="Calibri" w:hAnsi="Arial" w:cs="Arial"/>
                <w:sz w:val="16"/>
                <w:szCs w:val="16"/>
              </w:rPr>
            </w:pPr>
            <w:r w:rsidRPr="003A7F84">
              <w:rPr>
                <w:rFonts w:ascii="Arial" w:eastAsia="Calibri" w:hAnsi="Arial" w:cs="Arial"/>
                <w:sz w:val="16"/>
                <w:szCs w:val="16"/>
              </w:rPr>
              <w:t>The benefits of shared, standard and sustainable ERP technologies and business processes are realised:</w:t>
            </w:r>
          </w:p>
          <w:p w14:paraId="7D2820E3" w14:textId="467033E3" w:rsidR="00454E78" w:rsidRPr="00454E78" w:rsidRDefault="00454E78"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sidRPr="00454E78">
              <w:rPr>
                <w:rFonts w:ascii="Arial" w:hAnsi="Arial" w:cs="Arial"/>
                <w:sz w:val="16"/>
                <w:szCs w:val="16"/>
              </w:rPr>
              <w:t>Increased client uptake of SDO’s shared ERP technology solution, known as HUB (year-on-year increase)</w:t>
            </w:r>
            <w:r w:rsidR="00FB4106">
              <w:rPr>
                <w:rFonts w:ascii="Arial" w:hAnsi="Arial" w:cs="Arial"/>
                <w:sz w:val="16"/>
                <w:szCs w:val="16"/>
              </w:rPr>
              <w:t>.</w:t>
            </w:r>
          </w:p>
          <w:p w14:paraId="07829490" w14:textId="34503DD4" w:rsidR="00454E78" w:rsidRPr="00517809" w:rsidRDefault="00454E78" w:rsidP="00C8474A">
            <w:pPr>
              <w:pStyle w:val="ListParagraph"/>
              <w:numPr>
                <w:ilvl w:val="0"/>
                <w:numId w:val="58"/>
              </w:numPr>
              <w:autoSpaceDE w:val="0"/>
              <w:autoSpaceDN w:val="0"/>
              <w:adjustRightInd w:val="0"/>
              <w:spacing w:before="60" w:after="60" w:line="240" w:lineRule="auto"/>
              <w:ind w:left="527" w:hanging="357"/>
              <w:contextualSpacing w:val="0"/>
              <w:rPr>
                <w:rFonts w:ascii="Arial" w:eastAsia="Arial" w:hAnsi="Arial" w:cs="Arial"/>
                <w:sz w:val="16"/>
                <w:szCs w:val="16"/>
              </w:rPr>
            </w:pPr>
            <w:r w:rsidRPr="00454E78">
              <w:rPr>
                <w:rFonts w:ascii="Arial" w:hAnsi="Arial" w:cs="Arial"/>
                <w:sz w:val="16"/>
                <w:szCs w:val="16"/>
              </w:rPr>
              <w:t>Increased client adoption of end-to-end WoAG business processes (year-on-year increase)</w:t>
            </w:r>
            <w:r w:rsidR="00FB4106">
              <w:rPr>
                <w:rFonts w:ascii="Arial" w:hAnsi="Arial" w:cs="Arial"/>
                <w:sz w:val="16"/>
                <w:szCs w:val="16"/>
              </w:rPr>
              <w:t>.</w:t>
            </w:r>
          </w:p>
        </w:tc>
      </w:tr>
      <w:tr w:rsidR="00454E78" w:rsidRPr="009415D5" w14:paraId="31267613" w14:textId="77777777" w:rsidTr="00454E78">
        <w:trPr>
          <w:trHeight w:val="1999"/>
        </w:trPr>
        <w:tc>
          <w:tcPr>
            <w:tcW w:w="1414" w:type="dxa"/>
            <w:tcBorders>
              <w:top w:val="nil"/>
              <w:left w:val="single" w:sz="4" w:space="0" w:color="auto"/>
              <w:bottom w:val="single" w:sz="4" w:space="0" w:color="auto"/>
              <w:right w:val="single" w:sz="4" w:space="0" w:color="auto"/>
            </w:tcBorders>
            <w:shd w:val="clear" w:color="auto" w:fill="auto"/>
          </w:tcPr>
          <w:p w14:paraId="446C27A5" w14:textId="77777777" w:rsidR="00454E78" w:rsidRPr="005612F7" w:rsidRDefault="00454E78" w:rsidP="00454E78">
            <w:pPr>
              <w:pStyle w:val="TableTextLeft"/>
              <w:spacing w:before="60" w:after="60"/>
              <w:rPr>
                <w:rFonts w:cs="Arial"/>
                <w:szCs w:val="16"/>
              </w:rPr>
            </w:pPr>
          </w:p>
        </w:tc>
        <w:tc>
          <w:tcPr>
            <w:tcW w:w="2290" w:type="dxa"/>
            <w:tcBorders>
              <w:top w:val="dotted" w:sz="4" w:space="0" w:color="auto"/>
              <w:left w:val="single" w:sz="4" w:space="0" w:color="auto"/>
              <w:bottom w:val="single" w:sz="4" w:space="0" w:color="auto"/>
              <w:right w:val="single" w:sz="4" w:space="0" w:color="auto"/>
            </w:tcBorders>
            <w:shd w:val="clear" w:color="auto" w:fill="auto"/>
          </w:tcPr>
          <w:p w14:paraId="0439AF59" w14:textId="119226BD" w:rsidR="00454E78" w:rsidRPr="00D357ED" w:rsidRDefault="00FB4106" w:rsidP="00454E78">
            <w:pPr>
              <w:tabs>
                <w:tab w:val="left" w:pos="709"/>
              </w:tabs>
              <w:spacing w:before="60" w:after="60" w:line="240" w:lineRule="auto"/>
              <w:rPr>
                <w:rFonts w:ascii="Arial" w:hAnsi="Arial" w:cs="Arial"/>
                <w:b/>
                <w:bCs/>
                <w:sz w:val="16"/>
                <w:szCs w:val="16"/>
              </w:rPr>
            </w:pPr>
            <w:r>
              <w:rPr>
                <w:rFonts w:ascii="Arial" w:hAnsi="Arial" w:cs="Arial"/>
                <w:b/>
                <w:bCs/>
                <w:sz w:val="16"/>
                <w:szCs w:val="16"/>
              </w:rPr>
              <w:t>Shared S</w:t>
            </w:r>
            <w:r w:rsidR="00454E78" w:rsidRPr="00D357ED">
              <w:rPr>
                <w:rFonts w:ascii="Arial" w:hAnsi="Arial" w:cs="Arial"/>
                <w:b/>
                <w:bCs/>
                <w:sz w:val="16"/>
                <w:szCs w:val="16"/>
              </w:rPr>
              <w:t>ervices policy – corporate services</w:t>
            </w:r>
          </w:p>
          <w:p w14:paraId="3408AAF8" w14:textId="39B337A3" w:rsidR="00454E78" w:rsidRPr="00517809" w:rsidRDefault="00454E78" w:rsidP="00454E78">
            <w:pPr>
              <w:pStyle w:val="TableTextBase"/>
              <w:spacing w:before="60" w:after="60"/>
              <w:rPr>
                <w:rFonts w:cs="Arial"/>
                <w:szCs w:val="16"/>
              </w:rPr>
            </w:pPr>
            <w:r w:rsidRPr="00517809">
              <w:rPr>
                <w:rFonts w:cs="Arial"/>
                <w:bCs/>
                <w:szCs w:val="16"/>
              </w:rPr>
              <w:t>Corporate service functions (e.g. financial, human resources and associated I</w:t>
            </w:r>
            <w:r w:rsidR="00FB4106">
              <w:rPr>
                <w:rFonts w:cs="Arial"/>
                <w:bCs/>
                <w:szCs w:val="16"/>
              </w:rPr>
              <w:t>C</w:t>
            </w:r>
            <w:r w:rsidRPr="00517809">
              <w:rPr>
                <w:rFonts w:cs="Arial"/>
                <w:bCs/>
                <w:szCs w:val="16"/>
              </w:rPr>
              <w:t>T systems) for non-corpor</w:t>
            </w:r>
            <w:r w:rsidR="00FB4106">
              <w:rPr>
                <w:rFonts w:cs="Arial"/>
                <w:bCs/>
                <w:szCs w:val="16"/>
              </w:rPr>
              <w:t>ate Commonwealth entities</w:t>
            </w:r>
            <w:r w:rsidRPr="00517809">
              <w:rPr>
                <w:rFonts w:cs="Arial"/>
                <w:bCs/>
                <w:szCs w:val="16"/>
              </w:rPr>
              <w:t xml:space="preserve"> are provided through a shared services provider hub arrangement on common platforms and software</w:t>
            </w:r>
            <w:r w:rsidR="00FB4106">
              <w:rPr>
                <w:rFonts w:cs="Arial"/>
                <w:bCs/>
                <w:szCs w:val="16"/>
              </w:rPr>
              <w:t>.</w:t>
            </w:r>
          </w:p>
          <w:p w14:paraId="4B93CA6E" w14:textId="77777777" w:rsidR="00454E78" w:rsidRDefault="00454E78" w:rsidP="00454E78">
            <w:pPr>
              <w:pStyle w:val="TableTextBase"/>
              <w:spacing w:before="60" w:after="60"/>
              <w:rPr>
                <w:rFonts w:cs="Arial"/>
                <w:b/>
                <w:szCs w:val="16"/>
              </w:rPr>
            </w:pPr>
          </w:p>
          <w:p w14:paraId="7FC9ABBC" w14:textId="77777777" w:rsidR="00454E78" w:rsidRDefault="00454E78" w:rsidP="00454E78">
            <w:pPr>
              <w:pStyle w:val="TableTextBase"/>
              <w:spacing w:before="60" w:after="60"/>
              <w:rPr>
                <w:rFonts w:cs="Arial"/>
                <w:b/>
                <w:szCs w:val="16"/>
              </w:rPr>
            </w:pPr>
          </w:p>
          <w:p w14:paraId="76CE39F7" w14:textId="77777777" w:rsidR="00454E78" w:rsidRDefault="00454E78" w:rsidP="00454E78">
            <w:pPr>
              <w:pStyle w:val="TableTextBase"/>
              <w:spacing w:before="60" w:after="60"/>
              <w:rPr>
                <w:rFonts w:cs="Arial"/>
                <w:b/>
                <w:szCs w:val="16"/>
              </w:rPr>
            </w:pPr>
          </w:p>
          <w:p w14:paraId="60929D82" w14:textId="77777777" w:rsidR="00454E78" w:rsidRDefault="00454E78" w:rsidP="00454E78">
            <w:pPr>
              <w:pStyle w:val="TableTextBase"/>
              <w:spacing w:before="60" w:after="60"/>
              <w:rPr>
                <w:rFonts w:cs="Arial"/>
                <w:b/>
                <w:szCs w:val="16"/>
              </w:rPr>
            </w:pPr>
          </w:p>
          <w:p w14:paraId="73B169E7" w14:textId="77777777" w:rsidR="00454E78" w:rsidRDefault="00454E78" w:rsidP="00454E78">
            <w:pPr>
              <w:pStyle w:val="TableTextBase"/>
              <w:spacing w:before="60" w:after="60"/>
              <w:rPr>
                <w:rFonts w:cs="Arial"/>
                <w:b/>
                <w:szCs w:val="16"/>
              </w:rPr>
            </w:pPr>
          </w:p>
          <w:p w14:paraId="7838AF69" w14:textId="77777777" w:rsidR="00454E78" w:rsidRDefault="00454E78" w:rsidP="00454E78">
            <w:pPr>
              <w:pStyle w:val="TableTextBase"/>
              <w:spacing w:before="60" w:after="60"/>
              <w:rPr>
                <w:rFonts w:cs="Arial"/>
                <w:b/>
                <w:szCs w:val="16"/>
              </w:rPr>
            </w:pPr>
          </w:p>
          <w:p w14:paraId="31AE4FF3" w14:textId="77777777" w:rsidR="00454E78" w:rsidRPr="00DD55D1" w:rsidRDefault="00454E78" w:rsidP="00454E78">
            <w:pPr>
              <w:pStyle w:val="TableTextBase"/>
              <w:spacing w:before="60" w:after="60"/>
              <w:rPr>
                <w:rFonts w:cs="Arial"/>
                <w:szCs w:val="16"/>
              </w:rPr>
            </w:pPr>
          </w:p>
        </w:tc>
        <w:tc>
          <w:tcPr>
            <w:tcW w:w="4091" w:type="dxa"/>
            <w:tcBorders>
              <w:top w:val="dotted" w:sz="4" w:space="0" w:color="auto"/>
              <w:left w:val="single" w:sz="4" w:space="0" w:color="auto"/>
              <w:bottom w:val="single" w:sz="4" w:space="0" w:color="auto"/>
              <w:right w:val="single" w:sz="4" w:space="0" w:color="auto"/>
            </w:tcBorders>
            <w:shd w:val="clear" w:color="auto" w:fill="auto"/>
          </w:tcPr>
          <w:p w14:paraId="073DDA0C" w14:textId="1C56143D" w:rsidR="00454E78" w:rsidRPr="00F15B4F" w:rsidRDefault="00454E78" w:rsidP="00FB4106">
            <w:pPr>
              <w:tabs>
                <w:tab w:val="left" w:pos="709"/>
              </w:tabs>
              <w:autoSpaceDE w:val="0"/>
              <w:autoSpaceDN w:val="0"/>
              <w:adjustRightInd w:val="0"/>
              <w:spacing w:before="60" w:after="60" w:line="240" w:lineRule="auto"/>
              <w:rPr>
                <w:rFonts w:ascii="Arial" w:eastAsia="Arial" w:hAnsi="Arial" w:cs="Arial"/>
                <w:sz w:val="16"/>
                <w:szCs w:val="16"/>
              </w:rPr>
            </w:pPr>
            <w:r w:rsidRPr="00F15B4F">
              <w:rPr>
                <w:rFonts w:ascii="Arial" w:eastAsia="Arial" w:hAnsi="Arial" w:cs="Arial"/>
                <w:sz w:val="16"/>
                <w:szCs w:val="16"/>
              </w:rPr>
              <w:t xml:space="preserve">Government and entities are satisfied with Finance’s stewardship, policy advice, engagement and guidance on </w:t>
            </w:r>
            <w:r w:rsidR="00FB4106">
              <w:rPr>
                <w:rFonts w:ascii="Arial" w:eastAsia="Arial" w:hAnsi="Arial" w:cs="Arial"/>
                <w:sz w:val="16"/>
                <w:szCs w:val="16"/>
              </w:rPr>
              <w:t>the adoption of shared services.</w:t>
            </w:r>
          </w:p>
          <w:p w14:paraId="17963BDB" w14:textId="77777777" w:rsidR="00454E78" w:rsidRPr="00F15B4F" w:rsidRDefault="00454E78" w:rsidP="00FB4106">
            <w:pPr>
              <w:tabs>
                <w:tab w:val="left" w:pos="709"/>
              </w:tabs>
              <w:autoSpaceDE w:val="0"/>
              <w:autoSpaceDN w:val="0"/>
              <w:adjustRightInd w:val="0"/>
              <w:spacing w:before="60" w:after="60" w:line="240" w:lineRule="auto"/>
              <w:rPr>
                <w:rFonts w:ascii="Arial" w:eastAsia="Arial" w:hAnsi="Arial" w:cs="Arial"/>
                <w:sz w:val="16"/>
                <w:szCs w:val="16"/>
              </w:rPr>
            </w:pPr>
            <w:r w:rsidRPr="00F15B4F">
              <w:rPr>
                <w:rFonts w:ascii="Arial" w:eastAsia="Arial" w:hAnsi="Arial" w:cs="Arial"/>
                <w:sz w:val="16"/>
                <w:szCs w:val="16"/>
              </w:rPr>
              <w:t xml:space="preserve">Decisions in relation to the Shared Services Program are implemented on </w:t>
            </w:r>
            <w:r>
              <w:rPr>
                <w:rFonts w:ascii="Arial" w:eastAsia="Arial" w:hAnsi="Arial" w:cs="Arial"/>
                <w:sz w:val="16"/>
                <w:szCs w:val="16"/>
              </w:rPr>
              <w:t>the basis of WoAG</w:t>
            </w:r>
            <w:r w:rsidRPr="00F15B4F">
              <w:rPr>
                <w:rFonts w:ascii="Arial" w:eastAsia="Arial" w:hAnsi="Arial" w:cs="Arial"/>
                <w:sz w:val="16"/>
                <w:szCs w:val="16"/>
              </w:rPr>
              <w:t xml:space="preserve"> interests, including alignment with the digital agenda and policies: </w:t>
            </w:r>
          </w:p>
          <w:p w14:paraId="7982F096" w14:textId="67A131D6" w:rsidR="00454E78" w:rsidRPr="00454E78" w:rsidRDefault="00454E78"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sidRPr="00454E78">
              <w:rPr>
                <w:rFonts w:ascii="Arial" w:hAnsi="Arial" w:cs="Arial"/>
                <w:sz w:val="16"/>
                <w:szCs w:val="16"/>
              </w:rPr>
              <w:t>Finance consults widely on shared services policy and continued adoption of common corporate technology platforms and standardised business processes</w:t>
            </w:r>
            <w:r w:rsidR="00FB4106">
              <w:rPr>
                <w:rFonts w:ascii="Arial" w:hAnsi="Arial" w:cs="Arial"/>
                <w:sz w:val="16"/>
                <w:szCs w:val="16"/>
              </w:rPr>
              <w:t>.</w:t>
            </w:r>
          </w:p>
          <w:p w14:paraId="6984EB1A" w14:textId="71A39D9A" w:rsidR="003A7F84" w:rsidRDefault="00454E78" w:rsidP="00C8474A">
            <w:pPr>
              <w:pStyle w:val="ListParagraph"/>
              <w:numPr>
                <w:ilvl w:val="0"/>
                <w:numId w:val="58"/>
              </w:numPr>
              <w:autoSpaceDE w:val="0"/>
              <w:autoSpaceDN w:val="0"/>
              <w:adjustRightInd w:val="0"/>
              <w:spacing w:before="60" w:after="60" w:line="240" w:lineRule="auto"/>
              <w:ind w:left="527" w:hanging="357"/>
              <w:contextualSpacing w:val="0"/>
              <w:rPr>
                <w:rFonts w:ascii="Arial" w:hAnsi="Arial" w:cs="Arial"/>
                <w:sz w:val="16"/>
                <w:szCs w:val="16"/>
              </w:rPr>
            </w:pPr>
            <w:r w:rsidRPr="00454E78">
              <w:rPr>
                <w:rFonts w:ascii="Arial" w:hAnsi="Arial" w:cs="Arial"/>
                <w:sz w:val="16"/>
                <w:szCs w:val="16"/>
              </w:rPr>
              <w:t>Finance leads approach to business cases working jointly with provider hubs and Services Australia to support further adoption of shared services and common corporate platform (GovERP)</w:t>
            </w:r>
            <w:r w:rsidR="00FB4106">
              <w:rPr>
                <w:rFonts w:ascii="Arial" w:hAnsi="Arial" w:cs="Arial"/>
                <w:sz w:val="16"/>
                <w:szCs w:val="16"/>
              </w:rPr>
              <w:t>.</w:t>
            </w:r>
          </w:p>
          <w:p w14:paraId="7C179E72" w14:textId="364DEED0" w:rsidR="00454E78" w:rsidRPr="003A7F84" w:rsidRDefault="00454E78" w:rsidP="00FB4106">
            <w:pPr>
              <w:tabs>
                <w:tab w:val="left" w:pos="709"/>
              </w:tabs>
              <w:autoSpaceDE w:val="0"/>
              <w:autoSpaceDN w:val="0"/>
              <w:adjustRightInd w:val="0"/>
              <w:spacing w:before="60" w:after="60" w:line="240" w:lineRule="auto"/>
              <w:rPr>
                <w:rFonts w:ascii="Arial" w:hAnsi="Arial" w:cs="Arial"/>
                <w:sz w:val="16"/>
                <w:szCs w:val="16"/>
              </w:rPr>
            </w:pPr>
            <w:r w:rsidRPr="00572A0B">
              <w:rPr>
                <w:rFonts w:ascii="Arial" w:eastAsia="Arial" w:hAnsi="Arial" w:cs="Arial"/>
                <w:sz w:val="16"/>
                <w:szCs w:val="16"/>
              </w:rPr>
              <w:t>Benchmarking data on corporate services are available and provide valuable insight for decision-making on consolidation and standardisation of corporate servic</w:t>
            </w:r>
            <w:r w:rsidR="00572A0B">
              <w:rPr>
                <w:rFonts w:ascii="Arial" w:eastAsia="Arial" w:hAnsi="Arial" w:cs="Arial"/>
                <w:sz w:val="16"/>
                <w:szCs w:val="16"/>
              </w:rPr>
              <w:t>e</w:t>
            </w:r>
            <w:r w:rsidR="00744546">
              <w:rPr>
                <w:rFonts w:ascii="Arial" w:eastAsia="Arial" w:hAnsi="Arial" w:cs="Arial"/>
                <w:sz w:val="16"/>
                <w:szCs w:val="16"/>
              </w:rPr>
              <w:t xml:space="preserve">s functions (baseline expected </w:t>
            </w:r>
            <w:r w:rsidR="00744546">
              <w:rPr>
                <w:rFonts w:ascii="Arial" w:eastAsia="Arial" w:hAnsi="Arial" w:cs="Arial"/>
                <w:sz w:val="16"/>
                <w:szCs w:val="16"/>
              </w:rPr>
              <w:br/>
            </w:r>
            <w:r w:rsidRPr="00572A0B">
              <w:rPr>
                <w:rFonts w:ascii="Arial" w:eastAsia="Arial" w:hAnsi="Arial" w:cs="Arial"/>
                <w:sz w:val="16"/>
                <w:szCs w:val="16"/>
              </w:rPr>
              <w:t>2022-23)</w:t>
            </w:r>
            <w:r w:rsidR="00FB4106">
              <w:rPr>
                <w:rFonts w:ascii="Arial" w:eastAsia="Arial" w:hAnsi="Arial" w:cs="Arial"/>
                <w:sz w:val="16"/>
                <w:szCs w:val="16"/>
              </w:rPr>
              <w:t>.</w:t>
            </w:r>
          </w:p>
        </w:tc>
      </w:tr>
    </w:tbl>
    <w:p w14:paraId="12B211DE" w14:textId="51D3B727" w:rsidR="003A2E7D" w:rsidRPr="00454E78" w:rsidRDefault="00F0167C" w:rsidP="00454E78">
      <w:pPr>
        <w:pStyle w:val="TableHeading"/>
        <w:spacing w:before="0" w:after="0"/>
        <w:ind w:right="-113"/>
      </w:pPr>
      <w:r w:rsidRPr="002D353C">
        <w:rPr>
          <w:b w:val="0"/>
          <w:color w:val="000000"/>
          <w:sz w:val="16"/>
          <w:lang w:val="x-none" w:eastAsia="x-none"/>
        </w:rPr>
        <w:t>Table continu</w:t>
      </w:r>
      <w:r w:rsidR="003A2E7D">
        <w:rPr>
          <w:b w:val="0"/>
          <w:color w:val="000000"/>
          <w:sz w:val="16"/>
          <w:lang w:val="x-none" w:eastAsia="x-none"/>
        </w:rPr>
        <w:t>es on next page</w:t>
      </w:r>
      <w:r w:rsidR="003A2E7D">
        <w:rPr>
          <w:b w:val="0"/>
          <w:color w:val="000000"/>
          <w:sz w:val="16"/>
          <w:lang w:val="x-none" w:eastAsia="x-none"/>
        </w:rPr>
        <w:br w:type="page"/>
      </w:r>
    </w:p>
    <w:p w14:paraId="63CC629D" w14:textId="63A522F8" w:rsidR="003A2E7D" w:rsidRDefault="003A2E7D" w:rsidP="003A2E7D">
      <w:pPr>
        <w:pStyle w:val="TableHeading"/>
      </w:pPr>
      <w:r w:rsidRPr="003A2E7D">
        <w:lastRenderedPageBreak/>
        <w:t>Table 2.2.2: Performance measure for Outcome 2 (continued)</w:t>
      </w:r>
    </w:p>
    <w:tbl>
      <w:tblPr>
        <w:tblpPr w:leftFromText="180" w:rightFromText="180" w:vertAnchor="text" w:tblpY="1"/>
        <w:tblOverlap w:val="neve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90"/>
        <w:gridCol w:w="4091"/>
      </w:tblGrid>
      <w:tr w:rsidR="00A3076F" w:rsidRPr="00ED5B0C" w14:paraId="0AD294F9" w14:textId="77777777" w:rsidTr="000408A3">
        <w:trPr>
          <w:trHeight w:val="527"/>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2676E875" w14:textId="77777777" w:rsidR="00A3076F" w:rsidRPr="003A2E7D" w:rsidRDefault="00A3076F" w:rsidP="006D2B96">
            <w:pPr>
              <w:tabs>
                <w:tab w:val="left" w:pos="709"/>
              </w:tabs>
              <w:spacing w:before="60" w:after="60" w:line="240" w:lineRule="auto"/>
              <w:rPr>
                <w:rFonts w:ascii="Arial" w:hAnsi="Arial"/>
                <w:b/>
                <w:sz w:val="16"/>
                <w:szCs w:val="16"/>
              </w:rPr>
            </w:pPr>
            <w:r w:rsidRPr="003A2E7D">
              <w:rPr>
                <w:rFonts w:ascii="Arial" w:hAnsi="Arial"/>
                <w:b/>
                <w:sz w:val="16"/>
                <w:szCs w:val="16"/>
              </w:rPr>
              <w:t>Program 2.6 – Service Delivery Office</w:t>
            </w:r>
          </w:p>
          <w:p w14:paraId="3AC0A04E" w14:textId="77777777" w:rsidR="00A3076F" w:rsidRPr="00ED5B0C" w:rsidRDefault="00A3076F" w:rsidP="006D2B96">
            <w:pPr>
              <w:tabs>
                <w:tab w:val="left" w:pos="709"/>
              </w:tabs>
              <w:spacing w:before="60" w:after="60" w:line="240" w:lineRule="auto"/>
              <w:rPr>
                <w:rFonts w:ascii="Arial" w:hAnsi="Arial" w:cs="Arial"/>
                <w:sz w:val="16"/>
                <w:szCs w:val="16"/>
              </w:rPr>
            </w:pPr>
            <w:r w:rsidRPr="003A2E7D">
              <w:rPr>
                <w:rFonts w:ascii="Arial" w:hAnsi="Arial"/>
                <w:sz w:val="16"/>
                <w:szCs w:val="16"/>
              </w:rPr>
              <w:t>This program contributes to the outcome through providing a range of corporate services to Australian Government entities.</w:t>
            </w:r>
          </w:p>
        </w:tc>
      </w:tr>
      <w:tr w:rsidR="00A3076F" w:rsidRPr="00361E69" w14:paraId="791B4302" w14:textId="77777777" w:rsidTr="000408A3">
        <w:trPr>
          <w:trHeight w:val="312"/>
        </w:trPr>
        <w:tc>
          <w:tcPr>
            <w:tcW w:w="1414" w:type="dxa"/>
            <w:tcBorders>
              <w:top w:val="single" w:sz="4" w:space="0" w:color="auto"/>
              <w:bottom w:val="single" w:sz="4" w:space="0" w:color="auto"/>
              <w:right w:val="single" w:sz="4" w:space="0" w:color="auto"/>
            </w:tcBorders>
            <w:shd w:val="clear" w:color="auto" w:fill="auto"/>
          </w:tcPr>
          <w:p w14:paraId="4BA9D69E" w14:textId="77777777" w:rsidR="00A3076F" w:rsidRPr="00361E69" w:rsidRDefault="00A3076F" w:rsidP="006D2B96">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Year</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4D9B5426" w14:textId="77777777" w:rsidR="00A3076F" w:rsidRPr="00361E69" w:rsidRDefault="00A3076F" w:rsidP="006D2B96">
            <w:pPr>
              <w:tabs>
                <w:tab w:val="left" w:pos="709"/>
                <w:tab w:val="center" w:pos="1818"/>
              </w:tabs>
              <w:spacing w:before="60" w:after="60" w:line="240" w:lineRule="auto"/>
              <w:rPr>
                <w:rFonts w:ascii="Arial" w:hAnsi="Arial" w:cs="Arial"/>
                <w:b/>
                <w:bCs/>
                <w:sz w:val="16"/>
                <w:szCs w:val="16"/>
              </w:rPr>
            </w:pPr>
            <w:r w:rsidRPr="1362A57E">
              <w:rPr>
                <w:rFonts w:ascii="Arial" w:hAnsi="Arial" w:cs="Arial"/>
                <w:b/>
                <w:bCs/>
                <w:sz w:val="16"/>
                <w:szCs w:val="16"/>
              </w:rPr>
              <w:t>Performance measures</w:t>
            </w:r>
          </w:p>
        </w:tc>
        <w:tc>
          <w:tcPr>
            <w:tcW w:w="4091" w:type="dxa"/>
            <w:tcBorders>
              <w:top w:val="single" w:sz="4" w:space="0" w:color="auto"/>
              <w:left w:val="single" w:sz="4" w:space="0" w:color="auto"/>
              <w:bottom w:val="single" w:sz="4" w:space="0" w:color="auto"/>
            </w:tcBorders>
            <w:shd w:val="clear" w:color="auto" w:fill="auto"/>
          </w:tcPr>
          <w:p w14:paraId="5AF80D18" w14:textId="77777777" w:rsidR="00A3076F" w:rsidRPr="00361E69" w:rsidRDefault="00A3076F" w:rsidP="006D2B96">
            <w:pPr>
              <w:tabs>
                <w:tab w:val="left" w:pos="709"/>
              </w:tabs>
              <w:spacing w:before="60" w:after="60" w:line="240" w:lineRule="auto"/>
              <w:rPr>
                <w:rFonts w:ascii="Arial" w:hAnsi="Arial" w:cs="Arial"/>
                <w:b/>
                <w:bCs/>
                <w:sz w:val="16"/>
                <w:szCs w:val="16"/>
              </w:rPr>
            </w:pPr>
            <w:r w:rsidRPr="1362A57E">
              <w:rPr>
                <w:rFonts w:ascii="Arial" w:hAnsi="Arial" w:cs="Arial"/>
                <w:b/>
                <w:bCs/>
                <w:sz w:val="16"/>
                <w:szCs w:val="16"/>
              </w:rPr>
              <w:t>Expected Performance Results</w:t>
            </w:r>
          </w:p>
        </w:tc>
      </w:tr>
      <w:tr w:rsidR="00A3076F" w:rsidRPr="009415D5" w14:paraId="33F4E3B9" w14:textId="77777777" w:rsidTr="000408A3">
        <w:trPr>
          <w:trHeight w:val="1999"/>
        </w:trPr>
        <w:tc>
          <w:tcPr>
            <w:tcW w:w="1414" w:type="dxa"/>
            <w:tcBorders>
              <w:top w:val="single" w:sz="4" w:space="0" w:color="auto"/>
              <w:left w:val="single" w:sz="4" w:space="0" w:color="auto"/>
              <w:bottom w:val="nil"/>
              <w:right w:val="single" w:sz="4" w:space="0" w:color="auto"/>
            </w:tcBorders>
            <w:shd w:val="clear" w:color="auto" w:fill="auto"/>
          </w:tcPr>
          <w:p w14:paraId="133BA758" w14:textId="77777777" w:rsidR="00FB4106" w:rsidRDefault="00A3076F" w:rsidP="00FB4106">
            <w:pPr>
              <w:pStyle w:val="TableTextLeft"/>
              <w:spacing w:before="60" w:after="60"/>
              <w:rPr>
                <w:rFonts w:cs="Arial"/>
                <w:szCs w:val="16"/>
              </w:rPr>
            </w:pPr>
            <w:r w:rsidRPr="00BB5846">
              <w:rPr>
                <w:rFonts w:cs="Arial"/>
                <w:szCs w:val="16"/>
              </w:rPr>
              <w:t xml:space="preserve">Forward Estimates </w:t>
            </w:r>
          </w:p>
          <w:p w14:paraId="25E69625" w14:textId="59C91BC8" w:rsidR="00A3076F" w:rsidRPr="00361E69" w:rsidRDefault="00A3076F" w:rsidP="00FB4106">
            <w:pPr>
              <w:pStyle w:val="TableTextLeft"/>
              <w:spacing w:before="60" w:after="60"/>
              <w:rPr>
                <w:rFonts w:cs="Arial"/>
                <w:szCs w:val="16"/>
              </w:rPr>
            </w:pPr>
            <w:r>
              <w:rPr>
                <w:rFonts w:cs="Arial"/>
                <w:szCs w:val="16"/>
              </w:rPr>
              <w:t>2</w:t>
            </w:r>
            <w:r w:rsidRPr="00BB5846">
              <w:rPr>
                <w:rFonts w:cs="Arial"/>
                <w:szCs w:val="16"/>
              </w:rPr>
              <w:t>023-26</w:t>
            </w:r>
            <w:r w:rsidRPr="006B7BE5">
              <w:rPr>
                <w:rFonts w:cs="Arial"/>
                <w:szCs w:val="16"/>
              </w:rPr>
              <w:t xml:space="preserve"> </w:t>
            </w:r>
          </w:p>
        </w:tc>
        <w:tc>
          <w:tcPr>
            <w:tcW w:w="2290" w:type="dxa"/>
            <w:tcBorders>
              <w:top w:val="single" w:sz="4" w:space="0" w:color="auto"/>
              <w:left w:val="single" w:sz="4" w:space="0" w:color="auto"/>
              <w:bottom w:val="dotted" w:sz="4" w:space="0" w:color="auto"/>
              <w:right w:val="single" w:sz="4" w:space="0" w:color="auto"/>
            </w:tcBorders>
            <w:shd w:val="clear" w:color="auto" w:fill="auto"/>
          </w:tcPr>
          <w:p w14:paraId="1A1ACB02" w14:textId="77777777" w:rsidR="00A3076F" w:rsidRPr="006F0EA1" w:rsidRDefault="00A3076F" w:rsidP="006D2B96">
            <w:pPr>
              <w:tabs>
                <w:tab w:val="left" w:pos="709"/>
              </w:tabs>
              <w:suppressAutoHyphens/>
              <w:spacing w:before="60" w:after="60" w:line="240" w:lineRule="auto"/>
              <w:rPr>
                <w:rFonts w:ascii="Arial" w:eastAsia="Arial" w:hAnsi="Arial" w:cs="Arial"/>
                <w:b/>
                <w:sz w:val="16"/>
                <w:szCs w:val="16"/>
              </w:rPr>
            </w:pPr>
            <w:r w:rsidRPr="006F0EA1">
              <w:rPr>
                <w:rFonts w:ascii="Arial" w:eastAsia="Arial" w:hAnsi="Arial" w:cs="Arial"/>
                <w:b/>
                <w:sz w:val="16"/>
                <w:szCs w:val="16"/>
              </w:rPr>
              <w:t>Shared services hub meets clients’ needs</w:t>
            </w:r>
          </w:p>
          <w:p w14:paraId="10EABCBC" w14:textId="77777777" w:rsidR="00A3076F" w:rsidRDefault="00A3076F" w:rsidP="006D2B96">
            <w:pPr>
              <w:tabs>
                <w:tab w:val="left" w:pos="709"/>
              </w:tabs>
              <w:suppressAutoHyphens/>
              <w:spacing w:before="60" w:after="60" w:line="240" w:lineRule="auto"/>
              <w:rPr>
                <w:rFonts w:ascii="Arial" w:eastAsia="Arial" w:hAnsi="Arial" w:cs="Arial"/>
                <w:sz w:val="16"/>
                <w:szCs w:val="16"/>
              </w:rPr>
            </w:pPr>
            <w:r w:rsidRPr="006F0EA1">
              <w:rPr>
                <w:rFonts w:ascii="Arial" w:eastAsia="Arial" w:hAnsi="Arial" w:cs="Arial"/>
                <w:sz w:val="16"/>
                <w:szCs w:val="16"/>
              </w:rPr>
              <w:t>As a Shared Services hub, the SDO provides quality and efficient services to client entities.</w:t>
            </w:r>
          </w:p>
          <w:p w14:paraId="185723D5" w14:textId="77777777" w:rsidR="00A3076F" w:rsidRPr="006B7BE5" w:rsidRDefault="00A3076F" w:rsidP="006D2B96">
            <w:pPr>
              <w:spacing w:before="60" w:after="60" w:line="240" w:lineRule="auto"/>
              <w:rPr>
                <w:rFonts w:ascii="Arial" w:eastAsia="Arial" w:hAnsi="Arial" w:cs="Arial"/>
                <w:sz w:val="16"/>
                <w:szCs w:val="16"/>
              </w:rPr>
            </w:pPr>
          </w:p>
        </w:tc>
        <w:tc>
          <w:tcPr>
            <w:tcW w:w="4091" w:type="dxa"/>
            <w:tcBorders>
              <w:top w:val="single" w:sz="4" w:space="0" w:color="auto"/>
              <w:left w:val="single" w:sz="4" w:space="0" w:color="auto"/>
              <w:bottom w:val="dotted" w:sz="4" w:space="0" w:color="auto"/>
              <w:right w:val="single" w:sz="4" w:space="0" w:color="auto"/>
            </w:tcBorders>
            <w:shd w:val="clear" w:color="auto" w:fill="auto"/>
          </w:tcPr>
          <w:p w14:paraId="62066A4F" w14:textId="77777777" w:rsidR="00A3076F" w:rsidRPr="006F0EA1" w:rsidRDefault="00A3076F" w:rsidP="00FB4106">
            <w:pPr>
              <w:tabs>
                <w:tab w:val="left" w:pos="709"/>
              </w:tabs>
              <w:suppressAutoHyphens/>
              <w:spacing w:before="60" w:after="60" w:line="240" w:lineRule="auto"/>
              <w:rPr>
                <w:rFonts w:ascii="Arial" w:eastAsia="Arial" w:hAnsi="Arial" w:cs="Arial"/>
                <w:sz w:val="16"/>
                <w:szCs w:val="16"/>
              </w:rPr>
            </w:pPr>
            <w:r w:rsidRPr="006F0EA1">
              <w:rPr>
                <w:rFonts w:ascii="Arial" w:eastAsia="Arial" w:hAnsi="Arial" w:cs="Arial"/>
                <w:sz w:val="16"/>
                <w:szCs w:val="16"/>
              </w:rPr>
              <w:t>Service level agreements with client entities, including measurement of efficiency and effectiveness of services are met including:</w:t>
            </w:r>
          </w:p>
          <w:p w14:paraId="2B2940ED" w14:textId="70FC3DB7" w:rsidR="00A3076F" w:rsidRPr="00EF4DB2" w:rsidRDefault="00A3076F"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EF4DB2">
              <w:rPr>
                <w:rFonts w:ascii="Arial" w:hAnsi="Arial" w:cs="Arial"/>
                <w:sz w:val="16"/>
                <w:szCs w:val="16"/>
              </w:rPr>
              <w:t>Average resolution ti</w:t>
            </w:r>
            <w:r w:rsidR="003959E6">
              <w:rPr>
                <w:rFonts w:ascii="Arial" w:hAnsi="Arial" w:cs="Arial"/>
                <w:sz w:val="16"/>
                <w:szCs w:val="16"/>
              </w:rPr>
              <w:t>me of client request of 10 days.</w:t>
            </w:r>
          </w:p>
          <w:p w14:paraId="68AC90F9" w14:textId="128DB9E8" w:rsidR="00A3076F" w:rsidRPr="00EF4DB2" w:rsidRDefault="00A3076F"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EF4DB2">
              <w:rPr>
                <w:rFonts w:ascii="Arial" w:hAnsi="Arial" w:cs="Arial"/>
                <w:sz w:val="16"/>
                <w:szCs w:val="16"/>
              </w:rPr>
              <w:t>Increased year-on-year rating</w:t>
            </w:r>
            <w:r w:rsidR="003959E6">
              <w:rPr>
                <w:rFonts w:ascii="Arial" w:hAnsi="Arial" w:cs="Arial"/>
                <w:sz w:val="16"/>
                <w:szCs w:val="16"/>
              </w:rPr>
              <w:t xml:space="preserve"> in client satisfaction surveys.</w:t>
            </w:r>
          </w:p>
          <w:p w14:paraId="3F42883C" w14:textId="77777777" w:rsidR="00A3076F" w:rsidRPr="003959E6" w:rsidRDefault="00A3076F" w:rsidP="003959E6">
            <w:pPr>
              <w:autoSpaceDE w:val="0"/>
              <w:autoSpaceDN w:val="0"/>
              <w:adjustRightInd w:val="0"/>
              <w:spacing w:before="60" w:after="60" w:line="240" w:lineRule="auto"/>
              <w:rPr>
                <w:rFonts w:ascii="Arial" w:hAnsi="Arial" w:cs="Arial"/>
                <w:sz w:val="16"/>
                <w:szCs w:val="16"/>
              </w:rPr>
            </w:pPr>
            <w:r w:rsidRPr="003959E6">
              <w:rPr>
                <w:rFonts w:ascii="Arial" w:hAnsi="Arial" w:cs="Arial"/>
                <w:sz w:val="16"/>
                <w:szCs w:val="16"/>
              </w:rPr>
              <w:t>The benefits of shared, standard and sustainable ERP technologies and business processes are realised:</w:t>
            </w:r>
          </w:p>
          <w:p w14:paraId="76712F39" w14:textId="1BCC66B8" w:rsidR="00A3076F" w:rsidRPr="00EF4DB2" w:rsidRDefault="00A3076F"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EF4DB2">
              <w:rPr>
                <w:rFonts w:ascii="Arial" w:hAnsi="Arial" w:cs="Arial"/>
                <w:sz w:val="16"/>
                <w:szCs w:val="16"/>
              </w:rPr>
              <w:t xml:space="preserve">Increased client uptake of SDOs shared ERP technology solution, known as HUB (year-on-year increase) (target in place until end </w:t>
            </w:r>
            <w:r w:rsidR="003959E6">
              <w:rPr>
                <w:rFonts w:ascii="Arial" w:hAnsi="Arial" w:cs="Arial"/>
                <w:sz w:val="16"/>
                <w:szCs w:val="16"/>
              </w:rPr>
              <w:br/>
            </w:r>
            <w:r w:rsidRPr="00EF4DB2">
              <w:rPr>
                <w:rFonts w:ascii="Arial" w:hAnsi="Arial" w:cs="Arial"/>
                <w:sz w:val="16"/>
                <w:szCs w:val="16"/>
              </w:rPr>
              <w:t>2023-24)</w:t>
            </w:r>
            <w:r w:rsidR="003959E6">
              <w:rPr>
                <w:rFonts w:ascii="Arial" w:hAnsi="Arial" w:cs="Arial"/>
                <w:sz w:val="16"/>
                <w:szCs w:val="16"/>
              </w:rPr>
              <w:t>.</w:t>
            </w:r>
          </w:p>
          <w:p w14:paraId="6F2D9E35" w14:textId="77777777" w:rsidR="00A3076F" w:rsidRPr="00EF4DB2" w:rsidRDefault="00A3076F"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EF4DB2">
              <w:rPr>
                <w:rFonts w:ascii="Arial" w:hAnsi="Arial" w:cs="Arial"/>
                <w:sz w:val="16"/>
                <w:szCs w:val="16"/>
              </w:rPr>
              <w:t>Increased client adoption of end-to-end WoAG business processes (year-on-year increase)</w:t>
            </w:r>
          </w:p>
          <w:p w14:paraId="441B44E0" w14:textId="77777777" w:rsidR="00A3076F" w:rsidRPr="00EF4DB2" w:rsidRDefault="00A3076F" w:rsidP="003959E6">
            <w:pPr>
              <w:autoSpaceDE w:val="0"/>
              <w:autoSpaceDN w:val="0"/>
              <w:adjustRightInd w:val="0"/>
              <w:spacing w:before="60" w:after="60" w:line="240" w:lineRule="auto"/>
              <w:rPr>
                <w:rFonts w:ascii="Arial" w:hAnsi="Arial" w:cs="Arial"/>
                <w:sz w:val="16"/>
                <w:szCs w:val="16"/>
              </w:rPr>
            </w:pPr>
            <w:r w:rsidRPr="00EF4DB2">
              <w:rPr>
                <w:rFonts w:ascii="Arial" w:hAnsi="Arial" w:cs="Arial"/>
                <w:sz w:val="16"/>
                <w:szCs w:val="16"/>
              </w:rPr>
              <w:t>SDO and its client agencies adopt the WoAG ERP platform, GovERP:</w:t>
            </w:r>
          </w:p>
          <w:p w14:paraId="652E1552" w14:textId="0B622E10" w:rsidR="00A3076F" w:rsidRPr="00EF4DB2" w:rsidRDefault="00A3076F"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EF4DB2">
              <w:rPr>
                <w:rFonts w:ascii="Arial" w:hAnsi="Arial" w:cs="Arial"/>
                <w:sz w:val="16"/>
                <w:szCs w:val="16"/>
              </w:rPr>
              <w:t>Facilitating SDO client agencies on-boarding to GovERP</w:t>
            </w:r>
            <w:r w:rsidR="003959E6">
              <w:rPr>
                <w:rFonts w:ascii="Arial" w:hAnsi="Arial" w:cs="Arial"/>
                <w:sz w:val="16"/>
                <w:szCs w:val="16"/>
              </w:rPr>
              <w:t>.</w:t>
            </w:r>
          </w:p>
        </w:tc>
      </w:tr>
      <w:tr w:rsidR="00A3076F" w:rsidRPr="009415D5" w14:paraId="1B93901A" w14:textId="77777777" w:rsidTr="00A3076F">
        <w:trPr>
          <w:trHeight w:val="70"/>
        </w:trPr>
        <w:tc>
          <w:tcPr>
            <w:tcW w:w="1414" w:type="dxa"/>
            <w:tcBorders>
              <w:top w:val="nil"/>
              <w:left w:val="single" w:sz="4" w:space="0" w:color="auto"/>
              <w:bottom w:val="single" w:sz="4" w:space="0" w:color="auto"/>
              <w:right w:val="single" w:sz="4" w:space="0" w:color="auto"/>
            </w:tcBorders>
            <w:shd w:val="clear" w:color="auto" w:fill="auto"/>
          </w:tcPr>
          <w:p w14:paraId="54D1107D" w14:textId="77777777" w:rsidR="00A3076F" w:rsidRPr="005612F7" w:rsidRDefault="00A3076F" w:rsidP="006D2B96">
            <w:pPr>
              <w:pStyle w:val="TableTextLeft"/>
              <w:spacing w:before="60" w:after="60"/>
              <w:rPr>
                <w:rFonts w:cs="Arial"/>
                <w:szCs w:val="16"/>
              </w:rPr>
            </w:pPr>
          </w:p>
        </w:tc>
        <w:tc>
          <w:tcPr>
            <w:tcW w:w="2290" w:type="dxa"/>
            <w:tcBorders>
              <w:top w:val="dotted" w:sz="4" w:space="0" w:color="auto"/>
              <w:left w:val="single" w:sz="4" w:space="0" w:color="auto"/>
              <w:bottom w:val="single" w:sz="4" w:space="0" w:color="auto"/>
              <w:right w:val="single" w:sz="4" w:space="0" w:color="auto"/>
            </w:tcBorders>
            <w:shd w:val="clear" w:color="auto" w:fill="auto"/>
          </w:tcPr>
          <w:p w14:paraId="737274E8" w14:textId="77777777" w:rsidR="00A3076F" w:rsidRPr="00D357ED" w:rsidRDefault="00A3076F" w:rsidP="006D2B96">
            <w:pPr>
              <w:tabs>
                <w:tab w:val="left" w:pos="709"/>
              </w:tabs>
              <w:spacing w:before="60" w:after="60" w:line="240" w:lineRule="auto"/>
              <w:rPr>
                <w:rFonts w:ascii="Arial" w:hAnsi="Arial" w:cs="Arial"/>
                <w:b/>
                <w:bCs/>
                <w:sz w:val="16"/>
                <w:szCs w:val="16"/>
              </w:rPr>
            </w:pPr>
            <w:r w:rsidRPr="00D357ED">
              <w:rPr>
                <w:rFonts w:ascii="Arial" w:hAnsi="Arial" w:cs="Arial"/>
                <w:b/>
                <w:bCs/>
                <w:sz w:val="16"/>
                <w:szCs w:val="16"/>
              </w:rPr>
              <w:t>Shared services policy – corporate services</w:t>
            </w:r>
          </w:p>
          <w:p w14:paraId="08FBDEE5" w14:textId="77777777" w:rsidR="00A3076F" w:rsidRPr="00DD55D1" w:rsidRDefault="00A3076F" w:rsidP="006D2B96">
            <w:pPr>
              <w:tabs>
                <w:tab w:val="left" w:pos="709"/>
              </w:tabs>
              <w:spacing w:before="60" w:after="60" w:line="240" w:lineRule="auto"/>
              <w:rPr>
                <w:rFonts w:cs="Arial"/>
                <w:szCs w:val="16"/>
              </w:rPr>
            </w:pPr>
            <w:r w:rsidRPr="00D357ED">
              <w:rPr>
                <w:rFonts w:ascii="Arial" w:hAnsi="Arial" w:cs="Arial"/>
                <w:bCs/>
                <w:sz w:val="16"/>
                <w:szCs w:val="16"/>
              </w:rPr>
              <w:t>As per 2022-23</w:t>
            </w:r>
          </w:p>
        </w:tc>
        <w:tc>
          <w:tcPr>
            <w:tcW w:w="4091" w:type="dxa"/>
            <w:tcBorders>
              <w:top w:val="dotted" w:sz="4" w:space="0" w:color="auto"/>
              <w:left w:val="single" w:sz="4" w:space="0" w:color="auto"/>
              <w:bottom w:val="single" w:sz="4" w:space="0" w:color="auto"/>
              <w:right w:val="single" w:sz="4" w:space="0" w:color="auto"/>
            </w:tcBorders>
            <w:shd w:val="clear" w:color="auto" w:fill="auto"/>
          </w:tcPr>
          <w:p w14:paraId="41A2BF59" w14:textId="77777777" w:rsidR="00A3076F" w:rsidRPr="00F54F88" w:rsidRDefault="00A3076F" w:rsidP="006D2B96">
            <w:pPr>
              <w:tabs>
                <w:tab w:val="left" w:pos="709"/>
              </w:tabs>
              <w:spacing w:before="60" w:after="60" w:line="240" w:lineRule="auto"/>
              <w:rPr>
                <w:rFonts w:ascii="Arial" w:hAnsi="Arial" w:cs="Arial"/>
                <w:sz w:val="16"/>
                <w:szCs w:val="16"/>
              </w:rPr>
            </w:pPr>
            <w:r w:rsidRPr="00B1494B">
              <w:rPr>
                <w:rFonts w:ascii="Arial" w:eastAsia="Arial" w:hAnsi="Arial" w:cs="Arial"/>
                <w:sz w:val="16"/>
                <w:szCs w:val="16"/>
              </w:rPr>
              <w:t>As per 2022-23</w:t>
            </w:r>
          </w:p>
        </w:tc>
      </w:tr>
    </w:tbl>
    <w:tbl>
      <w:tblPr>
        <w:tblW w:w="7797" w:type="dxa"/>
        <w:tblInd w:w="-5" w:type="dxa"/>
        <w:tblBorders>
          <w:left w:val="single" w:sz="4" w:space="0" w:color="auto"/>
          <w:bottom w:val="single" w:sz="4" w:space="0" w:color="auto"/>
          <w:right w:val="single" w:sz="4" w:space="0" w:color="auto"/>
        </w:tblBorders>
        <w:tblLook w:val="04A0" w:firstRow="1" w:lastRow="0" w:firstColumn="1" w:lastColumn="0" w:noHBand="0" w:noVBand="1"/>
      </w:tblPr>
      <w:tblGrid>
        <w:gridCol w:w="7797"/>
      </w:tblGrid>
      <w:tr w:rsidR="00A3076F" w:rsidRPr="002F196B" w14:paraId="7E9E406B" w14:textId="77777777" w:rsidTr="006D2B96">
        <w:trPr>
          <w:trHeight w:val="291"/>
        </w:trPr>
        <w:tc>
          <w:tcPr>
            <w:tcW w:w="7797" w:type="dxa"/>
          </w:tcPr>
          <w:p w14:paraId="699119F8" w14:textId="39B6125F" w:rsidR="00A3076F" w:rsidRPr="002F196B" w:rsidRDefault="00A3076F" w:rsidP="006D2B96">
            <w:pPr>
              <w:tabs>
                <w:tab w:val="left" w:pos="709"/>
              </w:tabs>
              <w:spacing w:before="60" w:after="60" w:line="240" w:lineRule="auto"/>
              <w:rPr>
                <w:rFonts w:ascii="Arial" w:eastAsia="Cambria" w:hAnsi="Arial" w:cs="Arial"/>
                <w:bCs/>
                <w:iCs/>
                <w:spacing w:val="-6"/>
                <w:sz w:val="16"/>
                <w:szCs w:val="16"/>
              </w:rPr>
            </w:pPr>
            <w:r>
              <w:rPr>
                <w:rFonts w:ascii="Arial" w:hAnsi="Arial" w:cs="Arial"/>
                <w:sz w:val="16"/>
                <w:szCs w:val="16"/>
              </w:rPr>
              <w:t>Material changes to Program 2.6</w:t>
            </w:r>
            <w:r w:rsidRPr="00F24B20">
              <w:rPr>
                <w:rFonts w:ascii="Arial" w:hAnsi="Arial" w:cs="Arial"/>
                <w:sz w:val="16"/>
                <w:szCs w:val="16"/>
              </w:rPr>
              <w:t xml:space="preserve"> resulting from Octob</w:t>
            </w:r>
            <w:r>
              <w:rPr>
                <w:rFonts w:ascii="Arial" w:hAnsi="Arial" w:cs="Arial"/>
                <w:sz w:val="16"/>
                <w:szCs w:val="16"/>
              </w:rPr>
              <w:t>er 2022-23 Budget Measures: Nil</w:t>
            </w:r>
          </w:p>
        </w:tc>
      </w:tr>
    </w:tbl>
    <w:p w14:paraId="513B7E60" w14:textId="308717EC" w:rsidR="00A3076F" w:rsidRPr="00A3076F" w:rsidRDefault="00A3076F" w:rsidP="00A3076F">
      <w:pPr>
        <w:pStyle w:val="TableGraphic"/>
      </w:pPr>
    </w:p>
    <w:p w14:paraId="0FE7A3ED" w14:textId="77777777" w:rsidR="003A2E7D" w:rsidRDefault="003A2E7D" w:rsidP="00F0167C">
      <w:pPr>
        <w:pStyle w:val="TableHeading"/>
      </w:pPr>
      <w:r>
        <w:br w:type="page"/>
      </w:r>
    </w:p>
    <w:p w14:paraId="3044B94A" w14:textId="77777777" w:rsidR="00496279" w:rsidRPr="002D353C" w:rsidRDefault="00F0167C" w:rsidP="00496279">
      <w:pPr>
        <w:pStyle w:val="TableHeading"/>
        <w:rPr>
          <w:b w:val="0"/>
          <w:color w:val="000000"/>
          <w:sz w:val="16"/>
          <w:lang w:val="x-none" w:eastAsia="x-none"/>
        </w:rPr>
      </w:pPr>
      <w:r>
        <w:lastRenderedPageBreak/>
        <w:t>Table 2.2.2</w:t>
      </w:r>
      <w:r w:rsidRPr="00F71634">
        <w:t xml:space="preserve">: Performance </w:t>
      </w:r>
      <w:r w:rsidRPr="00026D37">
        <w:t>measure</w:t>
      </w:r>
      <w:r w:rsidRPr="00F71634">
        <w:t xml:space="preserve"> </w:t>
      </w:r>
      <w:r>
        <w:t>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268"/>
        <w:gridCol w:w="4115"/>
      </w:tblGrid>
      <w:tr w:rsidR="00496279" w:rsidRPr="00361E69" w14:paraId="22ED552D" w14:textId="77777777" w:rsidTr="003608D9">
        <w:trPr>
          <w:trHeight w:val="522"/>
        </w:trPr>
        <w:tc>
          <w:tcPr>
            <w:tcW w:w="7795" w:type="dxa"/>
            <w:gridSpan w:val="3"/>
            <w:shd w:val="clear" w:color="auto" w:fill="F2F2F2"/>
          </w:tcPr>
          <w:p w14:paraId="578506DA" w14:textId="77777777" w:rsidR="00496279" w:rsidRPr="00A82314" w:rsidRDefault="00496279" w:rsidP="00254216">
            <w:pPr>
              <w:tabs>
                <w:tab w:val="left" w:pos="709"/>
              </w:tabs>
              <w:spacing w:before="60" w:after="60" w:line="240" w:lineRule="auto"/>
              <w:rPr>
                <w:rFonts w:ascii="Arial" w:hAnsi="Arial" w:cs="Arial"/>
                <w:b/>
                <w:sz w:val="16"/>
                <w:szCs w:val="16"/>
              </w:rPr>
            </w:pPr>
            <w:r w:rsidRPr="00A82314">
              <w:rPr>
                <w:rFonts w:ascii="Arial" w:hAnsi="Arial" w:cs="Arial"/>
                <w:b/>
                <w:sz w:val="16"/>
                <w:szCs w:val="16"/>
              </w:rPr>
              <w:t>Program 2.7- Public Sector Superannuation</w:t>
            </w:r>
          </w:p>
          <w:p w14:paraId="2564B12A" w14:textId="77777777" w:rsidR="00496279" w:rsidRPr="00A82314" w:rsidRDefault="00496279" w:rsidP="00254216">
            <w:pPr>
              <w:tabs>
                <w:tab w:val="left" w:pos="709"/>
              </w:tabs>
              <w:spacing w:before="60" w:after="60" w:line="240" w:lineRule="auto"/>
              <w:rPr>
                <w:rFonts w:ascii="Arial" w:hAnsi="Arial" w:cs="Arial"/>
                <w:sz w:val="16"/>
                <w:szCs w:val="16"/>
              </w:rPr>
            </w:pPr>
            <w:r w:rsidRPr="00A82314">
              <w:rPr>
                <w:rFonts w:ascii="Arial" w:hAnsi="Arial" w:cs="Arial"/>
                <w:sz w:val="16"/>
                <w:szCs w:val="16"/>
              </w:rPr>
              <w:t>This program contributes to the outcome through advising the Government on the stability of the Government’s unfunded superannuation liabilities and its associated administered expense items and superannuation arrangements for government employees. This includes the administration and management of superannuation arrangements for parliamentarians, as well as current and former governors-general, federal judges and Federal Circuit Court Judges.</w:t>
            </w:r>
          </w:p>
        </w:tc>
      </w:tr>
      <w:tr w:rsidR="00496279" w:rsidRPr="00361E69" w14:paraId="5631C7AD" w14:textId="77777777" w:rsidTr="00DC40CF">
        <w:trPr>
          <w:trHeight w:val="102"/>
        </w:trPr>
        <w:tc>
          <w:tcPr>
            <w:tcW w:w="1412" w:type="dxa"/>
            <w:tcBorders>
              <w:bottom w:val="double" w:sz="4" w:space="0" w:color="auto"/>
            </w:tcBorders>
          </w:tcPr>
          <w:p w14:paraId="05E96CAD" w14:textId="77777777" w:rsidR="00496279" w:rsidRPr="00361E69" w:rsidRDefault="00496279" w:rsidP="00254216">
            <w:pPr>
              <w:tabs>
                <w:tab w:val="left" w:pos="709"/>
              </w:tabs>
              <w:spacing w:before="60" w:after="60" w:line="240" w:lineRule="auto"/>
              <w:rPr>
                <w:rFonts w:ascii="Arial" w:hAnsi="Arial" w:cs="Arial"/>
                <w:b/>
                <w:sz w:val="16"/>
                <w:szCs w:val="16"/>
              </w:rPr>
            </w:pPr>
            <w:r>
              <w:rPr>
                <w:rFonts w:ascii="Arial" w:hAnsi="Arial" w:cs="Arial"/>
                <w:b/>
                <w:sz w:val="16"/>
                <w:szCs w:val="16"/>
              </w:rPr>
              <w:t>Key Activities (a)</w:t>
            </w:r>
          </w:p>
        </w:tc>
        <w:tc>
          <w:tcPr>
            <w:tcW w:w="6383" w:type="dxa"/>
            <w:gridSpan w:val="2"/>
            <w:tcBorders>
              <w:bottom w:val="double" w:sz="4" w:space="0" w:color="auto"/>
            </w:tcBorders>
          </w:tcPr>
          <w:p w14:paraId="66FAEDB4" w14:textId="77777777" w:rsidR="00496279" w:rsidRPr="00A82314" w:rsidRDefault="00496279" w:rsidP="00254216">
            <w:pPr>
              <w:tabs>
                <w:tab w:val="left" w:pos="709"/>
              </w:tabs>
              <w:autoSpaceDE w:val="0"/>
              <w:autoSpaceDN w:val="0"/>
              <w:spacing w:before="60" w:after="60" w:line="240" w:lineRule="auto"/>
              <w:rPr>
                <w:rFonts w:ascii="Arial" w:hAnsi="Arial" w:cs="Arial"/>
                <w:b/>
                <w:bCs/>
                <w:sz w:val="16"/>
                <w:szCs w:val="16"/>
              </w:rPr>
            </w:pPr>
            <w:r w:rsidRPr="00A82314">
              <w:rPr>
                <w:rFonts w:ascii="Arial" w:hAnsi="Arial" w:cs="Arial"/>
                <w:b/>
                <w:bCs/>
                <w:sz w:val="16"/>
                <w:szCs w:val="16"/>
              </w:rPr>
              <w:t>Enable investment funds and civilian superannuation</w:t>
            </w:r>
          </w:p>
          <w:p w14:paraId="437E0FD2" w14:textId="77777777" w:rsidR="00496279" w:rsidRPr="00A82314" w:rsidRDefault="00496279" w:rsidP="00254216">
            <w:pPr>
              <w:tabs>
                <w:tab w:val="left" w:pos="709"/>
              </w:tabs>
              <w:autoSpaceDE w:val="0"/>
              <w:autoSpaceDN w:val="0"/>
              <w:spacing w:before="60" w:after="60" w:line="240" w:lineRule="auto"/>
              <w:rPr>
                <w:rFonts w:ascii="Arial" w:hAnsi="Arial" w:cs="Arial"/>
                <w:i/>
                <w:sz w:val="16"/>
                <w:szCs w:val="16"/>
              </w:rPr>
            </w:pPr>
            <w:r w:rsidRPr="00A82314">
              <w:rPr>
                <w:rFonts w:ascii="Arial" w:hAnsi="Arial" w:cs="Arial"/>
                <w:bCs/>
                <w:sz w:val="16"/>
                <w:szCs w:val="16"/>
              </w:rPr>
              <w:t>Provide a policy, regulatory and legislative framework that enables the maximisation of returns on investment funds and superannuation scheme compliance.</w:t>
            </w:r>
          </w:p>
        </w:tc>
      </w:tr>
      <w:tr w:rsidR="00496279" w:rsidRPr="00361E69" w14:paraId="33432030" w14:textId="77777777" w:rsidTr="00DC40CF">
        <w:trPr>
          <w:trHeight w:val="312"/>
        </w:trPr>
        <w:tc>
          <w:tcPr>
            <w:tcW w:w="1412" w:type="dxa"/>
            <w:tcBorders>
              <w:top w:val="double" w:sz="4" w:space="0" w:color="auto"/>
              <w:bottom w:val="single" w:sz="4" w:space="0" w:color="auto"/>
              <w:right w:val="single" w:sz="4" w:space="0" w:color="auto"/>
            </w:tcBorders>
          </w:tcPr>
          <w:p w14:paraId="4EC61043" w14:textId="77777777" w:rsidR="00496279" w:rsidRPr="00361E69" w:rsidRDefault="00496279" w:rsidP="00254216">
            <w:pPr>
              <w:tabs>
                <w:tab w:val="left" w:pos="709"/>
              </w:tabs>
              <w:spacing w:before="60" w:after="60" w:line="240" w:lineRule="auto"/>
              <w:rPr>
                <w:rFonts w:ascii="Arial" w:hAnsi="Arial" w:cs="Arial"/>
                <w:b/>
                <w:sz w:val="16"/>
                <w:szCs w:val="16"/>
              </w:rPr>
            </w:pPr>
            <w:r w:rsidRPr="00361E69">
              <w:rPr>
                <w:rFonts w:ascii="Arial" w:hAnsi="Arial" w:cs="Arial"/>
                <w:b/>
                <w:sz w:val="16"/>
                <w:szCs w:val="16"/>
              </w:rPr>
              <w:t>Year</w:t>
            </w:r>
          </w:p>
        </w:tc>
        <w:tc>
          <w:tcPr>
            <w:tcW w:w="2268" w:type="dxa"/>
            <w:tcBorders>
              <w:top w:val="double" w:sz="4" w:space="0" w:color="auto"/>
              <w:left w:val="single" w:sz="4" w:space="0" w:color="auto"/>
              <w:bottom w:val="single" w:sz="4" w:space="0" w:color="auto"/>
              <w:right w:val="single" w:sz="4" w:space="0" w:color="auto"/>
            </w:tcBorders>
          </w:tcPr>
          <w:p w14:paraId="1F6AC112" w14:textId="77777777" w:rsidR="00496279" w:rsidRPr="00361E69" w:rsidRDefault="00496279" w:rsidP="00254216">
            <w:pPr>
              <w:tabs>
                <w:tab w:val="left" w:pos="709"/>
                <w:tab w:val="center" w:pos="1818"/>
              </w:tabs>
              <w:spacing w:before="60" w:after="60" w:line="240" w:lineRule="auto"/>
              <w:rPr>
                <w:rFonts w:ascii="Arial" w:hAnsi="Arial" w:cs="Arial"/>
                <w:b/>
                <w:sz w:val="16"/>
                <w:szCs w:val="16"/>
              </w:rPr>
            </w:pPr>
            <w:r w:rsidRPr="00361E69">
              <w:rPr>
                <w:rFonts w:ascii="Arial" w:hAnsi="Arial" w:cs="Arial"/>
                <w:b/>
                <w:sz w:val="16"/>
                <w:szCs w:val="16"/>
              </w:rPr>
              <w:t>Performance measures</w:t>
            </w:r>
          </w:p>
        </w:tc>
        <w:tc>
          <w:tcPr>
            <w:tcW w:w="4115" w:type="dxa"/>
            <w:tcBorders>
              <w:top w:val="double" w:sz="4" w:space="0" w:color="auto"/>
              <w:left w:val="single" w:sz="4" w:space="0" w:color="auto"/>
              <w:bottom w:val="single" w:sz="4" w:space="0" w:color="auto"/>
            </w:tcBorders>
          </w:tcPr>
          <w:p w14:paraId="5D7D8423" w14:textId="77777777" w:rsidR="00496279" w:rsidRPr="00361E69" w:rsidRDefault="00496279" w:rsidP="00254216">
            <w:pPr>
              <w:tabs>
                <w:tab w:val="left" w:pos="709"/>
              </w:tabs>
              <w:spacing w:before="60" w:after="60" w:line="240" w:lineRule="auto"/>
              <w:rPr>
                <w:rFonts w:ascii="Arial" w:hAnsi="Arial" w:cs="Arial"/>
                <w:b/>
                <w:sz w:val="16"/>
                <w:szCs w:val="16"/>
              </w:rPr>
            </w:pPr>
            <w:r w:rsidRPr="00361E69">
              <w:rPr>
                <w:rFonts w:ascii="Arial" w:hAnsi="Arial" w:cs="Arial"/>
                <w:b/>
                <w:sz w:val="16"/>
                <w:szCs w:val="16"/>
              </w:rPr>
              <w:t>Expected Performance Results</w:t>
            </w:r>
          </w:p>
        </w:tc>
      </w:tr>
      <w:tr w:rsidR="00496279" w:rsidRPr="00C92882" w14:paraId="3C3EA8C3" w14:textId="77777777" w:rsidTr="00DC40CF">
        <w:trPr>
          <w:trHeight w:val="2078"/>
        </w:trPr>
        <w:tc>
          <w:tcPr>
            <w:tcW w:w="1412" w:type="dxa"/>
            <w:tcBorders>
              <w:top w:val="single" w:sz="4" w:space="0" w:color="auto"/>
              <w:bottom w:val="nil"/>
              <w:right w:val="single" w:sz="4" w:space="0" w:color="auto"/>
            </w:tcBorders>
          </w:tcPr>
          <w:p w14:paraId="31369360" w14:textId="77777777" w:rsidR="00496279" w:rsidRPr="00226614" w:rsidRDefault="00496279" w:rsidP="00254216">
            <w:pPr>
              <w:tabs>
                <w:tab w:val="left" w:pos="709"/>
              </w:tabs>
              <w:spacing w:before="60" w:after="60" w:line="240" w:lineRule="auto"/>
              <w:rPr>
                <w:rFonts w:ascii="Arial" w:hAnsi="Arial" w:cs="Arial"/>
                <w:sz w:val="16"/>
                <w:szCs w:val="16"/>
              </w:rPr>
            </w:pPr>
            <w:r w:rsidRPr="00226614">
              <w:rPr>
                <w:rFonts w:ascii="Arial" w:hAnsi="Arial" w:cs="Arial"/>
                <w:sz w:val="16"/>
                <w:szCs w:val="16"/>
              </w:rPr>
              <w:t xml:space="preserve">Prior year </w:t>
            </w:r>
          </w:p>
          <w:p w14:paraId="196F7F80" w14:textId="77777777" w:rsidR="00496279" w:rsidRPr="00361E69" w:rsidRDefault="00496279" w:rsidP="00254216">
            <w:pPr>
              <w:tabs>
                <w:tab w:val="left" w:pos="709"/>
              </w:tabs>
              <w:spacing w:before="60" w:after="60" w:line="240" w:lineRule="auto"/>
              <w:rPr>
                <w:rFonts w:ascii="Arial" w:hAnsi="Arial" w:cs="Arial"/>
                <w:sz w:val="16"/>
                <w:szCs w:val="16"/>
              </w:rPr>
            </w:pPr>
            <w:r w:rsidRPr="00226614">
              <w:rPr>
                <w:rFonts w:ascii="Arial" w:hAnsi="Arial" w:cs="Arial"/>
                <w:sz w:val="16"/>
                <w:szCs w:val="16"/>
              </w:rPr>
              <w:t xml:space="preserve">2021-22 </w:t>
            </w:r>
          </w:p>
        </w:tc>
        <w:tc>
          <w:tcPr>
            <w:tcW w:w="2268" w:type="dxa"/>
            <w:tcBorders>
              <w:top w:val="single" w:sz="4" w:space="0" w:color="auto"/>
              <w:left w:val="single" w:sz="4" w:space="0" w:color="auto"/>
              <w:bottom w:val="dotted" w:sz="4" w:space="0" w:color="auto"/>
              <w:right w:val="single" w:sz="4" w:space="0" w:color="auto"/>
            </w:tcBorders>
          </w:tcPr>
          <w:p w14:paraId="657B1B4D" w14:textId="77777777" w:rsidR="00496279" w:rsidRPr="00A82314" w:rsidRDefault="00496279" w:rsidP="00254216">
            <w:pPr>
              <w:tabs>
                <w:tab w:val="left" w:pos="709"/>
              </w:tabs>
              <w:spacing w:before="60" w:after="60" w:line="240" w:lineRule="auto"/>
              <w:rPr>
                <w:rFonts w:ascii="Arial" w:hAnsi="Arial" w:cs="Arial"/>
                <w:b/>
                <w:bCs/>
                <w:sz w:val="16"/>
                <w:szCs w:val="16"/>
              </w:rPr>
            </w:pPr>
            <w:r w:rsidRPr="00A82314">
              <w:rPr>
                <w:rFonts w:ascii="Arial" w:hAnsi="Arial" w:cs="Arial"/>
                <w:b/>
                <w:bCs/>
                <w:sz w:val="16"/>
                <w:szCs w:val="16"/>
              </w:rPr>
              <w:t>Public sector civilian superannuation schemes</w:t>
            </w:r>
          </w:p>
          <w:p w14:paraId="3ED355F4" w14:textId="77777777" w:rsidR="00496279" w:rsidRPr="00A82314" w:rsidRDefault="00496279" w:rsidP="00254216">
            <w:pPr>
              <w:tabs>
                <w:tab w:val="left" w:pos="709"/>
              </w:tabs>
              <w:spacing w:before="60" w:after="60" w:line="240" w:lineRule="auto"/>
              <w:rPr>
                <w:rFonts w:ascii="Arial" w:hAnsi="Arial" w:cs="Arial"/>
                <w:bCs/>
                <w:sz w:val="16"/>
                <w:szCs w:val="16"/>
              </w:rPr>
            </w:pPr>
            <w:r w:rsidRPr="00A82314">
              <w:rPr>
                <w:rFonts w:ascii="Arial" w:hAnsi="Arial" w:cs="Arial"/>
                <w:bCs/>
                <w:sz w:val="16"/>
                <w:szCs w:val="16"/>
              </w:rPr>
              <w:t xml:space="preserve">The legislative framework for the Commonwealth Government's civilian superannuation schemes enables the schemes to be administered in accordance with the applicable regulatory and legislative requirements. </w:t>
            </w:r>
          </w:p>
        </w:tc>
        <w:tc>
          <w:tcPr>
            <w:tcW w:w="4115" w:type="dxa"/>
            <w:tcBorders>
              <w:top w:val="single" w:sz="4" w:space="0" w:color="auto"/>
              <w:left w:val="single" w:sz="4" w:space="0" w:color="auto"/>
              <w:bottom w:val="dotted" w:sz="4" w:space="0" w:color="auto"/>
            </w:tcBorders>
          </w:tcPr>
          <w:p w14:paraId="4C954A94" w14:textId="77777777" w:rsidR="00496279" w:rsidRPr="00A82314" w:rsidRDefault="00496279" w:rsidP="00254216">
            <w:pPr>
              <w:autoSpaceDE w:val="0"/>
              <w:autoSpaceDN w:val="0"/>
              <w:adjustRightInd w:val="0"/>
              <w:spacing w:before="60" w:after="60" w:line="240" w:lineRule="auto"/>
              <w:rPr>
                <w:rFonts w:ascii="Arial" w:hAnsi="Arial" w:cs="Arial"/>
                <w:b/>
                <w:bCs/>
                <w:sz w:val="16"/>
                <w:szCs w:val="16"/>
              </w:rPr>
            </w:pPr>
            <w:r w:rsidRPr="00A82314">
              <w:rPr>
                <w:rFonts w:ascii="Arial" w:hAnsi="Arial" w:cs="Arial"/>
                <w:b/>
                <w:bCs/>
                <w:sz w:val="16"/>
                <w:szCs w:val="16"/>
              </w:rPr>
              <w:t>Achieved</w:t>
            </w:r>
          </w:p>
          <w:p w14:paraId="165B00E9" w14:textId="77777777" w:rsidR="00496279" w:rsidRPr="00A82314" w:rsidRDefault="00496279" w:rsidP="00254216">
            <w:pPr>
              <w:tabs>
                <w:tab w:val="left" w:pos="709"/>
              </w:tabs>
              <w:spacing w:before="60" w:after="60" w:line="240" w:lineRule="auto"/>
              <w:rPr>
                <w:rFonts w:ascii="Arial" w:hAnsi="Arial" w:cs="Arial"/>
                <w:sz w:val="16"/>
                <w:szCs w:val="16"/>
              </w:rPr>
            </w:pPr>
            <w:r w:rsidRPr="00A82314">
              <w:rPr>
                <w:rFonts w:ascii="Arial" w:hAnsi="Arial" w:cs="Arial"/>
                <w:bCs/>
                <w:sz w:val="16"/>
                <w:szCs w:val="16"/>
              </w:rPr>
              <w:t>No material legislative impediments to the administration of the civilian superannuation schemes have been identified by Finance or advised to Finance by the Commonwealth Superannuation Corporation during the entire reporting period.</w:t>
            </w:r>
          </w:p>
        </w:tc>
      </w:tr>
      <w:tr w:rsidR="00496279" w:rsidRPr="00C92882" w14:paraId="4710A208" w14:textId="77777777" w:rsidTr="00DC40CF">
        <w:trPr>
          <w:trHeight w:val="1021"/>
        </w:trPr>
        <w:tc>
          <w:tcPr>
            <w:tcW w:w="1412" w:type="dxa"/>
            <w:tcBorders>
              <w:top w:val="nil"/>
              <w:right w:val="single" w:sz="4" w:space="0" w:color="auto"/>
            </w:tcBorders>
          </w:tcPr>
          <w:p w14:paraId="4ADD0A92" w14:textId="77777777" w:rsidR="00496279" w:rsidRPr="00361E69" w:rsidRDefault="00496279" w:rsidP="00254216">
            <w:pPr>
              <w:tabs>
                <w:tab w:val="left" w:pos="709"/>
              </w:tabs>
              <w:spacing w:before="60" w:after="60"/>
              <w:rPr>
                <w:rFonts w:ascii="Arial" w:hAnsi="Arial" w:cs="Arial"/>
                <w:sz w:val="16"/>
                <w:szCs w:val="16"/>
              </w:rPr>
            </w:pPr>
          </w:p>
        </w:tc>
        <w:tc>
          <w:tcPr>
            <w:tcW w:w="2268" w:type="dxa"/>
            <w:tcBorders>
              <w:top w:val="dotted" w:sz="4" w:space="0" w:color="auto"/>
              <w:left w:val="single" w:sz="4" w:space="0" w:color="auto"/>
              <w:right w:val="single" w:sz="4" w:space="0" w:color="auto"/>
            </w:tcBorders>
          </w:tcPr>
          <w:p w14:paraId="1CEB52B1" w14:textId="77777777" w:rsidR="00496279" w:rsidRPr="00A82314" w:rsidRDefault="00496279" w:rsidP="00254216">
            <w:pPr>
              <w:tabs>
                <w:tab w:val="left" w:pos="709"/>
              </w:tabs>
              <w:spacing w:before="60" w:after="60" w:line="240" w:lineRule="auto"/>
              <w:rPr>
                <w:rFonts w:ascii="Arial" w:hAnsi="Arial" w:cs="Arial"/>
                <w:b/>
                <w:bCs/>
                <w:sz w:val="16"/>
                <w:szCs w:val="16"/>
              </w:rPr>
            </w:pPr>
            <w:r w:rsidRPr="00A82314">
              <w:rPr>
                <w:rFonts w:ascii="Arial" w:hAnsi="Arial" w:cs="Arial"/>
                <w:b/>
                <w:bCs/>
                <w:sz w:val="16"/>
                <w:szCs w:val="16"/>
              </w:rPr>
              <w:t>Administration of pension schemes for former parliamentarians, judges and governors-general</w:t>
            </w:r>
          </w:p>
          <w:p w14:paraId="0AD00701" w14:textId="77777777" w:rsidR="00496279" w:rsidRPr="00A82314" w:rsidRDefault="00496279" w:rsidP="00254216">
            <w:pPr>
              <w:spacing w:before="60" w:after="60" w:line="240" w:lineRule="auto"/>
              <w:rPr>
                <w:rFonts w:ascii="Arial" w:hAnsi="Arial" w:cs="Arial"/>
                <w:sz w:val="16"/>
                <w:szCs w:val="16"/>
              </w:rPr>
            </w:pPr>
            <w:r w:rsidRPr="00A82314">
              <w:rPr>
                <w:rFonts w:ascii="Arial" w:hAnsi="Arial" w:cs="Arial"/>
                <w:bCs/>
                <w:sz w:val="16"/>
                <w:szCs w:val="16"/>
              </w:rPr>
              <w:t>The pension schemes are administered by Finance effectively, in accordance with the applicable regulatory and legislative requirements</w:t>
            </w:r>
          </w:p>
        </w:tc>
        <w:tc>
          <w:tcPr>
            <w:tcW w:w="4115" w:type="dxa"/>
            <w:tcBorders>
              <w:top w:val="dotted" w:sz="4" w:space="0" w:color="auto"/>
              <w:left w:val="single" w:sz="4" w:space="0" w:color="auto"/>
            </w:tcBorders>
          </w:tcPr>
          <w:p w14:paraId="69A95567" w14:textId="77777777" w:rsidR="00496279" w:rsidRPr="00A82314" w:rsidRDefault="00496279" w:rsidP="00254216">
            <w:pPr>
              <w:spacing w:before="60" w:after="60" w:line="240" w:lineRule="auto"/>
              <w:rPr>
                <w:rFonts w:ascii="Arial" w:eastAsia="Arial" w:hAnsi="Arial" w:cs="Arial"/>
                <w:b/>
                <w:sz w:val="16"/>
                <w:szCs w:val="16"/>
              </w:rPr>
            </w:pPr>
            <w:r w:rsidRPr="00A82314">
              <w:rPr>
                <w:rFonts w:ascii="Arial" w:eastAsia="Arial" w:hAnsi="Arial" w:cs="Arial"/>
                <w:b/>
                <w:sz w:val="16"/>
                <w:szCs w:val="16"/>
              </w:rPr>
              <w:t>Achieved</w:t>
            </w:r>
          </w:p>
          <w:p w14:paraId="203E386C" w14:textId="6DE06D8E" w:rsidR="00496279" w:rsidRDefault="00FB4106" w:rsidP="00254216">
            <w:pPr>
              <w:spacing w:before="60" w:after="60" w:line="240" w:lineRule="auto"/>
              <w:rPr>
                <w:rFonts w:ascii="Arial" w:eastAsia="Arial" w:hAnsi="Arial" w:cs="Arial"/>
                <w:sz w:val="16"/>
                <w:szCs w:val="16"/>
              </w:rPr>
            </w:pPr>
            <w:r>
              <w:rPr>
                <w:rFonts w:ascii="Arial" w:eastAsia="Arial" w:hAnsi="Arial" w:cs="Arial"/>
                <w:sz w:val="16"/>
                <w:szCs w:val="16"/>
              </w:rPr>
              <w:t>During 2021-</w:t>
            </w:r>
            <w:r w:rsidR="00496279" w:rsidRPr="00A82314">
              <w:rPr>
                <w:rFonts w:ascii="Arial" w:eastAsia="Arial" w:hAnsi="Arial" w:cs="Arial"/>
                <w:sz w:val="16"/>
                <w:szCs w:val="16"/>
              </w:rPr>
              <w:t xml:space="preserve">22, pension payments from all the schemes were paid on schedule and statutory reports (notably to the Australian Taxation Office) were submitted in a timely manner in line with applicable regulatory and legislative requirements. </w:t>
            </w:r>
          </w:p>
          <w:p w14:paraId="0E073F36" w14:textId="34B41DD2" w:rsidR="00496279" w:rsidRPr="00A82314" w:rsidRDefault="00496279" w:rsidP="00254216">
            <w:pPr>
              <w:tabs>
                <w:tab w:val="left" w:pos="709"/>
              </w:tabs>
              <w:autoSpaceDE w:val="0"/>
              <w:autoSpaceDN w:val="0"/>
              <w:adjustRightInd w:val="0"/>
              <w:spacing w:before="60" w:after="60" w:line="240" w:lineRule="auto"/>
              <w:rPr>
                <w:rFonts w:ascii="Arial" w:eastAsia="Arial" w:hAnsi="Arial" w:cs="Arial"/>
                <w:sz w:val="16"/>
                <w:szCs w:val="16"/>
              </w:rPr>
            </w:pPr>
            <w:r w:rsidRPr="00A82314">
              <w:rPr>
                <w:rFonts w:ascii="Arial" w:eastAsia="Arial" w:hAnsi="Arial" w:cs="Arial"/>
                <w:sz w:val="16"/>
                <w:szCs w:val="16"/>
              </w:rPr>
              <w:t>There were also no significant disruptions to the I</w:t>
            </w:r>
            <w:r w:rsidR="00FB4106">
              <w:rPr>
                <w:rFonts w:ascii="Arial" w:eastAsia="Arial" w:hAnsi="Arial" w:cs="Arial"/>
                <w:sz w:val="16"/>
                <w:szCs w:val="16"/>
              </w:rPr>
              <w:t>C</w:t>
            </w:r>
            <w:r w:rsidRPr="00A82314">
              <w:rPr>
                <w:rFonts w:ascii="Arial" w:eastAsia="Arial" w:hAnsi="Arial" w:cs="Arial"/>
                <w:sz w:val="16"/>
                <w:szCs w:val="16"/>
              </w:rPr>
              <w:t>T systems of the superannuation schemes that affected member services during the year.</w:t>
            </w:r>
          </w:p>
        </w:tc>
      </w:tr>
    </w:tbl>
    <w:p w14:paraId="2371ECE7" w14:textId="18CDF535" w:rsidR="00F24B20" w:rsidRPr="00496279" w:rsidRDefault="00F0167C" w:rsidP="00567882">
      <w:pPr>
        <w:pStyle w:val="TableHeading"/>
        <w:spacing w:before="30" w:after="0"/>
      </w:pPr>
      <w:r w:rsidRPr="002D353C">
        <w:rPr>
          <w:b w:val="0"/>
          <w:color w:val="000000"/>
          <w:sz w:val="16"/>
          <w:lang w:val="x-none" w:eastAsia="x-none"/>
        </w:rPr>
        <w:t>Table continues on next page</w:t>
      </w:r>
      <w:r w:rsidR="00F24B20">
        <w:rPr>
          <w:b w:val="0"/>
          <w:color w:val="000000"/>
          <w:sz w:val="16"/>
          <w:lang w:val="x-none" w:eastAsia="x-none"/>
        </w:rPr>
        <w:br w:type="page"/>
      </w:r>
    </w:p>
    <w:p w14:paraId="2239E257" w14:textId="19E5E43E" w:rsidR="00F0167C" w:rsidRPr="00DF7B9B" w:rsidRDefault="00F0167C" w:rsidP="00F24B20">
      <w:pPr>
        <w:pStyle w:val="TableHeading"/>
        <w:spacing w:before="0" w:after="0"/>
        <w:ind w:right="-113"/>
        <w:rPr>
          <w:b w:val="0"/>
          <w:color w:val="000000"/>
          <w:sz w:val="16"/>
          <w:lang w:val="x-none" w:eastAsia="x-none"/>
        </w:rPr>
      </w:pPr>
      <w:r>
        <w:lastRenderedPageBreak/>
        <w:t>Table 2.2.2</w:t>
      </w:r>
      <w:r w:rsidRPr="00F71634">
        <w:t xml:space="preserve">: Performance </w:t>
      </w:r>
      <w:r w:rsidRPr="00026D37">
        <w:t>measure</w:t>
      </w:r>
      <w:r w:rsidRPr="00F71634">
        <w:t xml:space="preserve"> </w:t>
      </w:r>
      <w:r>
        <w:t>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287"/>
        <w:gridCol w:w="4093"/>
      </w:tblGrid>
      <w:tr w:rsidR="00F0167C" w:rsidRPr="00361E69" w14:paraId="2239E259" w14:textId="77777777" w:rsidTr="000F2E1E">
        <w:trPr>
          <w:trHeight w:val="460"/>
        </w:trPr>
        <w:tc>
          <w:tcPr>
            <w:tcW w:w="7795" w:type="dxa"/>
            <w:gridSpan w:val="3"/>
            <w:tcBorders>
              <w:bottom w:val="nil"/>
            </w:tcBorders>
            <w:shd w:val="clear" w:color="auto" w:fill="F2F2F2"/>
          </w:tcPr>
          <w:p w14:paraId="43CE5C49" w14:textId="77777777" w:rsidR="00F24B20" w:rsidRPr="00F24B20" w:rsidRDefault="00F24B20" w:rsidP="00632AE5">
            <w:pPr>
              <w:tabs>
                <w:tab w:val="left" w:pos="709"/>
              </w:tabs>
              <w:spacing w:before="60" w:after="60" w:line="240" w:lineRule="auto"/>
              <w:rPr>
                <w:rFonts w:ascii="Arial" w:hAnsi="Arial"/>
                <w:b/>
                <w:sz w:val="16"/>
                <w:szCs w:val="16"/>
              </w:rPr>
            </w:pPr>
            <w:r w:rsidRPr="00F24B20">
              <w:rPr>
                <w:rFonts w:ascii="Arial" w:hAnsi="Arial"/>
                <w:b/>
                <w:sz w:val="16"/>
                <w:szCs w:val="16"/>
              </w:rPr>
              <w:t>Program 2.7- Public Sector Superannuation</w:t>
            </w:r>
          </w:p>
          <w:p w14:paraId="2239E258" w14:textId="5EB727AC" w:rsidR="00F0167C" w:rsidRPr="00F24B20" w:rsidRDefault="00F24B20" w:rsidP="00632AE5">
            <w:pPr>
              <w:tabs>
                <w:tab w:val="left" w:pos="709"/>
              </w:tabs>
              <w:spacing w:before="60" w:after="60" w:line="240" w:lineRule="auto"/>
              <w:rPr>
                <w:rFonts w:ascii="Arial" w:hAnsi="Arial" w:cs="Arial"/>
                <w:sz w:val="16"/>
                <w:szCs w:val="16"/>
              </w:rPr>
            </w:pPr>
            <w:r w:rsidRPr="00F24B20">
              <w:rPr>
                <w:rFonts w:ascii="Arial" w:hAnsi="Arial"/>
                <w:sz w:val="16"/>
                <w:szCs w:val="16"/>
              </w:rPr>
              <w:t>This program contributes to the outcome through advising the Government on the stability of the Government’s unfunded superannuation liabilities and its associated administered expense items and superannuation arrangements for government employees. This includes the administration and management of superannuation arrangements for parliamentarians, as well as current and former governors-general, federal judges and Federal Circuit Court Judges</w:t>
            </w:r>
          </w:p>
        </w:tc>
      </w:tr>
      <w:tr w:rsidR="00F0167C" w:rsidRPr="002F196B" w14:paraId="2239E25D" w14:textId="77777777" w:rsidTr="000F2E1E">
        <w:trPr>
          <w:trHeight w:val="296"/>
        </w:trPr>
        <w:tc>
          <w:tcPr>
            <w:tcW w:w="1415" w:type="dxa"/>
            <w:tcBorders>
              <w:top w:val="single" w:sz="4" w:space="0" w:color="auto"/>
              <w:left w:val="single" w:sz="4" w:space="0" w:color="auto"/>
              <w:bottom w:val="nil"/>
              <w:right w:val="single" w:sz="4" w:space="0" w:color="auto"/>
            </w:tcBorders>
          </w:tcPr>
          <w:p w14:paraId="2239E25A" w14:textId="77777777" w:rsidR="00F0167C" w:rsidRPr="006A4649" w:rsidRDefault="00F0167C" w:rsidP="00632AE5">
            <w:pPr>
              <w:tabs>
                <w:tab w:val="left" w:pos="709"/>
              </w:tabs>
              <w:spacing w:before="60" w:after="60" w:line="240" w:lineRule="auto"/>
              <w:rPr>
                <w:rFonts w:ascii="Arial" w:hAnsi="Arial" w:cs="Arial"/>
                <w:sz w:val="16"/>
                <w:szCs w:val="16"/>
              </w:rPr>
            </w:pPr>
            <w:r w:rsidRPr="006A4649">
              <w:rPr>
                <w:rFonts w:ascii="Arial" w:hAnsi="Arial" w:cs="Arial"/>
                <w:b/>
                <w:sz w:val="16"/>
                <w:szCs w:val="16"/>
              </w:rPr>
              <w:t>Year</w:t>
            </w:r>
          </w:p>
        </w:tc>
        <w:tc>
          <w:tcPr>
            <w:tcW w:w="2287" w:type="dxa"/>
            <w:tcBorders>
              <w:top w:val="single" w:sz="4" w:space="0" w:color="auto"/>
              <w:left w:val="single" w:sz="4" w:space="0" w:color="auto"/>
              <w:bottom w:val="single" w:sz="4" w:space="0" w:color="auto"/>
              <w:right w:val="single" w:sz="4" w:space="0" w:color="auto"/>
            </w:tcBorders>
          </w:tcPr>
          <w:p w14:paraId="2239E25B" w14:textId="77777777" w:rsidR="00F0167C" w:rsidRPr="006A4649" w:rsidRDefault="00F0167C" w:rsidP="00632AE5">
            <w:pPr>
              <w:tabs>
                <w:tab w:val="left" w:pos="709"/>
              </w:tabs>
              <w:spacing w:before="60" w:after="60" w:line="240" w:lineRule="auto"/>
              <w:rPr>
                <w:rFonts w:ascii="Arial" w:hAnsi="Arial" w:cs="Arial"/>
                <w:sz w:val="16"/>
                <w:szCs w:val="16"/>
              </w:rPr>
            </w:pPr>
            <w:r w:rsidRPr="006A4649">
              <w:rPr>
                <w:rFonts w:ascii="Arial" w:hAnsi="Arial" w:cs="Arial"/>
                <w:b/>
                <w:sz w:val="16"/>
                <w:szCs w:val="16"/>
              </w:rPr>
              <w:t>Performance measures</w:t>
            </w:r>
          </w:p>
        </w:tc>
        <w:tc>
          <w:tcPr>
            <w:tcW w:w="4093" w:type="dxa"/>
            <w:tcBorders>
              <w:top w:val="single" w:sz="4" w:space="0" w:color="auto"/>
              <w:left w:val="single" w:sz="4" w:space="0" w:color="auto"/>
              <w:bottom w:val="single" w:sz="4" w:space="0" w:color="auto"/>
              <w:right w:val="single" w:sz="4" w:space="0" w:color="auto"/>
            </w:tcBorders>
          </w:tcPr>
          <w:p w14:paraId="2239E25C" w14:textId="77777777" w:rsidR="00F0167C" w:rsidRPr="006A4649" w:rsidRDefault="00F0167C" w:rsidP="00632AE5">
            <w:pPr>
              <w:tabs>
                <w:tab w:val="left" w:pos="709"/>
              </w:tabs>
              <w:spacing w:before="60" w:after="60" w:line="240" w:lineRule="auto"/>
              <w:rPr>
                <w:rFonts w:ascii="Arial" w:hAnsi="Arial" w:cs="Arial"/>
                <w:i/>
                <w:sz w:val="16"/>
                <w:szCs w:val="16"/>
              </w:rPr>
            </w:pPr>
            <w:r w:rsidRPr="006A4649">
              <w:rPr>
                <w:rFonts w:ascii="Arial" w:hAnsi="Arial" w:cs="Arial"/>
                <w:b/>
                <w:sz w:val="16"/>
                <w:szCs w:val="16"/>
              </w:rPr>
              <w:t>Planned Performance Results</w:t>
            </w:r>
          </w:p>
        </w:tc>
      </w:tr>
      <w:tr w:rsidR="00F0167C" w:rsidRPr="002F196B" w14:paraId="2239E262" w14:textId="77777777" w:rsidTr="000F2E1E">
        <w:trPr>
          <w:trHeight w:val="475"/>
        </w:trPr>
        <w:tc>
          <w:tcPr>
            <w:tcW w:w="1415" w:type="dxa"/>
            <w:tcBorders>
              <w:top w:val="single" w:sz="4" w:space="0" w:color="auto"/>
              <w:left w:val="single" w:sz="4" w:space="0" w:color="auto"/>
              <w:bottom w:val="nil"/>
              <w:right w:val="single" w:sz="4" w:space="0" w:color="auto"/>
            </w:tcBorders>
          </w:tcPr>
          <w:p w14:paraId="33218BE5" w14:textId="77777777" w:rsidR="00FB4106" w:rsidRDefault="00FB4106" w:rsidP="00632AE5">
            <w:pPr>
              <w:tabs>
                <w:tab w:val="left" w:pos="709"/>
              </w:tabs>
              <w:spacing w:before="60" w:after="60" w:line="240" w:lineRule="auto"/>
              <w:rPr>
                <w:rFonts w:ascii="Arial" w:hAnsi="Arial" w:cs="Arial"/>
                <w:sz w:val="16"/>
                <w:szCs w:val="16"/>
              </w:rPr>
            </w:pPr>
            <w:r>
              <w:rPr>
                <w:rFonts w:ascii="Arial" w:hAnsi="Arial" w:cs="Arial"/>
                <w:sz w:val="16"/>
                <w:szCs w:val="16"/>
              </w:rPr>
              <w:t>Budget Year</w:t>
            </w:r>
          </w:p>
          <w:p w14:paraId="2239E25E" w14:textId="4EA88C77" w:rsidR="00F0167C" w:rsidRPr="002F196B" w:rsidRDefault="00F0167C" w:rsidP="00632AE5">
            <w:pPr>
              <w:tabs>
                <w:tab w:val="left" w:pos="709"/>
              </w:tabs>
              <w:spacing w:before="60" w:after="60" w:line="240" w:lineRule="auto"/>
              <w:rPr>
                <w:rFonts w:ascii="Arial" w:hAnsi="Arial" w:cs="Arial"/>
                <w:sz w:val="16"/>
                <w:szCs w:val="16"/>
              </w:rPr>
            </w:pPr>
            <w:r w:rsidRPr="002F196B">
              <w:rPr>
                <w:rFonts w:ascii="Arial" w:hAnsi="Arial" w:cs="Arial"/>
                <w:sz w:val="16"/>
                <w:szCs w:val="16"/>
              </w:rPr>
              <w:t>2022-23</w:t>
            </w:r>
          </w:p>
        </w:tc>
        <w:tc>
          <w:tcPr>
            <w:tcW w:w="2287" w:type="dxa"/>
            <w:tcBorders>
              <w:top w:val="single" w:sz="4" w:space="0" w:color="auto"/>
              <w:left w:val="single" w:sz="4" w:space="0" w:color="auto"/>
              <w:bottom w:val="dotted" w:sz="4" w:space="0" w:color="auto"/>
              <w:right w:val="single" w:sz="4" w:space="0" w:color="auto"/>
            </w:tcBorders>
          </w:tcPr>
          <w:p w14:paraId="55A29792" w14:textId="77777777" w:rsidR="00F24B20" w:rsidRPr="00F24B20" w:rsidRDefault="00F24B20" w:rsidP="00632AE5">
            <w:pPr>
              <w:tabs>
                <w:tab w:val="left" w:pos="709"/>
              </w:tabs>
              <w:spacing w:before="60" w:after="60" w:line="240" w:lineRule="auto"/>
              <w:rPr>
                <w:rFonts w:ascii="Arial" w:hAnsi="Arial" w:cs="Arial"/>
                <w:b/>
                <w:bCs/>
                <w:sz w:val="16"/>
                <w:szCs w:val="16"/>
              </w:rPr>
            </w:pPr>
            <w:r w:rsidRPr="00F24B20">
              <w:rPr>
                <w:rFonts w:ascii="Arial" w:hAnsi="Arial" w:cs="Arial"/>
                <w:b/>
                <w:bCs/>
                <w:sz w:val="16"/>
                <w:szCs w:val="16"/>
              </w:rPr>
              <w:t>Public sector civilian superannuation schemes</w:t>
            </w:r>
          </w:p>
          <w:p w14:paraId="2239E260" w14:textId="599DA490" w:rsidR="00F0167C" w:rsidRPr="008D540B" w:rsidRDefault="00F24B20" w:rsidP="00632AE5">
            <w:pPr>
              <w:spacing w:before="60" w:after="60" w:line="240" w:lineRule="auto"/>
              <w:rPr>
                <w:rFonts w:ascii="Arial" w:hAnsi="Arial" w:cs="Arial"/>
                <w:sz w:val="16"/>
                <w:szCs w:val="16"/>
              </w:rPr>
            </w:pPr>
            <w:r w:rsidRPr="00F24B20">
              <w:rPr>
                <w:rFonts w:ascii="Arial" w:hAnsi="Arial" w:cs="Arial"/>
                <w:bCs/>
                <w:sz w:val="16"/>
                <w:szCs w:val="16"/>
              </w:rPr>
              <w:t>The legislative framework for the Commonwealth Government's civilian superannuation schemes enables the schemes to be administered in accordance with the applicable regulatory and legislative requirements</w:t>
            </w:r>
            <w:r w:rsidRPr="00F24B20">
              <w:rPr>
                <w:rFonts w:ascii="Arial" w:hAnsi="Arial" w:cs="Arial"/>
                <w:b/>
                <w:bCs/>
                <w:sz w:val="16"/>
                <w:szCs w:val="16"/>
              </w:rPr>
              <w:t>.</w:t>
            </w:r>
          </w:p>
        </w:tc>
        <w:tc>
          <w:tcPr>
            <w:tcW w:w="4093" w:type="dxa"/>
            <w:tcBorders>
              <w:top w:val="single" w:sz="4" w:space="0" w:color="auto"/>
              <w:left w:val="single" w:sz="4" w:space="0" w:color="auto"/>
              <w:bottom w:val="dotted" w:sz="4" w:space="0" w:color="auto"/>
              <w:right w:val="single" w:sz="4" w:space="0" w:color="auto"/>
            </w:tcBorders>
          </w:tcPr>
          <w:p w14:paraId="2239E261" w14:textId="51A9FE60" w:rsidR="00F0167C" w:rsidRPr="002F196B" w:rsidRDefault="00F24B20" w:rsidP="00632AE5">
            <w:pPr>
              <w:autoSpaceDE w:val="0"/>
              <w:autoSpaceDN w:val="0"/>
              <w:spacing w:before="60" w:after="60" w:line="240" w:lineRule="auto"/>
              <w:rPr>
                <w:rFonts w:ascii="Arial" w:eastAsia="Arial" w:hAnsi="Arial" w:cs="Arial"/>
                <w:sz w:val="16"/>
                <w:szCs w:val="16"/>
              </w:rPr>
            </w:pPr>
            <w:r w:rsidRPr="00F24B20">
              <w:rPr>
                <w:rFonts w:ascii="Arial" w:hAnsi="Arial" w:cs="Arial"/>
                <w:sz w:val="16"/>
                <w:szCs w:val="16"/>
              </w:rPr>
              <w:t>The legislation establishing the civilian superannuation schemes aligns with the broader regulatory and legislative requirements.</w:t>
            </w:r>
          </w:p>
        </w:tc>
      </w:tr>
      <w:tr w:rsidR="00F0167C" w:rsidRPr="002F196B" w14:paraId="2239E267" w14:textId="77777777" w:rsidTr="000F2E1E">
        <w:trPr>
          <w:trHeight w:val="1827"/>
        </w:trPr>
        <w:tc>
          <w:tcPr>
            <w:tcW w:w="1415" w:type="dxa"/>
            <w:tcBorders>
              <w:top w:val="nil"/>
              <w:right w:val="single" w:sz="4" w:space="0" w:color="auto"/>
            </w:tcBorders>
          </w:tcPr>
          <w:p w14:paraId="2239E263" w14:textId="77777777" w:rsidR="00F0167C" w:rsidRPr="002F196B" w:rsidRDefault="00F0167C" w:rsidP="00632AE5">
            <w:pPr>
              <w:tabs>
                <w:tab w:val="left" w:pos="709"/>
              </w:tabs>
              <w:spacing w:before="60" w:after="60" w:line="240" w:lineRule="auto"/>
              <w:rPr>
                <w:rFonts w:ascii="Arial" w:hAnsi="Arial" w:cs="Arial"/>
                <w:sz w:val="16"/>
                <w:szCs w:val="16"/>
              </w:rPr>
            </w:pPr>
          </w:p>
        </w:tc>
        <w:tc>
          <w:tcPr>
            <w:tcW w:w="2287" w:type="dxa"/>
            <w:tcBorders>
              <w:top w:val="dotted" w:sz="4" w:space="0" w:color="auto"/>
              <w:left w:val="single" w:sz="4" w:space="0" w:color="auto"/>
              <w:right w:val="single" w:sz="4" w:space="0" w:color="auto"/>
            </w:tcBorders>
          </w:tcPr>
          <w:p w14:paraId="3404672B" w14:textId="77777777" w:rsidR="00F24B20" w:rsidRPr="00F24B20" w:rsidRDefault="00F24B20" w:rsidP="00632AE5">
            <w:pPr>
              <w:tabs>
                <w:tab w:val="left" w:pos="709"/>
              </w:tabs>
              <w:autoSpaceDE w:val="0"/>
              <w:autoSpaceDN w:val="0"/>
              <w:spacing w:before="60" w:after="60" w:line="240" w:lineRule="auto"/>
              <w:rPr>
                <w:rFonts w:ascii="Arial" w:hAnsi="Arial" w:cs="Arial"/>
                <w:b/>
                <w:bCs/>
                <w:sz w:val="16"/>
                <w:szCs w:val="16"/>
              </w:rPr>
            </w:pPr>
            <w:r w:rsidRPr="00F24B20">
              <w:rPr>
                <w:rFonts w:ascii="Arial" w:hAnsi="Arial" w:cs="Arial"/>
                <w:b/>
                <w:bCs/>
                <w:sz w:val="16"/>
                <w:szCs w:val="16"/>
              </w:rPr>
              <w:t>Administration of pension schemes for former parliamentarians, judges and governors-general</w:t>
            </w:r>
          </w:p>
          <w:p w14:paraId="2239E265" w14:textId="27F6B603" w:rsidR="00F0167C" w:rsidRPr="00F24B20" w:rsidRDefault="00F24B20" w:rsidP="00632AE5">
            <w:pPr>
              <w:autoSpaceDE w:val="0"/>
              <w:autoSpaceDN w:val="0"/>
              <w:spacing w:before="60" w:after="60" w:line="240" w:lineRule="auto"/>
              <w:rPr>
                <w:rFonts w:ascii="Arial" w:hAnsi="Arial" w:cs="Arial"/>
                <w:sz w:val="16"/>
                <w:szCs w:val="16"/>
              </w:rPr>
            </w:pPr>
            <w:r w:rsidRPr="00F24B20">
              <w:rPr>
                <w:rFonts w:ascii="Arial" w:hAnsi="Arial" w:cs="Arial"/>
                <w:bCs/>
                <w:sz w:val="16"/>
                <w:szCs w:val="16"/>
              </w:rPr>
              <w:t>The pension schemes are administered by Finance effectively, in accordance with the applicable regulatory and legislative requirements.</w:t>
            </w:r>
          </w:p>
        </w:tc>
        <w:tc>
          <w:tcPr>
            <w:tcW w:w="4093" w:type="dxa"/>
            <w:tcBorders>
              <w:top w:val="dotted" w:sz="4" w:space="0" w:color="auto"/>
              <w:left w:val="single" w:sz="4" w:space="0" w:color="auto"/>
            </w:tcBorders>
          </w:tcPr>
          <w:p w14:paraId="2239E266" w14:textId="27079F83" w:rsidR="00F0167C" w:rsidRPr="002F196B" w:rsidRDefault="00F24B20" w:rsidP="00632AE5">
            <w:pPr>
              <w:tabs>
                <w:tab w:val="left" w:pos="709"/>
              </w:tabs>
              <w:suppressAutoHyphens/>
              <w:autoSpaceDE w:val="0"/>
              <w:autoSpaceDN w:val="0"/>
              <w:spacing w:before="60" w:after="60" w:line="240" w:lineRule="auto"/>
              <w:rPr>
                <w:rFonts w:ascii="Arial" w:eastAsia="Arial" w:hAnsi="Arial" w:cs="Arial"/>
                <w:sz w:val="16"/>
                <w:szCs w:val="16"/>
              </w:rPr>
            </w:pPr>
            <w:r w:rsidRPr="00F24B20">
              <w:rPr>
                <w:rFonts w:ascii="Arial" w:hAnsi="Arial" w:cs="Arial"/>
                <w:sz w:val="16"/>
                <w:szCs w:val="16"/>
              </w:rPr>
              <w:t>The operations of the pension schemes administered by Finance continue to comply with the regulatory and legislative requirements.</w:t>
            </w:r>
          </w:p>
        </w:tc>
      </w:tr>
      <w:tr w:rsidR="00F0167C" w:rsidRPr="002F196B" w14:paraId="2239E26B" w14:textId="77777777" w:rsidTr="000F2E1E">
        <w:trPr>
          <w:trHeight w:val="491"/>
        </w:trPr>
        <w:tc>
          <w:tcPr>
            <w:tcW w:w="1415" w:type="dxa"/>
            <w:tcBorders>
              <w:top w:val="dotted" w:sz="4" w:space="0" w:color="auto"/>
              <w:bottom w:val="dotted" w:sz="4" w:space="0" w:color="auto"/>
              <w:right w:val="single" w:sz="4" w:space="0" w:color="auto"/>
            </w:tcBorders>
          </w:tcPr>
          <w:p w14:paraId="464BBA95" w14:textId="77777777" w:rsidR="00FB4106" w:rsidRDefault="00F0167C" w:rsidP="00FB4106">
            <w:pPr>
              <w:tabs>
                <w:tab w:val="left" w:pos="709"/>
              </w:tabs>
              <w:spacing w:before="60" w:after="60" w:line="240" w:lineRule="auto"/>
              <w:rPr>
                <w:rFonts w:ascii="Arial" w:hAnsi="Arial" w:cs="Arial"/>
                <w:sz w:val="16"/>
                <w:szCs w:val="16"/>
              </w:rPr>
            </w:pPr>
            <w:r w:rsidRPr="006A4649">
              <w:rPr>
                <w:rFonts w:ascii="Arial" w:hAnsi="Arial" w:cs="Arial"/>
                <w:sz w:val="16"/>
                <w:szCs w:val="16"/>
              </w:rPr>
              <w:t xml:space="preserve">Forward Estimates </w:t>
            </w:r>
          </w:p>
          <w:p w14:paraId="2239E268" w14:textId="6AD346B0" w:rsidR="00F0167C" w:rsidRPr="006A4649" w:rsidRDefault="00F0167C" w:rsidP="00FB4106">
            <w:pPr>
              <w:tabs>
                <w:tab w:val="left" w:pos="709"/>
              </w:tabs>
              <w:spacing w:before="60" w:after="60" w:line="240" w:lineRule="auto"/>
              <w:rPr>
                <w:rFonts w:ascii="Arial" w:hAnsi="Arial" w:cs="Arial"/>
                <w:b/>
                <w:sz w:val="16"/>
                <w:szCs w:val="16"/>
              </w:rPr>
            </w:pPr>
            <w:r w:rsidRPr="006A4649">
              <w:rPr>
                <w:rFonts w:ascii="Arial" w:hAnsi="Arial" w:cs="Arial"/>
                <w:sz w:val="16"/>
                <w:szCs w:val="16"/>
              </w:rPr>
              <w:t>2023-26</w:t>
            </w:r>
          </w:p>
        </w:tc>
        <w:tc>
          <w:tcPr>
            <w:tcW w:w="2287" w:type="dxa"/>
            <w:tcBorders>
              <w:top w:val="dotted" w:sz="4" w:space="0" w:color="auto"/>
              <w:left w:val="single" w:sz="4" w:space="0" w:color="auto"/>
              <w:bottom w:val="dotted" w:sz="4" w:space="0" w:color="auto"/>
              <w:right w:val="single" w:sz="4" w:space="0" w:color="auto"/>
            </w:tcBorders>
          </w:tcPr>
          <w:p w14:paraId="2239E269" w14:textId="77777777" w:rsidR="00F0167C" w:rsidRPr="006A4649" w:rsidRDefault="0086011E" w:rsidP="00632AE5">
            <w:pPr>
              <w:tabs>
                <w:tab w:val="left" w:pos="709"/>
              </w:tabs>
              <w:spacing w:before="60" w:after="60" w:line="240" w:lineRule="auto"/>
              <w:rPr>
                <w:rFonts w:ascii="Arial" w:hAnsi="Arial" w:cs="Arial"/>
                <w:b/>
                <w:sz w:val="16"/>
                <w:szCs w:val="16"/>
              </w:rPr>
            </w:pPr>
            <w:r>
              <w:rPr>
                <w:rFonts w:ascii="Arial" w:eastAsia="Arial" w:hAnsi="Arial" w:cs="Arial"/>
                <w:sz w:val="16"/>
                <w:szCs w:val="16"/>
              </w:rPr>
              <w:t>As per 2022-23</w:t>
            </w:r>
          </w:p>
        </w:tc>
        <w:tc>
          <w:tcPr>
            <w:tcW w:w="4093" w:type="dxa"/>
            <w:tcBorders>
              <w:top w:val="dotted" w:sz="4" w:space="0" w:color="auto"/>
              <w:left w:val="single" w:sz="4" w:space="0" w:color="auto"/>
              <w:bottom w:val="dotted" w:sz="4" w:space="0" w:color="auto"/>
            </w:tcBorders>
          </w:tcPr>
          <w:p w14:paraId="2239E26A" w14:textId="77777777" w:rsidR="00F0167C" w:rsidRPr="006A4649" w:rsidRDefault="0086011E" w:rsidP="00632AE5">
            <w:pPr>
              <w:tabs>
                <w:tab w:val="left" w:pos="709"/>
              </w:tabs>
              <w:spacing w:before="60" w:after="60" w:line="240" w:lineRule="auto"/>
              <w:rPr>
                <w:rFonts w:ascii="Arial" w:hAnsi="Arial" w:cs="Arial"/>
                <w:b/>
                <w:sz w:val="16"/>
                <w:szCs w:val="16"/>
              </w:rPr>
            </w:pPr>
            <w:r>
              <w:rPr>
                <w:rFonts w:ascii="Arial" w:eastAsia="Arial" w:hAnsi="Arial" w:cs="Arial"/>
                <w:sz w:val="16"/>
                <w:szCs w:val="16"/>
              </w:rPr>
              <w:t>As per 2022-23</w:t>
            </w:r>
          </w:p>
        </w:tc>
      </w:tr>
      <w:tr w:rsidR="00F0167C" w:rsidRPr="002F196B" w14:paraId="2239E26D" w14:textId="77777777" w:rsidTr="000F2E1E">
        <w:trPr>
          <w:trHeight w:val="291"/>
        </w:trPr>
        <w:tc>
          <w:tcPr>
            <w:tcW w:w="7795" w:type="dxa"/>
            <w:gridSpan w:val="3"/>
          </w:tcPr>
          <w:p w14:paraId="2239E26C" w14:textId="1ADEDBC4" w:rsidR="00F0167C" w:rsidRPr="002F196B" w:rsidRDefault="00F24B20" w:rsidP="00632AE5">
            <w:pPr>
              <w:tabs>
                <w:tab w:val="left" w:pos="709"/>
              </w:tabs>
              <w:spacing w:before="60" w:after="60" w:line="240" w:lineRule="auto"/>
              <w:rPr>
                <w:rFonts w:ascii="Arial" w:eastAsia="Cambria" w:hAnsi="Arial" w:cs="Arial"/>
                <w:bCs/>
                <w:iCs/>
                <w:spacing w:val="-6"/>
                <w:sz w:val="16"/>
                <w:szCs w:val="16"/>
              </w:rPr>
            </w:pPr>
            <w:r w:rsidRPr="00F24B20">
              <w:rPr>
                <w:rFonts w:ascii="Arial" w:hAnsi="Arial" w:cs="Arial"/>
                <w:sz w:val="16"/>
                <w:szCs w:val="16"/>
              </w:rPr>
              <w:t>Material changes to Program 2.7 resulting from Octob</w:t>
            </w:r>
            <w:r w:rsidR="00EF37E5">
              <w:rPr>
                <w:rFonts w:ascii="Arial" w:hAnsi="Arial" w:cs="Arial"/>
                <w:sz w:val="16"/>
                <w:szCs w:val="16"/>
              </w:rPr>
              <w:t>er 2022-23 Budget Measures: Nil</w:t>
            </w:r>
          </w:p>
        </w:tc>
      </w:tr>
    </w:tbl>
    <w:p w14:paraId="4601446E" w14:textId="77777777" w:rsidR="00DC40CF" w:rsidRDefault="00DC40CF" w:rsidP="00C8474A">
      <w:pPr>
        <w:pStyle w:val="ChartandTableFootnoteAlpha"/>
        <w:numPr>
          <w:ilvl w:val="0"/>
          <w:numId w:val="75"/>
        </w:numPr>
        <w:spacing w:before="60"/>
        <w:ind w:left="284" w:hanging="284"/>
        <w:rPr>
          <w:lang w:eastAsia="x-none"/>
        </w:rPr>
      </w:pPr>
      <w:r w:rsidRPr="00CC65C0">
        <w:rPr>
          <w:lang w:eastAsia="x-none"/>
        </w:rPr>
        <w:t>Refers to updated key activities th</w:t>
      </w:r>
      <w:r>
        <w:rPr>
          <w:lang w:eastAsia="x-none"/>
        </w:rPr>
        <w:t>at will be reflected in the 2022-23</w:t>
      </w:r>
      <w:r w:rsidRPr="00CC65C0">
        <w:rPr>
          <w:lang w:eastAsia="x-none"/>
        </w:rPr>
        <w:t xml:space="preserve"> Corporate Plan</w:t>
      </w:r>
      <w:r>
        <w:rPr>
          <w:lang w:eastAsia="x-none"/>
        </w:rPr>
        <w:t>.</w:t>
      </w:r>
    </w:p>
    <w:p w14:paraId="074F3C0B" w14:textId="77777777" w:rsidR="00F9784F" w:rsidRDefault="00F9784F" w:rsidP="00F0167C">
      <w:pPr>
        <w:pStyle w:val="TableHeading"/>
      </w:pPr>
      <w:r>
        <w:br w:type="page"/>
      </w:r>
    </w:p>
    <w:p w14:paraId="2239E273" w14:textId="31222E19" w:rsidR="00F0167C" w:rsidRPr="00915209" w:rsidRDefault="00F0167C" w:rsidP="00F0167C">
      <w:pPr>
        <w:pStyle w:val="TableHeading"/>
      </w:pPr>
      <w:r>
        <w:lastRenderedPageBreak/>
        <w:t>Table 2.2.2</w:t>
      </w:r>
      <w:r w:rsidRPr="0033318A">
        <w:t>:</w:t>
      </w:r>
      <w:r w:rsidRPr="00F71634">
        <w:t xml:space="preserve"> Performance </w:t>
      </w:r>
      <w:r w:rsidRPr="00026D37">
        <w:t>measure</w:t>
      </w:r>
      <w:r w:rsidRPr="00F71634">
        <w:t xml:space="preserve"> </w:t>
      </w:r>
      <w:r>
        <w:t>for Outcome 2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259"/>
        <w:gridCol w:w="4134"/>
      </w:tblGrid>
      <w:tr w:rsidR="00F0167C" w:rsidRPr="00361E69" w14:paraId="2239E27C" w14:textId="77777777" w:rsidTr="00632AE5">
        <w:trPr>
          <w:trHeight w:val="522"/>
          <w:tblHeader/>
        </w:trPr>
        <w:tc>
          <w:tcPr>
            <w:tcW w:w="7795" w:type="dxa"/>
            <w:gridSpan w:val="3"/>
            <w:shd w:val="clear" w:color="auto" w:fill="F2F2F2"/>
          </w:tcPr>
          <w:p w14:paraId="27161567" w14:textId="77777777" w:rsidR="00EE1B89" w:rsidRDefault="00F9784F" w:rsidP="00632AE5">
            <w:pPr>
              <w:tabs>
                <w:tab w:val="left" w:pos="709"/>
              </w:tabs>
              <w:spacing w:before="60" w:after="60" w:line="240" w:lineRule="auto"/>
              <w:rPr>
                <w:rFonts w:ascii="Arial" w:hAnsi="Arial" w:cs="Arial"/>
                <w:b/>
                <w:sz w:val="16"/>
                <w:szCs w:val="16"/>
              </w:rPr>
            </w:pPr>
            <w:r w:rsidRPr="00F9784F">
              <w:rPr>
                <w:rFonts w:ascii="Arial" w:hAnsi="Arial" w:cs="Arial"/>
                <w:b/>
                <w:sz w:val="16"/>
                <w:szCs w:val="16"/>
              </w:rPr>
              <w:t>Program 2.8 – Australian Government Investment Funds</w:t>
            </w:r>
          </w:p>
          <w:p w14:paraId="4C66CB75" w14:textId="77777777" w:rsidR="00EE1B89" w:rsidRPr="00EE1B89" w:rsidRDefault="00F9784F" w:rsidP="00632AE5">
            <w:pPr>
              <w:tabs>
                <w:tab w:val="left" w:pos="709"/>
              </w:tabs>
              <w:spacing w:before="60" w:after="60" w:line="240" w:lineRule="auto"/>
              <w:rPr>
                <w:rFonts w:ascii="Arial" w:hAnsi="Arial" w:cs="Arial"/>
                <w:sz w:val="16"/>
                <w:szCs w:val="16"/>
              </w:rPr>
            </w:pPr>
            <w:r w:rsidRPr="00EE1B89">
              <w:rPr>
                <w:rFonts w:ascii="Arial" w:hAnsi="Arial" w:cs="Arial"/>
                <w:sz w:val="16"/>
                <w:szCs w:val="16"/>
              </w:rPr>
              <w:t>This program contributes to the outcome through providing advice on investment mandates and governance arrangements for the Government’s Investment Funds, to maximise the value of the funds to the Government. This includes advice on credit of amounts to the Funds and debits for payments from the Funds. The Funds are:</w:t>
            </w:r>
          </w:p>
          <w:p w14:paraId="2239E276" w14:textId="290F5619" w:rsidR="00F0167C" w:rsidRPr="00EE1B89" w:rsidRDefault="00F0167C" w:rsidP="00C8474A">
            <w:pPr>
              <w:pStyle w:val="ListParagraph"/>
              <w:numPr>
                <w:ilvl w:val="0"/>
                <w:numId w:val="65"/>
              </w:numPr>
              <w:tabs>
                <w:tab w:val="left" w:pos="709"/>
              </w:tabs>
              <w:autoSpaceDE w:val="0"/>
              <w:autoSpaceDN w:val="0"/>
              <w:adjustRightInd w:val="0"/>
              <w:spacing w:before="60" w:after="60" w:line="240" w:lineRule="auto"/>
              <w:rPr>
                <w:rFonts w:ascii="Arial" w:hAnsi="Arial" w:cs="Arial"/>
                <w:bCs/>
                <w:sz w:val="16"/>
                <w:szCs w:val="16"/>
              </w:rPr>
            </w:pPr>
            <w:r w:rsidRPr="00EE1B89">
              <w:rPr>
                <w:rFonts w:ascii="Arial" w:hAnsi="Arial" w:cs="Arial"/>
                <w:bCs/>
                <w:sz w:val="16"/>
                <w:szCs w:val="16"/>
              </w:rPr>
              <w:t>Future Fund</w:t>
            </w:r>
          </w:p>
          <w:p w14:paraId="2239E277" w14:textId="77777777" w:rsidR="00F0167C" w:rsidRPr="00EE1B89" w:rsidRDefault="00F0167C" w:rsidP="00C8474A">
            <w:pPr>
              <w:pStyle w:val="ListParagraph"/>
              <w:numPr>
                <w:ilvl w:val="0"/>
                <w:numId w:val="65"/>
              </w:numPr>
              <w:tabs>
                <w:tab w:val="left" w:pos="709"/>
              </w:tabs>
              <w:autoSpaceDE w:val="0"/>
              <w:autoSpaceDN w:val="0"/>
              <w:adjustRightInd w:val="0"/>
              <w:spacing w:before="60" w:after="60" w:line="240" w:lineRule="auto"/>
              <w:rPr>
                <w:rFonts w:ascii="Arial" w:hAnsi="Arial" w:cs="Arial"/>
                <w:bCs/>
                <w:sz w:val="16"/>
                <w:szCs w:val="16"/>
              </w:rPr>
            </w:pPr>
            <w:r w:rsidRPr="00EE1B89">
              <w:rPr>
                <w:rFonts w:ascii="Arial" w:hAnsi="Arial" w:cs="Arial"/>
                <w:bCs/>
                <w:sz w:val="16"/>
                <w:szCs w:val="16"/>
              </w:rPr>
              <w:t>DisabilityCare Australia Fund</w:t>
            </w:r>
          </w:p>
          <w:p w14:paraId="2239E278" w14:textId="77777777" w:rsidR="00F0167C" w:rsidRPr="00EE1B89" w:rsidRDefault="00F0167C" w:rsidP="00C8474A">
            <w:pPr>
              <w:pStyle w:val="ListParagraph"/>
              <w:numPr>
                <w:ilvl w:val="0"/>
                <w:numId w:val="65"/>
              </w:numPr>
              <w:tabs>
                <w:tab w:val="left" w:pos="709"/>
              </w:tabs>
              <w:autoSpaceDE w:val="0"/>
              <w:autoSpaceDN w:val="0"/>
              <w:adjustRightInd w:val="0"/>
              <w:spacing w:before="60" w:after="60" w:line="240" w:lineRule="auto"/>
              <w:rPr>
                <w:rFonts w:ascii="Arial" w:hAnsi="Arial" w:cs="Arial"/>
                <w:bCs/>
                <w:sz w:val="16"/>
                <w:szCs w:val="16"/>
              </w:rPr>
            </w:pPr>
            <w:r w:rsidRPr="00EE1B89">
              <w:rPr>
                <w:rFonts w:ascii="Arial" w:hAnsi="Arial" w:cs="Arial"/>
                <w:bCs/>
                <w:sz w:val="16"/>
                <w:szCs w:val="16"/>
              </w:rPr>
              <w:t xml:space="preserve">Medical Research Future Fund </w:t>
            </w:r>
          </w:p>
          <w:p w14:paraId="2239E279" w14:textId="77777777" w:rsidR="00F0167C" w:rsidRPr="00EE1B89" w:rsidRDefault="00F0167C" w:rsidP="00C8474A">
            <w:pPr>
              <w:pStyle w:val="ListParagraph"/>
              <w:numPr>
                <w:ilvl w:val="0"/>
                <w:numId w:val="65"/>
              </w:numPr>
              <w:tabs>
                <w:tab w:val="left" w:pos="709"/>
              </w:tabs>
              <w:autoSpaceDE w:val="0"/>
              <w:autoSpaceDN w:val="0"/>
              <w:adjustRightInd w:val="0"/>
              <w:spacing w:before="60" w:after="60" w:line="240" w:lineRule="auto"/>
              <w:rPr>
                <w:rFonts w:ascii="Arial" w:hAnsi="Arial" w:cs="Arial"/>
                <w:bCs/>
                <w:sz w:val="16"/>
                <w:szCs w:val="16"/>
              </w:rPr>
            </w:pPr>
            <w:r w:rsidRPr="00EE1B89">
              <w:rPr>
                <w:rFonts w:ascii="Arial" w:hAnsi="Arial" w:cs="Arial"/>
                <w:bCs/>
                <w:sz w:val="16"/>
                <w:szCs w:val="16"/>
              </w:rPr>
              <w:t>Aboriginal and Torres Strait Islander Land and Sea Future Fund</w:t>
            </w:r>
          </w:p>
          <w:p w14:paraId="2239E27A" w14:textId="77777777" w:rsidR="00F0167C" w:rsidRPr="00EE1B89" w:rsidRDefault="00F0167C" w:rsidP="00C8474A">
            <w:pPr>
              <w:pStyle w:val="ListParagraph"/>
              <w:numPr>
                <w:ilvl w:val="0"/>
                <w:numId w:val="65"/>
              </w:numPr>
              <w:tabs>
                <w:tab w:val="left" w:pos="709"/>
              </w:tabs>
              <w:autoSpaceDE w:val="0"/>
              <w:autoSpaceDN w:val="0"/>
              <w:adjustRightInd w:val="0"/>
              <w:spacing w:before="60" w:after="60" w:line="240" w:lineRule="auto"/>
              <w:rPr>
                <w:rFonts w:ascii="Arial" w:hAnsi="Arial" w:cs="Arial"/>
                <w:bCs/>
                <w:sz w:val="16"/>
                <w:szCs w:val="16"/>
              </w:rPr>
            </w:pPr>
            <w:r w:rsidRPr="00EE1B89">
              <w:rPr>
                <w:rFonts w:ascii="Arial" w:hAnsi="Arial" w:cs="Arial"/>
                <w:bCs/>
                <w:sz w:val="16"/>
                <w:szCs w:val="16"/>
              </w:rPr>
              <w:t>Future Drought Fund</w:t>
            </w:r>
          </w:p>
          <w:p w14:paraId="2239E27B" w14:textId="70F7B71E" w:rsidR="00F0167C" w:rsidRPr="00361E69" w:rsidRDefault="00F0167C" w:rsidP="00C8474A">
            <w:pPr>
              <w:pStyle w:val="ListParagraph"/>
              <w:numPr>
                <w:ilvl w:val="0"/>
                <w:numId w:val="65"/>
              </w:numPr>
              <w:tabs>
                <w:tab w:val="left" w:pos="709"/>
              </w:tabs>
              <w:autoSpaceDE w:val="0"/>
              <w:autoSpaceDN w:val="0"/>
              <w:adjustRightInd w:val="0"/>
              <w:spacing w:before="60" w:after="60" w:line="240" w:lineRule="auto"/>
              <w:rPr>
                <w:rFonts w:ascii="Arial" w:hAnsi="Arial" w:cs="Arial"/>
                <w:sz w:val="16"/>
                <w:szCs w:val="16"/>
              </w:rPr>
            </w:pPr>
            <w:r w:rsidRPr="00EE1B89">
              <w:rPr>
                <w:rFonts w:ascii="Arial" w:hAnsi="Arial" w:cs="Arial"/>
                <w:bCs/>
                <w:sz w:val="16"/>
                <w:szCs w:val="16"/>
              </w:rPr>
              <w:t>Emergency Response Fund</w:t>
            </w:r>
          </w:p>
        </w:tc>
      </w:tr>
      <w:tr w:rsidR="00F0167C" w:rsidRPr="00C92882" w14:paraId="2239E280" w14:textId="77777777" w:rsidTr="00632AE5">
        <w:trPr>
          <w:trHeight w:val="694"/>
        </w:trPr>
        <w:tc>
          <w:tcPr>
            <w:tcW w:w="1402" w:type="dxa"/>
            <w:tcBorders>
              <w:bottom w:val="double" w:sz="4" w:space="0" w:color="auto"/>
            </w:tcBorders>
          </w:tcPr>
          <w:p w14:paraId="2239E27D" w14:textId="2B448F98" w:rsidR="00F0167C" w:rsidRPr="00A0116B" w:rsidRDefault="00F0167C" w:rsidP="00632AE5">
            <w:pPr>
              <w:tabs>
                <w:tab w:val="left" w:pos="709"/>
              </w:tabs>
              <w:spacing w:before="60" w:after="60" w:line="240" w:lineRule="auto"/>
              <w:rPr>
                <w:rFonts w:ascii="Arial" w:hAnsi="Arial" w:cs="Arial"/>
                <w:b/>
                <w:sz w:val="16"/>
                <w:szCs w:val="16"/>
              </w:rPr>
            </w:pPr>
            <w:r w:rsidRPr="00A0116B">
              <w:rPr>
                <w:rFonts w:ascii="Arial" w:hAnsi="Arial" w:cs="Arial"/>
                <w:b/>
                <w:sz w:val="16"/>
                <w:szCs w:val="16"/>
              </w:rPr>
              <w:t xml:space="preserve">Key Activities </w:t>
            </w:r>
            <w:r w:rsidR="00EE1B89">
              <w:rPr>
                <w:rFonts w:ascii="Arial" w:hAnsi="Arial" w:cs="Arial"/>
                <w:b/>
                <w:sz w:val="16"/>
                <w:szCs w:val="16"/>
              </w:rPr>
              <w:t>(a)</w:t>
            </w:r>
          </w:p>
        </w:tc>
        <w:tc>
          <w:tcPr>
            <w:tcW w:w="6393" w:type="dxa"/>
            <w:gridSpan w:val="2"/>
            <w:tcBorders>
              <w:bottom w:val="double" w:sz="4" w:space="0" w:color="auto"/>
            </w:tcBorders>
          </w:tcPr>
          <w:p w14:paraId="1BFF9209" w14:textId="77777777" w:rsidR="00EE1B89" w:rsidRPr="00EE1B89" w:rsidRDefault="00EE1B89" w:rsidP="00632AE5">
            <w:pPr>
              <w:tabs>
                <w:tab w:val="left" w:pos="709"/>
              </w:tabs>
              <w:spacing w:before="60" w:after="60" w:line="240" w:lineRule="auto"/>
              <w:rPr>
                <w:rFonts w:ascii="Arial" w:hAnsi="Arial" w:cs="Arial"/>
                <w:b/>
                <w:bCs/>
                <w:sz w:val="16"/>
                <w:szCs w:val="16"/>
              </w:rPr>
            </w:pPr>
            <w:r w:rsidRPr="00EE1B89">
              <w:rPr>
                <w:rFonts w:ascii="Arial" w:hAnsi="Arial" w:cs="Arial"/>
                <w:b/>
                <w:bCs/>
                <w:sz w:val="16"/>
                <w:szCs w:val="16"/>
              </w:rPr>
              <w:t>Enable investment funds and civilian superannuation</w:t>
            </w:r>
          </w:p>
          <w:p w14:paraId="2239E27F" w14:textId="369213F9" w:rsidR="00F0167C" w:rsidRPr="00EE1B89" w:rsidRDefault="00EE1B89" w:rsidP="00632AE5">
            <w:pPr>
              <w:tabs>
                <w:tab w:val="left" w:pos="709"/>
              </w:tabs>
              <w:spacing w:before="60" w:after="60" w:line="240" w:lineRule="auto"/>
              <w:rPr>
                <w:rFonts w:ascii="Arial" w:hAnsi="Arial" w:cs="Arial"/>
                <w:i/>
                <w:sz w:val="16"/>
                <w:szCs w:val="16"/>
              </w:rPr>
            </w:pPr>
            <w:r w:rsidRPr="00EE1B89">
              <w:rPr>
                <w:rFonts w:ascii="Arial" w:hAnsi="Arial" w:cs="Arial"/>
                <w:bCs/>
                <w:sz w:val="16"/>
                <w:szCs w:val="16"/>
              </w:rPr>
              <w:t>Provide a policy, regulatory and legislative framework that enables the civilian superannuation scheme compliance, and maximisation of returns on investment funds.</w:t>
            </w:r>
          </w:p>
        </w:tc>
      </w:tr>
      <w:tr w:rsidR="00F0167C" w:rsidRPr="00361E69" w14:paraId="2239E284" w14:textId="77777777" w:rsidTr="00632AE5">
        <w:trPr>
          <w:trHeight w:val="312"/>
        </w:trPr>
        <w:tc>
          <w:tcPr>
            <w:tcW w:w="1402" w:type="dxa"/>
            <w:tcBorders>
              <w:top w:val="double" w:sz="4" w:space="0" w:color="auto"/>
              <w:bottom w:val="single" w:sz="4" w:space="0" w:color="auto"/>
              <w:right w:val="single" w:sz="4" w:space="0" w:color="auto"/>
            </w:tcBorders>
          </w:tcPr>
          <w:p w14:paraId="2239E281" w14:textId="77777777" w:rsidR="00F0167C" w:rsidRPr="00A0116B" w:rsidRDefault="00F0167C" w:rsidP="00632AE5">
            <w:pPr>
              <w:tabs>
                <w:tab w:val="left" w:pos="709"/>
              </w:tabs>
              <w:spacing w:before="60" w:after="60" w:line="240" w:lineRule="auto"/>
              <w:rPr>
                <w:rFonts w:ascii="Arial" w:hAnsi="Arial" w:cs="Arial"/>
                <w:b/>
                <w:sz w:val="16"/>
                <w:szCs w:val="16"/>
              </w:rPr>
            </w:pPr>
            <w:r w:rsidRPr="00A0116B">
              <w:rPr>
                <w:rFonts w:ascii="Arial" w:hAnsi="Arial" w:cs="Arial"/>
                <w:b/>
                <w:sz w:val="16"/>
                <w:szCs w:val="16"/>
              </w:rPr>
              <w:t>Year</w:t>
            </w:r>
          </w:p>
        </w:tc>
        <w:tc>
          <w:tcPr>
            <w:tcW w:w="2259" w:type="dxa"/>
            <w:tcBorders>
              <w:top w:val="double" w:sz="4" w:space="0" w:color="auto"/>
              <w:left w:val="single" w:sz="4" w:space="0" w:color="auto"/>
              <w:bottom w:val="single" w:sz="4" w:space="0" w:color="auto"/>
              <w:right w:val="single" w:sz="4" w:space="0" w:color="auto"/>
            </w:tcBorders>
          </w:tcPr>
          <w:p w14:paraId="2239E282" w14:textId="77777777" w:rsidR="00F0167C" w:rsidRPr="00A0116B" w:rsidRDefault="00F0167C" w:rsidP="00632AE5">
            <w:pPr>
              <w:tabs>
                <w:tab w:val="left" w:pos="709"/>
                <w:tab w:val="center" w:pos="1818"/>
              </w:tabs>
              <w:spacing w:before="60" w:after="60" w:line="240" w:lineRule="auto"/>
              <w:rPr>
                <w:rFonts w:ascii="Arial" w:hAnsi="Arial" w:cs="Arial"/>
                <w:b/>
                <w:sz w:val="16"/>
                <w:szCs w:val="16"/>
              </w:rPr>
            </w:pPr>
            <w:r w:rsidRPr="00A0116B">
              <w:rPr>
                <w:rFonts w:ascii="Arial" w:hAnsi="Arial" w:cs="Arial"/>
                <w:b/>
                <w:sz w:val="16"/>
                <w:szCs w:val="16"/>
              </w:rPr>
              <w:t>Performance measures</w:t>
            </w:r>
          </w:p>
        </w:tc>
        <w:tc>
          <w:tcPr>
            <w:tcW w:w="4134" w:type="dxa"/>
            <w:tcBorders>
              <w:top w:val="double" w:sz="4" w:space="0" w:color="auto"/>
              <w:left w:val="single" w:sz="4" w:space="0" w:color="auto"/>
              <w:bottom w:val="single" w:sz="4" w:space="0" w:color="auto"/>
            </w:tcBorders>
          </w:tcPr>
          <w:p w14:paraId="2239E283" w14:textId="77777777" w:rsidR="00F0167C" w:rsidRPr="00A0116B" w:rsidRDefault="00F0167C" w:rsidP="00632AE5">
            <w:pPr>
              <w:tabs>
                <w:tab w:val="left" w:pos="709"/>
              </w:tabs>
              <w:spacing w:before="60" w:after="60" w:line="240" w:lineRule="auto"/>
              <w:rPr>
                <w:rFonts w:ascii="Arial" w:hAnsi="Arial" w:cs="Arial"/>
                <w:b/>
                <w:sz w:val="16"/>
                <w:szCs w:val="16"/>
              </w:rPr>
            </w:pPr>
            <w:r w:rsidRPr="00A0116B">
              <w:rPr>
                <w:rFonts w:ascii="Arial" w:hAnsi="Arial" w:cs="Arial"/>
                <w:b/>
                <w:sz w:val="16"/>
                <w:szCs w:val="16"/>
              </w:rPr>
              <w:t>Expected Performance Results</w:t>
            </w:r>
          </w:p>
        </w:tc>
      </w:tr>
      <w:tr w:rsidR="00F0167C" w:rsidRPr="00C92882" w14:paraId="2239E28B" w14:textId="77777777" w:rsidTr="00632AE5">
        <w:trPr>
          <w:trHeight w:val="2158"/>
        </w:trPr>
        <w:tc>
          <w:tcPr>
            <w:tcW w:w="1402" w:type="dxa"/>
            <w:tcBorders>
              <w:top w:val="single" w:sz="4" w:space="0" w:color="auto"/>
              <w:right w:val="single" w:sz="4" w:space="0" w:color="auto"/>
            </w:tcBorders>
          </w:tcPr>
          <w:p w14:paraId="255E61DF" w14:textId="77777777" w:rsidR="009B15C3" w:rsidRPr="00226614" w:rsidRDefault="009B15C3" w:rsidP="00632AE5">
            <w:pPr>
              <w:tabs>
                <w:tab w:val="left" w:pos="709"/>
              </w:tabs>
              <w:spacing w:before="60" w:after="60" w:line="240" w:lineRule="auto"/>
              <w:rPr>
                <w:rFonts w:ascii="Arial" w:hAnsi="Arial" w:cs="Arial"/>
                <w:sz w:val="16"/>
                <w:szCs w:val="16"/>
              </w:rPr>
            </w:pPr>
            <w:r w:rsidRPr="00226614">
              <w:rPr>
                <w:rFonts w:ascii="Arial" w:hAnsi="Arial" w:cs="Arial"/>
                <w:sz w:val="16"/>
                <w:szCs w:val="16"/>
              </w:rPr>
              <w:t xml:space="preserve">Prior year </w:t>
            </w:r>
          </w:p>
          <w:p w14:paraId="2239E285" w14:textId="370E7BF4" w:rsidR="00F0167C" w:rsidRPr="006A4649" w:rsidRDefault="009B15C3" w:rsidP="00632AE5">
            <w:pPr>
              <w:tabs>
                <w:tab w:val="left" w:pos="709"/>
              </w:tabs>
              <w:spacing w:before="60" w:after="60" w:line="240" w:lineRule="auto"/>
              <w:rPr>
                <w:rFonts w:ascii="Arial" w:hAnsi="Arial" w:cs="Arial"/>
                <w:sz w:val="16"/>
                <w:szCs w:val="16"/>
              </w:rPr>
            </w:pPr>
            <w:r w:rsidRPr="00226614">
              <w:rPr>
                <w:rFonts w:ascii="Arial" w:hAnsi="Arial" w:cs="Arial"/>
                <w:sz w:val="16"/>
                <w:szCs w:val="16"/>
              </w:rPr>
              <w:t>2021-22</w:t>
            </w:r>
          </w:p>
        </w:tc>
        <w:tc>
          <w:tcPr>
            <w:tcW w:w="2259" w:type="dxa"/>
            <w:tcBorders>
              <w:top w:val="single" w:sz="4" w:space="0" w:color="auto"/>
              <w:left w:val="single" w:sz="4" w:space="0" w:color="auto"/>
              <w:right w:val="single" w:sz="4" w:space="0" w:color="auto"/>
            </w:tcBorders>
          </w:tcPr>
          <w:p w14:paraId="450F077A" w14:textId="77777777" w:rsidR="009B15C3" w:rsidRPr="009B15C3" w:rsidRDefault="009B15C3" w:rsidP="00632AE5">
            <w:pPr>
              <w:tabs>
                <w:tab w:val="left" w:pos="709"/>
              </w:tabs>
              <w:spacing w:before="60" w:after="60" w:line="240" w:lineRule="auto"/>
              <w:rPr>
                <w:rFonts w:ascii="Arial" w:hAnsi="Arial" w:cs="Arial"/>
                <w:b/>
                <w:bCs/>
                <w:sz w:val="16"/>
                <w:szCs w:val="16"/>
              </w:rPr>
            </w:pPr>
            <w:r w:rsidRPr="009B15C3">
              <w:rPr>
                <w:rFonts w:ascii="Arial" w:hAnsi="Arial" w:cs="Arial"/>
                <w:b/>
                <w:bCs/>
                <w:sz w:val="16"/>
                <w:szCs w:val="16"/>
              </w:rPr>
              <w:t xml:space="preserve">Investment mandates for each Australian Government Investment Fund </w:t>
            </w:r>
          </w:p>
          <w:p w14:paraId="2239E287" w14:textId="6C9EAE22" w:rsidR="00F0167C" w:rsidRPr="009B15C3" w:rsidRDefault="009B15C3" w:rsidP="00632AE5">
            <w:pPr>
              <w:tabs>
                <w:tab w:val="left" w:pos="709"/>
              </w:tabs>
              <w:spacing w:before="60" w:after="60" w:line="240" w:lineRule="auto"/>
              <w:rPr>
                <w:rFonts w:ascii="Arial" w:hAnsi="Arial" w:cs="Arial"/>
                <w:bCs/>
                <w:sz w:val="16"/>
                <w:szCs w:val="16"/>
              </w:rPr>
            </w:pPr>
            <w:r w:rsidRPr="009B15C3">
              <w:rPr>
                <w:rFonts w:ascii="Arial" w:hAnsi="Arial" w:cs="Arial"/>
                <w:bCs/>
                <w:sz w:val="16"/>
                <w:szCs w:val="16"/>
              </w:rPr>
              <w:t>Investment mandates are set for each Australian Government Investment Fund which assist in achieving the financial and risk objectives and are consistent with the policy, regulatory and legislative framework.</w:t>
            </w:r>
          </w:p>
        </w:tc>
        <w:tc>
          <w:tcPr>
            <w:tcW w:w="4134" w:type="dxa"/>
            <w:tcBorders>
              <w:top w:val="single" w:sz="4" w:space="0" w:color="auto"/>
              <w:left w:val="single" w:sz="4" w:space="0" w:color="auto"/>
            </w:tcBorders>
          </w:tcPr>
          <w:p w14:paraId="26D3D75D" w14:textId="77777777" w:rsidR="009B15C3" w:rsidRPr="009B15C3" w:rsidRDefault="009B15C3" w:rsidP="00632AE5">
            <w:pPr>
              <w:tabs>
                <w:tab w:val="left" w:pos="709"/>
              </w:tabs>
              <w:spacing w:before="60" w:after="60" w:line="240" w:lineRule="auto"/>
              <w:rPr>
                <w:rFonts w:ascii="Arial" w:hAnsi="Arial" w:cs="Arial"/>
                <w:b/>
                <w:bCs/>
                <w:sz w:val="16"/>
                <w:szCs w:val="16"/>
              </w:rPr>
            </w:pPr>
            <w:r w:rsidRPr="009B15C3">
              <w:rPr>
                <w:rFonts w:ascii="Arial" w:hAnsi="Arial" w:cs="Arial"/>
                <w:b/>
                <w:bCs/>
                <w:sz w:val="16"/>
                <w:szCs w:val="16"/>
              </w:rPr>
              <w:t>Achieved</w:t>
            </w:r>
          </w:p>
          <w:p w14:paraId="2239E28A" w14:textId="27F9D497" w:rsidR="00F0167C" w:rsidRPr="009B15C3" w:rsidRDefault="009B15C3" w:rsidP="00632AE5">
            <w:pPr>
              <w:tabs>
                <w:tab w:val="left" w:pos="709"/>
              </w:tabs>
              <w:spacing w:before="60" w:after="60" w:line="240" w:lineRule="auto"/>
              <w:rPr>
                <w:rFonts w:ascii="Arial" w:hAnsi="Arial" w:cs="Arial"/>
                <w:sz w:val="16"/>
                <w:szCs w:val="16"/>
              </w:rPr>
            </w:pPr>
            <w:r w:rsidRPr="009B15C3">
              <w:rPr>
                <w:rFonts w:ascii="Arial" w:hAnsi="Arial" w:cs="Arial"/>
                <w:bCs/>
                <w:sz w:val="16"/>
                <w:szCs w:val="16"/>
              </w:rPr>
              <w:t>The Future Fund quarterly portfolio update shows that the Funds are capable of meeting their long-term investment mandate risk and return targets. There are no material legislative impediments to the administration of the investment funds.</w:t>
            </w:r>
          </w:p>
        </w:tc>
      </w:tr>
      <w:tr w:rsidR="00F0167C" w:rsidRPr="00CD2D20" w14:paraId="2239E294" w14:textId="77777777" w:rsidTr="00632AE5">
        <w:trPr>
          <w:trHeight w:val="475"/>
        </w:trPr>
        <w:tc>
          <w:tcPr>
            <w:tcW w:w="1402" w:type="dxa"/>
            <w:tcBorders>
              <w:top w:val="single" w:sz="4" w:space="0" w:color="auto"/>
              <w:right w:val="single" w:sz="4" w:space="0" w:color="auto"/>
            </w:tcBorders>
          </w:tcPr>
          <w:p w14:paraId="24B0B2C1" w14:textId="77777777" w:rsidR="00FB4106" w:rsidRDefault="00FB4106" w:rsidP="00632AE5">
            <w:pPr>
              <w:tabs>
                <w:tab w:val="left" w:pos="709"/>
              </w:tabs>
              <w:spacing w:before="60" w:after="60" w:line="240" w:lineRule="auto"/>
              <w:rPr>
                <w:rFonts w:ascii="Arial" w:hAnsi="Arial" w:cs="Arial"/>
                <w:sz w:val="16"/>
                <w:szCs w:val="16"/>
              </w:rPr>
            </w:pPr>
            <w:r>
              <w:rPr>
                <w:rFonts w:ascii="Arial" w:hAnsi="Arial" w:cs="Arial"/>
                <w:sz w:val="16"/>
                <w:szCs w:val="16"/>
              </w:rPr>
              <w:t>Budget Year</w:t>
            </w:r>
          </w:p>
          <w:p w14:paraId="2239E290" w14:textId="0897053D" w:rsidR="00F0167C" w:rsidRPr="006A4649" w:rsidRDefault="00F0167C" w:rsidP="00632AE5">
            <w:pPr>
              <w:tabs>
                <w:tab w:val="left" w:pos="709"/>
              </w:tabs>
              <w:spacing w:before="60" w:after="60" w:line="240" w:lineRule="auto"/>
              <w:rPr>
                <w:rFonts w:ascii="Arial" w:hAnsi="Arial" w:cs="Arial"/>
                <w:sz w:val="16"/>
                <w:szCs w:val="16"/>
              </w:rPr>
            </w:pPr>
            <w:r w:rsidRPr="006A4649">
              <w:rPr>
                <w:rFonts w:ascii="Arial" w:hAnsi="Arial" w:cs="Arial"/>
                <w:sz w:val="16"/>
                <w:szCs w:val="16"/>
              </w:rPr>
              <w:t>2022-23</w:t>
            </w:r>
          </w:p>
        </w:tc>
        <w:tc>
          <w:tcPr>
            <w:tcW w:w="2259" w:type="dxa"/>
            <w:tcBorders>
              <w:top w:val="single" w:sz="4" w:space="0" w:color="auto"/>
              <w:left w:val="single" w:sz="4" w:space="0" w:color="auto"/>
              <w:right w:val="single" w:sz="4" w:space="0" w:color="auto"/>
            </w:tcBorders>
          </w:tcPr>
          <w:p w14:paraId="52C1226B" w14:textId="77777777" w:rsidR="009B15C3" w:rsidRPr="009B15C3" w:rsidRDefault="009B15C3" w:rsidP="00632AE5">
            <w:pPr>
              <w:tabs>
                <w:tab w:val="left" w:pos="709"/>
              </w:tabs>
              <w:spacing w:before="60" w:after="60" w:line="240" w:lineRule="auto"/>
              <w:rPr>
                <w:rFonts w:ascii="Arial" w:hAnsi="Arial" w:cs="Arial"/>
                <w:b/>
                <w:bCs/>
                <w:sz w:val="16"/>
                <w:szCs w:val="16"/>
              </w:rPr>
            </w:pPr>
            <w:r w:rsidRPr="009B15C3">
              <w:rPr>
                <w:rFonts w:ascii="Arial" w:hAnsi="Arial" w:cs="Arial"/>
                <w:b/>
                <w:bCs/>
                <w:sz w:val="16"/>
                <w:szCs w:val="16"/>
              </w:rPr>
              <w:t xml:space="preserve">Investment mandates for each Australian Government Investment Fund </w:t>
            </w:r>
          </w:p>
          <w:p w14:paraId="2239E292" w14:textId="5652385D" w:rsidR="00F0167C" w:rsidRPr="009B15C3" w:rsidRDefault="009B15C3" w:rsidP="00632AE5">
            <w:pPr>
              <w:spacing w:before="60" w:after="60" w:line="240" w:lineRule="auto"/>
              <w:rPr>
                <w:rFonts w:ascii="Arial" w:eastAsia="Arial" w:hAnsi="Arial" w:cs="Arial"/>
                <w:sz w:val="16"/>
                <w:szCs w:val="16"/>
              </w:rPr>
            </w:pPr>
            <w:r w:rsidRPr="009B15C3">
              <w:rPr>
                <w:rFonts w:ascii="Arial" w:hAnsi="Arial" w:cs="Arial"/>
                <w:bCs/>
                <w:sz w:val="16"/>
                <w:szCs w:val="16"/>
              </w:rPr>
              <w:t>Investment mandates are set for each Australian Government Investment Fund which assist in achieving the financial and risk objectives and are consistent with the policy, regulatory and legislative framework.</w:t>
            </w:r>
          </w:p>
        </w:tc>
        <w:tc>
          <w:tcPr>
            <w:tcW w:w="4134" w:type="dxa"/>
            <w:tcBorders>
              <w:top w:val="single" w:sz="4" w:space="0" w:color="auto"/>
              <w:left w:val="single" w:sz="4" w:space="0" w:color="auto"/>
            </w:tcBorders>
          </w:tcPr>
          <w:p w14:paraId="2239E293" w14:textId="3231EC5A" w:rsidR="00F0167C" w:rsidRPr="006A4649" w:rsidRDefault="009B15C3" w:rsidP="00632AE5">
            <w:pPr>
              <w:tabs>
                <w:tab w:val="left" w:pos="709"/>
              </w:tabs>
              <w:suppressAutoHyphens/>
              <w:spacing w:before="60" w:after="60" w:line="240" w:lineRule="auto"/>
              <w:rPr>
                <w:rFonts w:ascii="Arial" w:eastAsia="Arial" w:hAnsi="Arial" w:cs="Arial"/>
                <w:sz w:val="16"/>
                <w:szCs w:val="16"/>
              </w:rPr>
            </w:pPr>
            <w:r w:rsidRPr="009B15C3">
              <w:rPr>
                <w:rFonts w:ascii="Arial" w:eastAsia="Arial" w:hAnsi="Arial" w:cs="Arial"/>
                <w:sz w:val="16"/>
                <w:szCs w:val="16"/>
              </w:rPr>
              <w:t>Investment mandates for each fund are set and appropriately monitored. The investment mandates and legislation are reviewed in response to material investment environment, policy or regulatory changes, to assist in achieving the policy, financial and risk objectives.</w:t>
            </w:r>
          </w:p>
        </w:tc>
      </w:tr>
      <w:tr w:rsidR="00F0167C" w:rsidRPr="00A0116B" w14:paraId="2239E298" w14:textId="77777777" w:rsidTr="00632AE5">
        <w:trPr>
          <w:trHeight w:val="475"/>
        </w:trPr>
        <w:tc>
          <w:tcPr>
            <w:tcW w:w="1402" w:type="dxa"/>
            <w:tcBorders>
              <w:top w:val="single" w:sz="4" w:space="0" w:color="auto"/>
              <w:left w:val="single" w:sz="4" w:space="0" w:color="auto"/>
              <w:bottom w:val="single" w:sz="4" w:space="0" w:color="auto"/>
              <w:right w:val="single" w:sz="4" w:space="0" w:color="auto"/>
            </w:tcBorders>
          </w:tcPr>
          <w:p w14:paraId="463EDC9D" w14:textId="77777777" w:rsidR="00FB4106" w:rsidRDefault="00F0167C" w:rsidP="00FB4106">
            <w:pPr>
              <w:tabs>
                <w:tab w:val="left" w:pos="709"/>
              </w:tabs>
              <w:spacing w:before="60" w:after="60" w:line="240" w:lineRule="auto"/>
              <w:rPr>
                <w:rFonts w:ascii="Arial" w:hAnsi="Arial" w:cs="Arial"/>
                <w:sz w:val="16"/>
                <w:szCs w:val="16"/>
              </w:rPr>
            </w:pPr>
            <w:r w:rsidRPr="006A4649">
              <w:rPr>
                <w:rFonts w:ascii="Arial" w:hAnsi="Arial" w:cs="Arial"/>
                <w:sz w:val="16"/>
                <w:szCs w:val="16"/>
              </w:rPr>
              <w:t xml:space="preserve">Forward Estimates </w:t>
            </w:r>
          </w:p>
          <w:p w14:paraId="2239E295" w14:textId="08FBFDA8" w:rsidR="00F0167C" w:rsidRPr="006A4649" w:rsidRDefault="00F0167C" w:rsidP="00FB4106">
            <w:pPr>
              <w:tabs>
                <w:tab w:val="left" w:pos="709"/>
              </w:tabs>
              <w:spacing w:before="60" w:after="60" w:line="240" w:lineRule="auto"/>
              <w:rPr>
                <w:rFonts w:ascii="Arial" w:hAnsi="Arial" w:cs="Arial"/>
                <w:sz w:val="16"/>
                <w:szCs w:val="16"/>
              </w:rPr>
            </w:pPr>
            <w:r w:rsidRPr="006A4649">
              <w:rPr>
                <w:rFonts w:ascii="Arial" w:hAnsi="Arial" w:cs="Arial"/>
                <w:sz w:val="16"/>
                <w:szCs w:val="16"/>
              </w:rPr>
              <w:t>2023-26</w:t>
            </w:r>
          </w:p>
        </w:tc>
        <w:tc>
          <w:tcPr>
            <w:tcW w:w="2259" w:type="dxa"/>
            <w:tcBorders>
              <w:top w:val="single" w:sz="4" w:space="0" w:color="auto"/>
              <w:left w:val="single" w:sz="4" w:space="0" w:color="auto"/>
              <w:bottom w:val="single" w:sz="4" w:space="0" w:color="auto"/>
              <w:right w:val="single" w:sz="4" w:space="0" w:color="auto"/>
            </w:tcBorders>
          </w:tcPr>
          <w:p w14:paraId="2239E296" w14:textId="77777777" w:rsidR="00F0167C" w:rsidRPr="00785EA1" w:rsidRDefault="007C7D24" w:rsidP="00632AE5">
            <w:pPr>
              <w:tabs>
                <w:tab w:val="left" w:pos="709"/>
              </w:tabs>
              <w:spacing w:before="60" w:after="60" w:line="240" w:lineRule="auto"/>
              <w:rPr>
                <w:rFonts w:ascii="Arial" w:hAnsi="Arial" w:cs="Arial"/>
                <w:bCs/>
                <w:sz w:val="16"/>
                <w:szCs w:val="16"/>
              </w:rPr>
            </w:pPr>
            <w:r>
              <w:rPr>
                <w:rFonts w:ascii="Arial" w:hAnsi="Arial" w:cs="Arial"/>
                <w:bCs/>
                <w:sz w:val="16"/>
                <w:szCs w:val="16"/>
              </w:rPr>
              <w:t>As per 2022-23</w:t>
            </w:r>
          </w:p>
        </w:tc>
        <w:tc>
          <w:tcPr>
            <w:tcW w:w="4134" w:type="dxa"/>
            <w:tcBorders>
              <w:top w:val="single" w:sz="4" w:space="0" w:color="auto"/>
              <w:left w:val="single" w:sz="4" w:space="0" w:color="auto"/>
              <w:bottom w:val="single" w:sz="4" w:space="0" w:color="auto"/>
              <w:right w:val="single" w:sz="4" w:space="0" w:color="auto"/>
            </w:tcBorders>
          </w:tcPr>
          <w:p w14:paraId="2239E297" w14:textId="77777777" w:rsidR="00F0167C" w:rsidRPr="006A4649" w:rsidRDefault="007C7D24" w:rsidP="00632AE5">
            <w:pPr>
              <w:tabs>
                <w:tab w:val="left" w:pos="709"/>
              </w:tabs>
              <w:suppressAutoHyphens/>
              <w:spacing w:before="60" w:after="60" w:line="240" w:lineRule="auto"/>
              <w:rPr>
                <w:rFonts w:ascii="Arial" w:eastAsia="Arial" w:hAnsi="Arial" w:cs="Arial"/>
                <w:sz w:val="16"/>
                <w:szCs w:val="16"/>
              </w:rPr>
            </w:pPr>
            <w:r>
              <w:rPr>
                <w:rFonts w:ascii="Arial" w:eastAsia="Arial" w:hAnsi="Arial" w:cs="Arial"/>
                <w:sz w:val="16"/>
                <w:szCs w:val="16"/>
              </w:rPr>
              <w:t>As per 2022-23</w:t>
            </w:r>
          </w:p>
        </w:tc>
      </w:tr>
      <w:tr w:rsidR="00F0167C" w:rsidRPr="00A0116B" w14:paraId="2239E29A" w14:textId="77777777" w:rsidTr="00632AE5">
        <w:trPr>
          <w:trHeight w:val="291"/>
        </w:trPr>
        <w:tc>
          <w:tcPr>
            <w:tcW w:w="7795" w:type="dxa"/>
            <w:gridSpan w:val="3"/>
          </w:tcPr>
          <w:p w14:paraId="2239E299" w14:textId="5CCF47F3" w:rsidR="00F0167C" w:rsidRPr="009B15C3" w:rsidRDefault="009B15C3" w:rsidP="00632AE5">
            <w:pPr>
              <w:tabs>
                <w:tab w:val="left" w:pos="709"/>
              </w:tabs>
              <w:spacing w:before="60" w:after="60" w:line="240" w:lineRule="auto"/>
              <w:rPr>
                <w:rFonts w:ascii="Arial" w:eastAsia="Cambria" w:hAnsi="Arial" w:cs="Arial"/>
                <w:bCs/>
                <w:iCs/>
                <w:spacing w:val="-6"/>
                <w:sz w:val="16"/>
                <w:szCs w:val="16"/>
              </w:rPr>
            </w:pPr>
            <w:r w:rsidRPr="009B15C3">
              <w:rPr>
                <w:rFonts w:ascii="Arial" w:hAnsi="Arial" w:cs="Arial"/>
                <w:sz w:val="16"/>
                <w:szCs w:val="16"/>
              </w:rPr>
              <w:t>Material changes to Program 2.8 resulting from October 2022-23 Budget Measures:</w:t>
            </w:r>
            <w:r w:rsidRPr="009B15C3">
              <w:rPr>
                <w:rFonts w:ascii="Arial" w:hAnsi="Arial" w:cs="Arial"/>
                <w:bCs/>
                <w:iCs/>
                <w:spacing w:val="-6"/>
                <w:sz w:val="16"/>
                <w:szCs w:val="16"/>
              </w:rPr>
              <w:t xml:space="preserve"> Nil</w:t>
            </w:r>
          </w:p>
        </w:tc>
      </w:tr>
    </w:tbl>
    <w:p w14:paraId="5FDA7BAE" w14:textId="77777777" w:rsidR="00DC40CF" w:rsidRDefault="00DC40CF" w:rsidP="00C8474A">
      <w:pPr>
        <w:pStyle w:val="ChartandTableFootnoteAlpha"/>
        <w:numPr>
          <w:ilvl w:val="0"/>
          <w:numId w:val="76"/>
        </w:numPr>
        <w:spacing w:before="60"/>
        <w:ind w:left="284" w:hanging="284"/>
        <w:rPr>
          <w:lang w:eastAsia="x-none"/>
        </w:rPr>
      </w:pPr>
      <w:bookmarkStart w:id="81" w:name="_Toc98181311"/>
      <w:bookmarkStart w:id="82" w:name="_Toc116742497"/>
      <w:r w:rsidRPr="00CC65C0">
        <w:rPr>
          <w:lang w:eastAsia="x-none"/>
        </w:rPr>
        <w:t>Refers to updated key activities th</w:t>
      </w:r>
      <w:r>
        <w:rPr>
          <w:lang w:eastAsia="x-none"/>
        </w:rPr>
        <w:t>at will be reflected in the 2022-23</w:t>
      </w:r>
      <w:r w:rsidRPr="00CC65C0">
        <w:rPr>
          <w:lang w:eastAsia="x-none"/>
        </w:rPr>
        <w:t xml:space="preserve"> Corporate Plan</w:t>
      </w:r>
      <w:r>
        <w:rPr>
          <w:lang w:eastAsia="x-none"/>
        </w:rPr>
        <w:t>.</w:t>
      </w:r>
    </w:p>
    <w:p w14:paraId="4A3F6A92" w14:textId="77777777" w:rsidR="00A35052" w:rsidRDefault="00A35052" w:rsidP="00F0167C">
      <w:pPr>
        <w:pStyle w:val="Heading3"/>
        <w:rPr>
          <w:rFonts w:ascii="Book Antiqua" w:hAnsi="Book Antiqua"/>
          <w:b w:val="0"/>
          <w:sz w:val="19"/>
          <w:lang w:eastAsia="x-none"/>
        </w:rPr>
      </w:pPr>
      <w:r>
        <w:rPr>
          <w:rFonts w:ascii="Book Antiqua" w:hAnsi="Book Antiqua"/>
          <w:b w:val="0"/>
          <w:sz w:val="19"/>
          <w:lang w:eastAsia="x-none"/>
        </w:rPr>
        <w:br w:type="page"/>
      </w:r>
    </w:p>
    <w:p w14:paraId="2239E29C" w14:textId="77F69858" w:rsidR="00F0167C" w:rsidRPr="00F743D8" w:rsidRDefault="00F0167C" w:rsidP="00F0167C">
      <w:pPr>
        <w:pStyle w:val="Heading3"/>
      </w:pPr>
      <w:bookmarkStart w:id="83" w:name="_Toc117027161"/>
      <w:bookmarkStart w:id="84" w:name="_Toc117070787"/>
      <w:bookmarkStart w:id="85" w:name="_Toc117071041"/>
      <w:bookmarkStart w:id="86" w:name="_Toc117078075"/>
      <w:r>
        <w:lastRenderedPageBreak/>
        <w:t>2.3</w:t>
      </w:r>
      <w:r w:rsidRPr="00F743D8">
        <w:t xml:space="preserve"> </w:t>
      </w:r>
      <w:r w:rsidRPr="00F743D8">
        <w:tab/>
        <w:t>Budgeted expens</w:t>
      </w:r>
      <w:r>
        <w:t>es and performance for Outcome 3</w:t>
      </w:r>
      <w:bookmarkEnd w:id="81"/>
      <w:bookmarkEnd w:id="82"/>
      <w:bookmarkEnd w:id="83"/>
      <w:bookmarkEnd w:id="84"/>
      <w:bookmarkEnd w:id="85"/>
      <w:bookmarkEnd w:id="86"/>
    </w:p>
    <w:tbl>
      <w:tblPr>
        <w:tblW w:w="7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F0167C" w:rsidRPr="005E6F2B" w14:paraId="2239E29E" w14:textId="77777777" w:rsidTr="00DB35A1">
        <w:tc>
          <w:tcPr>
            <w:tcW w:w="7705" w:type="dxa"/>
            <w:shd w:val="clear" w:color="auto" w:fill="E6E6E6"/>
          </w:tcPr>
          <w:p w14:paraId="2239E29D" w14:textId="77777777" w:rsidR="00F0167C" w:rsidRPr="005E6F2B" w:rsidRDefault="00F0167C" w:rsidP="00632AE5">
            <w:pPr>
              <w:pStyle w:val="TableColumnHeadingLeft"/>
              <w:spacing w:before="60" w:after="60"/>
            </w:pPr>
            <w:r w:rsidRPr="009301D5">
              <w:t>Outcome 3 – Support for parliamentarians and others as required by the Australian Government through the delivery of, and advice on, work expenses and allowances, entitlements and targeted programs.</w:t>
            </w:r>
          </w:p>
        </w:tc>
      </w:tr>
    </w:tbl>
    <w:p w14:paraId="2239E29F" w14:textId="77777777" w:rsidR="00F0167C" w:rsidRPr="005E6F2B" w:rsidRDefault="00F0167C" w:rsidP="00F0167C">
      <w:pPr>
        <w:pStyle w:val="NoSpacing"/>
      </w:pPr>
    </w:p>
    <w:p w14:paraId="2239E2A0" w14:textId="77777777" w:rsidR="00F0167C" w:rsidRPr="00446612" w:rsidRDefault="00F0167C" w:rsidP="00F0167C">
      <w:pPr>
        <w:pStyle w:val="Heading5"/>
      </w:pPr>
      <w:r>
        <w:t>Budgeted expenses for Outcome 3</w:t>
      </w:r>
    </w:p>
    <w:p w14:paraId="2239E2A1" w14:textId="77777777" w:rsidR="00F0167C" w:rsidRDefault="00F0167C" w:rsidP="007C7D24">
      <w:r w:rsidRPr="00950281">
        <w:t>This table shows how much the entity intends to spend (on an accrual basis) on achieving the outcome, broken down by program, as well as by Administered an</w:t>
      </w:r>
      <w:r>
        <w:t>d Departmental funding sources.</w:t>
      </w:r>
    </w:p>
    <w:p w14:paraId="2239E2A2" w14:textId="77777777" w:rsidR="00F0167C" w:rsidRPr="00442E4B" w:rsidRDefault="00F0167C" w:rsidP="00F0167C">
      <w:pPr>
        <w:spacing w:after="0"/>
        <w:rPr>
          <w:rFonts w:ascii="Arial" w:hAnsi="Arial" w:cs="Arial"/>
          <w:b/>
          <w:sz w:val="20"/>
        </w:rPr>
      </w:pPr>
      <w:r w:rsidRPr="00442E4B">
        <w:rPr>
          <w:rFonts w:ascii="Arial" w:hAnsi="Arial" w:cs="Arial"/>
          <w:b/>
          <w:sz w:val="20"/>
        </w:rPr>
        <w:t xml:space="preserve">Table 2.3.1: Budgeted expenses for Outcome 3 </w:t>
      </w:r>
    </w:p>
    <w:p w14:paraId="2239E2A3" w14:textId="05CA547F" w:rsidR="00F0167C" w:rsidRDefault="00123B3A" w:rsidP="00F0167C">
      <w:pPr>
        <w:pStyle w:val="TableGraphic"/>
        <w:rPr>
          <w:lang w:eastAsia="zh-CN"/>
        </w:rPr>
      </w:pPr>
      <w:r w:rsidRPr="00123B3A">
        <w:rPr>
          <w:noProof/>
          <w:lang w:eastAsia="zh-CN"/>
        </w:rPr>
        <w:drawing>
          <wp:inline distT="0" distB="0" distL="0" distR="0" wp14:anchorId="53FD6D8C" wp14:editId="114F0621">
            <wp:extent cx="4895850" cy="3349412"/>
            <wp:effectExtent l="0" t="0" r="0" b="381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895850" cy="3349412"/>
                    </a:xfrm>
                    <a:prstGeom prst="rect">
                      <a:avLst/>
                    </a:prstGeom>
                    <a:noFill/>
                    <a:ln>
                      <a:noFill/>
                    </a:ln>
                  </pic:spPr>
                </pic:pic>
              </a:graphicData>
            </a:graphic>
          </wp:inline>
        </w:drawing>
      </w:r>
    </w:p>
    <w:p w14:paraId="43927666" w14:textId="77777777" w:rsidR="00290416" w:rsidRDefault="00290416" w:rsidP="00290416">
      <w:pPr>
        <w:pStyle w:val="TableHeading"/>
        <w:spacing w:before="0"/>
        <w:rPr>
          <w:b w:val="0"/>
          <w:sz w:val="16"/>
        </w:rPr>
      </w:pPr>
      <w:r>
        <w:rPr>
          <w:b w:val="0"/>
          <w:sz w:val="16"/>
        </w:rPr>
        <w:t xml:space="preserve">Table continues on next page </w:t>
      </w:r>
      <w:r>
        <w:rPr>
          <w:b w:val="0"/>
          <w:sz w:val="16"/>
        </w:rPr>
        <w:br w:type="page"/>
      </w:r>
    </w:p>
    <w:p w14:paraId="2239E2A8" w14:textId="06B4A3F2" w:rsidR="00F0167C" w:rsidRPr="00290416" w:rsidRDefault="00F0167C" w:rsidP="00290416">
      <w:pPr>
        <w:pStyle w:val="TableHeading"/>
        <w:spacing w:before="0"/>
        <w:rPr>
          <w:b w:val="0"/>
          <w:sz w:val="16"/>
        </w:rPr>
      </w:pPr>
      <w:r w:rsidRPr="00905ADB">
        <w:lastRenderedPageBreak/>
        <w:t>Table 2.3.1: Budgeted expenses for Outcome 3 (continued)</w:t>
      </w:r>
      <w:r w:rsidR="00632FF4" w:rsidRPr="00632FF4">
        <w:rPr>
          <w:b w:val="0"/>
        </w:rPr>
        <w:t xml:space="preserve"> </w:t>
      </w:r>
      <w:r w:rsidR="00110332" w:rsidRPr="00110332">
        <w:rPr>
          <w:b w:val="0"/>
          <w:noProof/>
          <w:lang w:eastAsia="zh-CN"/>
        </w:rPr>
        <w:drawing>
          <wp:inline distT="0" distB="0" distL="0" distR="0" wp14:anchorId="7916A530" wp14:editId="1583108D">
            <wp:extent cx="4895850" cy="2625335"/>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895850" cy="2625335"/>
                    </a:xfrm>
                    <a:prstGeom prst="rect">
                      <a:avLst/>
                    </a:prstGeom>
                    <a:noFill/>
                    <a:ln>
                      <a:noFill/>
                    </a:ln>
                  </pic:spPr>
                </pic:pic>
              </a:graphicData>
            </a:graphic>
          </wp:inline>
        </w:drawing>
      </w:r>
    </w:p>
    <w:p w14:paraId="2239E2A9" w14:textId="77777777" w:rsidR="00F0167C" w:rsidRPr="008A5009" w:rsidRDefault="00F0167C" w:rsidP="00C8474A">
      <w:pPr>
        <w:pStyle w:val="ListParagraph"/>
        <w:numPr>
          <w:ilvl w:val="0"/>
          <w:numId w:val="18"/>
        </w:numPr>
        <w:spacing w:before="0" w:after="60" w:line="240" w:lineRule="auto"/>
        <w:ind w:left="284" w:hanging="284"/>
        <w:contextualSpacing w:val="0"/>
        <w:rPr>
          <w:rFonts w:ascii="Arial" w:hAnsi="Arial" w:cs="Arial"/>
          <w:sz w:val="16"/>
          <w:szCs w:val="16"/>
        </w:rPr>
      </w:pPr>
      <w:r w:rsidRPr="008A5009">
        <w:rPr>
          <w:rFonts w:ascii="Arial" w:hAnsi="Arial" w:cs="Arial"/>
          <w:sz w:val="16"/>
          <w:szCs w:val="16"/>
        </w:rPr>
        <w:t xml:space="preserve">Estimates for this item are subject to the </w:t>
      </w:r>
      <w:r w:rsidRPr="008A5009">
        <w:rPr>
          <w:rFonts w:ascii="Arial" w:hAnsi="Arial" w:cs="Arial"/>
          <w:i/>
          <w:sz w:val="16"/>
          <w:szCs w:val="16"/>
        </w:rPr>
        <w:t>Ministers of State Regulation 2012</w:t>
      </w:r>
      <w:r w:rsidRPr="008A5009">
        <w:rPr>
          <w:rFonts w:ascii="Arial" w:hAnsi="Arial" w:cs="Arial"/>
          <w:sz w:val="16"/>
          <w:szCs w:val="16"/>
        </w:rPr>
        <w:t>.</w:t>
      </w:r>
    </w:p>
    <w:p w14:paraId="2239E2AA" w14:textId="77777777" w:rsidR="00F0167C" w:rsidRPr="004111A7" w:rsidRDefault="00F0167C" w:rsidP="00C8474A">
      <w:pPr>
        <w:pStyle w:val="ListParagraph"/>
        <w:numPr>
          <w:ilvl w:val="0"/>
          <w:numId w:val="18"/>
        </w:numPr>
        <w:spacing w:before="0" w:after="60" w:line="240" w:lineRule="auto"/>
        <w:ind w:left="284" w:hanging="284"/>
        <w:contextualSpacing w:val="0"/>
        <w:rPr>
          <w:rFonts w:ascii="Arial" w:hAnsi="Arial" w:cs="Arial"/>
          <w:sz w:val="16"/>
          <w:szCs w:val="16"/>
        </w:rPr>
      </w:pPr>
      <w:r w:rsidRPr="004111A7">
        <w:rPr>
          <w:rFonts w:ascii="Arial" w:hAnsi="Arial" w:cs="Arial"/>
          <w:sz w:val="16"/>
          <w:szCs w:val="16"/>
        </w:rPr>
        <w:t xml:space="preserve">‘Expenses </w:t>
      </w:r>
      <w:r w:rsidRPr="004111A7">
        <w:rPr>
          <w:rFonts w:ascii="Arial" w:eastAsia="Times New Roman" w:hAnsi="Arial" w:cs="Arial"/>
          <w:sz w:val="16"/>
          <w:szCs w:val="16"/>
          <w:lang w:val="en-AU" w:eastAsia="en-AU"/>
        </w:rPr>
        <w:t>not</w:t>
      </w:r>
      <w:r w:rsidRPr="004111A7">
        <w:rPr>
          <w:rFonts w:ascii="Arial" w:hAnsi="Arial" w:cs="Arial"/>
          <w:sz w:val="16"/>
          <w:szCs w:val="16"/>
        </w:rPr>
        <w:t xml:space="preserve"> </w:t>
      </w:r>
      <w:r>
        <w:rPr>
          <w:rFonts w:ascii="Arial" w:hAnsi="Arial" w:cs="Arial"/>
          <w:sz w:val="16"/>
          <w:szCs w:val="16"/>
        </w:rPr>
        <w:t>requiring appropriation in the B</w:t>
      </w:r>
      <w:r w:rsidRPr="004111A7">
        <w:rPr>
          <w:rFonts w:ascii="Arial" w:hAnsi="Arial" w:cs="Arial"/>
          <w:sz w:val="16"/>
          <w:szCs w:val="16"/>
        </w:rPr>
        <w:t>udget year’ is made up of depreciation expenses, amortisation expenses and resources received free of charge.</w:t>
      </w:r>
    </w:p>
    <w:p w14:paraId="2239E2AB" w14:textId="48DB98DB" w:rsidR="007C7D24" w:rsidRPr="007C7D24" w:rsidRDefault="007C6968" w:rsidP="00C8474A">
      <w:pPr>
        <w:pStyle w:val="ListParagraph"/>
        <w:numPr>
          <w:ilvl w:val="0"/>
          <w:numId w:val="18"/>
        </w:numPr>
        <w:spacing w:before="0" w:after="60" w:line="240" w:lineRule="auto"/>
        <w:ind w:left="284" w:hanging="284"/>
        <w:contextualSpacing w:val="0"/>
        <w:rPr>
          <w:rFonts w:ascii="Book Antiqua" w:hAnsi="Book Antiqua"/>
          <w:sz w:val="16"/>
          <w:szCs w:val="16"/>
        </w:rPr>
      </w:pPr>
      <w:r>
        <w:rPr>
          <w:rFonts w:ascii="Arial" w:hAnsi="Arial" w:cs="Arial"/>
          <w:sz w:val="16"/>
          <w:szCs w:val="16"/>
        </w:rPr>
        <w:t xml:space="preserve">Includes </w:t>
      </w:r>
      <w:r w:rsidR="00F0167C" w:rsidRPr="004111A7">
        <w:rPr>
          <w:rFonts w:ascii="Arial" w:hAnsi="Arial" w:cs="Arial"/>
          <w:sz w:val="16"/>
          <w:szCs w:val="16"/>
        </w:rPr>
        <w:t xml:space="preserve">estimated </w:t>
      </w:r>
      <w:r>
        <w:rPr>
          <w:rFonts w:ascii="Arial" w:hAnsi="Arial" w:cs="Arial"/>
          <w:sz w:val="16"/>
          <w:szCs w:val="16"/>
        </w:rPr>
        <w:t xml:space="preserve">expenses in relation to </w:t>
      </w:r>
      <w:r w:rsidR="00F0167C" w:rsidRPr="004111A7">
        <w:rPr>
          <w:rFonts w:ascii="Arial" w:hAnsi="Arial" w:cs="Arial"/>
          <w:sz w:val="16"/>
          <w:szCs w:val="16"/>
        </w:rPr>
        <w:t>receipts retained under s</w:t>
      </w:r>
      <w:r w:rsidR="00F0167C">
        <w:rPr>
          <w:rFonts w:ascii="Arial" w:hAnsi="Arial" w:cs="Arial"/>
          <w:sz w:val="16"/>
          <w:szCs w:val="16"/>
        </w:rPr>
        <w:t xml:space="preserve">ection </w:t>
      </w:r>
      <w:r w:rsidR="00F0167C" w:rsidRPr="004111A7">
        <w:rPr>
          <w:rFonts w:ascii="Arial" w:hAnsi="Arial" w:cs="Arial"/>
          <w:sz w:val="16"/>
          <w:szCs w:val="16"/>
        </w:rPr>
        <w:t xml:space="preserve">74 of the PGPA Act. </w:t>
      </w:r>
    </w:p>
    <w:p w14:paraId="2239E2AC" w14:textId="77777777" w:rsidR="00F0167C" w:rsidRPr="007C7D24" w:rsidRDefault="00F0167C" w:rsidP="00442D9D">
      <w:pPr>
        <w:spacing w:before="0" w:after="60" w:line="240" w:lineRule="auto"/>
        <w:rPr>
          <w:rFonts w:eastAsia="Calibri"/>
          <w:sz w:val="16"/>
          <w:szCs w:val="16"/>
        </w:rPr>
      </w:pPr>
      <w:r w:rsidRPr="007C7D24">
        <w:rPr>
          <w:rFonts w:ascii="Arial" w:eastAsia="Calibri" w:hAnsi="Arial" w:cs="Arial"/>
          <w:sz w:val="16"/>
          <w:szCs w:val="16"/>
        </w:rPr>
        <w:t>Note: Departmental appropriation splits and totals are indicative estimates and may change in the course of the Budget year as government priorities change.</w:t>
      </w:r>
    </w:p>
    <w:p w14:paraId="2239E2AD" w14:textId="77777777" w:rsidR="00F0167C" w:rsidRPr="00E84F25" w:rsidRDefault="00F0167C" w:rsidP="00F0167C">
      <w:pPr>
        <w:spacing w:after="0"/>
        <w:rPr>
          <w:rStyle w:val="TableHeadingChar"/>
          <w:rFonts w:ascii="Book Antiqua" w:hAnsi="Book Antiqua"/>
          <w:sz w:val="20"/>
        </w:rPr>
      </w:pPr>
      <w:r>
        <w:rPr>
          <w:highlight w:val="yellow"/>
        </w:rPr>
        <w:br w:type="page"/>
      </w:r>
      <w:r w:rsidRPr="00E84F25">
        <w:rPr>
          <w:rFonts w:ascii="Arial" w:hAnsi="Arial"/>
          <w:b/>
          <w:color w:val="000000"/>
          <w:sz w:val="20"/>
          <w:lang w:val="x-none" w:eastAsia="x-none"/>
        </w:rPr>
        <w:lastRenderedPageBreak/>
        <w:t>Table 2.3.</w:t>
      </w:r>
      <w:r w:rsidRPr="00E84F25">
        <w:rPr>
          <w:rFonts w:ascii="Arial" w:hAnsi="Arial"/>
          <w:b/>
          <w:color w:val="000000"/>
          <w:sz w:val="20"/>
          <w:lang w:eastAsia="x-none"/>
        </w:rPr>
        <w:t>2</w:t>
      </w:r>
      <w:r w:rsidRPr="00E84F25">
        <w:rPr>
          <w:rFonts w:ascii="Arial" w:hAnsi="Arial"/>
          <w:b/>
          <w:color w:val="000000"/>
          <w:sz w:val="20"/>
          <w:lang w:val="x-none" w:eastAsia="x-none"/>
        </w:rPr>
        <w:t xml:space="preserve">: Performance measure for Outcome </w:t>
      </w:r>
      <w:r w:rsidRPr="00E84F25">
        <w:rPr>
          <w:rFonts w:ascii="Arial" w:hAnsi="Arial"/>
          <w:b/>
          <w:sz w:val="20"/>
          <w:lang w:val="x-none" w:eastAsia="x-none"/>
        </w:rPr>
        <w:t>3</w:t>
      </w:r>
      <w:r w:rsidRPr="00E84F25">
        <w:rPr>
          <w:sz w:val="20"/>
        </w:rPr>
        <w:t xml:space="preserve"> </w:t>
      </w:r>
    </w:p>
    <w:p w14:paraId="2239E2AE" w14:textId="2BE4CC44" w:rsidR="00F0167C" w:rsidRPr="00444FC8" w:rsidRDefault="00F0167C" w:rsidP="00F0167C">
      <w:pPr>
        <w:rPr>
          <w:rFonts w:cs="Arial"/>
        </w:rPr>
      </w:pPr>
      <w:r w:rsidRPr="005D034A">
        <w:rPr>
          <w:rFonts w:cs="Arial"/>
        </w:rPr>
        <w:t>Table 2.3.2 details the performance measures for each progra</w:t>
      </w:r>
      <w:r w:rsidRPr="00444FC8">
        <w:rPr>
          <w:rFonts w:cs="Arial"/>
        </w:rPr>
        <w:t xml:space="preserve">m associated with Outcome 3.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w:t>
      </w:r>
      <w:r w:rsidR="003D562D">
        <w:rPr>
          <w:rFonts w:cs="Arial"/>
        </w:rPr>
        <w:t xml:space="preserve">the October </w:t>
      </w:r>
      <w:r w:rsidRPr="00444FC8">
        <w:rPr>
          <w:rFonts w:cs="Arial"/>
        </w:rPr>
        <w:t>2022-23 Budget measures that have created new programs or materially changed existing programs are provided.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248"/>
        <w:gridCol w:w="4156"/>
      </w:tblGrid>
      <w:tr w:rsidR="00F0167C" w:rsidRPr="00361E69" w14:paraId="2239E2B0" w14:textId="77777777" w:rsidTr="00632AE5">
        <w:trPr>
          <w:trHeight w:val="569"/>
        </w:trPr>
        <w:tc>
          <w:tcPr>
            <w:tcW w:w="7795" w:type="dxa"/>
            <w:gridSpan w:val="3"/>
            <w:shd w:val="clear" w:color="auto" w:fill="F2F2F2"/>
          </w:tcPr>
          <w:p w14:paraId="2239E2AF" w14:textId="159DAA1B" w:rsidR="00F0167C" w:rsidRPr="00361E69" w:rsidRDefault="00234D9C" w:rsidP="00632AE5">
            <w:pPr>
              <w:pStyle w:val="TableColumnHeadingLeft"/>
              <w:spacing w:before="60" w:after="60"/>
            </w:pPr>
            <w:r w:rsidRPr="00234D9C">
              <w:t xml:space="preserve">Outcome 3 </w:t>
            </w:r>
            <w:r w:rsidRPr="00234D9C">
              <w:rPr>
                <w:b w:val="0"/>
              </w:rPr>
              <w:t>– Support for parliamentarians and others as required by the Australian Government through the delivery of, and advice on, work expenses and allowances, entitlements and targeted programs.</w:t>
            </w:r>
          </w:p>
        </w:tc>
      </w:tr>
      <w:tr w:rsidR="00F0167C" w:rsidRPr="00361E69" w14:paraId="2239E2B3" w14:textId="77777777" w:rsidTr="00632AE5">
        <w:trPr>
          <w:trHeight w:val="522"/>
        </w:trPr>
        <w:tc>
          <w:tcPr>
            <w:tcW w:w="7795" w:type="dxa"/>
            <w:gridSpan w:val="3"/>
            <w:shd w:val="clear" w:color="auto" w:fill="F2F2F2"/>
          </w:tcPr>
          <w:p w14:paraId="2D650AAC" w14:textId="77777777" w:rsidR="00234D9C" w:rsidRPr="00234D9C" w:rsidRDefault="00234D9C" w:rsidP="00632AE5">
            <w:pPr>
              <w:tabs>
                <w:tab w:val="left" w:pos="709"/>
              </w:tabs>
              <w:spacing w:before="60" w:after="60" w:line="240" w:lineRule="auto"/>
              <w:rPr>
                <w:rFonts w:ascii="Arial" w:hAnsi="Arial" w:cs="Arial"/>
                <w:b/>
                <w:sz w:val="16"/>
                <w:szCs w:val="16"/>
              </w:rPr>
            </w:pPr>
            <w:r w:rsidRPr="00234D9C">
              <w:rPr>
                <w:rFonts w:ascii="Arial" w:hAnsi="Arial" w:cs="Arial"/>
                <w:b/>
                <w:sz w:val="16"/>
                <w:szCs w:val="16"/>
              </w:rPr>
              <w:t xml:space="preserve">Program 3.1 - Ministerial and Parliamentary Services </w:t>
            </w:r>
          </w:p>
          <w:p w14:paraId="2239E2B2" w14:textId="185738BC" w:rsidR="00F0167C" w:rsidRPr="00234D9C" w:rsidRDefault="00234D9C" w:rsidP="00632AE5">
            <w:pPr>
              <w:tabs>
                <w:tab w:val="left" w:pos="709"/>
              </w:tabs>
              <w:spacing w:before="60" w:after="60" w:line="240" w:lineRule="auto"/>
              <w:rPr>
                <w:rFonts w:ascii="Arial" w:hAnsi="Arial" w:cs="Arial"/>
                <w:sz w:val="16"/>
                <w:szCs w:val="16"/>
              </w:rPr>
            </w:pPr>
            <w:r w:rsidRPr="00234D9C">
              <w:rPr>
                <w:rFonts w:ascii="Arial" w:hAnsi="Arial" w:cs="Arial"/>
                <w:sz w:val="16"/>
                <w:szCs w:val="16"/>
              </w:rPr>
              <w:t>This program contributes to the outcome through the provision of advice on, access to, and payment of Parliamentary and post-Parliamentary, work expenses, allowances and entitlements and targeted programs.</w:t>
            </w:r>
          </w:p>
        </w:tc>
      </w:tr>
      <w:tr w:rsidR="00F0167C" w:rsidRPr="00361E69" w14:paraId="2239E2B7" w14:textId="77777777" w:rsidTr="00632AE5">
        <w:trPr>
          <w:trHeight w:val="694"/>
        </w:trPr>
        <w:tc>
          <w:tcPr>
            <w:tcW w:w="1391" w:type="dxa"/>
            <w:tcBorders>
              <w:bottom w:val="double" w:sz="4" w:space="0" w:color="auto"/>
            </w:tcBorders>
          </w:tcPr>
          <w:p w14:paraId="2239E2B4" w14:textId="3A57DF98" w:rsidR="00F0167C" w:rsidRPr="00361E69" w:rsidRDefault="00F0167C" w:rsidP="00632AE5">
            <w:pPr>
              <w:tabs>
                <w:tab w:val="left" w:pos="709"/>
              </w:tabs>
              <w:spacing w:before="60" w:after="60" w:line="240" w:lineRule="auto"/>
              <w:rPr>
                <w:rFonts w:ascii="Arial" w:hAnsi="Arial" w:cs="Arial"/>
                <w:b/>
                <w:sz w:val="16"/>
                <w:szCs w:val="16"/>
              </w:rPr>
            </w:pPr>
            <w:r>
              <w:rPr>
                <w:rFonts w:ascii="Arial" w:hAnsi="Arial" w:cs="Arial"/>
                <w:b/>
                <w:sz w:val="16"/>
                <w:szCs w:val="16"/>
              </w:rPr>
              <w:t>Key Activities</w:t>
            </w:r>
          </w:p>
        </w:tc>
        <w:tc>
          <w:tcPr>
            <w:tcW w:w="6404" w:type="dxa"/>
            <w:gridSpan w:val="2"/>
            <w:tcBorders>
              <w:bottom w:val="double" w:sz="4" w:space="0" w:color="auto"/>
            </w:tcBorders>
          </w:tcPr>
          <w:p w14:paraId="02107003" w14:textId="77777777" w:rsidR="00234D9C" w:rsidRPr="00234D9C" w:rsidRDefault="00234D9C" w:rsidP="00632AE5">
            <w:pPr>
              <w:tabs>
                <w:tab w:val="left" w:pos="709"/>
              </w:tabs>
              <w:spacing w:before="60" w:after="60" w:line="240" w:lineRule="auto"/>
              <w:rPr>
                <w:rFonts w:ascii="Arial" w:hAnsi="Arial" w:cs="Arial"/>
                <w:b/>
                <w:bCs/>
                <w:sz w:val="16"/>
                <w:szCs w:val="16"/>
              </w:rPr>
            </w:pPr>
            <w:r w:rsidRPr="00234D9C">
              <w:rPr>
                <w:rFonts w:ascii="Arial" w:hAnsi="Arial" w:cs="Arial"/>
                <w:b/>
                <w:bCs/>
                <w:sz w:val="16"/>
                <w:szCs w:val="16"/>
              </w:rPr>
              <w:t>Deliver ministerial and parliamentary services</w:t>
            </w:r>
          </w:p>
          <w:p w14:paraId="2239E2B6" w14:textId="4BA5DB83" w:rsidR="00F0167C" w:rsidRPr="00234D9C" w:rsidRDefault="00234D9C" w:rsidP="00632AE5">
            <w:pPr>
              <w:tabs>
                <w:tab w:val="left" w:pos="709"/>
              </w:tabs>
              <w:spacing w:before="60" w:after="60" w:line="240" w:lineRule="auto"/>
              <w:rPr>
                <w:rFonts w:ascii="Arial" w:hAnsi="Arial" w:cs="Arial"/>
                <w:i/>
                <w:sz w:val="16"/>
                <w:szCs w:val="16"/>
              </w:rPr>
            </w:pPr>
            <w:r w:rsidRPr="00234D9C">
              <w:rPr>
                <w:rFonts w:ascii="Arial" w:hAnsi="Arial" w:cs="Arial"/>
                <w:bCs/>
                <w:sz w:val="16"/>
                <w:szCs w:val="16"/>
              </w:rPr>
              <w:t>Provide a range of services to parliamentarians, their employees and others as determined by the Australian Government to assist them in undertaking their duties.</w:t>
            </w:r>
          </w:p>
        </w:tc>
      </w:tr>
      <w:tr w:rsidR="00F0167C" w:rsidRPr="00361E69" w14:paraId="2239E2BB" w14:textId="77777777" w:rsidTr="00632AE5">
        <w:trPr>
          <w:trHeight w:val="312"/>
        </w:trPr>
        <w:tc>
          <w:tcPr>
            <w:tcW w:w="1391" w:type="dxa"/>
            <w:tcBorders>
              <w:top w:val="double" w:sz="4" w:space="0" w:color="auto"/>
              <w:bottom w:val="single" w:sz="4" w:space="0" w:color="auto"/>
              <w:right w:val="single" w:sz="4" w:space="0" w:color="auto"/>
            </w:tcBorders>
          </w:tcPr>
          <w:p w14:paraId="2239E2B8" w14:textId="77777777" w:rsidR="00F0167C" w:rsidRPr="00361E69" w:rsidRDefault="00F0167C" w:rsidP="00632AE5">
            <w:pPr>
              <w:tabs>
                <w:tab w:val="left" w:pos="709"/>
              </w:tabs>
              <w:spacing w:before="60" w:after="60" w:line="240" w:lineRule="auto"/>
              <w:rPr>
                <w:rFonts w:ascii="Arial" w:hAnsi="Arial" w:cs="Arial"/>
                <w:b/>
                <w:sz w:val="16"/>
                <w:szCs w:val="16"/>
              </w:rPr>
            </w:pPr>
            <w:r w:rsidRPr="00361E69">
              <w:rPr>
                <w:rFonts w:ascii="Arial" w:hAnsi="Arial" w:cs="Arial"/>
                <w:b/>
                <w:sz w:val="16"/>
                <w:szCs w:val="16"/>
              </w:rPr>
              <w:t>Year</w:t>
            </w:r>
          </w:p>
        </w:tc>
        <w:tc>
          <w:tcPr>
            <w:tcW w:w="2248" w:type="dxa"/>
            <w:tcBorders>
              <w:top w:val="double" w:sz="4" w:space="0" w:color="auto"/>
              <w:left w:val="single" w:sz="4" w:space="0" w:color="auto"/>
              <w:bottom w:val="single" w:sz="4" w:space="0" w:color="auto"/>
              <w:right w:val="single" w:sz="4" w:space="0" w:color="auto"/>
            </w:tcBorders>
          </w:tcPr>
          <w:p w14:paraId="2239E2B9" w14:textId="77777777" w:rsidR="00F0167C" w:rsidRPr="00361E69" w:rsidRDefault="00F0167C" w:rsidP="00632AE5">
            <w:pPr>
              <w:tabs>
                <w:tab w:val="left" w:pos="709"/>
                <w:tab w:val="center" w:pos="1818"/>
              </w:tabs>
              <w:spacing w:before="60" w:after="60" w:line="240" w:lineRule="auto"/>
              <w:rPr>
                <w:rFonts w:ascii="Arial" w:hAnsi="Arial" w:cs="Arial"/>
                <w:b/>
                <w:sz w:val="16"/>
                <w:szCs w:val="16"/>
              </w:rPr>
            </w:pPr>
            <w:r w:rsidRPr="00361E69">
              <w:rPr>
                <w:rFonts w:ascii="Arial" w:hAnsi="Arial" w:cs="Arial"/>
                <w:b/>
                <w:sz w:val="16"/>
                <w:szCs w:val="16"/>
              </w:rPr>
              <w:t>Performance measures</w:t>
            </w:r>
          </w:p>
        </w:tc>
        <w:tc>
          <w:tcPr>
            <w:tcW w:w="4156" w:type="dxa"/>
            <w:tcBorders>
              <w:top w:val="double" w:sz="4" w:space="0" w:color="auto"/>
              <w:left w:val="single" w:sz="4" w:space="0" w:color="auto"/>
              <w:bottom w:val="single" w:sz="4" w:space="0" w:color="auto"/>
            </w:tcBorders>
          </w:tcPr>
          <w:p w14:paraId="2239E2BA" w14:textId="77777777" w:rsidR="00F0167C" w:rsidRPr="00361E69" w:rsidRDefault="00F0167C" w:rsidP="00632AE5">
            <w:pPr>
              <w:tabs>
                <w:tab w:val="left" w:pos="709"/>
              </w:tabs>
              <w:spacing w:before="60" w:after="60" w:line="240" w:lineRule="auto"/>
              <w:rPr>
                <w:rFonts w:ascii="Arial" w:hAnsi="Arial" w:cs="Arial"/>
                <w:b/>
                <w:sz w:val="16"/>
                <w:szCs w:val="16"/>
              </w:rPr>
            </w:pPr>
            <w:r w:rsidRPr="00361E69">
              <w:rPr>
                <w:rFonts w:ascii="Arial" w:hAnsi="Arial" w:cs="Arial"/>
                <w:b/>
                <w:sz w:val="16"/>
                <w:szCs w:val="16"/>
              </w:rPr>
              <w:t>Expected Performance Results</w:t>
            </w:r>
          </w:p>
        </w:tc>
      </w:tr>
      <w:tr w:rsidR="00F0167C" w:rsidRPr="00C92882" w14:paraId="2239E2C5" w14:textId="77777777" w:rsidTr="00632AE5">
        <w:trPr>
          <w:trHeight w:val="1599"/>
        </w:trPr>
        <w:tc>
          <w:tcPr>
            <w:tcW w:w="1391" w:type="dxa"/>
            <w:tcBorders>
              <w:top w:val="single" w:sz="4" w:space="0" w:color="auto"/>
              <w:right w:val="single" w:sz="4" w:space="0" w:color="auto"/>
            </w:tcBorders>
          </w:tcPr>
          <w:p w14:paraId="3C8B29BF" w14:textId="77777777" w:rsidR="00234D9C" w:rsidRPr="00234D9C" w:rsidRDefault="00234D9C" w:rsidP="00632AE5">
            <w:pPr>
              <w:tabs>
                <w:tab w:val="left" w:pos="709"/>
              </w:tabs>
              <w:spacing w:before="60" w:after="60" w:line="240" w:lineRule="auto"/>
              <w:rPr>
                <w:rFonts w:ascii="Arial" w:hAnsi="Arial" w:cs="Arial"/>
                <w:sz w:val="16"/>
                <w:szCs w:val="16"/>
              </w:rPr>
            </w:pPr>
            <w:r w:rsidRPr="00234D9C">
              <w:rPr>
                <w:rFonts w:ascii="Arial" w:hAnsi="Arial" w:cs="Arial"/>
                <w:sz w:val="16"/>
                <w:szCs w:val="16"/>
              </w:rPr>
              <w:t xml:space="preserve">Prior year </w:t>
            </w:r>
          </w:p>
          <w:p w14:paraId="2239E2BC" w14:textId="7EBBA7B4" w:rsidR="00F0167C" w:rsidRPr="00361E69" w:rsidRDefault="00234D9C" w:rsidP="00632AE5">
            <w:pPr>
              <w:tabs>
                <w:tab w:val="left" w:pos="709"/>
              </w:tabs>
              <w:spacing w:before="60" w:after="60" w:line="240" w:lineRule="auto"/>
              <w:rPr>
                <w:rFonts w:ascii="Arial" w:hAnsi="Arial" w:cs="Arial"/>
                <w:sz w:val="16"/>
                <w:szCs w:val="16"/>
              </w:rPr>
            </w:pPr>
            <w:r w:rsidRPr="00234D9C">
              <w:rPr>
                <w:rFonts w:ascii="Arial" w:hAnsi="Arial" w:cs="Arial"/>
                <w:sz w:val="16"/>
                <w:szCs w:val="16"/>
              </w:rPr>
              <w:t>2021-22</w:t>
            </w:r>
          </w:p>
        </w:tc>
        <w:tc>
          <w:tcPr>
            <w:tcW w:w="2248" w:type="dxa"/>
            <w:tcBorders>
              <w:top w:val="single" w:sz="4" w:space="0" w:color="auto"/>
              <w:left w:val="single" w:sz="4" w:space="0" w:color="auto"/>
              <w:right w:val="single" w:sz="4" w:space="0" w:color="auto"/>
            </w:tcBorders>
          </w:tcPr>
          <w:p w14:paraId="25E09A79" w14:textId="77777777" w:rsidR="00234D9C" w:rsidRPr="00234D9C" w:rsidRDefault="00234D9C" w:rsidP="00632AE5">
            <w:pPr>
              <w:tabs>
                <w:tab w:val="left" w:pos="709"/>
              </w:tabs>
              <w:spacing w:before="60" w:after="60" w:line="240" w:lineRule="auto"/>
              <w:rPr>
                <w:rFonts w:ascii="Arial" w:hAnsi="Arial" w:cs="Arial"/>
                <w:b/>
                <w:bCs/>
                <w:sz w:val="16"/>
                <w:szCs w:val="16"/>
              </w:rPr>
            </w:pPr>
            <w:r w:rsidRPr="00234D9C">
              <w:rPr>
                <w:rFonts w:ascii="Arial" w:hAnsi="Arial" w:cs="Arial"/>
                <w:b/>
                <w:bCs/>
                <w:sz w:val="16"/>
                <w:szCs w:val="16"/>
              </w:rPr>
              <w:t>Services meet clients’ needs</w:t>
            </w:r>
          </w:p>
          <w:p w14:paraId="2239E2BE" w14:textId="3492CACE" w:rsidR="00F0167C" w:rsidRPr="00234D9C" w:rsidRDefault="00234D9C" w:rsidP="00632AE5">
            <w:pPr>
              <w:tabs>
                <w:tab w:val="left" w:pos="709"/>
              </w:tabs>
              <w:spacing w:before="60" w:after="60" w:line="240" w:lineRule="auto"/>
              <w:rPr>
                <w:rFonts w:ascii="Arial" w:hAnsi="Arial" w:cs="Arial"/>
                <w:bCs/>
                <w:sz w:val="16"/>
                <w:szCs w:val="16"/>
              </w:rPr>
            </w:pPr>
            <w:r w:rsidRPr="00234D9C">
              <w:rPr>
                <w:rFonts w:ascii="Arial" w:hAnsi="Arial" w:cs="Arial"/>
                <w:bCs/>
                <w:sz w:val="16"/>
                <w:szCs w:val="16"/>
              </w:rPr>
              <w:t>Services meet the needs of parliamentarians, their employees and others as required by the Australian Government.</w:t>
            </w:r>
          </w:p>
        </w:tc>
        <w:tc>
          <w:tcPr>
            <w:tcW w:w="4156" w:type="dxa"/>
            <w:tcBorders>
              <w:top w:val="single" w:sz="4" w:space="0" w:color="auto"/>
              <w:left w:val="single" w:sz="4" w:space="0" w:color="auto"/>
            </w:tcBorders>
          </w:tcPr>
          <w:p w14:paraId="398E3E93" w14:textId="77777777" w:rsidR="00234D9C" w:rsidRPr="00234D9C" w:rsidRDefault="00234D9C" w:rsidP="00632AE5">
            <w:pPr>
              <w:tabs>
                <w:tab w:val="left" w:pos="709"/>
              </w:tabs>
              <w:spacing w:before="60" w:after="60" w:line="240" w:lineRule="auto"/>
              <w:rPr>
                <w:rFonts w:ascii="Arial" w:hAnsi="Arial" w:cs="Arial"/>
                <w:b/>
                <w:sz w:val="16"/>
                <w:szCs w:val="16"/>
              </w:rPr>
            </w:pPr>
            <w:r w:rsidRPr="00234D9C">
              <w:rPr>
                <w:rFonts w:ascii="Arial" w:hAnsi="Arial" w:cs="Arial"/>
                <w:b/>
                <w:sz w:val="16"/>
                <w:szCs w:val="16"/>
              </w:rPr>
              <w:t>Achieved</w:t>
            </w:r>
          </w:p>
          <w:p w14:paraId="210369CB" w14:textId="77777777" w:rsidR="00234D9C" w:rsidRPr="00234D9C" w:rsidRDefault="00234D9C" w:rsidP="00632AE5">
            <w:pPr>
              <w:tabs>
                <w:tab w:val="left" w:pos="709"/>
              </w:tabs>
              <w:spacing w:before="60" w:after="60" w:line="240" w:lineRule="auto"/>
              <w:rPr>
                <w:rFonts w:ascii="Arial" w:hAnsi="Arial" w:cs="Arial"/>
                <w:sz w:val="16"/>
                <w:szCs w:val="16"/>
              </w:rPr>
            </w:pPr>
            <w:r w:rsidRPr="00234D9C">
              <w:rPr>
                <w:rFonts w:ascii="Arial" w:hAnsi="Arial" w:cs="Arial"/>
                <w:sz w:val="16"/>
                <w:szCs w:val="16"/>
              </w:rPr>
              <w:t>For the period 1 July 2021 to 30 June 2022:</w:t>
            </w:r>
          </w:p>
          <w:p w14:paraId="1AFE42CD" w14:textId="1DEB161B" w:rsidR="00234D9C" w:rsidRPr="000C7FC1"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C7FC1">
              <w:rPr>
                <w:rFonts w:ascii="Arial" w:hAnsi="Arial" w:cs="Arial"/>
                <w:sz w:val="16"/>
                <w:szCs w:val="16"/>
              </w:rPr>
              <w:t>Our help desks acknowledged 98.04% of client contacts or queries within 24 hours and responded within agreed timeframes.</w:t>
            </w:r>
          </w:p>
          <w:p w14:paraId="275572D7" w14:textId="1FB03123" w:rsidR="00234D9C" w:rsidRPr="000C7FC1"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C7FC1">
              <w:rPr>
                <w:rFonts w:ascii="Arial" w:hAnsi="Arial" w:cs="Arial"/>
                <w:sz w:val="16"/>
                <w:szCs w:val="16"/>
              </w:rPr>
              <w:t>98.96% of payments (including payroll) were made within agreed timeframes.</w:t>
            </w:r>
          </w:p>
          <w:p w14:paraId="142356B5" w14:textId="50033393" w:rsidR="00234D9C" w:rsidRPr="000C7FC1"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C7FC1">
              <w:rPr>
                <w:rFonts w:ascii="Arial" w:hAnsi="Arial" w:cs="Arial"/>
                <w:sz w:val="16"/>
                <w:szCs w:val="16"/>
              </w:rPr>
              <w:t>100% of office establishment and relocation projects have been delivered in accordance with the National Fit-out Standards.</w:t>
            </w:r>
          </w:p>
          <w:p w14:paraId="2239E2C4" w14:textId="2DC3B73F" w:rsidR="00F0167C" w:rsidRPr="000C7FC1"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C7FC1">
              <w:rPr>
                <w:rFonts w:ascii="Arial" w:hAnsi="Arial" w:cs="Arial"/>
                <w:sz w:val="16"/>
                <w:szCs w:val="16"/>
              </w:rPr>
              <w:t>COMCAR completed 99.72% of reservations without service failure.</w:t>
            </w:r>
          </w:p>
        </w:tc>
      </w:tr>
    </w:tbl>
    <w:p w14:paraId="7F9255CC" w14:textId="77777777" w:rsidR="00A35052" w:rsidRDefault="00F0167C" w:rsidP="00A35052">
      <w:pPr>
        <w:pStyle w:val="TableHeading"/>
        <w:spacing w:before="30" w:after="0"/>
        <w:rPr>
          <w:b w:val="0"/>
          <w:sz w:val="16"/>
        </w:rPr>
      </w:pPr>
      <w:r w:rsidRPr="00F746E5">
        <w:rPr>
          <w:b w:val="0"/>
          <w:sz w:val="16"/>
        </w:rPr>
        <w:t xml:space="preserve">Table continues on next page </w:t>
      </w:r>
      <w:r w:rsidR="00A35052">
        <w:rPr>
          <w:b w:val="0"/>
          <w:sz w:val="16"/>
        </w:rPr>
        <w:br w:type="page"/>
      </w:r>
    </w:p>
    <w:p w14:paraId="2239E2CF" w14:textId="60177938" w:rsidR="00F0167C" w:rsidRPr="00E84F25" w:rsidRDefault="00F0167C" w:rsidP="00DB0EDF">
      <w:pPr>
        <w:spacing w:after="0"/>
        <w:rPr>
          <w:rFonts w:ascii="Arial" w:hAnsi="Arial"/>
          <w:b/>
          <w:color w:val="000000"/>
          <w:sz w:val="20"/>
          <w:lang w:val="x-none" w:eastAsia="x-none"/>
        </w:rPr>
      </w:pPr>
      <w:r w:rsidRPr="00E84F25">
        <w:rPr>
          <w:rFonts w:ascii="Arial" w:hAnsi="Arial"/>
          <w:b/>
          <w:color w:val="000000"/>
          <w:sz w:val="20"/>
          <w:lang w:val="x-none" w:eastAsia="x-none"/>
        </w:rPr>
        <w:lastRenderedPageBreak/>
        <w:t>Table 2.3.2: Performance measure for Outcome 3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338"/>
        <w:gridCol w:w="4067"/>
      </w:tblGrid>
      <w:tr w:rsidR="00F0167C" w:rsidRPr="00361E69" w14:paraId="2239E2D1" w14:textId="77777777" w:rsidTr="009B3EED">
        <w:trPr>
          <w:trHeight w:val="312"/>
        </w:trPr>
        <w:tc>
          <w:tcPr>
            <w:tcW w:w="7795" w:type="dxa"/>
            <w:gridSpan w:val="3"/>
            <w:tcBorders>
              <w:top w:val="single" w:sz="4" w:space="0" w:color="auto"/>
              <w:left w:val="single" w:sz="4" w:space="0" w:color="auto"/>
              <w:bottom w:val="single" w:sz="4" w:space="0" w:color="auto"/>
              <w:right w:val="single" w:sz="4" w:space="0" w:color="auto"/>
            </w:tcBorders>
            <w:shd w:val="clear" w:color="auto" w:fill="F2F2F2"/>
          </w:tcPr>
          <w:p w14:paraId="6865F270" w14:textId="77777777" w:rsidR="00234D9C" w:rsidRPr="00234D9C" w:rsidRDefault="00234D9C" w:rsidP="009B3EED">
            <w:pPr>
              <w:tabs>
                <w:tab w:val="left" w:pos="709"/>
              </w:tabs>
              <w:spacing w:before="60" w:after="60" w:line="240" w:lineRule="auto"/>
              <w:rPr>
                <w:rFonts w:ascii="Arial" w:hAnsi="Arial"/>
                <w:b/>
                <w:sz w:val="16"/>
                <w:szCs w:val="16"/>
              </w:rPr>
            </w:pPr>
            <w:r w:rsidRPr="00234D9C">
              <w:rPr>
                <w:rFonts w:ascii="Arial" w:hAnsi="Arial"/>
                <w:b/>
                <w:sz w:val="16"/>
                <w:szCs w:val="16"/>
              </w:rPr>
              <w:t xml:space="preserve">Program 3.1 - Ministerial and Parliamentary Services </w:t>
            </w:r>
          </w:p>
          <w:p w14:paraId="2239E2D0" w14:textId="2A1291C6" w:rsidR="00F0167C" w:rsidRPr="00234D9C" w:rsidRDefault="00234D9C" w:rsidP="009B3EED">
            <w:pPr>
              <w:tabs>
                <w:tab w:val="left" w:pos="709"/>
              </w:tabs>
              <w:spacing w:before="60" w:after="60" w:line="240" w:lineRule="auto"/>
              <w:rPr>
                <w:rFonts w:ascii="Arial" w:eastAsia="Arial" w:hAnsi="Arial" w:cs="Arial"/>
                <w:sz w:val="16"/>
                <w:szCs w:val="16"/>
              </w:rPr>
            </w:pPr>
            <w:r w:rsidRPr="00234D9C">
              <w:rPr>
                <w:rFonts w:ascii="Arial" w:hAnsi="Arial"/>
                <w:sz w:val="16"/>
                <w:szCs w:val="16"/>
              </w:rPr>
              <w:t>This program contributes to the outcome through the provision of advice on, access to, and payment of Parliamentary and post-Parliamentary, work expenses, allowances and entitlements and targeted programs.</w:t>
            </w:r>
          </w:p>
        </w:tc>
      </w:tr>
      <w:tr w:rsidR="00F0167C" w:rsidRPr="00361E69" w14:paraId="2239E2D5" w14:textId="77777777" w:rsidTr="009B3EED">
        <w:trPr>
          <w:trHeight w:val="312"/>
        </w:trPr>
        <w:tc>
          <w:tcPr>
            <w:tcW w:w="1390" w:type="dxa"/>
            <w:tcBorders>
              <w:top w:val="single" w:sz="4" w:space="0" w:color="auto"/>
              <w:bottom w:val="single" w:sz="4" w:space="0" w:color="auto"/>
              <w:right w:val="single" w:sz="4" w:space="0" w:color="auto"/>
            </w:tcBorders>
          </w:tcPr>
          <w:p w14:paraId="2239E2D2" w14:textId="77777777" w:rsidR="00F0167C" w:rsidRPr="00D63950" w:rsidRDefault="00F0167C" w:rsidP="009B3EED">
            <w:pPr>
              <w:tabs>
                <w:tab w:val="left" w:pos="709"/>
              </w:tabs>
              <w:spacing w:before="60" w:after="60"/>
              <w:rPr>
                <w:rFonts w:ascii="Arial" w:hAnsi="Arial" w:cs="Arial"/>
                <w:b/>
                <w:sz w:val="16"/>
                <w:szCs w:val="16"/>
              </w:rPr>
            </w:pPr>
            <w:r w:rsidRPr="00D63950">
              <w:rPr>
                <w:rFonts w:ascii="Arial" w:hAnsi="Arial" w:cs="Arial"/>
                <w:b/>
                <w:sz w:val="16"/>
                <w:szCs w:val="16"/>
              </w:rPr>
              <w:t>Year</w:t>
            </w:r>
          </w:p>
        </w:tc>
        <w:tc>
          <w:tcPr>
            <w:tcW w:w="2338" w:type="dxa"/>
            <w:tcBorders>
              <w:top w:val="single" w:sz="4" w:space="0" w:color="auto"/>
              <w:left w:val="single" w:sz="4" w:space="0" w:color="auto"/>
              <w:bottom w:val="single" w:sz="4" w:space="0" w:color="auto"/>
              <w:right w:val="single" w:sz="4" w:space="0" w:color="auto"/>
            </w:tcBorders>
          </w:tcPr>
          <w:p w14:paraId="2239E2D3" w14:textId="77777777" w:rsidR="00F0167C" w:rsidRPr="00D63950" w:rsidRDefault="00F0167C" w:rsidP="009B3EED">
            <w:pPr>
              <w:tabs>
                <w:tab w:val="left" w:pos="709"/>
                <w:tab w:val="center" w:pos="1818"/>
              </w:tabs>
              <w:spacing w:before="60" w:after="60"/>
              <w:rPr>
                <w:rFonts w:ascii="Arial" w:hAnsi="Arial" w:cs="Arial"/>
                <w:b/>
                <w:sz w:val="16"/>
                <w:szCs w:val="16"/>
              </w:rPr>
            </w:pPr>
            <w:r w:rsidRPr="00D63950">
              <w:rPr>
                <w:rFonts w:ascii="Arial" w:hAnsi="Arial" w:cs="Arial"/>
                <w:b/>
                <w:sz w:val="16"/>
                <w:szCs w:val="16"/>
              </w:rPr>
              <w:t>Performance measures</w:t>
            </w:r>
          </w:p>
        </w:tc>
        <w:tc>
          <w:tcPr>
            <w:tcW w:w="4067" w:type="dxa"/>
            <w:tcBorders>
              <w:top w:val="single" w:sz="4" w:space="0" w:color="auto"/>
              <w:left w:val="single" w:sz="4" w:space="0" w:color="auto"/>
              <w:bottom w:val="single" w:sz="4" w:space="0" w:color="auto"/>
            </w:tcBorders>
          </w:tcPr>
          <w:p w14:paraId="2239E2D4" w14:textId="77777777" w:rsidR="00F0167C" w:rsidRPr="00D63950" w:rsidRDefault="00F0167C" w:rsidP="009B3EED">
            <w:pPr>
              <w:tabs>
                <w:tab w:val="left" w:pos="709"/>
              </w:tabs>
              <w:spacing w:before="60" w:after="60"/>
              <w:rPr>
                <w:rFonts w:ascii="Arial" w:hAnsi="Arial" w:cs="Arial"/>
                <w:b/>
                <w:sz w:val="16"/>
                <w:szCs w:val="16"/>
              </w:rPr>
            </w:pPr>
            <w:r w:rsidRPr="00D63950">
              <w:rPr>
                <w:rFonts w:ascii="Arial" w:hAnsi="Arial" w:cs="Arial"/>
                <w:b/>
                <w:sz w:val="16"/>
                <w:szCs w:val="16"/>
              </w:rPr>
              <w:t>Expected Performance Results</w:t>
            </w:r>
          </w:p>
        </w:tc>
      </w:tr>
      <w:tr w:rsidR="00F0167C" w:rsidRPr="00C92882" w14:paraId="2239E2E2" w14:textId="77777777" w:rsidTr="009B3EED">
        <w:trPr>
          <w:trHeight w:val="1599"/>
        </w:trPr>
        <w:tc>
          <w:tcPr>
            <w:tcW w:w="1390" w:type="dxa"/>
            <w:tcBorders>
              <w:top w:val="single" w:sz="4" w:space="0" w:color="auto"/>
              <w:right w:val="single" w:sz="4" w:space="0" w:color="auto"/>
            </w:tcBorders>
          </w:tcPr>
          <w:p w14:paraId="782F8376" w14:textId="77777777" w:rsidR="00234D9C" w:rsidRPr="00234D9C" w:rsidRDefault="00234D9C" w:rsidP="009B3EED">
            <w:pPr>
              <w:tabs>
                <w:tab w:val="left" w:pos="709"/>
              </w:tabs>
              <w:spacing w:before="60" w:after="60" w:line="240" w:lineRule="auto"/>
              <w:rPr>
                <w:rFonts w:ascii="Arial" w:hAnsi="Arial" w:cs="Arial"/>
                <w:sz w:val="16"/>
                <w:szCs w:val="16"/>
              </w:rPr>
            </w:pPr>
            <w:r w:rsidRPr="00234D9C">
              <w:rPr>
                <w:rFonts w:ascii="Arial" w:hAnsi="Arial" w:cs="Arial"/>
                <w:sz w:val="16"/>
                <w:szCs w:val="16"/>
              </w:rPr>
              <w:t xml:space="preserve">Prior year </w:t>
            </w:r>
          </w:p>
          <w:p w14:paraId="2239E2D6" w14:textId="31425191" w:rsidR="00F0167C" w:rsidRPr="00361E69" w:rsidRDefault="00234D9C" w:rsidP="009B3EED">
            <w:pPr>
              <w:tabs>
                <w:tab w:val="left" w:pos="709"/>
              </w:tabs>
              <w:spacing w:before="60" w:after="60" w:line="240" w:lineRule="auto"/>
              <w:rPr>
                <w:rFonts w:ascii="Arial" w:hAnsi="Arial" w:cs="Arial"/>
                <w:sz w:val="16"/>
                <w:szCs w:val="16"/>
              </w:rPr>
            </w:pPr>
            <w:r w:rsidRPr="00234D9C">
              <w:rPr>
                <w:rFonts w:ascii="Arial" w:hAnsi="Arial" w:cs="Arial"/>
                <w:sz w:val="16"/>
                <w:szCs w:val="16"/>
              </w:rPr>
              <w:t>2021-22</w:t>
            </w:r>
            <w:r w:rsidR="00F0167C">
              <w:rPr>
                <w:rFonts w:ascii="Arial" w:hAnsi="Arial" w:cs="Arial"/>
                <w:sz w:val="16"/>
                <w:szCs w:val="16"/>
              </w:rPr>
              <w:t xml:space="preserve"> (continued)</w:t>
            </w:r>
          </w:p>
        </w:tc>
        <w:tc>
          <w:tcPr>
            <w:tcW w:w="2338" w:type="dxa"/>
            <w:tcBorders>
              <w:top w:val="single" w:sz="4" w:space="0" w:color="auto"/>
              <w:left w:val="single" w:sz="4" w:space="0" w:color="auto"/>
              <w:right w:val="single" w:sz="4" w:space="0" w:color="auto"/>
            </w:tcBorders>
          </w:tcPr>
          <w:p w14:paraId="04533267" w14:textId="77777777" w:rsidR="00234D9C" w:rsidRPr="00234D9C" w:rsidRDefault="00234D9C" w:rsidP="009B3EED">
            <w:pPr>
              <w:tabs>
                <w:tab w:val="left" w:pos="709"/>
              </w:tabs>
              <w:suppressAutoHyphens/>
              <w:spacing w:before="60" w:after="60" w:line="240" w:lineRule="auto"/>
              <w:rPr>
                <w:rFonts w:ascii="Arial" w:eastAsia="Arial" w:hAnsi="Arial" w:cs="Arial"/>
                <w:b/>
                <w:bCs/>
                <w:sz w:val="16"/>
                <w:szCs w:val="16"/>
              </w:rPr>
            </w:pPr>
            <w:r w:rsidRPr="00234D9C">
              <w:rPr>
                <w:rFonts w:ascii="Arial" w:eastAsia="Arial" w:hAnsi="Arial" w:cs="Arial"/>
                <w:b/>
                <w:bCs/>
                <w:sz w:val="16"/>
                <w:szCs w:val="16"/>
              </w:rPr>
              <w:t>Improve administration of parliamentary work expenses</w:t>
            </w:r>
          </w:p>
          <w:p w14:paraId="2239E2D8" w14:textId="06C1513E" w:rsidR="00F0167C" w:rsidRPr="00234D9C" w:rsidRDefault="00234D9C" w:rsidP="009B3EED">
            <w:pPr>
              <w:tabs>
                <w:tab w:val="left" w:pos="709"/>
              </w:tabs>
              <w:spacing w:before="60" w:after="60" w:line="240" w:lineRule="auto"/>
              <w:rPr>
                <w:rFonts w:ascii="Arial" w:hAnsi="Arial" w:cs="Arial"/>
                <w:bCs/>
                <w:sz w:val="16"/>
                <w:szCs w:val="16"/>
              </w:rPr>
            </w:pPr>
            <w:r w:rsidRPr="00234D9C">
              <w:rPr>
                <w:rFonts w:ascii="Arial" w:eastAsia="Arial" w:hAnsi="Arial" w:cs="Arial"/>
                <w:bCs/>
                <w:sz w:val="16"/>
                <w:szCs w:val="16"/>
              </w:rPr>
              <w:t>The timeliness, efficiency, clarity and transparency of the administration of parliamentary work expenses is improved.</w:t>
            </w:r>
          </w:p>
        </w:tc>
        <w:tc>
          <w:tcPr>
            <w:tcW w:w="4067" w:type="dxa"/>
            <w:tcBorders>
              <w:top w:val="single" w:sz="4" w:space="0" w:color="auto"/>
              <w:left w:val="single" w:sz="4" w:space="0" w:color="auto"/>
            </w:tcBorders>
          </w:tcPr>
          <w:p w14:paraId="715E8C2C" w14:textId="77777777" w:rsidR="00234D9C" w:rsidRPr="00234D9C" w:rsidRDefault="00234D9C" w:rsidP="009B3EED">
            <w:pPr>
              <w:autoSpaceDE w:val="0"/>
              <w:autoSpaceDN w:val="0"/>
              <w:adjustRightInd w:val="0"/>
              <w:spacing w:before="60" w:after="60" w:line="240" w:lineRule="auto"/>
              <w:rPr>
                <w:rFonts w:ascii="Arial" w:hAnsi="Arial" w:cs="Arial"/>
                <w:b/>
                <w:bCs/>
                <w:sz w:val="16"/>
                <w:szCs w:val="16"/>
                <w:lang w:eastAsia="en-US"/>
              </w:rPr>
            </w:pPr>
            <w:r w:rsidRPr="00234D9C">
              <w:rPr>
                <w:rFonts w:ascii="Arial" w:hAnsi="Arial" w:cs="Arial"/>
                <w:b/>
                <w:bCs/>
                <w:sz w:val="16"/>
                <w:szCs w:val="16"/>
                <w:lang w:eastAsia="en-US"/>
              </w:rPr>
              <w:t>Achieved</w:t>
            </w:r>
          </w:p>
          <w:p w14:paraId="53346281" w14:textId="708653F8" w:rsidR="00234D9C" w:rsidRPr="00234D9C" w:rsidRDefault="00444FC8" w:rsidP="00444FC8">
            <w:pPr>
              <w:autoSpaceDE w:val="0"/>
              <w:autoSpaceDN w:val="0"/>
              <w:adjustRightInd w:val="0"/>
              <w:spacing w:before="60" w:after="60" w:line="240" w:lineRule="auto"/>
              <w:rPr>
                <w:rFonts w:ascii="Arial" w:hAnsi="Arial" w:cs="Arial"/>
                <w:bCs/>
                <w:sz w:val="16"/>
                <w:szCs w:val="16"/>
                <w:lang w:eastAsia="en-US"/>
              </w:rPr>
            </w:pPr>
            <w:r>
              <w:rPr>
                <w:rFonts w:ascii="Arial" w:hAnsi="Arial" w:cs="Arial"/>
                <w:bCs/>
                <w:sz w:val="16"/>
                <w:szCs w:val="16"/>
                <w:lang w:eastAsia="en-US"/>
              </w:rPr>
              <w:t>Phase one of Milestone seven</w:t>
            </w:r>
            <w:r w:rsidR="00234D9C" w:rsidRPr="00234D9C">
              <w:rPr>
                <w:rFonts w:ascii="Arial" w:hAnsi="Arial" w:cs="Arial"/>
                <w:bCs/>
                <w:sz w:val="16"/>
                <w:szCs w:val="16"/>
                <w:lang w:eastAsia="en-US"/>
              </w:rPr>
              <w:t xml:space="preserve"> (</w:t>
            </w:r>
            <w:r>
              <w:rPr>
                <w:rFonts w:ascii="Arial" w:hAnsi="Arial" w:cs="Arial"/>
                <w:bCs/>
                <w:sz w:val="16"/>
                <w:szCs w:val="16"/>
                <w:lang w:eastAsia="en-US"/>
              </w:rPr>
              <w:t>Human Resource (</w:t>
            </w:r>
            <w:r w:rsidR="00234D9C" w:rsidRPr="00234D9C">
              <w:rPr>
                <w:rFonts w:ascii="Arial" w:hAnsi="Arial" w:cs="Arial"/>
                <w:bCs/>
                <w:sz w:val="16"/>
                <w:szCs w:val="16"/>
                <w:lang w:eastAsia="en-US"/>
              </w:rPr>
              <w:t>HR</w:t>
            </w:r>
            <w:r>
              <w:rPr>
                <w:rFonts w:ascii="Arial" w:hAnsi="Arial" w:cs="Arial"/>
                <w:bCs/>
                <w:sz w:val="16"/>
                <w:szCs w:val="16"/>
                <w:lang w:eastAsia="en-US"/>
              </w:rPr>
              <w:t>)</w:t>
            </w:r>
            <w:r w:rsidR="00234D9C" w:rsidRPr="00234D9C">
              <w:rPr>
                <w:rFonts w:ascii="Arial" w:hAnsi="Arial" w:cs="Arial"/>
                <w:bCs/>
                <w:sz w:val="16"/>
                <w:szCs w:val="16"/>
                <w:lang w:eastAsia="en-US"/>
              </w:rPr>
              <w:t xml:space="preserve"> functionality) was released on 1 July 2021. </w:t>
            </w:r>
          </w:p>
          <w:p w14:paraId="1BB3C5B5" w14:textId="1BD1197B" w:rsidR="00234D9C" w:rsidRPr="00234D9C" w:rsidRDefault="00444FC8" w:rsidP="00444FC8">
            <w:pPr>
              <w:autoSpaceDE w:val="0"/>
              <w:autoSpaceDN w:val="0"/>
              <w:adjustRightInd w:val="0"/>
              <w:spacing w:before="60" w:after="60" w:line="240" w:lineRule="auto"/>
              <w:rPr>
                <w:rFonts w:ascii="Arial" w:hAnsi="Arial" w:cs="Arial"/>
                <w:bCs/>
                <w:sz w:val="16"/>
                <w:szCs w:val="16"/>
                <w:lang w:eastAsia="en-US"/>
              </w:rPr>
            </w:pPr>
            <w:r>
              <w:rPr>
                <w:rFonts w:ascii="Arial" w:hAnsi="Arial" w:cs="Arial"/>
                <w:bCs/>
                <w:sz w:val="16"/>
                <w:szCs w:val="16"/>
                <w:lang w:eastAsia="en-US"/>
              </w:rPr>
              <w:t>Phase two of Milestone seven</w:t>
            </w:r>
            <w:r w:rsidR="00234D9C" w:rsidRPr="00234D9C">
              <w:rPr>
                <w:rFonts w:ascii="Arial" w:hAnsi="Arial" w:cs="Arial"/>
                <w:bCs/>
                <w:sz w:val="16"/>
                <w:szCs w:val="16"/>
                <w:lang w:eastAsia="en-US"/>
              </w:rPr>
              <w:t xml:space="preserve"> (work expense functionality) was released on 4 July 2022. </w:t>
            </w:r>
          </w:p>
          <w:p w14:paraId="5AB4783C" w14:textId="3AC40A8C" w:rsidR="00234D9C" w:rsidRPr="00234D9C" w:rsidRDefault="00234D9C" w:rsidP="00444FC8">
            <w:pPr>
              <w:autoSpaceDE w:val="0"/>
              <w:autoSpaceDN w:val="0"/>
              <w:adjustRightInd w:val="0"/>
              <w:spacing w:before="60" w:after="60" w:line="240" w:lineRule="auto"/>
              <w:rPr>
                <w:rFonts w:ascii="Arial" w:hAnsi="Arial" w:cs="Arial"/>
                <w:bCs/>
                <w:sz w:val="16"/>
                <w:szCs w:val="16"/>
                <w:lang w:eastAsia="en-US"/>
              </w:rPr>
            </w:pPr>
            <w:r w:rsidRPr="00234D9C">
              <w:rPr>
                <w:rFonts w:ascii="Arial" w:hAnsi="Arial" w:cs="Arial"/>
                <w:bCs/>
                <w:sz w:val="16"/>
                <w:szCs w:val="16"/>
                <w:lang w:eastAsia="en-US"/>
              </w:rPr>
              <w:t xml:space="preserve">Iterations of </w:t>
            </w:r>
            <w:r w:rsidR="00444FC8">
              <w:rPr>
                <w:rFonts w:ascii="Arial" w:hAnsi="Arial" w:cs="Arial"/>
                <w:bCs/>
                <w:sz w:val="16"/>
                <w:szCs w:val="16"/>
                <w:lang w:eastAsia="en-US"/>
              </w:rPr>
              <w:t>Parliamentary Expenses Management System (</w:t>
            </w:r>
            <w:r w:rsidRPr="00234D9C">
              <w:rPr>
                <w:rFonts w:ascii="Arial" w:hAnsi="Arial" w:cs="Arial"/>
                <w:bCs/>
                <w:sz w:val="16"/>
                <w:szCs w:val="16"/>
                <w:lang w:eastAsia="en-US"/>
              </w:rPr>
              <w:t>PEMS</w:t>
            </w:r>
            <w:r w:rsidR="00444FC8">
              <w:rPr>
                <w:rFonts w:ascii="Arial" w:hAnsi="Arial" w:cs="Arial"/>
                <w:bCs/>
                <w:sz w:val="16"/>
                <w:szCs w:val="16"/>
                <w:lang w:eastAsia="en-US"/>
              </w:rPr>
              <w:t>)</w:t>
            </w:r>
            <w:r w:rsidRPr="00234D9C">
              <w:rPr>
                <w:rFonts w:ascii="Arial" w:hAnsi="Arial" w:cs="Arial"/>
                <w:bCs/>
                <w:sz w:val="16"/>
                <w:szCs w:val="16"/>
                <w:lang w:eastAsia="en-US"/>
              </w:rPr>
              <w:t xml:space="preserve"> has been delivered since 2018, allowing parliamentarians and their staff to access PEMS from any computer or mobile device, to lodge, monitor and certify work expense claims. Since July 2021 parliamentarians and their staff are able to access HR management functions. </w:t>
            </w:r>
          </w:p>
          <w:p w14:paraId="1F97E28F" w14:textId="12CA038F" w:rsidR="00632788" w:rsidRPr="00234D9C" w:rsidRDefault="00234D9C" w:rsidP="00444FC8">
            <w:pPr>
              <w:autoSpaceDE w:val="0"/>
              <w:autoSpaceDN w:val="0"/>
              <w:spacing w:before="60" w:after="60" w:line="240" w:lineRule="auto"/>
              <w:rPr>
                <w:rFonts w:ascii="Arial" w:hAnsi="Arial" w:cs="Arial"/>
                <w:sz w:val="16"/>
                <w:szCs w:val="16"/>
              </w:rPr>
            </w:pPr>
            <w:r w:rsidRPr="00234D9C">
              <w:rPr>
                <w:rFonts w:ascii="Arial" w:hAnsi="Arial" w:cs="Arial"/>
                <w:bCs/>
                <w:sz w:val="16"/>
                <w:szCs w:val="16"/>
                <w:lang w:eastAsia="en-US"/>
              </w:rPr>
              <w:t>Since 1 July 2021, usage of PEMS by parliamentarians and their staff for office expense claims, travel expense claims and to perform HR functions has increased. With the post-election changeover of parliamentarians and staff impacting directly on use of PEMS,</w:t>
            </w:r>
            <w:r w:rsidR="005D034A">
              <w:rPr>
                <w:rFonts w:ascii="Arial" w:hAnsi="Arial" w:cs="Arial"/>
                <w:bCs/>
                <w:sz w:val="16"/>
                <w:szCs w:val="16"/>
                <w:lang w:eastAsia="en-US"/>
              </w:rPr>
              <w:t xml:space="preserve"> </w:t>
            </w:r>
            <w:r w:rsidRPr="00234D9C">
              <w:rPr>
                <w:rFonts w:ascii="Arial" w:hAnsi="Arial" w:cs="Arial"/>
                <w:sz w:val="16"/>
                <w:szCs w:val="16"/>
              </w:rPr>
              <w:t>these measures were taken as at 31 May 2022:</w:t>
            </w:r>
          </w:p>
          <w:p w14:paraId="382574AB" w14:textId="26FACB48" w:rsidR="00234D9C" w:rsidRPr="000A2CC9"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A2CC9">
              <w:rPr>
                <w:rFonts w:ascii="Arial" w:hAnsi="Arial" w:cs="Arial"/>
                <w:sz w:val="16"/>
                <w:szCs w:val="16"/>
              </w:rPr>
              <w:t>74% of parliamentarians have used PEMS to certify claims (office or travel)</w:t>
            </w:r>
          </w:p>
          <w:p w14:paraId="0FF9A65B" w14:textId="0E2A8BD0" w:rsidR="00234D9C" w:rsidRPr="000A2CC9"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A2CC9">
              <w:rPr>
                <w:rFonts w:ascii="Arial" w:hAnsi="Arial" w:cs="Arial"/>
                <w:sz w:val="16"/>
                <w:szCs w:val="16"/>
              </w:rPr>
              <w:t>97% of parliamentary offices have used PEMS to certify at least one claim (office or travel)</w:t>
            </w:r>
          </w:p>
          <w:p w14:paraId="776FA98D" w14:textId="27F921AC" w:rsidR="00234D9C" w:rsidRPr="000A2CC9"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A2CC9">
              <w:rPr>
                <w:rFonts w:ascii="Arial" w:hAnsi="Arial" w:cs="Arial"/>
                <w:sz w:val="16"/>
                <w:szCs w:val="16"/>
              </w:rPr>
              <w:t>The proportion of claims processed through PEMS (relating to claims where PEMS functionality is available) is 76% for office expenses - 4% decrease, with the decrease being the result of new offices created as a result of the election but not yet using the system fully</w:t>
            </w:r>
          </w:p>
          <w:p w14:paraId="2239E2E1" w14:textId="4B1AC50B" w:rsidR="00F0167C" w:rsidRPr="000A2CC9"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0A2CC9">
              <w:rPr>
                <w:rFonts w:ascii="Arial" w:hAnsi="Arial" w:cs="Arial"/>
                <w:sz w:val="16"/>
                <w:szCs w:val="16"/>
              </w:rPr>
              <w:t>Users accessing the system increased by 11.4% since July 2021 (on average 769 users have access the system weekly).</w:t>
            </w:r>
          </w:p>
        </w:tc>
      </w:tr>
    </w:tbl>
    <w:p w14:paraId="3E24B18C" w14:textId="77777777" w:rsidR="00234D9C" w:rsidRDefault="00F0167C" w:rsidP="00567882">
      <w:pPr>
        <w:pStyle w:val="TableHeading"/>
        <w:spacing w:before="30" w:after="0"/>
        <w:rPr>
          <w:b w:val="0"/>
          <w:sz w:val="16"/>
        </w:rPr>
      </w:pPr>
      <w:r w:rsidRPr="00423F0D">
        <w:rPr>
          <w:b w:val="0"/>
          <w:sz w:val="16"/>
        </w:rPr>
        <w:t>Tab</w:t>
      </w:r>
      <w:r w:rsidR="00234D9C">
        <w:rPr>
          <w:b w:val="0"/>
          <w:sz w:val="16"/>
        </w:rPr>
        <w:t>le continues on next page</w:t>
      </w:r>
      <w:r w:rsidR="00234D9C">
        <w:rPr>
          <w:b w:val="0"/>
          <w:sz w:val="16"/>
        </w:rPr>
        <w:br w:type="page"/>
      </w:r>
    </w:p>
    <w:p w14:paraId="2239E2EB" w14:textId="1758A0FC" w:rsidR="00F0167C" w:rsidRPr="00E84F25" w:rsidRDefault="00F0167C" w:rsidP="002F0726">
      <w:pPr>
        <w:spacing w:after="0"/>
        <w:rPr>
          <w:rFonts w:ascii="Arial" w:hAnsi="Arial"/>
          <w:b/>
          <w:color w:val="000000"/>
          <w:sz w:val="20"/>
          <w:lang w:val="x-none" w:eastAsia="x-none"/>
        </w:rPr>
      </w:pPr>
      <w:r w:rsidRPr="00E84F25">
        <w:rPr>
          <w:rFonts w:ascii="Arial" w:hAnsi="Arial"/>
          <w:b/>
          <w:color w:val="000000"/>
          <w:sz w:val="20"/>
          <w:lang w:val="x-none" w:eastAsia="x-none"/>
        </w:rPr>
        <w:lastRenderedPageBreak/>
        <w:t>Table 2.3.2: Performance measure for Outcome 3 (continued)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013"/>
        <w:gridCol w:w="4371"/>
      </w:tblGrid>
      <w:tr w:rsidR="00F0167C" w:rsidRPr="00361E69" w14:paraId="2239E2ED" w14:textId="77777777" w:rsidTr="006620CF">
        <w:trPr>
          <w:trHeight w:val="309"/>
        </w:trPr>
        <w:tc>
          <w:tcPr>
            <w:tcW w:w="7795" w:type="dxa"/>
            <w:gridSpan w:val="3"/>
            <w:shd w:val="clear" w:color="auto" w:fill="F2F2F2"/>
          </w:tcPr>
          <w:p w14:paraId="68A46915" w14:textId="34E78656" w:rsidR="00567882" w:rsidRPr="00567882" w:rsidRDefault="00567882" w:rsidP="006620CF">
            <w:pPr>
              <w:pStyle w:val="TableHeading"/>
              <w:spacing w:before="60" w:after="60"/>
              <w:rPr>
                <w:rFonts w:eastAsia="Arial" w:cs="Arial"/>
                <w:sz w:val="16"/>
                <w:szCs w:val="16"/>
              </w:rPr>
            </w:pPr>
            <w:r w:rsidRPr="00567882">
              <w:rPr>
                <w:rFonts w:eastAsia="Arial" w:cs="Arial"/>
                <w:sz w:val="16"/>
                <w:szCs w:val="16"/>
              </w:rPr>
              <w:t xml:space="preserve">Program 3.1 - Ministerial and Parliamentary Services </w:t>
            </w:r>
          </w:p>
          <w:p w14:paraId="2239E2EC" w14:textId="34E78656" w:rsidR="00F0167C" w:rsidRPr="00D63950" w:rsidRDefault="00567882" w:rsidP="006620CF">
            <w:pPr>
              <w:tabs>
                <w:tab w:val="left" w:pos="709"/>
              </w:tabs>
              <w:spacing w:before="60" w:after="60" w:line="240" w:lineRule="auto"/>
              <w:rPr>
                <w:rFonts w:ascii="Arial" w:eastAsia="Arial" w:hAnsi="Arial" w:cs="Arial"/>
                <w:b/>
                <w:sz w:val="16"/>
                <w:szCs w:val="16"/>
              </w:rPr>
            </w:pPr>
            <w:r w:rsidRPr="00567882">
              <w:rPr>
                <w:rFonts w:ascii="Arial" w:eastAsia="Arial" w:hAnsi="Arial" w:cs="Arial"/>
                <w:sz w:val="16"/>
                <w:szCs w:val="16"/>
              </w:rPr>
              <w:t>This program contributes to the outcome through the provision of advice on, access to, and payment of Parliamentary and post-Parliamentary, work expenses, allowances and entitlements and targeted programs.</w:t>
            </w:r>
          </w:p>
        </w:tc>
      </w:tr>
      <w:tr w:rsidR="00F0167C" w:rsidRPr="001B2F81" w14:paraId="2239E2F1" w14:textId="77777777" w:rsidTr="006620CF">
        <w:trPr>
          <w:trHeight w:val="312"/>
        </w:trPr>
        <w:tc>
          <w:tcPr>
            <w:tcW w:w="1411" w:type="dxa"/>
            <w:tcBorders>
              <w:top w:val="single" w:sz="4" w:space="0" w:color="auto"/>
              <w:bottom w:val="dotted" w:sz="4" w:space="0" w:color="auto"/>
              <w:right w:val="single" w:sz="4" w:space="0" w:color="auto"/>
            </w:tcBorders>
          </w:tcPr>
          <w:p w14:paraId="2239E2EE" w14:textId="77777777" w:rsidR="00F0167C" w:rsidRPr="00C91E97" w:rsidRDefault="00F0167C" w:rsidP="006620CF">
            <w:pPr>
              <w:tabs>
                <w:tab w:val="left" w:pos="709"/>
              </w:tabs>
              <w:spacing w:before="60" w:after="60"/>
              <w:rPr>
                <w:rFonts w:ascii="Arial" w:hAnsi="Arial" w:cs="Arial"/>
                <w:sz w:val="16"/>
                <w:szCs w:val="16"/>
              </w:rPr>
            </w:pPr>
            <w:r w:rsidRPr="00C91E97">
              <w:rPr>
                <w:rFonts w:ascii="Arial" w:hAnsi="Arial" w:cs="Arial"/>
                <w:b/>
                <w:sz w:val="16"/>
                <w:szCs w:val="16"/>
              </w:rPr>
              <w:t>Year</w:t>
            </w:r>
          </w:p>
        </w:tc>
        <w:tc>
          <w:tcPr>
            <w:tcW w:w="2013" w:type="dxa"/>
            <w:tcBorders>
              <w:top w:val="single" w:sz="4" w:space="0" w:color="auto"/>
              <w:left w:val="single" w:sz="4" w:space="0" w:color="auto"/>
              <w:bottom w:val="single" w:sz="4" w:space="0" w:color="auto"/>
              <w:right w:val="single" w:sz="4" w:space="0" w:color="auto"/>
            </w:tcBorders>
          </w:tcPr>
          <w:p w14:paraId="2239E2EF" w14:textId="77777777" w:rsidR="00F0167C" w:rsidRPr="00D63950" w:rsidRDefault="00F0167C" w:rsidP="006620CF">
            <w:pPr>
              <w:tabs>
                <w:tab w:val="left" w:pos="709"/>
              </w:tabs>
              <w:spacing w:before="60" w:after="60"/>
              <w:rPr>
                <w:rFonts w:ascii="Arial" w:hAnsi="Arial" w:cs="Arial"/>
                <w:sz w:val="16"/>
                <w:szCs w:val="16"/>
              </w:rPr>
            </w:pPr>
            <w:r w:rsidRPr="00D63950">
              <w:rPr>
                <w:rFonts w:ascii="Arial" w:hAnsi="Arial" w:cs="Arial"/>
                <w:b/>
                <w:sz w:val="16"/>
                <w:szCs w:val="16"/>
              </w:rPr>
              <w:t>Performance measures</w:t>
            </w:r>
          </w:p>
        </w:tc>
        <w:tc>
          <w:tcPr>
            <w:tcW w:w="4371" w:type="dxa"/>
            <w:tcBorders>
              <w:top w:val="single" w:sz="4" w:space="0" w:color="auto"/>
              <w:left w:val="single" w:sz="4" w:space="0" w:color="auto"/>
              <w:bottom w:val="single" w:sz="4" w:space="0" w:color="auto"/>
            </w:tcBorders>
          </w:tcPr>
          <w:p w14:paraId="2239E2F0" w14:textId="77777777" w:rsidR="00F0167C" w:rsidRPr="00D63950" w:rsidRDefault="00F0167C" w:rsidP="006620CF">
            <w:pPr>
              <w:tabs>
                <w:tab w:val="left" w:pos="709"/>
              </w:tabs>
              <w:spacing w:before="60" w:after="60"/>
              <w:rPr>
                <w:rFonts w:ascii="Arial" w:hAnsi="Arial" w:cs="Arial"/>
                <w:i/>
                <w:sz w:val="16"/>
                <w:szCs w:val="16"/>
              </w:rPr>
            </w:pPr>
            <w:r w:rsidRPr="00D63950">
              <w:rPr>
                <w:rFonts w:ascii="Arial" w:hAnsi="Arial" w:cs="Arial"/>
                <w:b/>
                <w:sz w:val="16"/>
                <w:szCs w:val="16"/>
              </w:rPr>
              <w:t>Planned Performance Results</w:t>
            </w:r>
          </w:p>
        </w:tc>
      </w:tr>
      <w:tr w:rsidR="00F0167C" w:rsidRPr="00325A62" w14:paraId="2239E2FA" w14:textId="77777777" w:rsidTr="006620CF">
        <w:trPr>
          <w:trHeight w:val="475"/>
        </w:trPr>
        <w:tc>
          <w:tcPr>
            <w:tcW w:w="1411" w:type="dxa"/>
            <w:vMerge w:val="restart"/>
            <w:tcBorders>
              <w:top w:val="single" w:sz="4" w:space="0" w:color="auto"/>
              <w:right w:val="single" w:sz="4" w:space="0" w:color="auto"/>
            </w:tcBorders>
          </w:tcPr>
          <w:p w14:paraId="4A77BD5A" w14:textId="77777777" w:rsidR="00487FD3" w:rsidRDefault="00F0167C" w:rsidP="00487FD3">
            <w:pPr>
              <w:tabs>
                <w:tab w:val="left" w:pos="709"/>
              </w:tabs>
              <w:spacing w:before="60" w:after="60" w:line="240" w:lineRule="auto"/>
              <w:rPr>
                <w:rFonts w:ascii="Arial" w:hAnsi="Arial" w:cs="Arial"/>
                <w:sz w:val="16"/>
                <w:szCs w:val="16"/>
              </w:rPr>
            </w:pPr>
            <w:r w:rsidRPr="00C91E97">
              <w:rPr>
                <w:rFonts w:ascii="Arial" w:hAnsi="Arial" w:cs="Arial"/>
                <w:sz w:val="16"/>
                <w:szCs w:val="16"/>
              </w:rPr>
              <w:t>Budget Year</w:t>
            </w:r>
          </w:p>
          <w:p w14:paraId="2239E2F2" w14:textId="3152A459" w:rsidR="00F0167C" w:rsidRPr="00C91E97" w:rsidRDefault="00F0167C" w:rsidP="00487FD3">
            <w:pPr>
              <w:tabs>
                <w:tab w:val="left" w:pos="709"/>
              </w:tabs>
              <w:spacing w:before="60" w:after="60" w:line="240" w:lineRule="auto"/>
              <w:rPr>
                <w:rFonts w:ascii="Arial" w:hAnsi="Arial" w:cs="Arial"/>
                <w:sz w:val="16"/>
                <w:szCs w:val="16"/>
              </w:rPr>
            </w:pPr>
            <w:r w:rsidRPr="00C91E97">
              <w:rPr>
                <w:rFonts w:ascii="Arial" w:hAnsi="Arial" w:cs="Arial"/>
                <w:sz w:val="16"/>
                <w:szCs w:val="16"/>
              </w:rPr>
              <w:t>2022-23</w:t>
            </w:r>
          </w:p>
        </w:tc>
        <w:tc>
          <w:tcPr>
            <w:tcW w:w="2013" w:type="dxa"/>
            <w:tcBorders>
              <w:top w:val="single" w:sz="4" w:space="0" w:color="auto"/>
              <w:left w:val="single" w:sz="4" w:space="0" w:color="auto"/>
              <w:bottom w:val="dotted" w:sz="4" w:space="0" w:color="auto"/>
              <w:right w:val="single" w:sz="4" w:space="0" w:color="auto"/>
            </w:tcBorders>
          </w:tcPr>
          <w:p w14:paraId="5CFF59C3" w14:textId="77777777" w:rsidR="00234D9C" w:rsidRPr="00234D9C" w:rsidRDefault="00234D9C" w:rsidP="006620CF">
            <w:pPr>
              <w:tabs>
                <w:tab w:val="left" w:pos="709"/>
              </w:tabs>
              <w:spacing w:before="60" w:after="60" w:line="240" w:lineRule="auto"/>
              <w:rPr>
                <w:rFonts w:ascii="Arial" w:hAnsi="Arial" w:cs="Arial"/>
                <w:b/>
                <w:bCs/>
                <w:sz w:val="16"/>
                <w:szCs w:val="16"/>
              </w:rPr>
            </w:pPr>
            <w:r w:rsidRPr="00234D9C">
              <w:rPr>
                <w:rFonts w:ascii="Arial" w:hAnsi="Arial" w:cs="Arial"/>
                <w:b/>
                <w:bCs/>
                <w:sz w:val="16"/>
                <w:szCs w:val="16"/>
              </w:rPr>
              <w:t>Services meet clients’ needs</w:t>
            </w:r>
          </w:p>
          <w:p w14:paraId="2239E2F4" w14:textId="4B238773" w:rsidR="00F0167C" w:rsidRPr="00234D9C" w:rsidRDefault="00234D9C" w:rsidP="006620CF">
            <w:pPr>
              <w:spacing w:before="60" w:after="60" w:line="240" w:lineRule="auto"/>
              <w:rPr>
                <w:rFonts w:ascii="Arial" w:eastAsia="Arial" w:hAnsi="Arial" w:cs="Arial"/>
                <w:sz w:val="16"/>
                <w:szCs w:val="16"/>
              </w:rPr>
            </w:pPr>
            <w:r w:rsidRPr="00234D9C">
              <w:rPr>
                <w:rFonts w:ascii="Arial" w:hAnsi="Arial" w:cs="Arial"/>
                <w:bCs/>
                <w:sz w:val="16"/>
                <w:szCs w:val="16"/>
              </w:rPr>
              <w:t>Services meet the needs of parliamentarians, their employees and others as required by the Australian Government.</w:t>
            </w:r>
          </w:p>
        </w:tc>
        <w:tc>
          <w:tcPr>
            <w:tcW w:w="4371" w:type="dxa"/>
            <w:tcBorders>
              <w:top w:val="single" w:sz="4" w:space="0" w:color="auto"/>
              <w:left w:val="single" w:sz="4" w:space="0" w:color="auto"/>
              <w:bottom w:val="dotted" w:sz="4" w:space="0" w:color="auto"/>
            </w:tcBorders>
          </w:tcPr>
          <w:p w14:paraId="2A24DE45" w14:textId="77777777" w:rsidR="00234D9C" w:rsidRPr="00234D9C" w:rsidRDefault="00234D9C" w:rsidP="00487FD3">
            <w:pPr>
              <w:spacing w:before="60" w:after="60" w:line="240" w:lineRule="auto"/>
              <w:rPr>
                <w:rFonts w:ascii="Arial" w:eastAsia="Arial" w:hAnsi="Arial" w:cs="Arial"/>
                <w:sz w:val="16"/>
                <w:szCs w:val="16"/>
              </w:rPr>
            </w:pPr>
            <w:r w:rsidRPr="00234D9C">
              <w:rPr>
                <w:rFonts w:ascii="Arial" w:eastAsia="Arial" w:hAnsi="Arial" w:cs="Arial"/>
                <w:sz w:val="16"/>
                <w:szCs w:val="16"/>
              </w:rPr>
              <w:t>The following service standards are met or exceeded:</w:t>
            </w:r>
          </w:p>
          <w:p w14:paraId="636FCC7D" w14:textId="7F3DDB96" w:rsidR="00234D9C" w:rsidRPr="006620CF"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6620CF">
              <w:rPr>
                <w:rFonts w:ascii="Arial" w:hAnsi="Arial" w:cs="Arial"/>
                <w:sz w:val="16"/>
                <w:szCs w:val="16"/>
              </w:rPr>
              <w:t>Client contacts acknowledged within 24 hours and responded to within agreed timeframes (target: 95%)</w:t>
            </w:r>
            <w:r w:rsidR="00487FD3">
              <w:rPr>
                <w:rFonts w:ascii="Arial" w:hAnsi="Arial" w:cs="Arial"/>
                <w:sz w:val="16"/>
                <w:szCs w:val="16"/>
              </w:rPr>
              <w:t>.</w:t>
            </w:r>
          </w:p>
          <w:p w14:paraId="5304C5EE" w14:textId="637A9837" w:rsidR="00234D9C" w:rsidRPr="006620CF"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6620CF">
              <w:rPr>
                <w:rFonts w:ascii="Arial" w:hAnsi="Arial" w:cs="Arial"/>
                <w:sz w:val="16"/>
                <w:szCs w:val="16"/>
              </w:rPr>
              <w:t>Payments (including payroll) will be made within agreed timeframes (target: 95%)</w:t>
            </w:r>
            <w:r w:rsidR="00487FD3">
              <w:rPr>
                <w:rFonts w:ascii="Arial" w:hAnsi="Arial" w:cs="Arial"/>
                <w:sz w:val="16"/>
                <w:szCs w:val="16"/>
              </w:rPr>
              <w:t>.</w:t>
            </w:r>
          </w:p>
          <w:p w14:paraId="792A123A" w14:textId="03346391" w:rsidR="00234D9C" w:rsidRPr="006620CF"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hAnsi="Arial" w:cs="Arial"/>
                <w:sz w:val="16"/>
                <w:szCs w:val="16"/>
              </w:rPr>
            </w:pPr>
            <w:r w:rsidRPr="006620CF">
              <w:rPr>
                <w:rFonts w:ascii="Arial" w:hAnsi="Arial" w:cs="Arial"/>
                <w:sz w:val="16"/>
                <w:szCs w:val="16"/>
              </w:rPr>
              <w:t>Office establishment and relocation projects delivered in accordance with the National Fit-out Standards (target: 100%)</w:t>
            </w:r>
            <w:r w:rsidR="00487FD3">
              <w:rPr>
                <w:rFonts w:ascii="Arial" w:hAnsi="Arial" w:cs="Arial"/>
                <w:sz w:val="16"/>
                <w:szCs w:val="16"/>
              </w:rPr>
              <w:t>.</w:t>
            </w:r>
          </w:p>
          <w:p w14:paraId="2239E2F9" w14:textId="0E268002" w:rsidR="00F0167C" w:rsidRPr="00632788" w:rsidRDefault="00234D9C" w:rsidP="00C8474A">
            <w:pPr>
              <w:pStyle w:val="ListParagraph"/>
              <w:numPr>
                <w:ilvl w:val="0"/>
                <w:numId w:val="59"/>
              </w:numPr>
              <w:autoSpaceDE w:val="0"/>
              <w:autoSpaceDN w:val="0"/>
              <w:adjustRightInd w:val="0"/>
              <w:spacing w:before="60" w:after="60" w:line="240" w:lineRule="auto"/>
              <w:ind w:left="527" w:hanging="357"/>
              <w:contextualSpacing w:val="0"/>
              <w:rPr>
                <w:rFonts w:ascii="Arial" w:eastAsia="Arial" w:hAnsi="Arial" w:cs="Arial"/>
                <w:sz w:val="16"/>
                <w:szCs w:val="16"/>
              </w:rPr>
            </w:pPr>
            <w:r w:rsidRPr="006620CF">
              <w:rPr>
                <w:rFonts w:ascii="Arial" w:hAnsi="Arial" w:cs="Arial"/>
                <w:sz w:val="16"/>
                <w:szCs w:val="16"/>
              </w:rPr>
              <w:t>COMCAR reservations will be completed without service failure (target: 99%).</w:t>
            </w:r>
          </w:p>
        </w:tc>
      </w:tr>
      <w:tr w:rsidR="00F0167C" w:rsidRPr="00692842" w14:paraId="2239E2FF" w14:textId="77777777" w:rsidTr="006620CF">
        <w:trPr>
          <w:trHeight w:val="475"/>
        </w:trPr>
        <w:tc>
          <w:tcPr>
            <w:tcW w:w="1411" w:type="dxa"/>
            <w:vMerge/>
            <w:tcBorders>
              <w:right w:val="single" w:sz="4" w:space="0" w:color="auto"/>
            </w:tcBorders>
          </w:tcPr>
          <w:p w14:paraId="2239E2FB" w14:textId="77777777" w:rsidR="00F0167C" w:rsidRPr="00C91E97" w:rsidRDefault="00F0167C" w:rsidP="006620CF">
            <w:pPr>
              <w:tabs>
                <w:tab w:val="left" w:pos="709"/>
              </w:tabs>
              <w:spacing w:before="60" w:after="60" w:line="240" w:lineRule="auto"/>
              <w:rPr>
                <w:rFonts w:ascii="Arial" w:hAnsi="Arial" w:cs="Arial"/>
                <w:sz w:val="16"/>
                <w:szCs w:val="16"/>
              </w:rPr>
            </w:pPr>
          </w:p>
        </w:tc>
        <w:tc>
          <w:tcPr>
            <w:tcW w:w="2013" w:type="dxa"/>
            <w:tcBorders>
              <w:top w:val="dotted" w:sz="4" w:space="0" w:color="auto"/>
              <w:left w:val="single" w:sz="4" w:space="0" w:color="auto"/>
              <w:right w:val="single" w:sz="4" w:space="0" w:color="auto"/>
            </w:tcBorders>
          </w:tcPr>
          <w:p w14:paraId="4F61B2F3" w14:textId="77777777" w:rsidR="00234D9C" w:rsidRPr="00234D9C" w:rsidRDefault="00234D9C" w:rsidP="006620CF">
            <w:pPr>
              <w:tabs>
                <w:tab w:val="left" w:pos="709"/>
              </w:tabs>
              <w:suppressAutoHyphens/>
              <w:spacing w:before="60" w:after="60" w:line="240" w:lineRule="auto"/>
              <w:rPr>
                <w:rFonts w:ascii="Arial" w:eastAsia="Arial" w:hAnsi="Arial" w:cs="Arial"/>
                <w:b/>
                <w:bCs/>
                <w:sz w:val="16"/>
                <w:szCs w:val="16"/>
              </w:rPr>
            </w:pPr>
            <w:r w:rsidRPr="00234D9C">
              <w:rPr>
                <w:rFonts w:ascii="Arial" w:eastAsia="Arial" w:hAnsi="Arial" w:cs="Arial"/>
                <w:b/>
                <w:bCs/>
                <w:sz w:val="16"/>
                <w:szCs w:val="16"/>
              </w:rPr>
              <w:t>Improve administration of parliamentary work expenses</w:t>
            </w:r>
          </w:p>
          <w:p w14:paraId="2239E2FD" w14:textId="721AF169" w:rsidR="00F0167C" w:rsidRPr="00234D9C" w:rsidRDefault="00234D9C" w:rsidP="006620CF">
            <w:pPr>
              <w:spacing w:before="60" w:after="60" w:line="240" w:lineRule="auto"/>
              <w:rPr>
                <w:rFonts w:ascii="Arial" w:eastAsia="Arial" w:hAnsi="Arial" w:cs="Arial"/>
                <w:sz w:val="16"/>
                <w:szCs w:val="16"/>
              </w:rPr>
            </w:pPr>
            <w:r w:rsidRPr="00234D9C">
              <w:rPr>
                <w:rFonts w:ascii="Arial" w:eastAsia="Arial" w:hAnsi="Arial" w:cs="Arial"/>
                <w:bCs/>
                <w:sz w:val="16"/>
                <w:szCs w:val="16"/>
              </w:rPr>
              <w:t>The timeliness, efficiency, clarity and transparency of the administration of parliamentary work expenses is improved.</w:t>
            </w:r>
          </w:p>
        </w:tc>
        <w:tc>
          <w:tcPr>
            <w:tcW w:w="4371" w:type="dxa"/>
            <w:tcBorders>
              <w:top w:val="dotted" w:sz="4" w:space="0" w:color="auto"/>
              <w:left w:val="single" w:sz="4" w:space="0" w:color="auto"/>
            </w:tcBorders>
          </w:tcPr>
          <w:p w14:paraId="2239E2FE" w14:textId="56082A18" w:rsidR="00F0167C" w:rsidRPr="00C91E97" w:rsidRDefault="00234D9C" w:rsidP="006620CF">
            <w:pPr>
              <w:tabs>
                <w:tab w:val="left" w:pos="709"/>
              </w:tabs>
              <w:suppressAutoHyphens/>
              <w:spacing w:before="60" w:after="60" w:line="240" w:lineRule="auto"/>
              <w:rPr>
                <w:rFonts w:ascii="Arial" w:eastAsia="Arial" w:hAnsi="Arial" w:cs="Arial"/>
                <w:sz w:val="16"/>
                <w:szCs w:val="16"/>
              </w:rPr>
            </w:pPr>
            <w:r w:rsidRPr="00234D9C">
              <w:rPr>
                <w:rFonts w:ascii="Arial" w:eastAsia="Arial" w:hAnsi="Arial" w:cs="Arial"/>
                <w:sz w:val="16"/>
                <w:szCs w:val="16"/>
              </w:rPr>
              <w:t>Increased usage of PEMS by parliamentarians and their staff.</w:t>
            </w:r>
          </w:p>
        </w:tc>
      </w:tr>
      <w:tr w:rsidR="00F0167C" w:rsidRPr="00361E69" w14:paraId="2239E303" w14:textId="77777777" w:rsidTr="006620CF">
        <w:trPr>
          <w:trHeight w:val="491"/>
        </w:trPr>
        <w:tc>
          <w:tcPr>
            <w:tcW w:w="1411" w:type="dxa"/>
            <w:tcBorders>
              <w:top w:val="dotted" w:sz="4" w:space="0" w:color="auto"/>
              <w:bottom w:val="dotted" w:sz="4" w:space="0" w:color="auto"/>
              <w:right w:val="single" w:sz="4" w:space="0" w:color="auto"/>
            </w:tcBorders>
          </w:tcPr>
          <w:p w14:paraId="411B0731" w14:textId="77777777" w:rsidR="00487FD3" w:rsidRDefault="00F0167C" w:rsidP="00487FD3">
            <w:pPr>
              <w:tabs>
                <w:tab w:val="left" w:pos="709"/>
              </w:tabs>
              <w:spacing w:before="60" w:after="60" w:line="240" w:lineRule="auto"/>
              <w:rPr>
                <w:rFonts w:ascii="Arial" w:hAnsi="Arial" w:cs="Arial"/>
                <w:sz w:val="16"/>
                <w:szCs w:val="16"/>
              </w:rPr>
            </w:pPr>
            <w:r w:rsidRPr="00C91E97">
              <w:rPr>
                <w:rFonts w:ascii="Arial" w:hAnsi="Arial" w:cs="Arial"/>
                <w:sz w:val="16"/>
                <w:szCs w:val="16"/>
              </w:rPr>
              <w:t xml:space="preserve">Forward Estimates </w:t>
            </w:r>
          </w:p>
          <w:p w14:paraId="2239E300" w14:textId="6148CE31" w:rsidR="00F0167C" w:rsidRPr="00C91E97" w:rsidRDefault="00F0167C" w:rsidP="00487FD3">
            <w:pPr>
              <w:tabs>
                <w:tab w:val="left" w:pos="709"/>
              </w:tabs>
              <w:spacing w:before="60" w:after="60" w:line="240" w:lineRule="auto"/>
              <w:rPr>
                <w:rFonts w:ascii="Arial" w:hAnsi="Arial" w:cs="Arial"/>
                <w:b/>
                <w:color w:val="0070C0"/>
                <w:sz w:val="16"/>
                <w:szCs w:val="16"/>
              </w:rPr>
            </w:pPr>
            <w:r w:rsidRPr="00C91E97">
              <w:rPr>
                <w:rFonts w:ascii="Arial" w:hAnsi="Arial" w:cs="Arial"/>
                <w:sz w:val="16"/>
                <w:szCs w:val="16"/>
              </w:rPr>
              <w:t>2023-26</w:t>
            </w:r>
          </w:p>
        </w:tc>
        <w:tc>
          <w:tcPr>
            <w:tcW w:w="2013" w:type="dxa"/>
            <w:tcBorders>
              <w:top w:val="dotted" w:sz="4" w:space="0" w:color="auto"/>
              <w:left w:val="single" w:sz="4" w:space="0" w:color="auto"/>
              <w:bottom w:val="dotted" w:sz="4" w:space="0" w:color="auto"/>
              <w:right w:val="single" w:sz="4" w:space="0" w:color="auto"/>
            </w:tcBorders>
          </w:tcPr>
          <w:p w14:paraId="2239E301" w14:textId="77777777" w:rsidR="00F0167C" w:rsidRPr="00C91E97" w:rsidRDefault="00D63950" w:rsidP="006620CF">
            <w:pPr>
              <w:tabs>
                <w:tab w:val="left" w:pos="709"/>
              </w:tabs>
              <w:spacing w:before="60" w:after="60" w:line="240" w:lineRule="auto"/>
              <w:rPr>
                <w:rFonts w:ascii="Arial" w:hAnsi="Arial" w:cs="Arial"/>
                <w:b/>
                <w:sz w:val="16"/>
                <w:szCs w:val="16"/>
              </w:rPr>
            </w:pPr>
            <w:r>
              <w:rPr>
                <w:rFonts w:ascii="Arial" w:eastAsia="Arial" w:hAnsi="Arial" w:cs="Arial"/>
                <w:sz w:val="16"/>
                <w:szCs w:val="16"/>
              </w:rPr>
              <w:t>As per 2022-23</w:t>
            </w:r>
          </w:p>
        </w:tc>
        <w:tc>
          <w:tcPr>
            <w:tcW w:w="4371" w:type="dxa"/>
            <w:tcBorders>
              <w:top w:val="dotted" w:sz="4" w:space="0" w:color="auto"/>
              <w:left w:val="single" w:sz="4" w:space="0" w:color="auto"/>
              <w:bottom w:val="dotted" w:sz="4" w:space="0" w:color="auto"/>
            </w:tcBorders>
          </w:tcPr>
          <w:p w14:paraId="2239E302" w14:textId="77777777" w:rsidR="00F0167C" w:rsidRPr="00C91E97" w:rsidRDefault="00D63950" w:rsidP="006620CF">
            <w:pPr>
              <w:tabs>
                <w:tab w:val="left" w:pos="709"/>
              </w:tabs>
              <w:spacing w:before="60" w:after="60" w:line="240" w:lineRule="auto"/>
              <w:rPr>
                <w:rFonts w:ascii="Arial" w:hAnsi="Arial" w:cs="Arial"/>
                <w:b/>
                <w:sz w:val="16"/>
                <w:szCs w:val="16"/>
              </w:rPr>
            </w:pPr>
            <w:r>
              <w:rPr>
                <w:rFonts w:ascii="Arial" w:eastAsia="Arial" w:hAnsi="Arial" w:cs="Arial"/>
                <w:sz w:val="16"/>
                <w:szCs w:val="16"/>
              </w:rPr>
              <w:t>As per 2022-23</w:t>
            </w:r>
          </w:p>
        </w:tc>
      </w:tr>
      <w:tr w:rsidR="00F0167C" w:rsidRPr="006A4649" w14:paraId="2239E305" w14:textId="77777777" w:rsidTr="006620CF">
        <w:trPr>
          <w:trHeight w:val="291"/>
        </w:trPr>
        <w:tc>
          <w:tcPr>
            <w:tcW w:w="7795" w:type="dxa"/>
            <w:gridSpan w:val="3"/>
          </w:tcPr>
          <w:p w14:paraId="2239E304" w14:textId="275F27ED" w:rsidR="00F0167C" w:rsidRPr="006A4649" w:rsidRDefault="00234D9C" w:rsidP="006620CF">
            <w:pPr>
              <w:tabs>
                <w:tab w:val="left" w:pos="709"/>
              </w:tabs>
              <w:spacing w:before="60" w:after="60" w:line="240" w:lineRule="auto"/>
              <w:rPr>
                <w:rFonts w:ascii="Arial" w:eastAsia="Cambria" w:hAnsi="Arial" w:cs="Arial"/>
                <w:bCs/>
                <w:iCs/>
                <w:spacing w:val="-6"/>
                <w:sz w:val="16"/>
                <w:szCs w:val="16"/>
              </w:rPr>
            </w:pPr>
            <w:r w:rsidRPr="00234D9C">
              <w:rPr>
                <w:rFonts w:ascii="Arial" w:hAnsi="Arial" w:cs="Arial"/>
                <w:sz w:val="16"/>
                <w:szCs w:val="16"/>
              </w:rPr>
              <w:t>Material changes to Program 3.1 resulting from October 2022-23 Budget Measures: Nil</w:t>
            </w:r>
          </w:p>
        </w:tc>
      </w:tr>
    </w:tbl>
    <w:p w14:paraId="2239E306" w14:textId="77777777" w:rsidR="00F0167C" w:rsidRDefault="00F0167C" w:rsidP="00F0167C">
      <w:pPr>
        <w:spacing w:line="240" w:lineRule="auto"/>
        <w:rPr>
          <w:lang w:val="x-none" w:eastAsia="x-none"/>
        </w:rPr>
      </w:pPr>
    </w:p>
    <w:p w14:paraId="2239E307" w14:textId="77777777" w:rsidR="00F0167C" w:rsidRDefault="00F0167C" w:rsidP="00F0167C">
      <w:pPr>
        <w:spacing w:line="240" w:lineRule="auto"/>
        <w:rPr>
          <w:lang w:val="x-none" w:eastAsia="x-none"/>
        </w:rPr>
      </w:pPr>
    </w:p>
    <w:p w14:paraId="2239E308" w14:textId="77777777" w:rsidR="00F0167C" w:rsidRDefault="00F0167C" w:rsidP="00F0167C">
      <w:pPr>
        <w:spacing w:line="240" w:lineRule="auto"/>
        <w:rPr>
          <w:lang w:val="x-none" w:eastAsia="x-none"/>
        </w:rPr>
      </w:pPr>
    </w:p>
    <w:p w14:paraId="2239E309" w14:textId="77777777" w:rsidR="00F0167C" w:rsidRDefault="00F0167C" w:rsidP="00F0167C">
      <w:pPr>
        <w:spacing w:line="240" w:lineRule="auto"/>
        <w:rPr>
          <w:lang w:val="x-none" w:eastAsia="x-none"/>
        </w:rPr>
      </w:pPr>
    </w:p>
    <w:p w14:paraId="2239E30A" w14:textId="77777777" w:rsidR="00F0167C" w:rsidRDefault="00F0167C" w:rsidP="00F0167C">
      <w:pPr>
        <w:spacing w:line="240" w:lineRule="auto"/>
        <w:rPr>
          <w:lang w:val="x-none" w:eastAsia="x-none"/>
        </w:rPr>
      </w:pPr>
    </w:p>
    <w:p w14:paraId="2239E30B" w14:textId="77777777" w:rsidR="00F0167C" w:rsidRDefault="00F0167C" w:rsidP="00F0167C">
      <w:pPr>
        <w:spacing w:line="240" w:lineRule="auto"/>
        <w:rPr>
          <w:lang w:val="x-none" w:eastAsia="x-none"/>
        </w:rPr>
      </w:pPr>
    </w:p>
    <w:p w14:paraId="2239E30C" w14:textId="77777777" w:rsidR="00F0167C" w:rsidRDefault="00F0167C" w:rsidP="00F0167C">
      <w:pPr>
        <w:spacing w:line="240" w:lineRule="auto"/>
        <w:rPr>
          <w:lang w:val="x-none" w:eastAsia="x-none"/>
        </w:rPr>
      </w:pPr>
    </w:p>
    <w:p w14:paraId="2239E30D" w14:textId="77777777" w:rsidR="00F0167C" w:rsidRDefault="00F0167C" w:rsidP="00F0167C">
      <w:pPr>
        <w:spacing w:line="240" w:lineRule="auto"/>
        <w:rPr>
          <w:lang w:val="x-none" w:eastAsia="x-none"/>
        </w:rPr>
      </w:pPr>
    </w:p>
    <w:p w14:paraId="2239E30E" w14:textId="77777777" w:rsidR="00F0167C" w:rsidRPr="002A0954" w:rsidRDefault="00F0167C" w:rsidP="00F0167C">
      <w:pPr>
        <w:spacing w:line="240" w:lineRule="auto"/>
        <w:rPr>
          <w:lang w:val="x-none" w:eastAsia="x-none"/>
        </w:rPr>
      </w:pPr>
    </w:p>
    <w:p w14:paraId="2239E30F" w14:textId="77777777" w:rsidR="002F530C" w:rsidRPr="006913EB" w:rsidRDefault="002F530C" w:rsidP="00E36F77">
      <w:pPr>
        <w:pStyle w:val="Heading2"/>
      </w:pPr>
      <w:r w:rsidRPr="006913EB">
        <w:br w:type="page"/>
      </w:r>
      <w:bookmarkStart w:id="87" w:name="_Toc444523516"/>
      <w:bookmarkStart w:id="88" w:name="_Toc116742498"/>
      <w:bookmarkStart w:id="89" w:name="_Toc117027162"/>
      <w:bookmarkStart w:id="90" w:name="_Toc117070788"/>
      <w:bookmarkStart w:id="91" w:name="_Toc117071042"/>
      <w:bookmarkStart w:id="92" w:name="_Toc117078076"/>
      <w:r w:rsidRPr="006913EB">
        <w:lastRenderedPageBreak/>
        <w:t>Section 3: Budgeted financial statements</w:t>
      </w:r>
      <w:bookmarkEnd w:id="87"/>
      <w:bookmarkEnd w:id="88"/>
      <w:bookmarkEnd w:id="89"/>
      <w:bookmarkEnd w:id="90"/>
      <w:bookmarkEnd w:id="91"/>
      <w:bookmarkEnd w:id="92"/>
    </w:p>
    <w:p w14:paraId="2239E310" w14:textId="77777777" w:rsidR="00A6388E" w:rsidRDefault="00CF5085" w:rsidP="0089422E">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2A1CC2">
        <w:t>-</w:t>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2239E311" w14:textId="77777777" w:rsidR="00E4582E" w:rsidRPr="005328A9" w:rsidRDefault="007118AC" w:rsidP="005328A9">
      <w:pPr>
        <w:pStyle w:val="Heading3"/>
      </w:pPr>
      <w:bookmarkStart w:id="93" w:name="_Toc190682317"/>
      <w:bookmarkStart w:id="94" w:name="_Toc444523517"/>
      <w:bookmarkStart w:id="95" w:name="_Toc116742499"/>
      <w:bookmarkStart w:id="96" w:name="_Toc117027163"/>
      <w:bookmarkStart w:id="97" w:name="_Toc117070789"/>
      <w:bookmarkStart w:id="98" w:name="_Toc117071043"/>
      <w:bookmarkStart w:id="99" w:name="_Toc117078077"/>
      <w:r w:rsidRPr="005328A9">
        <w:t>3.1</w:t>
      </w:r>
      <w:r w:rsidR="00E4582E" w:rsidRPr="005328A9">
        <w:tab/>
        <w:t>Budgeted financial statements</w:t>
      </w:r>
      <w:bookmarkEnd w:id="93"/>
      <w:bookmarkEnd w:id="94"/>
      <w:bookmarkEnd w:id="95"/>
      <w:bookmarkEnd w:id="96"/>
      <w:bookmarkEnd w:id="97"/>
      <w:bookmarkEnd w:id="98"/>
      <w:bookmarkEnd w:id="99"/>
    </w:p>
    <w:p w14:paraId="2239E312"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2239E313" w14:textId="77777777" w:rsidR="00E4582E" w:rsidRPr="0089422E" w:rsidRDefault="00FB0A4B" w:rsidP="0089422E">
      <w:pPr>
        <w:pStyle w:val="ExampleText0"/>
        <w:rPr>
          <w:i w:val="0"/>
          <w:color w:val="auto"/>
        </w:rPr>
      </w:pPr>
      <w:r w:rsidRPr="00EC4613">
        <w:rPr>
          <w:i w:val="0"/>
          <w:color w:val="auto"/>
        </w:rPr>
        <w:t xml:space="preserve">No material differences exist between entity resourcing and the financial statements. </w:t>
      </w:r>
    </w:p>
    <w:p w14:paraId="2239E314"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040FD4C4" w14:textId="77777777" w:rsidR="00895789" w:rsidRPr="006D1D63" w:rsidRDefault="00895789" w:rsidP="00895789">
      <w:pPr>
        <w:rPr>
          <w:b/>
        </w:rPr>
      </w:pPr>
      <w:r w:rsidRPr="006D1D63">
        <w:rPr>
          <w:b/>
        </w:rPr>
        <w:t xml:space="preserve">Comprehensive income statement – Departmental </w:t>
      </w:r>
    </w:p>
    <w:p w14:paraId="6E62254A" w14:textId="77777777" w:rsidR="00895789" w:rsidRPr="006D1D63" w:rsidRDefault="00895789" w:rsidP="00895789">
      <w:pPr>
        <w:rPr>
          <w:b/>
        </w:rPr>
      </w:pPr>
      <w:r w:rsidRPr="006D1D63">
        <w:rPr>
          <w:b/>
        </w:rPr>
        <w:t>2022-23</w:t>
      </w:r>
    </w:p>
    <w:p w14:paraId="61423F73" w14:textId="77C08BC9" w:rsidR="00895789" w:rsidRDefault="00895789" w:rsidP="00895789">
      <w:r>
        <w:t>Finance is budgeting for a deficit of $77.1 million</w:t>
      </w:r>
      <w:r w:rsidR="00BF4A6A">
        <w:t xml:space="preserve"> due to depreciation expenses on the government’s non-Defence property portfolio. The deficit is </w:t>
      </w:r>
      <w:r>
        <w:t>a</w:t>
      </w:r>
      <w:r w:rsidR="000428E9">
        <w:t xml:space="preserve">n increase </w:t>
      </w:r>
      <w:r>
        <w:t xml:space="preserve">from the forecast deficit of $51.2 million in the 2022-23 </w:t>
      </w:r>
      <w:r w:rsidR="00D92D7E">
        <w:t xml:space="preserve">March </w:t>
      </w:r>
      <w:r>
        <w:t>Budget</w:t>
      </w:r>
      <w:r w:rsidR="00BF4A6A">
        <w:t xml:space="preserve"> due to delayed activities funded from prior appropriations to be undertaken in 2022-23</w:t>
      </w:r>
      <w:r>
        <w:t xml:space="preserve">. </w:t>
      </w:r>
    </w:p>
    <w:p w14:paraId="463D69AA" w14:textId="0DE8DAA7" w:rsidR="00895789" w:rsidRDefault="00BF4A6A" w:rsidP="00895789">
      <w:r>
        <w:t xml:space="preserve">Total </w:t>
      </w:r>
      <w:r w:rsidR="00895789">
        <w:t xml:space="preserve">expenses </w:t>
      </w:r>
      <w:r>
        <w:t xml:space="preserve">are forecast to be </w:t>
      </w:r>
      <w:r w:rsidR="00895789">
        <w:t>$742.0 million in 2022-23, an increase from the</w:t>
      </w:r>
      <w:r w:rsidR="00487FD3">
        <w:t xml:space="preserve"> </w:t>
      </w:r>
      <w:r w:rsidR="00895789">
        <w:t>$660.1</w:t>
      </w:r>
      <w:r w:rsidR="00487FD3">
        <w:t> </w:t>
      </w:r>
      <w:r w:rsidR="00895789">
        <w:t xml:space="preserve">million in the 2022-23 </w:t>
      </w:r>
      <w:r w:rsidR="00D92D7E">
        <w:t xml:space="preserve">March </w:t>
      </w:r>
      <w:r w:rsidR="00895789">
        <w:t xml:space="preserve">Budget. This is primarily due to </w:t>
      </w:r>
      <w:r>
        <w:t>functions transferred from the Department of the Pri</w:t>
      </w:r>
      <w:r w:rsidR="006D1D63">
        <w:t>me Minister and Cabinet in the Machinery of G</w:t>
      </w:r>
      <w:r>
        <w:t>overnment changes</w:t>
      </w:r>
      <w:r w:rsidR="006D1D63">
        <w:t xml:space="preserve"> effective from 1 July 2022.</w:t>
      </w:r>
    </w:p>
    <w:p w14:paraId="3D0B7A3F" w14:textId="03EECFA7" w:rsidR="00895789" w:rsidRDefault="006D1D63" w:rsidP="00895789">
      <w:r>
        <w:t>T</w:t>
      </w:r>
      <w:r w:rsidR="00895789">
        <w:t xml:space="preserve">otal own source income </w:t>
      </w:r>
      <w:r>
        <w:t>is forecast to be $328.8</w:t>
      </w:r>
      <w:r w:rsidR="00895789">
        <w:t xml:space="preserve"> million</w:t>
      </w:r>
      <w:r>
        <w:t xml:space="preserve"> in 2022-23, a decrease from the $337.8</w:t>
      </w:r>
      <w:r w:rsidR="00895789">
        <w:t xml:space="preserve"> million forecast in the 2022-23 </w:t>
      </w:r>
      <w:r w:rsidR="00D92D7E">
        <w:t xml:space="preserve">March </w:t>
      </w:r>
      <w:r w:rsidR="00895789">
        <w:t xml:space="preserve">Budget. This is mainly due to </w:t>
      </w:r>
      <w:r>
        <w:t>decreases</w:t>
      </w:r>
      <w:r w:rsidR="00895789">
        <w:t xml:space="preserve"> in insurance premiums and cont</w:t>
      </w:r>
      <w:r w:rsidR="005D034A">
        <w:t>r</w:t>
      </w:r>
      <w:r w:rsidR="00895789">
        <w:t>acts with customers.</w:t>
      </w:r>
    </w:p>
    <w:p w14:paraId="2D134B99" w14:textId="77777777" w:rsidR="00895789" w:rsidRPr="006D1D63" w:rsidRDefault="00895789" w:rsidP="00895789">
      <w:pPr>
        <w:rPr>
          <w:b/>
        </w:rPr>
      </w:pPr>
      <w:r w:rsidRPr="006D1D63">
        <w:rPr>
          <w:b/>
        </w:rPr>
        <w:t xml:space="preserve">Balance sheet – Departmental </w:t>
      </w:r>
    </w:p>
    <w:p w14:paraId="58480320" w14:textId="6AF11A31" w:rsidR="00895789" w:rsidRDefault="00895789" w:rsidP="00895789">
      <w:r>
        <w:t>The budgeted net asset position at 30 June 2</w:t>
      </w:r>
      <w:r w:rsidR="007C2613">
        <w:t>023 of $3,374.2 million is</w:t>
      </w:r>
      <w:r>
        <w:t xml:space="preserve"> a decrease from the $3,382.2 million forecast in the 2022-23 </w:t>
      </w:r>
      <w:r w:rsidR="00D92D7E">
        <w:t xml:space="preserve">March </w:t>
      </w:r>
      <w:r>
        <w:t>Budget. This is primarily due to revised estimates for non-financial asset balances and outstanding insurance claims.</w:t>
      </w:r>
    </w:p>
    <w:p w14:paraId="5DACB498" w14:textId="77777777" w:rsidR="00895789" w:rsidRPr="006D1D63" w:rsidRDefault="00895789" w:rsidP="00895789">
      <w:pPr>
        <w:rPr>
          <w:b/>
        </w:rPr>
      </w:pPr>
      <w:r w:rsidRPr="006D1D63">
        <w:rPr>
          <w:b/>
        </w:rPr>
        <w:t>Schedule of budgeted income and expenses – Administered</w:t>
      </w:r>
    </w:p>
    <w:p w14:paraId="4599207B" w14:textId="77777777" w:rsidR="00895789" w:rsidRPr="007C2613" w:rsidRDefault="00895789" w:rsidP="00895789">
      <w:pPr>
        <w:rPr>
          <w:b/>
        </w:rPr>
      </w:pPr>
      <w:r w:rsidRPr="007C2613">
        <w:rPr>
          <w:b/>
        </w:rPr>
        <w:t>2022-23</w:t>
      </w:r>
    </w:p>
    <w:p w14:paraId="1E7FF2CA" w14:textId="6DDD5E69" w:rsidR="00895789" w:rsidRDefault="00895789" w:rsidP="00895789">
      <w:r>
        <w:t xml:space="preserve">Total Administered income is $2,911.1 million in 2022-23, an increase from $2,453.8 million reported in the 2022-23 </w:t>
      </w:r>
      <w:r w:rsidR="00D92D7E">
        <w:t xml:space="preserve">March </w:t>
      </w:r>
      <w:r>
        <w:t>Budget. This is primarily due to revised estimates for interest, dividends and gain on sale of investment</w:t>
      </w:r>
      <w:r w:rsidR="003C2536">
        <w:t>s</w:t>
      </w:r>
      <w:r>
        <w:t xml:space="preserve"> for the A</w:t>
      </w:r>
      <w:r w:rsidR="009C12EC">
        <w:t>ustralian Government Investment</w:t>
      </w:r>
      <w:r>
        <w:t xml:space="preserve"> Funds</w:t>
      </w:r>
      <w:r w:rsidR="007C2613">
        <w:t>.</w:t>
      </w:r>
    </w:p>
    <w:p w14:paraId="2D91FCA3" w14:textId="59A9A046" w:rsidR="00895789" w:rsidRDefault="00895789" w:rsidP="00895789">
      <w:r>
        <w:lastRenderedPageBreak/>
        <w:t>Finance is budgeting for Administered expenses of $12,802.0 million, an increase from the $11,66</w:t>
      </w:r>
      <w:r w:rsidR="002F64B8">
        <w:t xml:space="preserve">6.8 million budgeted for in the </w:t>
      </w:r>
      <w:r>
        <w:t xml:space="preserve">2022-23 </w:t>
      </w:r>
      <w:r w:rsidR="00D92D7E">
        <w:t xml:space="preserve">March </w:t>
      </w:r>
      <w:r>
        <w:t xml:space="preserve">Budget. This is primarily due to revisions in estimates for superannuation and distributions from </w:t>
      </w:r>
      <w:r w:rsidR="007C2613">
        <w:t xml:space="preserve">the Australian Government </w:t>
      </w:r>
      <w:r>
        <w:t>Investment Funds.</w:t>
      </w:r>
    </w:p>
    <w:p w14:paraId="5495B71B" w14:textId="77777777" w:rsidR="00895789" w:rsidRPr="007C2613" w:rsidRDefault="00895789" w:rsidP="00895789">
      <w:pPr>
        <w:rPr>
          <w:b/>
        </w:rPr>
      </w:pPr>
      <w:r w:rsidRPr="007C2613">
        <w:rPr>
          <w:b/>
        </w:rPr>
        <w:t>Schedule of budgeted assets and liabilities – Administered</w:t>
      </w:r>
    </w:p>
    <w:p w14:paraId="0E9E6200" w14:textId="5429FA21" w:rsidR="00895789" w:rsidRDefault="00895789" w:rsidP="00895789">
      <w:r>
        <w:t>Administered assets are budgeted to total $51,897.2 million by 30 June 2023, an increase from the $51,845.5</w:t>
      </w:r>
      <w:r w:rsidR="007C2613">
        <w:t xml:space="preserve"> </w:t>
      </w:r>
      <w:r>
        <w:t xml:space="preserve">million estimated in the 2022-23 </w:t>
      </w:r>
      <w:r w:rsidR="00D92D7E">
        <w:t xml:space="preserve">March </w:t>
      </w:r>
      <w:r>
        <w:t xml:space="preserve">Budget. This is primarily due to </w:t>
      </w:r>
      <w:r w:rsidR="00680752">
        <w:t xml:space="preserve">higher </w:t>
      </w:r>
      <w:r>
        <w:t>investments for the Australian Government Investment Funds.</w:t>
      </w:r>
    </w:p>
    <w:p w14:paraId="39B42EEC" w14:textId="47E764FE" w:rsidR="00895789" w:rsidRPr="00022A1A" w:rsidRDefault="00895789" w:rsidP="00895789">
      <w:r>
        <w:t xml:space="preserve">Administered liabilities are estimated to total $154,572.6 million by 30 June 2023, an increase from the $149,123.6 million estimated in the 2022-23 </w:t>
      </w:r>
      <w:r w:rsidR="00D92D7E">
        <w:t xml:space="preserve">March </w:t>
      </w:r>
      <w:r>
        <w:t xml:space="preserve">Budget. This is mainly due to </w:t>
      </w:r>
      <w:r w:rsidR="00680752">
        <w:t xml:space="preserve">higher </w:t>
      </w:r>
      <w:r>
        <w:t>superannuation liabilities.</w:t>
      </w:r>
    </w:p>
    <w:p w14:paraId="2239E317" w14:textId="7715D194" w:rsidR="00E4582E" w:rsidRPr="00E36F77" w:rsidRDefault="000A6897" w:rsidP="009D7FAB">
      <w:pPr>
        <w:pStyle w:val="Heading3"/>
      </w:pPr>
      <w:r w:rsidRPr="00E36F77">
        <w:br w:type="page"/>
      </w:r>
      <w:bookmarkStart w:id="100" w:name="_Toc444523518"/>
      <w:bookmarkStart w:id="101" w:name="_Toc117027164"/>
      <w:bookmarkStart w:id="102" w:name="_Toc117070790"/>
      <w:bookmarkStart w:id="103" w:name="_Toc117071044"/>
      <w:bookmarkStart w:id="104" w:name="_Toc117078078"/>
      <w:r w:rsidR="00E4582E" w:rsidRPr="00E36F77">
        <w:rPr>
          <w:rStyle w:val="TableHeadingChar"/>
          <w:rFonts w:ascii="Arial Bold" w:hAnsi="Arial Bold"/>
          <w:b/>
        </w:rPr>
        <w:lastRenderedPageBreak/>
        <w:t>3.2</w:t>
      </w:r>
      <w:r w:rsidR="005F29CD" w:rsidRPr="00E36F77">
        <w:rPr>
          <w:rStyle w:val="TableHeadingChar"/>
          <w:rFonts w:ascii="Arial Bold" w:hAnsi="Arial Bold"/>
          <w:b/>
        </w:rPr>
        <w:tab/>
      </w:r>
      <w:r w:rsidR="00E4582E" w:rsidRPr="005B6839">
        <w:rPr>
          <w:rStyle w:val="Heading3Char"/>
        </w:rPr>
        <w:t xml:space="preserve">Budgeted </w:t>
      </w:r>
      <w:r w:rsidR="00F626C2" w:rsidRPr="005B6839">
        <w:rPr>
          <w:rStyle w:val="Heading3Char"/>
        </w:rPr>
        <w:t>financial statements tables</w:t>
      </w:r>
      <w:bookmarkEnd w:id="100"/>
      <w:bookmarkEnd w:id="101"/>
      <w:bookmarkEnd w:id="102"/>
      <w:bookmarkEnd w:id="103"/>
      <w:bookmarkEnd w:id="104"/>
    </w:p>
    <w:p w14:paraId="2239E31A" w14:textId="5870C199" w:rsidR="006F2FFE" w:rsidRPr="00F56360" w:rsidRDefault="00E855E0" w:rsidP="00F56360">
      <w:pPr>
        <w:pStyle w:val="TableHeading"/>
        <w:spacing w:before="30" w:after="0"/>
        <w:rPr>
          <w:b w:val="0"/>
          <w:sz w:val="16"/>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9320C">
        <w:rPr>
          <w:snapToGrid w:val="0"/>
        </w:rPr>
        <w:t>for the period ended 30 June</w:t>
      </w:r>
      <w:r w:rsidR="001642D1" w:rsidRPr="001642D1">
        <w:rPr>
          <w:noProof/>
          <w:snapToGrid w:val="0"/>
          <w:lang w:eastAsia="zh-CN"/>
        </w:rPr>
        <w:drawing>
          <wp:inline distT="0" distB="0" distL="0" distR="0" wp14:anchorId="1C242239" wp14:editId="21ECDB56">
            <wp:extent cx="4895850" cy="4930234"/>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5850" cy="4930234"/>
                    </a:xfrm>
                    <a:prstGeom prst="rect">
                      <a:avLst/>
                    </a:prstGeom>
                    <a:noFill/>
                    <a:ln>
                      <a:noFill/>
                    </a:ln>
                  </pic:spPr>
                </pic:pic>
              </a:graphicData>
            </a:graphic>
          </wp:inline>
        </w:drawing>
      </w:r>
      <w:r w:rsidR="006F2FFE" w:rsidRPr="006F2FFE">
        <w:rPr>
          <w:b w:val="0"/>
          <w:sz w:val="16"/>
        </w:rPr>
        <w:t>Table continues on next page</w:t>
      </w:r>
    </w:p>
    <w:p w14:paraId="2239E31B" w14:textId="77777777" w:rsidR="006F2FFE" w:rsidRPr="006F2FFE" w:rsidRDefault="006F2FFE" w:rsidP="006F2FFE"/>
    <w:p w14:paraId="2239E31C" w14:textId="77777777" w:rsidR="00146B5E" w:rsidRDefault="007742FF" w:rsidP="00146B5E">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2239E31E" w14:textId="7E85C7CD" w:rsidR="008A0E92" w:rsidRPr="008A0E92" w:rsidRDefault="007742FF" w:rsidP="008A0E92">
      <w:pPr>
        <w:pStyle w:val="TableHeadingNoTable"/>
        <w:spacing w:after="0"/>
      </w:pPr>
      <w:r w:rsidRPr="003819E1">
        <w:t>Note: Impact of net</w:t>
      </w:r>
      <w:r w:rsidR="00E9320C">
        <w:t xml:space="preserve"> cash appropriation arrangements</w:t>
      </w:r>
      <w:r w:rsidR="00A26B7A" w:rsidRPr="00A26B7A">
        <w:rPr>
          <w:noProof/>
          <w:lang w:eastAsia="zh-CN"/>
        </w:rPr>
        <w:drawing>
          <wp:inline distT="0" distB="0" distL="0" distR="0" wp14:anchorId="7FCA341B" wp14:editId="233C2DE6">
            <wp:extent cx="4895850" cy="2319262"/>
            <wp:effectExtent l="0" t="0" r="0" b="508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0" cy="2319262"/>
                    </a:xfrm>
                    <a:prstGeom prst="rect">
                      <a:avLst/>
                    </a:prstGeom>
                    <a:noFill/>
                    <a:ln>
                      <a:noFill/>
                    </a:ln>
                  </pic:spPr>
                </pic:pic>
              </a:graphicData>
            </a:graphic>
          </wp:inline>
        </w:drawing>
      </w:r>
    </w:p>
    <w:p w14:paraId="2239E31F" w14:textId="77777777" w:rsidR="008A0E92" w:rsidRPr="00B47849" w:rsidRDefault="008A0E92" w:rsidP="00F56360">
      <w:pPr>
        <w:pStyle w:val="ChartandTableFootnote"/>
      </w:pPr>
      <w:r w:rsidRPr="00B47849">
        <w:t>Prepared on Australian Accounting Standards basis.</w:t>
      </w:r>
    </w:p>
    <w:p w14:paraId="2239E320" w14:textId="529FE0BD" w:rsidR="008A0E92" w:rsidRPr="004C1F8D" w:rsidRDefault="008A0E92" w:rsidP="00C8474A">
      <w:pPr>
        <w:pStyle w:val="ChartandTableFootnoteAlpha"/>
        <w:numPr>
          <w:ilvl w:val="0"/>
          <w:numId w:val="19"/>
        </w:numPr>
        <w:spacing w:before="60"/>
        <w:ind w:left="284" w:hanging="284"/>
      </w:pPr>
      <w:r w:rsidRPr="004C1F8D">
        <w:t xml:space="preserve">From 2010-11, the Government introduced net cash appropriation arrangements where Bill </w:t>
      </w:r>
      <w:r w:rsidR="007C6968">
        <w:t>1</w:t>
      </w:r>
      <w:r w:rsidRPr="004C1F8D">
        <w:t xml:space="preserve"> revenue appropriations for the depreciation/amortisation expenses of</w:t>
      </w:r>
      <w:r>
        <w:t xml:space="preserve"> </w:t>
      </w:r>
      <w:r w:rsidRPr="004C1F8D">
        <w:t xml:space="preserve">non-corporate Commonwealth entities (and select corporate Commonwealth entities) were replaced with a separate </w:t>
      </w:r>
      <w:r w:rsidR="007C6968">
        <w:t>capital budget (</w:t>
      </w:r>
      <w:r w:rsidR="00487FD3">
        <w:t>DCB</w:t>
      </w:r>
      <w:r w:rsidR="007C6968">
        <w:t>)</w:t>
      </w:r>
      <w:r w:rsidRPr="004C1F8D">
        <w:t xml:space="preserve"> provided through Bill</w:t>
      </w:r>
      <w:r w:rsidR="007C6968">
        <w:t xml:space="preserve"> 1</w:t>
      </w:r>
      <w:r w:rsidRPr="004C1F8D">
        <w:t xml:space="preserve"> equity appropriations. For information regarding DCBs, please refer to Table 3.5 Departmental Capital Budget Statement.</w:t>
      </w:r>
    </w:p>
    <w:p w14:paraId="2239E321" w14:textId="77777777" w:rsidR="008A0E92" w:rsidRPr="00B47849" w:rsidRDefault="008A0E92" w:rsidP="00C8474A">
      <w:pPr>
        <w:pStyle w:val="ChartandTableFootnoteAlpha"/>
        <w:numPr>
          <w:ilvl w:val="0"/>
          <w:numId w:val="19"/>
        </w:numPr>
        <w:spacing w:before="60"/>
        <w:ind w:left="284" w:hanging="284"/>
      </w:pPr>
      <w:r w:rsidRPr="00B47849">
        <w:t>Represents the net gain/loss from the government’s non-Defence Property Divestment Program within</w:t>
      </w:r>
      <w:r>
        <w:t xml:space="preserve"> </w:t>
      </w:r>
      <w:r w:rsidRPr="00B47849">
        <w:t>Australia.</w:t>
      </w:r>
    </w:p>
    <w:p w14:paraId="2239E322" w14:textId="77777777" w:rsidR="008A0E92" w:rsidRPr="00B47849" w:rsidRDefault="008A0E92" w:rsidP="00C8474A">
      <w:pPr>
        <w:pStyle w:val="ChartandTableFootnoteAlpha"/>
        <w:numPr>
          <w:ilvl w:val="0"/>
          <w:numId w:val="19"/>
        </w:numPr>
        <w:spacing w:before="60"/>
        <w:ind w:left="284" w:hanging="284"/>
      </w:pPr>
      <w:r w:rsidRPr="00B47849">
        <w:t>Other gains includes resources received free of charge for financial st</w:t>
      </w:r>
      <w:r>
        <w:t xml:space="preserve">atement audit services from the </w:t>
      </w:r>
      <w:r w:rsidRPr="00B47849">
        <w:t xml:space="preserve">Australian National Audit Office. </w:t>
      </w:r>
    </w:p>
    <w:p w14:paraId="2239E323" w14:textId="77777777" w:rsidR="008A0E92" w:rsidRDefault="008A0E92" w:rsidP="00C8474A">
      <w:pPr>
        <w:pStyle w:val="ChartandTableFootnoteAlpha"/>
        <w:numPr>
          <w:ilvl w:val="0"/>
          <w:numId w:val="19"/>
        </w:numPr>
        <w:spacing w:before="60"/>
        <w:ind w:left="284" w:hanging="284"/>
      </w:pPr>
      <w:r w:rsidRPr="00B47849">
        <w:t>Applies to Right-of-Use (ROU) assets under</w:t>
      </w:r>
      <w:r w:rsidRPr="00012D09">
        <w:t xml:space="preserve"> AASB 16 Leases.</w:t>
      </w:r>
    </w:p>
    <w:p w14:paraId="2239E324" w14:textId="77777777" w:rsidR="00E75A0F" w:rsidRPr="008A0E92" w:rsidRDefault="00E75A0F" w:rsidP="008A0E92">
      <w:pPr>
        <w:pStyle w:val="TableGraphic"/>
        <w:rPr>
          <w:rFonts w:ascii="Arial" w:hAnsi="Arial" w:cs="Arial"/>
        </w:rPr>
      </w:pPr>
    </w:p>
    <w:p w14:paraId="2239E326" w14:textId="04752D14" w:rsidR="000659D0" w:rsidRDefault="000A24C4" w:rsidP="00132C16">
      <w:pPr>
        <w:pStyle w:val="TableHeading"/>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p w14:paraId="2239E327" w14:textId="4BF847EE" w:rsidR="000659D0" w:rsidRPr="00F56360" w:rsidRDefault="001642D1" w:rsidP="00F56360">
      <w:pPr>
        <w:pStyle w:val="TableGraphic"/>
        <w:spacing w:before="30"/>
        <w:ind w:right="0"/>
      </w:pPr>
      <w:r w:rsidRPr="001642D1">
        <w:rPr>
          <w:rFonts w:ascii="Arial" w:hAnsi="Arial" w:cs="Arial"/>
          <w:noProof/>
          <w:sz w:val="16"/>
          <w:szCs w:val="16"/>
          <w:lang w:eastAsia="zh-CN"/>
        </w:rPr>
        <w:drawing>
          <wp:inline distT="0" distB="0" distL="0" distR="0" wp14:anchorId="306E200B" wp14:editId="42CE1A6A">
            <wp:extent cx="4895850" cy="50694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95850" cy="5069434"/>
                    </a:xfrm>
                    <a:prstGeom prst="rect">
                      <a:avLst/>
                    </a:prstGeom>
                    <a:noFill/>
                    <a:ln>
                      <a:noFill/>
                    </a:ln>
                  </pic:spPr>
                </pic:pic>
              </a:graphicData>
            </a:graphic>
          </wp:inline>
        </w:drawing>
      </w:r>
      <w:r w:rsidR="000659D0" w:rsidRPr="00F56360">
        <w:rPr>
          <w:rFonts w:ascii="Arial" w:hAnsi="Arial" w:cs="Arial"/>
          <w:sz w:val="16"/>
          <w:szCs w:val="16"/>
        </w:rPr>
        <w:t>Prepared on Australian Accounting Standards basis.</w:t>
      </w:r>
    </w:p>
    <w:p w14:paraId="2239E328" w14:textId="77777777" w:rsidR="000659D0" w:rsidRPr="002C2CB2" w:rsidRDefault="000659D0" w:rsidP="00E86524">
      <w:pPr>
        <w:pStyle w:val="Source"/>
        <w:tabs>
          <w:tab w:val="clear" w:pos="709"/>
          <w:tab w:val="left" w:pos="284"/>
        </w:tabs>
        <w:spacing w:after="0"/>
        <w:ind w:left="0" w:firstLine="0"/>
        <w:rPr>
          <w:rFonts w:cs="Arial"/>
        </w:rPr>
      </w:pPr>
      <w:r w:rsidRPr="00C26E37">
        <w:rPr>
          <w:rFonts w:cs="Arial"/>
        </w:rPr>
        <w:t>*‘Equity’ is the residual interest in assets after deduction of liabilities.</w:t>
      </w:r>
    </w:p>
    <w:p w14:paraId="2239E329" w14:textId="7685594F" w:rsidR="000659D0" w:rsidRPr="00C960D1" w:rsidRDefault="000659D0" w:rsidP="00C8474A">
      <w:pPr>
        <w:pStyle w:val="ChartandTableFootnoteAlpha"/>
        <w:numPr>
          <w:ilvl w:val="0"/>
          <w:numId w:val="20"/>
        </w:numPr>
        <w:spacing w:before="0" w:after="60"/>
        <w:ind w:left="284" w:hanging="284"/>
      </w:pPr>
      <w:r w:rsidRPr="00C960D1">
        <w:t>Primarily represents special account</w:t>
      </w:r>
      <w:r w:rsidR="00B102A0">
        <w:t xml:space="preserve"> cash held in the Official Public Account</w:t>
      </w:r>
      <w:r w:rsidRPr="00C960D1">
        <w:t>.</w:t>
      </w:r>
    </w:p>
    <w:p w14:paraId="3E9BB558" w14:textId="77777777" w:rsidR="00132C16" w:rsidRDefault="000659D0" w:rsidP="00C8474A">
      <w:pPr>
        <w:pStyle w:val="ChartandTableFootnoteAlpha"/>
        <w:numPr>
          <w:ilvl w:val="0"/>
          <w:numId w:val="20"/>
        </w:numPr>
        <w:spacing w:before="0" w:after="60"/>
        <w:ind w:left="284" w:hanging="284"/>
      </w:pPr>
      <w:r w:rsidRPr="00C960D1">
        <w:t>Primarily represents properties in the government’s non-Defence property portfolio.</w:t>
      </w:r>
      <w:r w:rsidR="00132C16">
        <w:br w:type="page"/>
      </w:r>
    </w:p>
    <w:p w14:paraId="2239E32E" w14:textId="2EF33403" w:rsidR="002376AD" w:rsidRPr="00A506CC" w:rsidRDefault="00A80C87" w:rsidP="00132C16">
      <w:pPr>
        <w:pStyle w:val="ChartandTableFootnoteAlpha"/>
      </w:pPr>
      <w:r w:rsidRPr="00132C16">
        <w:rPr>
          <w:b/>
          <w:color w:val="auto"/>
          <w:sz w:val="20"/>
        </w:rPr>
        <w:lastRenderedPageBreak/>
        <w:t>Table</w:t>
      </w:r>
      <w:r w:rsidR="00971CBF" w:rsidRPr="00132C16">
        <w:rPr>
          <w:b/>
          <w:color w:val="auto"/>
          <w:sz w:val="20"/>
        </w:rPr>
        <w:t xml:space="preserve"> 3.</w:t>
      </w:r>
      <w:r w:rsidRPr="00132C16">
        <w:rPr>
          <w:b/>
          <w:color w:val="auto"/>
          <w:sz w:val="20"/>
        </w:rPr>
        <w:t>3</w:t>
      </w:r>
      <w:r w:rsidR="00345CCD" w:rsidRPr="00132C16">
        <w:rPr>
          <w:b/>
          <w:color w:val="auto"/>
          <w:sz w:val="20"/>
        </w:rPr>
        <w:t xml:space="preserve">: Departmental </w:t>
      </w:r>
      <w:r w:rsidR="00F626C2" w:rsidRPr="00132C16">
        <w:rPr>
          <w:b/>
          <w:color w:val="auto"/>
          <w:sz w:val="20"/>
        </w:rPr>
        <w:t xml:space="preserve">statement of changes in equity </w:t>
      </w:r>
      <w:r w:rsidR="00345CCD" w:rsidRPr="00132C16">
        <w:rPr>
          <w:b/>
          <w:color w:val="auto"/>
          <w:sz w:val="20"/>
        </w:rPr>
        <w:t xml:space="preserve">— </w:t>
      </w:r>
      <w:r w:rsidR="00F626C2" w:rsidRPr="00132C16">
        <w:rPr>
          <w:b/>
          <w:color w:val="auto"/>
          <w:sz w:val="20"/>
        </w:rPr>
        <w:t>summary of movement (</w:t>
      </w:r>
      <w:r w:rsidR="008A1DDE" w:rsidRPr="00132C16">
        <w:rPr>
          <w:b/>
          <w:color w:val="auto"/>
          <w:sz w:val="20"/>
        </w:rPr>
        <w:t xml:space="preserve">Budget </w:t>
      </w:r>
      <w:r w:rsidR="00F626C2" w:rsidRPr="00132C16">
        <w:rPr>
          <w:b/>
          <w:color w:val="auto"/>
          <w:sz w:val="20"/>
        </w:rPr>
        <w:t>y</w:t>
      </w:r>
      <w:r w:rsidR="008A1DDE" w:rsidRPr="00132C16">
        <w:rPr>
          <w:b/>
          <w:color w:val="auto"/>
          <w:sz w:val="20"/>
        </w:rPr>
        <w:t xml:space="preserve">ear </w:t>
      </w:r>
      <w:r w:rsidR="002E59C4" w:rsidRPr="00132C16">
        <w:rPr>
          <w:b/>
          <w:color w:val="auto"/>
          <w:sz w:val="20"/>
        </w:rPr>
        <w:t>2022</w:t>
      </w:r>
      <w:r w:rsidR="007E3AC7" w:rsidRPr="00132C16">
        <w:rPr>
          <w:b/>
          <w:color w:val="auto"/>
          <w:sz w:val="20"/>
        </w:rPr>
        <w:t>-</w:t>
      </w:r>
      <w:r w:rsidR="002E59C4" w:rsidRPr="00132C16">
        <w:rPr>
          <w:b/>
          <w:color w:val="auto"/>
          <w:sz w:val="20"/>
        </w:rPr>
        <w:t>23</w:t>
      </w:r>
      <w:r w:rsidR="00345CCD" w:rsidRPr="00132C16">
        <w:rPr>
          <w:b/>
          <w:color w:val="auto"/>
          <w:sz w:val="20"/>
        </w:rPr>
        <w:t>)</w:t>
      </w:r>
      <w:r w:rsidR="00E807EB" w:rsidRPr="00E807EB">
        <w:rPr>
          <w:b/>
          <w:sz w:val="20"/>
        </w:rPr>
        <w:t xml:space="preserve"> </w:t>
      </w:r>
      <w:r w:rsidR="008D4DB0" w:rsidRPr="008D4DB0">
        <w:rPr>
          <w:b/>
          <w:noProof/>
          <w:sz w:val="20"/>
          <w:lang w:eastAsia="zh-CN"/>
        </w:rPr>
        <w:drawing>
          <wp:inline distT="0" distB="0" distL="0" distR="0" wp14:anchorId="26F89E74" wp14:editId="00839194">
            <wp:extent cx="4895850" cy="3177261"/>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95850" cy="3177261"/>
                    </a:xfrm>
                    <a:prstGeom prst="rect">
                      <a:avLst/>
                    </a:prstGeom>
                    <a:noFill/>
                    <a:ln>
                      <a:noFill/>
                    </a:ln>
                  </pic:spPr>
                </pic:pic>
              </a:graphicData>
            </a:graphic>
          </wp:inline>
        </w:drawing>
      </w:r>
      <w:r w:rsidR="00E807EB" w:rsidRPr="00E807EB">
        <w:rPr>
          <w:b/>
          <w:sz w:val="20"/>
        </w:rPr>
        <w:t xml:space="preserve"> </w:t>
      </w:r>
      <w:r w:rsidR="002376AD">
        <w:rPr>
          <w:lang w:val="x-none" w:eastAsia="x-none"/>
        </w:rPr>
        <w:fldChar w:fldCharType="begin" w:fldLock="1"/>
      </w:r>
      <w:r w:rsidR="002376AD">
        <w:instrText xml:space="preserve"> LINK Excel.Sheet.12 "\\\\romulus\\csg_h$\\MCD\\Publishing\\Graphic Design Services Team\\Projects\\2021\\Budget 2021\\03 PBS\\PBS templates\\Attachment B - 2021-22 PBS Excel Tables.xlsx" "Table 3.3!R3C1:R34C6" \a \f 4 \h </w:instrText>
      </w:r>
      <w:r w:rsidR="002376AD">
        <w:rPr>
          <w:lang w:val="x-none" w:eastAsia="x-none"/>
        </w:rPr>
        <w:fldChar w:fldCharType="separate"/>
      </w:r>
    </w:p>
    <w:p w14:paraId="2239E330" w14:textId="74A9EC88" w:rsidR="00132F9E" w:rsidRPr="0059690A" w:rsidRDefault="002376AD" w:rsidP="00850C94">
      <w:pPr>
        <w:pStyle w:val="TableGraphic"/>
        <w:spacing w:before="30"/>
        <w:ind w:right="0"/>
        <w:rPr>
          <w:rFonts w:ascii="Arial" w:hAnsi="Arial" w:cs="Arial"/>
          <w:sz w:val="16"/>
          <w:szCs w:val="16"/>
        </w:rPr>
      </w:pPr>
      <w:r>
        <w:fldChar w:fldCharType="end"/>
      </w:r>
      <w:r w:rsidR="00D606C2" w:rsidRPr="0059690A">
        <w:rPr>
          <w:rFonts w:ascii="Arial" w:hAnsi="Arial" w:cs="Arial"/>
          <w:sz w:val="16"/>
          <w:szCs w:val="16"/>
        </w:rPr>
        <w:t>Prepared on Australian Accounting Standards basis</w:t>
      </w:r>
    </w:p>
    <w:p w14:paraId="2239E331" w14:textId="77777777" w:rsidR="00C038D0" w:rsidRPr="00152B2B" w:rsidRDefault="00C038D0" w:rsidP="00152B2B"/>
    <w:p w14:paraId="557656FC" w14:textId="4C619843" w:rsidR="006F6E9C" w:rsidRDefault="000A24C4" w:rsidP="00850C94">
      <w:pPr>
        <w:pStyle w:val="TableHeading"/>
        <w:spacing w:before="30" w:after="0"/>
        <w:rPr>
          <w:rFonts w:cs="Arial"/>
          <w:b w:val="0"/>
          <w:sz w:val="16"/>
          <w:szCs w:val="16"/>
          <w:lang w:eastAsia="x-none"/>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A67235">
        <w:t xml:space="preserve"> 30 June)</w:t>
      </w:r>
      <w:r w:rsidR="00686F21" w:rsidRPr="00686F21">
        <w:rPr>
          <w:b w:val="0"/>
        </w:rPr>
        <w:t xml:space="preserve"> </w:t>
      </w:r>
      <w:r w:rsidR="0055054A" w:rsidRPr="0055054A">
        <w:rPr>
          <w:b w:val="0"/>
          <w:noProof/>
          <w:lang w:eastAsia="zh-CN"/>
        </w:rPr>
        <w:drawing>
          <wp:inline distT="0" distB="0" distL="0" distR="0" wp14:anchorId="48E92A7D" wp14:editId="6CE1FE23">
            <wp:extent cx="4895850" cy="4235897"/>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0" cy="4235897"/>
                    </a:xfrm>
                    <a:prstGeom prst="rect">
                      <a:avLst/>
                    </a:prstGeom>
                    <a:noFill/>
                    <a:ln>
                      <a:noFill/>
                    </a:ln>
                  </pic:spPr>
                </pic:pic>
              </a:graphicData>
            </a:graphic>
          </wp:inline>
        </w:drawing>
      </w:r>
      <w:r w:rsidR="00673C20" w:rsidRPr="00A67235">
        <w:rPr>
          <w:rFonts w:cs="Arial"/>
          <w:b w:val="0"/>
          <w:sz w:val="16"/>
          <w:szCs w:val="16"/>
          <w:lang w:eastAsia="x-none"/>
        </w:rPr>
        <w:t>Table continues on next page</w:t>
      </w:r>
      <w:r w:rsidR="006F6E9C">
        <w:rPr>
          <w:rFonts w:cs="Arial"/>
          <w:b w:val="0"/>
          <w:sz w:val="16"/>
          <w:szCs w:val="16"/>
          <w:lang w:eastAsia="x-none"/>
        </w:rPr>
        <w:br w:type="page"/>
      </w:r>
    </w:p>
    <w:p w14:paraId="75E0FF68" w14:textId="3A7E05F2" w:rsidR="006F6E9C" w:rsidRDefault="00345CCD" w:rsidP="006F6E9C">
      <w:pPr>
        <w:pStyle w:val="TableHeading"/>
        <w:spacing w:before="30" w:after="0"/>
        <w:rPr>
          <w:b w:val="0"/>
        </w:rPr>
      </w:pPr>
      <w:r w:rsidRPr="00BD210E">
        <w:lastRenderedPageBreak/>
        <w:t>Table</w:t>
      </w:r>
      <w:r w:rsidR="00971CBF">
        <w:t xml:space="preserve"> 3.</w:t>
      </w:r>
      <w:r w:rsidRPr="00BD210E">
        <w:t xml:space="preserve">4: Budgeted </w:t>
      </w:r>
      <w:r w:rsidR="00F10305" w:rsidRPr="00BD210E">
        <w:t>departmental statement of cash flows</w:t>
      </w:r>
      <w:r w:rsidR="00F10305">
        <w:t xml:space="preserve"> </w:t>
      </w:r>
      <w:r w:rsidRPr="00BD210E">
        <w:t>(for the period ended 30 June) (continued)</w:t>
      </w:r>
      <w:r w:rsidR="00686F21" w:rsidRPr="00686F21">
        <w:rPr>
          <w:b w:val="0"/>
        </w:rPr>
        <w:t xml:space="preserve"> </w:t>
      </w:r>
      <w:r w:rsidR="0055054A" w:rsidRPr="0055054A">
        <w:rPr>
          <w:b w:val="0"/>
          <w:noProof/>
          <w:lang w:eastAsia="zh-CN"/>
        </w:rPr>
        <w:drawing>
          <wp:inline distT="0" distB="0" distL="0" distR="0" wp14:anchorId="13383E03" wp14:editId="267B2A2A">
            <wp:extent cx="4895850" cy="2604317"/>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95850" cy="2604317"/>
                    </a:xfrm>
                    <a:prstGeom prst="rect">
                      <a:avLst/>
                    </a:prstGeom>
                    <a:noFill/>
                    <a:ln>
                      <a:noFill/>
                    </a:ln>
                  </pic:spPr>
                </pic:pic>
              </a:graphicData>
            </a:graphic>
          </wp:inline>
        </w:drawing>
      </w:r>
    </w:p>
    <w:p w14:paraId="776C915D" w14:textId="77777777" w:rsidR="00F547AB" w:rsidRDefault="00345CCD" w:rsidP="00686F21">
      <w:pPr>
        <w:pStyle w:val="ChartandTableFootnote"/>
      </w:pPr>
      <w:r w:rsidRPr="00132F9E">
        <w:t>Prepared on Australian Accounting Standards basis.</w:t>
      </w:r>
      <w:r w:rsidR="00F547AB">
        <w:br w:type="page"/>
      </w:r>
    </w:p>
    <w:p w14:paraId="2239E33B" w14:textId="497DEE95" w:rsidR="00D606C2" w:rsidRPr="007755A1" w:rsidRDefault="008B4464" w:rsidP="00744546">
      <w:pPr>
        <w:pStyle w:val="ChartandTableFootnote"/>
        <w:spacing w:after="60"/>
        <w:rPr>
          <w:b/>
          <w:color w:val="auto"/>
          <w:sz w:val="20"/>
        </w:rPr>
      </w:pPr>
      <w:r w:rsidRPr="00F547AB">
        <w:rPr>
          <w:b/>
          <w:color w:val="auto"/>
          <w:sz w:val="20"/>
        </w:rPr>
        <w:lastRenderedPageBreak/>
        <w:t>Table</w:t>
      </w:r>
      <w:r w:rsidR="00971CBF" w:rsidRPr="00F547AB">
        <w:rPr>
          <w:b/>
          <w:color w:val="auto"/>
          <w:sz w:val="20"/>
        </w:rPr>
        <w:t xml:space="preserve"> 3.</w:t>
      </w:r>
      <w:r w:rsidRPr="00F547AB">
        <w:rPr>
          <w:b/>
          <w:color w:val="auto"/>
          <w:sz w:val="20"/>
        </w:rPr>
        <w:t xml:space="preserve">5: </w:t>
      </w:r>
      <w:r w:rsidR="00F54947" w:rsidRPr="00F547AB">
        <w:rPr>
          <w:b/>
          <w:color w:val="auto"/>
          <w:sz w:val="20"/>
        </w:rPr>
        <w:t xml:space="preserve">Departmental </w:t>
      </w:r>
      <w:r w:rsidR="00F10305" w:rsidRPr="00F547AB">
        <w:rPr>
          <w:b/>
          <w:color w:val="auto"/>
          <w:sz w:val="20"/>
        </w:rPr>
        <w:t>capital budget statement</w:t>
      </w:r>
      <w:r w:rsidR="005067C7" w:rsidRPr="00F547AB">
        <w:rPr>
          <w:b/>
          <w:color w:val="auto"/>
          <w:sz w:val="20"/>
        </w:rPr>
        <w:t xml:space="preserve"> (for the period ended 30 June)</w:t>
      </w:r>
      <w:r w:rsidR="00F547AB" w:rsidRPr="00F547AB">
        <w:rPr>
          <w:b/>
          <w:sz w:val="20"/>
        </w:rPr>
        <w:t xml:space="preserve"> </w:t>
      </w:r>
      <w:r w:rsidR="0023718E" w:rsidRPr="0023718E">
        <w:rPr>
          <w:b/>
          <w:noProof/>
          <w:sz w:val="20"/>
          <w:lang w:eastAsia="zh-CN"/>
        </w:rPr>
        <w:drawing>
          <wp:inline distT="0" distB="0" distL="0" distR="0" wp14:anchorId="1294AA37" wp14:editId="5AECB8B2">
            <wp:extent cx="4895850" cy="2867744"/>
            <wp:effectExtent l="0" t="0" r="0" b="889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95850" cy="2867744"/>
                    </a:xfrm>
                    <a:prstGeom prst="rect">
                      <a:avLst/>
                    </a:prstGeom>
                    <a:noFill/>
                    <a:ln>
                      <a:noFill/>
                    </a:ln>
                  </pic:spPr>
                </pic:pic>
              </a:graphicData>
            </a:graphic>
          </wp:inline>
        </w:drawing>
      </w:r>
      <w:r w:rsidR="00D606C2" w:rsidRPr="00132F9E">
        <w:t>Prepared on Australian Accounting Standards basis.</w:t>
      </w:r>
    </w:p>
    <w:p w14:paraId="2239E33C" w14:textId="7CADA0CF" w:rsidR="00F20FF5" w:rsidRPr="00673C20" w:rsidRDefault="00F20FF5" w:rsidP="00C8474A">
      <w:pPr>
        <w:pStyle w:val="ChartandTableFootnoteAlpha"/>
        <w:numPr>
          <w:ilvl w:val="0"/>
          <w:numId w:val="21"/>
        </w:numPr>
        <w:tabs>
          <w:tab w:val="num" w:pos="397"/>
        </w:tabs>
        <w:spacing w:before="60"/>
        <w:ind w:left="284"/>
        <w:rPr>
          <w:rFonts w:cs="Arial"/>
          <w:color w:val="auto"/>
          <w:szCs w:val="16"/>
        </w:rPr>
      </w:pPr>
      <w:r w:rsidRPr="00673C20">
        <w:rPr>
          <w:rFonts w:cs="Arial"/>
          <w:color w:val="auto"/>
          <w:szCs w:val="16"/>
        </w:rPr>
        <w:t xml:space="preserve">Includes </w:t>
      </w:r>
      <w:r w:rsidR="007F4540">
        <w:rPr>
          <w:rFonts w:cs="Arial"/>
          <w:color w:val="auto"/>
          <w:szCs w:val="16"/>
        </w:rPr>
        <w:t xml:space="preserve">purchases from </w:t>
      </w:r>
      <w:r w:rsidRPr="00673C20">
        <w:rPr>
          <w:rFonts w:cs="Arial"/>
          <w:color w:val="auto"/>
          <w:szCs w:val="16"/>
        </w:rPr>
        <w:t>current Bill 2 and prior Act 2/4/6 appropriations</w:t>
      </w:r>
      <w:r w:rsidR="00D52088" w:rsidRPr="00673C20">
        <w:rPr>
          <w:rFonts w:cs="Arial"/>
          <w:color w:val="auto"/>
          <w:szCs w:val="16"/>
        </w:rPr>
        <w:t>.</w:t>
      </w:r>
    </w:p>
    <w:p w14:paraId="2239E33D" w14:textId="1E0E9908" w:rsidR="00F20FF5" w:rsidRPr="00673C20" w:rsidRDefault="00F20FF5" w:rsidP="00C8474A">
      <w:pPr>
        <w:pStyle w:val="ChartandTableFootnoteAlpha"/>
        <w:numPr>
          <w:ilvl w:val="0"/>
          <w:numId w:val="21"/>
        </w:numPr>
        <w:tabs>
          <w:tab w:val="num" w:pos="397"/>
        </w:tabs>
        <w:spacing w:before="60"/>
        <w:ind w:left="284"/>
        <w:rPr>
          <w:rFonts w:cs="Arial"/>
          <w:color w:val="auto"/>
          <w:szCs w:val="16"/>
        </w:rPr>
      </w:pPr>
      <w:r w:rsidRPr="00673C20">
        <w:rPr>
          <w:rFonts w:cs="Arial"/>
          <w:color w:val="auto"/>
          <w:szCs w:val="16"/>
        </w:rPr>
        <w:t>Includes purchases from current an</w:t>
      </w:r>
      <w:r w:rsidR="00EE2ED0" w:rsidRPr="00673C20">
        <w:rPr>
          <w:rFonts w:cs="Arial"/>
          <w:color w:val="auto"/>
          <w:szCs w:val="16"/>
        </w:rPr>
        <w:t xml:space="preserve">d previous years’ </w:t>
      </w:r>
      <w:r w:rsidR="00487FD3">
        <w:rPr>
          <w:rFonts w:cs="Arial"/>
          <w:color w:val="auto"/>
          <w:szCs w:val="16"/>
        </w:rPr>
        <w:t>DCB</w:t>
      </w:r>
      <w:r w:rsidRPr="00673C20">
        <w:rPr>
          <w:rFonts w:cs="Arial"/>
          <w:color w:val="auto"/>
          <w:szCs w:val="16"/>
        </w:rPr>
        <w:t>.</w:t>
      </w:r>
    </w:p>
    <w:p w14:paraId="2239E33E" w14:textId="5A2A8621" w:rsidR="00C37BFF" w:rsidRPr="00673C20" w:rsidRDefault="00C37BFF" w:rsidP="00C8474A">
      <w:pPr>
        <w:pStyle w:val="ChartandTableFootnoteAlpha"/>
        <w:numPr>
          <w:ilvl w:val="0"/>
          <w:numId w:val="21"/>
        </w:numPr>
        <w:tabs>
          <w:tab w:val="num" w:pos="397"/>
        </w:tabs>
        <w:spacing w:before="60"/>
        <w:ind w:left="284"/>
        <w:rPr>
          <w:rFonts w:cs="Arial"/>
          <w:color w:val="auto"/>
          <w:szCs w:val="16"/>
        </w:rPr>
      </w:pPr>
      <w:r w:rsidRPr="00673C20">
        <w:rPr>
          <w:rFonts w:cs="Arial"/>
          <w:color w:val="auto"/>
          <w:szCs w:val="16"/>
        </w:rPr>
        <w:t xml:space="preserve">Includes </w:t>
      </w:r>
      <w:r w:rsidR="007F4540">
        <w:rPr>
          <w:rFonts w:cs="Arial"/>
          <w:color w:val="auto"/>
          <w:szCs w:val="16"/>
        </w:rPr>
        <w:t xml:space="preserve">purchases from </w:t>
      </w:r>
      <w:r w:rsidR="000D722B">
        <w:rPr>
          <w:rFonts w:cs="Arial"/>
          <w:color w:val="auto"/>
          <w:szCs w:val="16"/>
        </w:rPr>
        <w:t>current Bill 1, prior Act 1/2/3 appropr</w:t>
      </w:r>
      <w:r w:rsidR="007F4540">
        <w:rPr>
          <w:rFonts w:cs="Arial"/>
          <w:color w:val="auto"/>
          <w:szCs w:val="16"/>
        </w:rPr>
        <w:t>iations, special accounts and</w:t>
      </w:r>
      <w:r w:rsidR="000D722B">
        <w:rPr>
          <w:rFonts w:cs="Arial"/>
          <w:color w:val="auto"/>
          <w:szCs w:val="16"/>
        </w:rPr>
        <w:t xml:space="preserve"> </w:t>
      </w:r>
      <w:r w:rsidR="00BA1132">
        <w:rPr>
          <w:rFonts w:cs="Arial"/>
          <w:color w:val="auto"/>
          <w:szCs w:val="16"/>
        </w:rPr>
        <w:t xml:space="preserve">PGPA Act </w:t>
      </w:r>
      <w:r w:rsidRPr="00673C20">
        <w:rPr>
          <w:rFonts w:cs="Arial"/>
          <w:color w:val="auto"/>
          <w:szCs w:val="16"/>
        </w:rPr>
        <w:t>s</w:t>
      </w:r>
      <w:r w:rsidR="00744546">
        <w:rPr>
          <w:rFonts w:cs="Arial"/>
          <w:color w:val="auto"/>
          <w:szCs w:val="16"/>
        </w:rPr>
        <w:t xml:space="preserve">ection </w:t>
      </w:r>
      <w:r w:rsidRPr="00673C20">
        <w:rPr>
          <w:rFonts w:cs="Arial"/>
          <w:color w:val="auto"/>
          <w:szCs w:val="16"/>
        </w:rPr>
        <w:t>74 external</w:t>
      </w:r>
      <w:r w:rsidRPr="00673C20" w:rsidDel="005013B5">
        <w:rPr>
          <w:rFonts w:cs="Arial"/>
          <w:color w:val="auto"/>
          <w:szCs w:val="16"/>
        </w:rPr>
        <w:t xml:space="preserve"> </w:t>
      </w:r>
      <w:r w:rsidR="007F4540">
        <w:rPr>
          <w:rFonts w:cs="Arial"/>
          <w:color w:val="auto"/>
          <w:szCs w:val="16"/>
        </w:rPr>
        <w:t>receipts.</w:t>
      </w:r>
    </w:p>
    <w:p w14:paraId="34E7250E" w14:textId="021ABD4F" w:rsidR="004650DF" w:rsidRDefault="004650DF" w:rsidP="00744546">
      <w:pPr>
        <w:pStyle w:val="ChartandTableFootnote-Dash"/>
        <w:spacing w:after="60"/>
      </w:pPr>
      <w:r>
        <w:br w:type="page"/>
      </w:r>
    </w:p>
    <w:p w14:paraId="2239E34F" w14:textId="79DB7BB7" w:rsidR="003059F2" w:rsidRPr="004650DF" w:rsidRDefault="003059F2" w:rsidP="00744546">
      <w:pPr>
        <w:pStyle w:val="ChartandTableFootnote-Dash"/>
        <w:spacing w:before="30" w:after="60"/>
        <w:ind w:left="0" w:firstLine="0"/>
        <w:rPr>
          <w:b/>
          <w:sz w:val="20"/>
        </w:rPr>
      </w:pPr>
      <w:r w:rsidRPr="004650DF">
        <w:rPr>
          <w:b/>
          <w:sz w:val="20"/>
        </w:rPr>
        <w:lastRenderedPageBreak/>
        <w:t>Table 3.6: Statement of departmental asset movements (Budget year 2022-23)</w:t>
      </w:r>
      <w:r w:rsidR="004650DF" w:rsidRPr="004650DF">
        <w:rPr>
          <w:b/>
          <w:sz w:val="20"/>
        </w:rPr>
        <w:t xml:space="preserve"> </w:t>
      </w:r>
      <w:r w:rsidR="002F50AE" w:rsidRPr="002F50AE">
        <w:rPr>
          <w:b/>
          <w:noProof/>
          <w:sz w:val="20"/>
          <w:lang w:eastAsia="zh-CN"/>
        </w:rPr>
        <w:drawing>
          <wp:inline distT="0" distB="0" distL="0" distR="0" wp14:anchorId="3AFF4A52" wp14:editId="04EB42FE">
            <wp:extent cx="4895850" cy="6072678"/>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895850" cy="6072678"/>
                    </a:xfrm>
                    <a:prstGeom prst="rect">
                      <a:avLst/>
                    </a:prstGeom>
                    <a:noFill/>
                    <a:ln>
                      <a:noFill/>
                    </a:ln>
                  </pic:spPr>
                </pic:pic>
              </a:graphicData>
            </a:graphic>
          </wp:inline>
        </w:drawing>
      </w:r>
      <w:r w:rsidRPr="00930570">
        <w:t>Prepared on Australian Accounting Standards basis:</w:t>
      </w:r>
    </w:p>
    <w:p w14:paraId="2239E350" w14:textId="77777777" w:rsidR="003059F2" w:rsidRPr="00930570" w:rsidRDefault="003059F2" w:rsidP="00C8474A">
      <w:pPr>
        <w:pStyle w:val="ChartandTableFootnoteAlpha"/>
        <w:numPr>
          <w:ilvl w:val="0"/>
          <w:numId w:val="22"/>
        </w:numPr>
        <w:spacing w:before="60"/>
        <w:ind w:left="284" w:hanging="284"/>
      </w:pPr>
      <w:r w:rsidRPr="00930570">
        <w:t xml:space="preserve">‘Appropriation equity’ refers to equity injection appropriations provided through Appropriation Bill (No. 2) 2022-23. </w:t>
      </w:r>
    </w:p>
    <w:p w14:paraId="2239E351" w14:textId="1A738DF8" w:rsidR="003059F2" w:rsidRPr="00930570" w:rsidRDefault="003059F2" w:rsidP="00C8474A">
      <w:pPr>
        <w:pStyle w:val="ChartandTableFootnoteAlpha"/>
        <w:numPr>
          <w:ilvl w:val="0"/>
          <w:numId w:val="22"/>
        </w:numPr>
        <w:spacing w:before="60"/>
        <w:ind w:left="284" w:hanging="284"/>
      </w:pPr>
      <w:r w:rsidRPr="00930570">
        <w:t>‘Appropriation ordinary annual services’ refers to funding provided through Appropriation Bill (No. 1)</w:t>
      </w:r>
      <w:r w:rsidR="00855F84">
        <w:t xml:space="preserve"> </w:t>
      </w:r>
      <w:r w:rsidRPr="00930570">
        <w:t>2022-23 for depreciation/amortisation expenses, DCBs or other operational expenses.</w:t>
      </w:r>
    </w:p>
    <w:p w14:paraId="762E091D" w14:textId="77777777" w:rsidR="004F2BF9" w:rsidRDefault="003059F2" w:rsidP="00C8474A">
      <w:pPr>
        <w:pStyle w:val="ChartandTableFootnoteAlpha"/>
        <w:numPr>
          <w:ilvl w:val="0"/>
          <w:numId w:val="22"/>
        </w:numPr>
        <w:spacing w:before="60"/>
        <w:ind w:left="284" w:hanging="284"/>
      </w:pPr>
      <w:r w:rsidRPr="00930570">
        <w:t>Net proceeds may be returned to the Official Public Account</w:t>
      </w:r>
      <w:r>
        <w:t>.</w:t>
      </w:r>
      <w:r w:rsidR="004F2BF9">
        <w:br w:type="page"/>
      </w:r>
    </w:p>
    <w:p w14:paraId="2239E355" w14:textId="30F65BD7" w:rsidR="004F5573" w:rsidRDefault="00D30CBA" w:rsidP="004F2BF9">
      <w:pPr>
        <w:pStyle w:val="TableHeading"/>
      </w:pPr>
      <w:r w:rsidRPr="00D30CBA">
        <w:lastRenderedPageBreak/>
        <w:t>Table</w:t>
      </w:r>
      <w:r w:rsidR="00971CBF">
        <w:t xml:space="preserve"> 3.</w:t>
      </w:r>
      <w:r w:rsidR="00B93884">
        <w:t>7</w:t>
      </w:r>
      <w:r w:rsidRPr="00D30CBA">
        <w:t xml:space="preserve">: Schedule of </w:t>
      </w:r>
      <w:r w:rsidR="00F10305">
        <w:t>b</w:t>
      </w:r>
      <w:r w:rsidR="00F10305" w:rsidRPr="00D30CBA">
        <w:t xml:space="preserve">udgeted </w:t>
      </w:r>
      <w:r w:rsidR="00F10305">
        <w:t>i</w:t>
      </w:r>
      <w:r w:rsidR="00F10305" w:rsidRPr="00D30CBA">
        <w:t xml:space="preserve">ncome and </w:t>
      </w:r>
      <w:r w:rsidR="00F10305">
        <w:t>e</w:t>
      </w:r>
      <w:r w:rsidR="00F10305" w:rsidRPr="00D30CBA">
        <w:t>xpe</w:t>
      </w:r>
      <w:r w:rsidR="00F10305">
        <w:t>nses administered on behalf of</w:t>
      </w:r>
      <w:r w:rsidR="002C7A63">
        <w:t xml:space="preserve"> G</w:t>
      </w:r>
      <w:r w:rsidRPr="00D30CBA">
        <w:t>ove</w:t>
      </w:r>
      <w:r w:rsidR="004F5573">
        <w:t>rnment (for the period ended 30 </w:t>
      </w:r>
      <w:r w:rsidRPr="00D30CBA">
        <w:t>June)</w:t>
      </w:r>
    </w:p>
    <w:p w14:paraId="2239E357" w14:textId="682065AE" w:rsidR="0034100B" w:rsidRPr="00930570" w:rsidRDefault="00F66E2C" w:rsidP="00744546">
      <w:pPr>
        <w:pStyle w:val="ChartandTableFootnoteAlpha"/>
        <w:tabs>
          <w:tab w:val="num" w:pos="284"/>
        </w:tabs>
        <w:spacing w:after="60"/>
        <w:jc w:val="both"/>
      </w:pPr>
      <w:r w:rsidRPr="00F66E2C">
        <w:rPr>
          <w:noProof/>
          <w:lang w:eastAsia="zh-CN"/>
        </w:rPr>
        <w:drawing>
          <wp:inline distT="0" distB="0" distL="0" distR="0" wp14:anchorId="1E10D467" wp14:editId="7103B101">
            <wp:extent cx="4895850" cy="522194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95850" cy="5221944"/>
                    </a:xfrm>
                    <a:prstGeom prst="rect">
                      <a:avLst/>
                    </a:prstGeom>
                    <a:noFill/>
                    <a:ln>
                      <a:noFill/>
                    </a:ln>
                  </pic:spPr>
                </pic:pic>
              </a:graphicData>
            </a:graphic>
          </wp:inline>
        </w:drawing>
      </w:r>
      <w:r w:rsidR="0034100B" w:rsidRPr="00930570">
        <w:t>Prepared on Australian Accounting Standards basis.</w:t>
      </w:r>
    </w:p>
    <w:p w14:paraId="2239E358" w14:textId="4A099DD0" w:rsidR="0034100B" w:rsidRPr="00930570" w:rsidRDefault="0034100B" w:rsidP="00C8474A">
      <w:pPr>
        <w:pStyle w:val="ChartandTableFootnoteAlpha"/>
        <w:numPr>
          <w:ilvl w:val="0"/>
          <w:numId w:val="23"/>
        </w:numPr>
        <w:spacing w:before="60" w:after="60"/>
        <w:ind w:left="284" w:hanging="284"/>
      </w:pPr>
      <w:r w:rsidRPr="00930570">
        <w:t>Estimates of distributions to be transferred from the Australian Government Investment Funds. This item</w:t>
      </w:r>
      <w:r>
        <w:t xml:space="preserve"> </w:t>
      </w:r>
      <w:r w:rsidRPr="00930570">
        <w:t>does not include equity payments. For more detail on each fund, refer to Tables 2.2.1.1 to 2.2.1.5</w:t>
      </w:r>
      <w:r>
        <w:t>.</w:t>
      </w:r>
    </w:p>
    <w:p w14:paraId="2239E359" w14:textId="12D7E9F5" w:rsidR="0034100B" w:rsidRPr="00930570" w:rsidRDefault="0034100B" w:rsidP="00C8474A">
      <w:pPr>
        <w:pStyle w:val="ChartandTableFootnoteAlpha"/>
        <w:numPr>
          <w:ilvl w:val="0"/>
          <w:numId w:val="23"/>
        </w:numPr>
        <w:spacing w:before="60" w:after="60"/>
        <w:ind w:left="284" w:hanging="284"/>
      </w:pPr>
      <w:r w:rsidRPr="00930570">
        <w:t>From 2010-11, the Government introduced net cash appropriation arrangements where Bill 1 revenue appropriations for the depreciation/amortisation expenses of non-corporate Commonwealth entities were replaced with a separate capital budget (ACB) provided through Bill 1 equity appropriations. For information regarding ACBs, please refer to Table 3.10 Administered Capital Budget Statement.</w:t>
      </w:r>
    </w:p>
    <w:p w14:paraId="2239E35A" w14:textId="77777777" w:rsidR="0034100B" w:rsidRPr="00930570" w:rsidRDefault="0034100B" w:rsidP="00C8474A">
      <w:pPr>
        <w:pStyle w:val="ChartandTableFootnoteAlpha"/>
        <w:numPr>
          <w:ilvl w:val="0"/>
          <w:numId w:val="23"/>
        </w:numPr>
        <w:spacing w:before="60" w:after="60"/>
        <w:ind w:left="284" w:hanging="284"/>
      </w:pPr>
      <w:r w:rsidRPr="00930570">
        <w:t>Includes earnings for the Australian Government Investment Funds and corporate Commonwealth entities.</w:t>
      </w:r>
    </w:p>
    <w:p w14:paraId="7F888FE9" w14:textId="77777777" w:rsidR="0091330B" w:rsidRDefault="0034100B" w:rsidP="00C8474A">
      <w:pPr>
        <w:pStyle w:val="ChartandTableFootnoteAlpha"/>
        <w:numPr>
          <w:ilvl w:val="0"/>
          <w:numId w:val="23"/>
        </w:numPr>
        <w:spacing w:before="60" w:after="60"/>
        <w:ind w:left="284" w:hanging="284"/>
      </w:pPr>
      <w:r w:rsidRPr="00930570">
        <w:t>Principally Commonwealth Superannuation Scheme (CSS) and Public Sector Superannuation Scheme (PSS) notional employer superannuation contributions.</w:t>
      </w:r>
      <w:r w:rsidR="0091330B">
        <w:br w:type="page"/>
      </w:r>
    </w:p>
    <w:p w14:paraId="2239E35E" w14:textId="7427B931" w:rsidR="00B3294A" w:rsidRPr="00930570" w:rsidRDefault="00D30CBA" w:rsidP="00FB00DA">
      <w:pPr>
        <w:pStyle w:val="ChartandTableFootnoteAlpha"/>
        <w:spacing w:before="60"/>
      </w:pPr>
      <w:r w:rsidRPr="0091330B">
        <w:rPr>
          <w:b/>
          <w:color w:val="auto"/>
          <w:sz w:val="20"/>
        </w:rPr>
        <w:lastRenderedPageBreak/>
        <w:t>Table</w:t>
      </w:r>
      <w:r w:rsidR="00971CBF" w:rsidRPr="0091330B">
        <w:rPr>
          <w:b/>
          <w:color w:val="auto"/>
          <w:sz w:val="20"/>
        </w:rPr>
        <w:t xml:space="preserve"> 3.</w:t>
      </w:r>
      <w:r w:rsidR="00B93884" w:rsidRPr="0091330B">
        <w:rPr>
          <w:b/>
          <w:color w:val="auto"/>
          <w:sz w:val="20"/>
        </w:rPr>
        <w:t>8</w:t>
      </w:r>
      <w:r w:rsidRPr="0091330B">
        <w:rPr>
          <w:b/>
          <w:color w:val="auto"/>
          <w:sz w:val="20"/>
        </w:rPr>
        <w:t xml:space="preserve">: Schedule of </w:t>
      </w:r>
      <w:r w:rsidR="0044552A" w:rsidRPr="0091330B">
        <w:rPr>
          <w:b/>
          <w:color w:val="auto"/>
          <w:sz w:val="20"/>
        </w:rPr>
        <w:t xml:space="preserve">budgeted assets and liabilities administered on behalf </w:t>
      </w:r>
      <w:r w:rsidR="002C7A63" w:rsidRPr="0091330B">
        <w:rPr>
          <w:b/>
          <w:color w:val="auto"/>
          <w:sz w:val="20"/>
        </w:rPr>
        <w:t>of G</w:t>
      </w:r>
      <w:r w:rsidRPr="0091330B">
        <w:rPr>
          <w:b/>
          <w:color w:val="auto"/>
          <w:sz w:val="20"/>
        </w:rPr>
        <w:t>overnment (as at 30 June)</w:t>
      </w:r>
      <w:r w:rsidR="001365E0" w:rsidRPr="001365E0">
        <w:rPr>
          <w:b/>
          <w:sz w:val="20"/>
        </w:rPr>
        <w:t xml:space="preserve"> </w:t>
      </w:r>
      <w:r w:rsidR="009E2894" w:rsidRPr="009E2894">
        <w:rPr>
          <w:b/>
          <w:noProof/>
          <w:sz w:val="20"/>
          <w:lang w:eastAsia="zh-CN"/>
        </w:rPr>
        <w:drawing>
          <wp:inline distT="0" distB="0" distL="0" distR="0" wp14:anchorId="55CA1635" wp14:editId="3AA25F1A">
            <wp:extent cx="4895850" cy="4055385"/>
            <wp:effectExtent l="0" t="0" r="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95850" cy="4055385"/>
                    </a:xfrm>
                    <a:prstGeom prst="rect">
                      <a:avLst/>
                    </a:prstGeom>
                    <a:noFill/>
                    <a:ln>
                      <a:noFill/>
                    </a:ln>
                  </pic:spPr>
                </pic:pic>
              </a:graphicData>
            </a:graphic>
          </wp:inline>
        </w:drawing>
      </w:r>
      <w:r w:rsidR="00B3294A" w:rsidRPr="00930570">
        <w:t>Prepared on Australian Accounting Standards basis.</w:t>
      </w:r>
    </w:p>
    <w:p w14:paraId="2239E35F" w14:textId="77777777" w:rsidR="00B3294A" w:rsidRPr="00930570" w:rsidRDefault="00B3294A" w:rsidP="00C8474A">
      <w:pPr>
        <w:pStyle w:val="ChartandTableFootnoteAlpha"/>
        <w:numPr>
          <w:ilvl w:val="0"/>
          <w:numId w:val="24"/>
        </w:numPr>
        <w:spacing w:before="60"/>
        <w:ind w:left="284" w:hanging="284"/>
      </w:pPr>
      <w:r w:rsidRPr="00930570">
        <w:t>Represents balance held in the DHA Borrowings Special Account 2020.</w:t>
      </w:r>
    </w:p>
    <w:p w14:paraId="2239E360" w14:textId="6DDD5F8E" w:rsidR="00B3294A" w:rsidRPr="00930570" w:rsidRDefault="00B3294A" w:rsidP="00C8474A">
      <w:pPr>
        <w:pStyle w:val="ChartandTableFootnoteAlpha"/>
        <w:numPr>
          <w:ilvl w:val="0"/>
          <w:numId w:val="24"/>
        </w:numPr>
        <w:spacing w:before="60"/>
        <w:ind w:left="284" w:hanging="284"/>
      </w:pPr>
      <w:r w:rsidRPr="00930570">
        <w:t>Represents investments in the Australian Government Investment Funds</w:t>
      </w:r>
      <w:r w:rsidR="00230F9E">
        <w:t xml:space="preserve"> and </w:t>
      </w:r>
      <w:r w:rsidRPr="00930570">
        <w:t>Commonwealth entities that are</w:t>
      </w:r>
      <w:r>
        <w:t xml:space="preserve"> 100% owned by the Commonwealth.</w:t>
      </w:r>
    </w:p>
    <w:p w14:paraId="44B27416" w14:textId="474648D2" w:rsidR="00024324" w:rsidRDefault="00B3294A" w:rsidP="00C8474A">
      <w:pPr>
        <w:pStyle w:val="ChartandTableFootnoteAlpha"/>
        <w:numPr>
          <w:ilvl w:val="0"/>
          <w:numId w:val="24"/>
        </w:numPr>
        <w:spacing w:before="60"/>
        <w:ind w:left="284" w:hanging="284"/>
        <w:rPr>
          <w:i/>
        </w:rPr>
      </w:pPr>
      <w:r w:rsidRPr="00930570">
        <w:t>Represents Life Gold Pass Holders liabilities and employee provisio</w:t>
      </w:r>
      <w:r>
        <w:t xml:space="preserve">ns for staff employed under the </w:t>
      </w:r>
      <w:r w:rsidR="00FB00DA" w:rsidRPr="00FB00DA">
        <w:t>MOP(S) Act</w:t>
      </w:r>
      <w:r w:rsidRPr="00362CFE">
        <w:rPr>
          <w:i/>
        </w:rPr>
        <w:t>.</w:t>
      </w:r>
      <w:bookmarkStart w:id="105" w:name="OLE_LINK1"/>
      <w:r w:rsidR="00024324">
        <w:rPr>
          <w:i/>
        </w:rPr>
        <w:br w:type="page"/>
      </w:r>
    </w:p>
    <w:p w14:paraId="70603960" w14:textId="275813D4" w:rsidR="005534AF" w:rsidRPr="001365E0" w:rsidRDefault="00C41D55" w:rsidP="001365E0">
      <w:pPr>
        <w:pStyle w:val="ChartandTableFootnoteAlpha"/>
      </w:pPr>
      <w:r w:rsidRPr="00024324">
        <w:rPr>
          <w:b/>
          <w:color w:val="auto"/>
          <w:sz w:val="20"/>
        </w:rPr>
        <w:lastRenderedPageBreak/>
        <w:t>Table</w:t>
      </w:r>
      <w:r w:rsidR="00971CBF" w:rsidRPr="00024324">
        <w:rPr>
          <w:b/>
          <w:color w:val="auto"/>
          <w:sz w:val="20"/>
        </w:rPr>
        <w:t xml:space="preserve"> 3.</w:t>
      </w:r>
      <w:r w:rsidR="00F81CE4" w:rsidRPr="00024324">
        <w:rPr>
          <w:b/>
          <w:color w:val="auto"/>
          <w:sz w:val="20"/>
        </w:rPr>
        <w:t>9</w:t>
      </w:r>
      <w:r w:rsidRPr="00024324">
        <w:rPr>
          <w:b/>
          <w:color w:val="auto"/>
          <w:sz w:val="20"/>
        </w:rPr>
        <w:t xml:space="preserve">: Schedule of </w:t>
      </w:r>
      <w:r w:rsidR="0044552A" w:rsidRPr="00024324">
        <w:rPr>
          <w:b/>
          <w:color w:val="auto"/>
          <w:sz w:val="20"/>
        </w:rPr>
        <w:t xml:space="preserve">budgeted administered cash flows </w:t>
      </w:r>
      <w:r w:rsidRPr="00024324">
        <w:rPr>
          <w:b/>
          <w:color w:val="auto"/>
          <w:sz w:val="20"/>
        </w:rPr>
        <w:t>(for</w:t>
      </w:r>
      <w:r w:rsidR="0044552A" w:rsidRPr="00024324">
        <w:rPr>
          <w:b/>
          <w:color w:val="auto"/>
          <w:sz w:val="20"/>
        </w:rPr>
        <w:t> the </w:t>
      </w:r>
      <w:r w:rsidRPr="00024324">
        <w:rPr>
          <w:b/>
          <w:color w:val="auto"/>
          <w:sz w:val="20"/>
        </w:rPr>
        <w:t>period ended 30 June)</w:t>
      </w:r>
      <w:r w:rsidR="00F0680D" w:rsidRPr="00F0680D">
        <w:rPr>
          <w:b/>
          <w:sz w:val="20"/>
        </w:rPr>
        <w:t xml:space="preserve"> </w:t>
      </w:r>
      <w:r w:rsidR="00C351F5" w:rsidRPr="00C351F5">
        <w:rPr>
          <w:b/>
          <w:noProof/>
          <w:sz w:val="20"/>
          <w:lang w:eastAsia="zh-CN"/>
        </w:rPr>
        <w:drawing>
          <wp:inline distT="0" distB="0" distL="0" distR="0" wp14:anchorId="23967600" wp14:editId="074EBC8F">
            <wp:extent cx="4895850" cy="476385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95850" cy="4763859"/>
                    </a:xfrm>
                    <a:prstGeom prst="rect">
                      <a:avLst/>
                    </a:prstGeom>
                    <a:noFill/>
                    <a:ln>
                      <a:noFill/>
                    </a:ln>
                  </pic:spPr>
                </pic:pic>
              </a:graphicData>
            </a:graphic>
          </wp:inline>
        </w:drawing>
      </w:r>
      <w:r w:rsidR="00630B9A" w:rsidRPr="00020766">
        <w:rPr>
          <w:rFonts w:cs="Arial"/>
          <w:noProof/>
          <w:szCs w:val="16"/>
          <w:lang w:eastAsia="zh-CN"/>
        </w:rPr>
        <w:t>Table continues on next page</w:t>
      </w:r>
      <w:bookmarkEnd w:id="105"/>
      <w:r w:rsidR="005534AF">
        <w:rPr>
          <w:rFonts w:cs="Arial"/>
          <w:noProof/>
          <w:szCs w:val="16"/>
          <w:lang w:eastAsia="zh-CN"/>
        </w:rPr>
        <w:br w:type="page"/>
      </w:r>
    </w:p>
    <w:p w14:paraId="3705A1F4" w14:textId="77777777" w:rsidR="00850C94" w:rsidRDefault="00C41D55" w:rsidP="00FB00DA">
      <w:pPr>
        <w:pStyle w:val="NoSpacing"/>
        <w:spacing w:before="60"/>
        <w:rPr>
          <w:rFonts w:ascii="Arial" w:hAnsi="Arial"/>
          <w:b/>
          <w:sz w:val="20"/>
        </w:rPr>
      </w:pPr>
      <w:r w:rsidRPr="005534AF">
        <w:rPr>
          <w:rFonts w:ascii="Arial" w:hAnsi="Arial"/>
          <w:b/>
          <w:sz w:val="20"/>
        </w:rPr>
        <w:lastRenderedPageBreak/>
        <w:t>Table</w:t>
      </w:r>
      <w:r w:rsidR="00971CBF" w:rsidRPr="005534AF">
        <w:rPr>
          <w:rFonts w:ascii="Arial" w:hAnsi="Arial"/>
          <w:b/>
          <w:sz w:val="20"/>
        </w:rPr>
        <w:t xml:space="preserve"> 3.</w:t>
      </w:r>
      <w:r w:rsidR="00F81CE4" w:rsidRPr="005534AF">
        <w:rPr>
          <w:rFonts w:ascii="Arial" w:hAnsi="Arial"/>
          <w:b/>
          <w:sz w:val="20"/>
        </w:rPr>
        <w:t>9</w:t>
      </w:r>
      <w:r w:rsidRPr="005534AF">
        <w:rPr>
          <w:rFonts w:ascii="Arial" w:hAnsi="Arial"/>
          <w:b/>
          <w:sz w:val="20"/>
        </w:rPr>
        <w:t xml:space="preserve">: Schedule of </w:t>
      </w:r>
      <w:r w:rsidR="00A20C5D" w:rsidRPr="005534AF">
        <w:rPr>
          <w:rFonts w:ascii="Arial" w:hAnsi="Arial"/>
          <w:b/>
          <w:sz w:val="20"/>
        </w:rPr>
        <w:t xml:space="preserve">budgeted administered cash flows </w:t>
      </w:r>
      <w:r w:rsidRPr="005534AF">
        <w:rPr>
          <w:rFonts w:ascii="Arial" w:hAnsi="Arial"/>
          <w:b/>
          <w:sz w:val="20"/>
        </w:rPr>
        <w:t>(for the period ended 30 June) (continued)</w:t>
      </w:r>
    </w:p>
    <w:p w14:paraId="2239E36B" w14:textId="09A6721B" w:rsidR="00444E4C" w:rsidRPr="00D50CDA" w:rsidRDefault="00C351F5" w:rsidP="00FB00DA">
      <w:pPr>
        <w:pStyle w:val="NoSpacing"/>
        <w:spacing w:before="60"/>
        <w:rPr>
          <w:rFonts w:ascii="Arial" w:hAnsi="Arial"/>
          <w:b/>
          <w:sz w:val="20"/>
        </w:rPr>
      </w:pPr>
      <w:r w:rsidRPr="00C351F5">
        <w:rPr>
          <w:rFonts w:ascii="Arial" w:hAnsi="Arial" w:cs="Arial"/>
          <w:noProof/>
          <w:sz w:val="16"/>
          <w:szCs w:val="16"/>
          <w:lang w:eastAsia="zh-CN"/>
        </w:rPr>
        <w:drawing>
          <wp:inline distT="0" distB="0" distL="0" distR="0" wp14:anchorId="05556F51" wp14:editId="4D29CD4A">
            <wp:extent cx="4895850" cy="347223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895850" cy="3472238"/>
                    </a:xfrm>
                    <a:prstGeom prst="rect">
                      <a:avLst/>
                    </a:prstGeom>
                    <a:noFill/>
                    <a:ln>
                      <a:noFill/>
                    </a:ln>
                  </pic:spPr>
                </pic:pic>
              </a:graphicData>
            </a:graphic>
          </wp:inline>
        </w:drawing>
      </w:r>
      <w:r w:rsidR="00B94ADF" w:rsidRPr="00D50CDA">
        <w:rPr>
          <w:rFonts w:ascii="Arial" w:hAnsi="Arial" w:cs="Arial"/>
          <w:sz w:val="16"/>
          <w:szCs w:val="16"/>
        </w:rPr>
        <w:t>Prepared on Australian Accounting Standards basis.</w:t>
      </w:r>
    </w:p>
    <w:p w14:paraId="2239E36C" w14:textId="77777777" w:rsidR="00444E4C" w:rsidRPr="00930570" w:rsidRDefault="00444E4C" w:rsidP="00C8474A">
      <w:pPr>
        <w:pStyle w:val="ChartandTableFootnoteAlpha"/>
        <w:numPr>
          <w:ilvl w:val="0"/>
          <w:numId w:val="25"/>
        </w:numPr>
        <w:spacing w:before="60"/>
        <w:ind w:left="284" w:hanging="284"/>
      </w:pPr>
      <w:r w:rsidRPr="00930570">
        <w:t>Estimates include interest earnings for the Australian Government Investment Funds. For more detail on the interest estimates for each fund, refer to Tables 2.2.1.1 to 2.2.1.5.</w:t>
      </w:r>
    </w:p>
    <w:p w14:paraId="2239E36D" w14:textId="77777777" w:rsidR="00444E4C" w:rsidRPr="00930570" w:rsidRDefault="00444E4C" w:rsidP="00C8474A">
      <w:pPr>
        <w:pStyle w:val="ChartandTableFootnoteAlpha"/>
        <w:numPr>
          <w:ilvl w:val="0"/>
          <w:numId w:val="25"/>
        </w:numPr>
        <w:spacing w:before="60"/>
        <w:ind w:left="284" w:hanging="284"/>
      </w:pPr>
      <w:r w:rsidRPr="00930570">
        <w:t>Primarily represents the CSS and PSS notional employer contributions.</w:t>
      </w:r>
    </w:p>
    <w:p w14:paraId="2239E36E" w14:textId="77777777" w:rsidR="00444E4C" w:rsidRPr="00930570" w:rsidRDefault="00444E4C" w:rsidP="00C8474A">
      <w:pPr>
        <w:pStyle w:val="ChartandTableFootnoteAlpha"/>
        <w:numPr>
          <w:ilvl w:val="0"/>
          <w:numId w:val="25"/>
        </w:numPr>
        <w:spacing w:before="60"/>
        <w:ind w:left="284" w:hanging="284"/>
      </w:pPr>
      <w:r w:rsidRPr="00930570">
        <w:t>Primarily represents offsets from the CSS and PSS funds and return of overpaid benefits.</w:t>
      </w:r>
    </w:p>
    <w:p w14:paraId="2239E36F" w14:textId="6ACC6B02" w:rsidR="00444E4C" w:rsidRPr="00930570" w:rsidRDefault="00444E4C" w:rsidP="00C8474A">
      <w:pPr>
        <w:pStyle w:val="ChartandTableFootnoteAlpha"/>
        <w:numPr>
          <w:ilvl w:val="0"/>
          <w:numId w:val="25"/>
        </w:numPr>
        <w:spacing w:before="60"/>
        <w:ind w:left="284" w:hanging="284"/>
      </w:pPr>
      <w:r w:rsidRPr="00930570">
        <w:t xml:space="preserve">Represents expenditure on staff employed under the </w:t>
      </w:r>
      <w:r w:rsidR="00FB00DA" w:rsidRPr="00FB00DA">
        <w:t>MOP(S) Act</w:t>
      </w:r>
      <w:r w:rsidRPr="00FB00DA">
        <w:t>.</w:t>
      </w:r>
    </w:p>
    <w:p w14:paraId="2239E370" w14:textId="77777777" w:rsidR="00444E4C" w:rsidRPr="00930570" w:rsidRDefault="00444E4C" w:rsidP="00C8474A">
      <w:pPr>
        <w:pStyle w:val="ChartandTableFootnoteAlpha"/>
        <w:numPr>
          <w:ilvl w:val="0"/>
          <w:numId w:val="25"/>
        </w:numPr>
        <w:spacing w:before="60"/>
        <w:ind w:left="284" w:hanging="284"/>
      </w:pPr>
      <w:r w:rsidRPr="00930570">
        <w:t>Distributions from the Investment Funds represents estimates of cash payments from the Funds to other entities and the Consolidated Revenue Fund.</w:t>
      </w:r>
    </w:p>
    <w:p w14:paraId="4375AD8E" w14:textId="77777777" w:rsidR="00FE3B19" w:rsidRDefault="00444E4C" w:rsidP="00C8474A">
      <w:pPr>
        <w:pStyle w:val="ChartandTableFootnoteAlpha"/>
        <w:numPr>
          <w:ilvl w:val="0"/>
          <w:numId w:val="25"/>
        </w:numPr>
        <w:spacing w:before="60"/>
        <w:ind w:left="284" w:hanging="284"/>
        <w:rPr>
          <w:rFonts w:cs="Arial"/>
          <w:szCs w:val="16"/>
        </w:rPr>
      </w:pPr>
      <w:r w:rsidRPr="00930570">
        <w:t>Expenditure associated with unfunded liabilities for the government’s civilian superannuation schemes</w:t>
      </w:r>
      <w:r w:rsidRPr="00DD692B">
        <w:rPr>
          <w:rFonts w:cs="Arial"/>
          <w:szCs w:val="16"/>
        </w:rPr>
        <w:t>.</w:t>
      </w:r>
      <w:r w:rsidR="00FE3B19">
        <w:rPr>
          <w:rFonts w:cs="Arial"/>
          <w:szCs w:val="16"/>
        </w:rPr>
        <w:br w:type="page"/>
      </w:r>
    </w:p>
    <w:p w14:paraId="2239E375" w14:textId="348E702A" w:rsidR="00FE2022" w:rsidRPr="00D50CDA" w:rsidRDefault="00715A32" w:rsidP="00744546">
      <w:pPr>
        <w:pStyle w:val="ChartandTableFootnoteAlpha"/>
        <w:spacing w:after="60"/>
        <w:rPr>
          <w:rFonts w:cs="Arial"/>
          <w:szCs w:val="16"/>
        </w:rPr>
      </w:pPr>
      <w:r w:rsidRPr="00FE3B19">
        <w:rPr>
          <w:b/>
          <w:color w:val="auto"/>
          <w:sz w:val="20"/>
        </w:rPr>
        <w:lastRenderedPageBreak/>
        <w:t>Table</w:t>
      </w:r>
      <w:r w:rsidR="00971CBF" w:rsidRPr="00FE3B19">
        <w:rPr>
          <w:b/>
          <w:color w:val="auto"/>
          <w:sz w:val="20"/>
        </w:rPr>
        <w:t xml:space="preserve"> 3.</w:t>
      </w:r>
      <w:r w:rsidRPr="00FE3B19">
        <w:rPr>
          <w:b/>
          <w:color w:val="auto"/>
          <w:sz w:val="20"/>
        </w:rPr>
        <w:t>1</w:t>
      </w:r>
      <w:r w:rsidR="00F81CE4" w:rsidRPr="00FE3B19">
        <w:rPr>
          <w:b/>
          <w:color w:val="auto"/>
          <w:sz w:val="20"/>
        </w:rPr>
        <w:t>0</w:t>
      </w:r>
      <w:r w:rsidRPr="00FE3B19">
        <w:rPr>
          <w:b/>
          <w:color w:val="auto"/>
          <w:sz w:val="20"/>
        </w:rPr>
        <w:t xml:space="preserve">: </w:t>
      </w:r>
      <w:r w:rsidR="000D28EB" w:rsidRPr="00FE3B19">
        <w:rPr>
          <w:b/>
          <w:color w:val="auto"/>
          <w:sz w:val="20"/>
        </w:rPr>
        <w:t>Schedule of administered</w:t>
      </w:r>
      <w:r w:rsidRPr="00FE3B19">
        <w:rPr>
          <w:b/>
          <w:color w:val="auto"/>
          <w:sz w:val="20"/>
        </w:rPr>
        <w:t xml:space="preserve"> </w:t>
      </w:r>
      <w:r w:rsidR="00A20C5D" w:rsidRPr="00FE3B19">
        <w:rPr>
          <w:b/>
          <w:color w:val="auto"/>
          <w:sz w:val="20"/>
        </w:rPr>
        <w:t>capital budget statement</w:t>
      </w:r>
      <w:r w:rsidR="00EB1B80" w:rsidRPr="00FE3B19">
        <w:rPr>
          <w:b/>
          <w:color w:val="auto"/>
          <w:sz w:val="20"/>
        </w:rPr>
        <w:t xml:space="preserve"> (for the period </w:t>
      </w:r>
      <w:r w:rsidR="001B7BAD" w:rsidRPr="00FE3B19">
        <w:rPr>
          <w:b/>
          <w:color w:val="auto"/>
          <w:sz w:val="20"/>
        </w:rPr>
        <w:t>ended</w:t>
      </w:r>
      <w:r w:rsidR="00EB1B80" w:rsidRPr="00FE3B19">
        <w:rPr>
          <w:b/>
          <w:color w:val="auto"/>
          <w:sz w:val="20"/>
        </w:rPr>
        <w:t xml:space="preserve"> 30 June)</w:t>
      </w:r>
      <w:r w:rsidR="00F0680D" w:rsidRPr="00F0680D">
        <w:rPr>
          <w:b/>
          <w:sz w:val="20"/>
        </w:rPr>
        <w:t xml:space="preserve"> </w:t>
      </w:r>
      <w:r w:rsidR="00305CB2" w:rsidRPr="00305CB2">
        <w:rPr>
          <w:b/>
          <w:noProof/>
          <w:sz w:val="20"/>
          <w:lang w:eastAsia="zh-CN"/>
        </w:rPr>
        <w:drawing>
          <wp:inline distT="0" distB="0" distL="0" distR="0" wp14:anchorId="68B5DC3F" wp14:editId="1D200A68">
            <wp:extent cx="4895850" cy="3111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95850" cy="3111205"/>
                    </a:xfrm>
                    <a:prstGeom prst="rect">
                      <a:avLst/>
                    </a:prstGeom>
                    <a:noFill/>
                    <a:ln>
                      <a:noFill/>
                    </a:ln>
                  </pic:spPr>
                </pic:pic>
              </a:graphicData>
            </a:graphic>
          </wp:inline>
        </w:drawing>
      </w:r>
      <w:r w:rsidR="00FE2022" w:rsidRPr="00B7521F">
        <w:t>Prepared on Australian Accounting Standards basis.</w:t>
      </w:r>
    </w:p>
    <w:p w14:paraId="025057AF" w14:textId="669238B6" w:rsidR="00AD5F5E" w:rsidRDefault="00AD5F5E" w:rsidP="00AD5F5E">
      <w:pPr>
        <w:pStyle w:val="ChartandTableFootnoteAlpha"/>
        <w:numPr>
          <w:ilvl w:val="0"/>
          <w:numId w:val="26"/>
        </w:numPr>
        <w:spacing w:before="60"/>
        <w:ind w:left="284" w:hanging="284"/>
      </w:pPr>
      <w:r w:rsidRPr="00444E4C">
        <w:t>Includes purchases from current and previous years’ ACBs.</w:t>
      </w:r>
    </w:p>
    <w:p w14:paraId="2239E376" w14:textId="77777777" w:rsidR="000712EE" w:rsidRPr="00444E4C" w:rsidRDefault="000712EE" w:rsidP="00C8474A">
      <w:pPr>
        <w:pStyle w:val="ChartandTableFootnoteAlpha"/>
        <w:numPr>
          <w:ilvl w:val="0"/>
          <w:numId w:val="26"/>
        </w:numPr>
        <w:spacing w:before="60"/>
        <w:ind w:left="284" w:hanging="284"/>
      </w:pPr>
      <w:r w:rsidRPr="00444E4C">
        <w:t xml:space="preserve">Includes both current Bill 2 and prior Act 2/4/6 appropriations and </w:t>
      </w:r>
      <w:r w:rsidR="00273D98" w:rsidRPr="00444E4C">
        <w:t>special capital appropriations.</w:t>
      </w:r>
    </w:p>
    <w:p w14:paraId="2239E387" w14:textId="4C49C20F" w:rsidR="002E5D24" w:rsidRPr="001365E0" w:rsidRDefault="00B32AAC" w:rsidP="001365E0">
      <w:pPr>
        <w:pStyle w:val="ChartandTableFootnote-Dash"/>
        <w:ind w:left="0" w:firstLine="0"/>
        <w:rPr>
          <w:b/>
          <w:sz w:val="20"/>
        </w:rPr>
      </w:pPr>
      <w:r w:rsidRPr="001365E0">
        <w:rPr>
          <w:b/>
          <w:sz w:val="20"/>
        </w:rPr>
        <w:lastRenderedPageBreak/>
        <w:t xml:space="preserve">Table 3.11: Statement of administered asset movements (Budget year </w:t>
      </w:r>
      <w:r w:rsidR="00151975" w:rsidRPr="001365E0">
        <w:rPr>
          <w:b/>
          <w:sz w:val="20"/>
        </w:rPr>
        <w:t>2022</w:t>
      </w:r>
      <w:r w:rsidR="007E3AC7" w:rsidRPr="001365E0">
        <w:rPr>
          <w:b/>
          <w:sz w:val="20"/>
        </w:rPr>
        <w:t>-</w:t>
      </w:r>
      <w:r w:rsidR="00151975" w:rsidRPr="001365E0">
        <w:rPr>
          <w:b/>
          <w:sz w:val="20"/>
        </w:rPr>
        <w:t>23</w:t>
      </w:r>
      <w:r w:rsidR="00D50CDA" w:rsidRPr="001365E0">
        <w:rPr>
          <w:b/>
          <w:sz w:val="20"/>
        </w:rPr>
        <w:t>)</w:t>
      </w:r>
      <w:r w:rsidR="001365E0" w:rsidRPr="001365E0">
        <w:rPr>
          <w:b/>
          <w:sz w:val="20"/>
        </w:rPr>
        <w:t xml:space="preserve"> </w:t>
      </w:r>
      <w:r w:rsidR="003D0CC8" w:rsidRPr="003D0CC8">
        <w:rPr>
          <w:b/>
          <w:noProof/>
          <w:sz w:val="20"/>
          <w:lang w:eastAsia="zh-CN"/>
        </w:rPr>
        <w:drawing>
          <wp:inline distT="0" distB="0" distL="0" distR="0" wp14:anchorId="47B72F9E" wp14:editId="3476548B">
            <wp:extent cx="4895850" cy="4083138"/>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895850" cy="4083138"/>
                    </a:xfrm>
                    <a:prstGeom prst="rect">
                      <a:avLst/>
                    </a:prstGeom>
                    <a:noFill/>
                    <a:ln>
                      <a:noFill/>
                    </a:ln>
                  </pic:spPr>
                </pic:pic>
              </a:graphicData>
            </a:graphic>
          </wp:inline>
        </w:drawing>
      </w:r>
      <w:r w:rsidR="002E5D24" w:rsidRPr="00E4582E">
        <w:t>Prepared on Australian Accounting Standards basis</w:t>
      </w:r>
      <w:r w:rsidR="002E5D24">
        <w:t>.</w:t>
      </w:r>
    </w:p>
    <w:p w14:paraId="2239E388" w14:textId="265297E1" w:rsidR="00C31E81" w:rsidRDefault="008E07C6" w:rsidP="00C8474A">
      <w:pPr>
        <w:pStyle w:val="ChartandTableFootnoteAlpha"/>
        <w:numPr>
          <w:ilvl w:val="0"/>
          <w:numId w:val="27"/>
        </w:numPr>
        <w:spacing w:before="60"/>
        <w:ind w:left="284" w:hanging="284"/>
      </w:pPr>
      <w:r>
        <w:t>‘</w:t>
      </w:r>
      <w:r w:rsidR="00C31E81">
        <w:t>Appropriation equity</w:t>
      </w:r>
      <w:r>
        <w:t>’</w:t>
      </w:r>
      <w:r w:rsidR="00C31E81">
        <w:t xml:space="preserve"> refers to Administered Assets and Liabilities provided through</w:t>
      </w:r>
      <w:r w:rsidR="0041581E">
        <w:t xml:space="preserve"> Appropriation Bill (No</w:t>
      </w:r>
      <w:r w:rsidR="00A20A6B">
        <w:t xml:space="preserve">. 2) </w:t>
      </w:r>
      <w:r w:rsidR="007E3AC7">
        <w:t>202</w:t>
      </w:r>
      <w:r w:rsidR="006F1592">
        <w:t>2</w:t>
      </w:r>
      <w:r w:rsidR="007E3AC7">
        <w:t>-2</w:t>
      </w:r>
      <w:r w:rsidR="006F1592">
        <w:t>3</w:t>
      </w:r>
      <w:r w:rsidR="00C31E81">
        <w:t>, includes D</w:t>
      </w:r>
      <w:r w:rsidR="009047AE">
        <w:t>C</w:t>
      </w:r>
      <w:r w:rsidR="00C31E81">
        <w:t>B.</w:t>
      </w:r>
    </w:p>
    <w:p w14:paraId="2239E389" w14:textId="10BC5C7A" w:rsidR="00C31E81" w:rsidRDefault="008E07C6" w:rsidP="00C8474A">
      <w:pPr>
        <w:pStyle w:val="ChartandTableFootnoteAlpha"/>
        <w:numPr>
          <w:ilvl w:val="0"/>
          <w:numId w:val="27"/>
        </w:numPr>
        <w:spacing w:before="60"/>
        <w:ind w:left="284" w:hanging="284"/>
      </w:pPr>
      <w:r>
        <w:t>‘</w:t>
      </w:r>
      <w:r w:rsidR="00C31E81">
        <w:t>Appropriation ordinary annual services</w:t>
      </w:r>
      <w:r>
        <w:t>’</w:t>
      </w:r>
      <w:r w:rsidR="00C31E81">
        <w:t xml:space="preserve"> refers to funding provided through Appropriation </w:t>
      </w:r>
      <w:r w:rsidR="00A20A6B">
        <w:t xml:space="preserve">Bill (No. 1) </w:t>
      </w:r>
      <w:r w:rsidR="007E3AC7">
        <w:t>202</w:t>
      </w:r>
      <w:r w:rsidR="006F1592">
        <w:t>2</w:t>
      </w:r>
      <w:r w:rsidR="007E3AC7">
        <w:t>-2</w:t>
      </w:r>
      <w:r w:rsidR="006F1592">
        <w:t>3</w:t>
      </w:r>
      <w:r w:rsidR="00C31E81">
        <w:t xml:space="preserve"> for depreciation/amortisation expenses, </w:t>
      </w:r>
      <w:r w:rsidR="0030032D">
        <w:t xml:space="preserve">ACB </w:t>
      </w:r>
      <w:r w:rsidR="00B32AAC">
        <w:t>or other operational expenses.</w:t>
      </w:r>
    </w:p>
    <w:p w14:paraId="2239E38A" w14:textId="72AD9DEA" w:rsidR="00C17B32" w:rsidRDefault="00C31E81" w:rsidP="00C8474A">
      <w:pPr>
        <w:pStyle w:val="ChartandTableFootnoteAlpha"/>
        <w:numPr>
          <w:ilvl w:val="0"/>
          <w:numId w:val="27"/>
        </w:numPr>
        <w:spacing w:before="60"/>
        <w:ind w:left="284" w:hanging="284"/>
      </w:pPr>
      <w:r>
        <w:t>Net proceeds may be returned to the O</w:t>
      </w:r>
      <w:r w:rsidR="009047AE">
        <w:t xml:space="preserve">fficial </w:t>
      </w:r>
      <w:r>
        <w:t>P</w:t>
      </w:r>
      <w:r w:rsidR="009047AE">
        <w:t xml:space="preserve">ublic </w:t>
      </w:r>
      <w:r>
        <w:t>A</w:t>
      </w:r>
      <w:r w:rsidR="009047AE">
        <w:t>ccount</w:t>
      </w:r>
      <w:r>
        <w:t>.</w:t>
      </w:r>
    </w:p>
    <w:p w14:paraId="2239E38B" w14:textId="77777777" w:rsidR="005C224F" w:rsidRDefault="005C224F" w:rsidP="009763C1"/>
    <w:bookmarkEnd w:id="21"/>
    <w:p w14:paraId="2239E38C" w14:textId="77777777" w:rsidR="00BF0558" w:rsidRDefault="00BF0558" w:rsidP="009763C1"/>
    <w:p w14:paraId="6A1AE792" w14:textId="77777777" w:rsidR="00487C0E" w:rsidRDefault="00487C0E" w:rsidP="00C73F2E">
      <w:pPr>
        <w:pStyle w:val="PartHeading"/>
        <w:sectPr w:rsidR="00487C0E" w:rsidSect="00D6631A">
          <w:headerReference w:type="even" r:id="rId81"/>
          <w:headerReference w:type="default" r:id="rId82"/>
          <w:footerReference w:type="even" r:id="rId83"/>
          <w:type w:val="oddPage"/>
          <w:pgSz w:w="11906" w:h="16838" w:code="9"/>
          <w:pgMar w:top="2835" w:right="2098" w:bottom="2466" w:left="2098" w:header="1814" w:footer="1814" w:gutter="0"/>
          <w:cols w:space="708"/>
          <w:docGrid w:linePitch="360"/>
        </w:sectPr>
      </w:pPr>
    </w:p>
    <w:p w14:paraId="2239E38F" w14:textId="2C1CDB6E" w:rsidR="00BF0558" w:rsidRPr="005A7C0B" w:rsidRDefault="00BF0558" w:rsidP="00C73F2E">
      <w:pPr>
        <w:pStyle w:val="PartHeading"/>
      </w:pPr>
      <w:r>
        <w:lastRenderedPageBreak/>
        <w:t>Australian Electoral Commission</w:t>
      </w:r>
    </w:p>
    <w:p w14:paraId="2239E390" w14:textId="77777777" w:rsidR="00BF0558" w:rsidRDefault="00BF0558" w:rsidP="00C73F2E">
      <w:pPr>
        <w:pStyle w:val="PartHeading"/>
      </w:pPr>
    </w:p>
    <w:p w14:paraId="2239E391" w14:textId="77777777" w:rsidR="00BF0558" w:rsidRDefault="00BF0558" w:rsidP="00C73F2E">
      <w:pPr>
        <w:pStyle w:val="PartHeading"/>
      </w:pPr>
      <w:bookmarkStart w:id="106" w:name="_Toc65243501"/>
      <w:r>
        <w:t>Entity resources and planned performance</w:t>
      </w:r>
      <w:bookmarkEnd w:id="106"/>
    </w:p>
    <w:p w14:paraId="2239E392" w14:textId="77777777" w:rsidR="00BF0558" w:rsidRDefault="00BF0558" w:rsidP="004D5C6C">
      <w:pPr>
        <w:pStyle w:val="PartHeading"/>
        <w:sectPr w:rsidR="00BF0558" w:rsidSect="00487C0E">
          <w:type w:val="oddPage"/>
          <w:pgSz w:w="11906" w:h="16838" w:code="9"/>
          <w:pgMar w:top="2835" w:right="2098" w:bottom="2466" w:left="2098" w:header="1814" w:footer="1814" w:gutter="0"/>
          <w:cols w:space="708"/>
          <w:vAlign w:val="center"/>
          <w:titlePg/>
          <w:docGrid w:linePitch="360"/>
        </w:sectPr>
      </w:pPr>
    </w:p>
    <w:p w14:paraId="2239E393" w14:textId="77777777" w:rsidR="00BF0558" w:rsidRPr="00E36F77" w:rsidRDefault="00BF0558" w:rsidP="004D5C6C">
      <w:pPr>
        <w:pStyle w:val="ContentsHeading"/>
      </w:pPr>
      <w:r>
        <w:lastRenderedPageBreak/>
        <w:t>Australian Electoral Commission</w:t>
      </w:r>
    </w:p>
    <w:p w14:paraId="55840854" w14:textId="1945FF6C" w:rsidR="005B11C1" w:rsidRDefault="00BF0558" w:rsidP="005B11C1">
      <w:pPr>
        <w:pStyle w:val="TOC1"/>
        <w:rPr>
          <w:rFonts w:asciiTheme="minorHAnsi" w:eastAsiaTheme="minorEastAsia" w:hAnsiTheme="minorHAnsi" w:cstheme="minorBidi"/>
          <w:noProof/>
          <w:sz w:val="22"/>
          <w:szCs w:val="22"/>
        </w:rPr>
      </w:pPr>
      <w:r>
        <w:fldChar w:fldCharType="begin"/>
      </w:r>
      <w:r>
        <w:instrText xml:space="preserve"> TOC \h \z \t "Heading 2,1,Heading 3,2" </w:instrText>
      </w:r>
      <w:r>
        <w:fldChar w:fldCharType="separate"/>
      </w:r>
    </w:p>
    <w:p w14:paraId="50598EEE" w14:textId="5D507E09" w:rsidR="005B11C1" w:rsidRDefault="00F5323E">
      <w:pPr>
        <w:pStyle w:val="TOC1"/>
        <w:rPr>
          <w:rFonts w:asciiTheme="minorHAnsi" w:eastAsiaTheme="minorEastAsia" w:hAnsiTheme="minorHAnsi" w:cstheme="minorBidi"/>
          <w:b w:val="0"/>
          <w:noProof/>
          <w:sz w:val="22"/>
          <w:szCs w:val="22"/>
        </w:rPr>
      </w:pPr>
      <w:hyperlink w:anchor="_Toc117070791" w:history="1">
        <w:r w:rsidR="005B11C1" w:rsidRPr="00BE1EC5">
          <w:rPr>
            <w:rStyle w:val="Hyperlink"/>
            <w:noProof/>
          </w:rPr>
          <w:t>Section 1: Entity overview and resources</w:t>
        </w:r>
        <w:r w:rsidR="005B11C1">
          <w:rPr>
            <w:noProof/>
            <w:webHidden/>
          </w:rPr>
          <w:tab/>
        </w:r>
        <w:r w:rsidR="005B11C1">
          <w:rPr>
            <w:noProof/>
            <w:webHidden/>
          </w:rPr>
          <w:fldChar w:fldCharType="begin"/>
        </w:r>
        <w:r w:rsidR="005B11C1">
          <w:rPr>
            <w:noProof/>
            <w:webHidden/>
          </w:rPr>
          <w:instrText xml:space="preserve"> PAGEREF _Toc117070791 \h </w:instrText>
        </w:r>
        <w:r w:rsidR="005B11C1">
          <w:rPr>
            <w:noProof/>
            <w:webHidden/>
          </w:rPr>
        </w:r>
        <w:r w:rsidR="005B11C1">
          <w:rPr>
            <w:noProof/>
            <w:webHidden/>
          </w:rPr>
          <w:fldChar w:fldCharType="separate"/>
        </w:r>
        <w:r w:rsidR="00E5337D">
          <w:rPr>
            <w:noProof/>
            <w:webHidden/>
          </w:rPr>
          <w:t>81</w:t>
        </w:r>
        <w:r w:rsidR="005B11C1">
          <w:rPr>
            <w:noProof/>
            <w:webHidden/>
          </w:rPr>
          <w:fldChar w:fldCharType="end"/>
        </w:r>
      </w:hyperlink>
    </w:p>
    <w:p w14:paraId="16CD132F" w14:textId="3D665FF5" w:rsidR="005B11C1" w:rsidRDefault="00F5323E">
      <w:pPr>
        <w:pStyle w:val="TOC2"/>
        <w:rPr>
          <w:rFonts w:asciiTheme="minorHAnsi" w:eastAsiaTheme="minorEastAsia" w:hAnsiTheme="minorHAnsi" w:cstheme="minorBidi"/>
          <w:noProof/>
          <w:sz w:val="22"/>
          <w:szCs w:val="22"/>
        </w:rPr>
      </w:pPr>
      <w:hyperlink w:anchor="_Toc117070792" w:history="1">
        <w:r w:rsidR="005B11C1" w:rsidRPr="00BE1EC5">
          <w:rPr>
            <w:rStyle w:val="Hyperlink"/>
            <w:noProof/>
          </w:rPr>
          <w:t>1.1</w:t>
        </w:r>
        <w:r w:rsidR="005B11C1">
          <w:rPr>
            <w:rFonts w:asciiTheme="minorHAnsi" w:eastAsiaTheme="minorEastAsia" w:hAnsiTheme="minorHAnsi" w:cstheme="minorBidi"/>
            <w:noProof/>
            <w:sz w:val="22"/>
            <w:szCs w:val="22"/>
          </w:rPr>
          <w:tab/>
        </w:r>
        <w:r w:rsidR="005B11C1" w:rsidRPr="00BE1EC5">
          <w:rPr>
            <w:rStyle w:val="Hyperlink"/>
            <w:noProof/>
          </w:rPr>
          <w:t>Strategic direction statement</w:t>
        </w:r>
        <w:r w:rsidR="005B11C1">
          <w:rPr>
            <w:noProof/>
            <w:webHidden/>
          </w:rPr>
          <w:tab/>
        </w:r>
        <w:r w:rsidR="005B11C1">
          <w:rPr>
            <w:noProof/>
            <w:webHidden/>
          </w:rPr>
          <w:fldChar w:fldCharType="begin"/>
        </w:r>
        <w:r w:rsidR="005B11C1">
          <w:rPr>
            <w:noProof/>
            <w:webHidden/>
          </w:rPr>
          <w:instrText xml:space="preserve"> PAGEREF _Toc117070792 \h </w:instrText>
        </w:r>
        <w:r w:rsidR="005B11C1">
          <w:rPr>
            <w:noProof/>
            <w:webHidden/>
          </w:rPr>
        </w:r>
        <w:r w:rsidR="005B11C1">
          <w:rPr>
            <w:noProof/>
            <w:webHidden/>
          </w:rPr>
          <w:fldChar w:fldCharType="separate"/>
        </w:r>
        <w:r w:rsidR="00E5337D">
          <w:rPr>
            <w:noProof/>
            <w:webHidden/>
          </w:rPr>
          <w:t>81</w:t>
        </w:r>
        <w:r w:rsidR="005B11C1">
          <w:rPr>
            <w:noProof/>
            <w:webHidden/>
          </w:rPr>
          <w:fldChar w:fldCharType="end"/>
        </w:r>
      </w:hyperlink>
    </w:p>
    <w:p w14:paraId="5465B9EE" w14:textId="017C9DDF" w:rsidR="005B11C1" w:rsidRDefault="00F5323E">
      <w:pPr>
        <w:pStyle w:val="TOC2"/>
        <w:rPr>
          <w:rFonts w:asciiTheme="minorHAnsi" w:eastAsiaTheme="minorEastAsia" w:hAnsiTheme="minorHAnsi" w:cstheme="minorBidi"/>
          <w:noProof/>
          <w:sz w:val="22"/>
          <w:szCs w:val="22"/>
        </w:rPr>
      </w:pPr>
      <w:hyperlink w:anchor="_Toc117070793" w:history="1">
        <w:r w:rsidR="005B11C1" w:rsidRPr="00BE1EC5">
          <w:rPr>
            <w:rStyle w:val="Hyperlink"/>
            <w:noProof/>
          </w:rPr>
          <w:t>1.2</w:t>
        </w:r>
        <w:r w:rsidR="005B11C1">
          <w:rPr>
            <w:rFonts w:asciiTheme="minorHAnsi" w:eastAsiaTheme="minorEastAsia" w:hAnsiTheme="minorHAnsi" w:cstheme="minorBidi"/>
            <w:noProof/>
            <w:sz w:val="22"/>
            <w:szCs w:val="22"/>
          </w:rPr>
          <w:tab/>
        </w:r>
        <w:r w:rsidR="005B11C1" w:rsidRPr="00BE1EC5">
          <w:rPr>
            <w:rStyle w:val="Hyperlink"/>
            <w:noProof/>
          </w:rPr>
          <w:t>Entity resource statement</w:t>
        </w:r>
        <w:r w:rsidR="005B11C1">
          <w:rPr>
            <w:noProof/>
            <w:webHidden/>
          </w:rPr>
          <w:tab/>
        </w:r>
        <w:r w:rsidR="005B11C1">
          <w:rPr>
            <w:noProof/>
            <w:webHidden/>
          </w:rPr>
          <w:fldChar w:fldCharType="begin"/>
        </w:r>
        <w:r w:rsidR="005B11C1">
          <w:rPr>
            <w:noProof/>
            <w:webHidden/>
          </w:rPr>
          <w:instrText xml:space="preserve"> PAGEREF _Toc117070793 \h </w:instrText>
        </w:r>
        <w:r w:rsidR="005B11C1">
          <w:rPr>
            <w:noProof/>
            <w:webHidden/>
          </w:rPr>
        </w:r>
        <w:r w:rsidR="005B11C1">
          <w:rPr>
            <w:noProof/>
            <w:webHidden/>
          </w:rPr>
          <w:fldChar w:fldCharType="separate"/>
        </w:r>
        <w:r w:rsidR="00E5337D">
          <w:rPr>
            <w:noProof/>
            <w:webHidden/>
          </w:rPr>
          <w:t>82</w:t>
        </w:r>
        <w:r w:rsidR="005B11C1">
          <w:rPr>
            <w:noProof/>
            <w:webHidden/>
          </w:rPr>
          <w:fldChar w:fldCharType="end"/>
        </w:r>
      </w:hyperlink>
    </w:p>
    <w:p w14:paraId="5D9AC0B7" w14:textId="1EA21447" w:rsidR="005B11C1" w:rsidRDefault="00F5323E">
      <w:pPr>
        <w:pStyle w:val="TOC2"/>
        <w:rPr>
          <w:rFonts w:asciiTheme="minorHAnsi" w:eastAsiaTheme="minorEastAsia" w:hAnsiTheme="minorHAnsi" w:cstheme="minorBidi"/>
          <w:noProof/>
          <w:sz w:val="22"/>
          <w:szCs w:val="22"/>
        </w:rPr>
      </w:pPr>
      <w:hyperlink w:anchor="_Toc117070794" w:history="1">
        <w:r w:rsidR="005B11C1" w:rsidRPr="00BE1EC5">
          <w:rPr>
            <w:rStyle w:val="Hyperlink"/>
            <w:noProof/>
          </w:rPr>
          <w:t>1.3</w:t>
        </w:r>
        <w:r w:rsidR="005B11C1">
          <w:rPr>
            <w:rFonts w:asciiTheme="minorHAnsi" w:eastAsiaTheme="minorEastAsia" w:hAnsiTheme="minorHAnsi" w:cstheme="minorBidi"/>
            <w:noProof/>
            <w:sz w:val="22"/>
            <w:szCs w:val="22"/>
          </w:rPr>
          <w:tab/>
        </w:r>
        <w:r w:rsidR="005B11C1" w:rsidRPr="00BE1EC5">
          <w:rPr>
            <w:rStyle w:val="Hyperlink"/>
            <w:noProof/>
          </w:rPr>
          <w:t>Budget measures</w:t>
        </w:r>
        <w:r w:rsidR="005B11C1">
          <w:rPr>
            <w:noProof/>
            <w:webHidden/>
          </w:rPr>
          <w:tab/>
        </w:r>
        <w:r w:rsidR="005B11C1">
          <w:rPr>
            <w:noProof/>
            <w:webHidden/>
          </w:rPr>
          <w:fldChar w:fldCharType="begin"/>
        </w:r>
        <w:r w:rsidR="005B11C1">
          <w:rPr>
            <w:noProof/>
            <w:webHidden/>
          </w:rPr>
          <w:instrText xml:space="preserve"> PAGEREF _Toc117070794 \h </w:instrText>
        </w:r>
        <w:r w:rsidR="005B11C1">
          <w:rPr>
            <w:noProof/>
            <w:webHidden/>
          </w:rPr>
        </w:r>
        <w:r w:rsidR="005B11C1">
          <w:rPr>
            <w:noProof/>
            <w:webHidden/>
          </w:rPr>
          <w:fldChar w:fldCharType="separate"/>
        </w:r>
        <w:r w:rsidR="00E5337D">
          <w:rPr>
            <w:noProof/>
            <w:webHidden/>
          </w:rPr>
          <w:t>84</w:t>
        </w:r>
        <w:r w:rsidR="005B11C1">
          <w:rPr>
            <w:noProof/>
            <w:webHidden/>
          </w:rPr>
          <w:fldChar w:fldCharType="end"/>
        </w:r>
      </w:hyperlink>
    </w:p>
    <w:p w14:paraId="14E023D8" w14:textId="0F9098FD" w:rsidR="005B11C1" w:rsidRDefault="00F5323E">
      <w:pPr>
        <w:pStyle w:val="TOC1"/>
        <w:rPr>
          <w:rFonts w:asciiTheme="minorHAnsi" w:eastAsiaTheme="minorEastAsia" w:hAnsiTheme="minorHAnsi" w:cstheme="minorBidi"/>
          <w:b w:val="0"/>
          <w:noProof/>
          <w:sz w:val="22"/>
          <w:szCs w:val="22"/>
        </w:rPr>
      </w:pPr>
      <w:hyperlink w:anchor="_Toc117070795" w:history="1">
        <w:r w:rsidR="005B11C1" w:rsidRPr="00BE1EC5">
          <w:rPr>
            <w:rStyle w:val="Hyperlink"/>
            <w:noProof/>
          </w:rPr>
          <w:t>Section 2: Outcomes and planned performance</w:t>
        </w:r>
        <w:r w:rsidR="005B11C1">
          <w:rPr>
            <w:noProof/>
            <w:webHidden/>
          </w:rPr>
          <w:tab/>
        </w:r>
        <w:r w:rsidR="005B11C1">
          <w:rPr>
            <w:noProof/>
            <w:webHidden/>
          </w:rPr>
          <w:fldChar w:fldCharType="begin"/>
        </w:r>
        <w:r w:rsidR="005B11C1">
          <w:rPr>
            <w:noProof/>
            <w:webHidden/>
          </w:rPr>
          <w:instrText xml:space="preserve"> PAGEREF _Toc117070795 \h </w:instrText>
        </w:r>
        <w:r w:rsidR="005B11C1">
          <w:rPr>
            <w:noProof/>
            <w:webHidden/>
          </w:rPr>
        </w:r>
        <w:r w:rsidR="005B11C1">
          <w:rPr>
            <w:noProof/>
            <w:webHidden/>
          </w:rPr>
          <w:fldChar w:fldCharType="separate"/>
        </w:r>
        <w:r w:rsidR="00E5337D">
          <w:rPr>
            <w:noProof/>
            <w:webHidden/>
          </w:rPr>
          <w:t>85</w:t>
        </w:r>
        <w:r w:rsidR="005B11C1">
          <w:rPr>
            <w:noProof/>
            <w:webHidden/>
          </w:rPr>
          <w:fldChar w:fldCharType="end"/>
        </w:r>
      </w:hyperlink>
    </w:p>
    <w:p w14:paraId="75CBD681" w14:textId="644EFD50" w:rsidR="005B11C1" w:rsidRDefault="00F5323E">
      <w:pPr>
        <w:pStyle w:val="TOC2"/>
        <w:rPr>
          <w:rFonts w:asciiTheme="minorHAnsi" w:eastAsiaTheme="minorEastAsia" w:hAnsiTheme="minorHAnsi" w:cstheme="minorBidi"/>
          <w:noProof/>
          <w:sz w:val="22"/>
          <w:szCs w:val="22"/>
        </w:rPr>
      </w:pPr>
      <w:hyperlink w:anchor="_Toc117070796" w:history="1">
        <w:r w:rsidR="005B11C1" w:rsidRPr="00BE1EC5">
          <w:rPr>
            <w:rStyle w:val="Hyperlink"/>
            <w:noProof/>
          </w:rPr>
          <w:t xml:space="preserve">2.1 </w:t>
        </w:r>
        <w:r w:rsidR="005B11C1">
          <w:rPr>
            <w:rFonts w:asciiTheme="minorHAnsi" w:eastAsiaTheme="minorEastAsia" w:hAnsiTheme="minorHAnsi" w:cstheme="minorBidi"/>
            <w:noProof/>
            <w:sz w:val="22"/>
            <w:szCs w:val="22"/>
          </w:rPr>
          <w:tab/>
        </w:r>
        <w:r w:rsidR="005B11C1" w:rsidRPr="00BE1EC5">
          <w:rPr>
            <w:rStyle w:val="Hyperlink"/>
            <w:noProof/>
          </w:rPr>
          <w:t>Budgeted expenses and performance for Outcome 1</w:t>
        </w:r>
        <w:r w:rsidR="005B11C1">
          <w:rPr>
            <w:noProof/>
            <w:webHidden/>
          </w:rPr>
          <w:tab/>
        </w:r>
        <w:r w:rsidR="005B11C1">
          <w:rPr>
            <w:noProof/>
            <w:webHidden/>
          </w:rPr>
          <w:fldChar w:fldCharType="begin"/>
        </w:r>
        <w:r w:rsidR="005B11C1">
          <w:rPr>
            <w:noProof/>
            <w:webHidden/>
          </w:rPr>
          <w:instrText xml:space="preserve"> PAGEREF _Toc117070796 \h </w:instrText>
        </w:r>
        <w:r w:rsidR="005B11C1">
          <w:rPr>
            <w:noProof/>
            <w:webHidden/>
          </w:rPr>
        </w:r>
        <w:r w:rsidR="005B11C1">
          <w:rPr>
            <w:noProof/>
            <w:webHidden/>
          </w:rPr>
          <w:fldChar w:fldCharType="separate"/>
        </w:r>
        <w:r w:rsidR="00E5337D">
          <w:rPr>
            <w:noProof/>
            <w:webHidden/>
          </w:rPr>
          <w:t>86</w:t>
        </w:r>
        <w:r w:rsidR="005B11C1">
          <w:rPr>
            <w:noProof/>
            <w:webHidden/>
          </w:rPr>
          <w:fldChar w:fldCharType="end"/>
        </w:r>
      </w:hyperlink>
    </w:p>
    <w:p w14:paraId="27F1062E" w14:textId="78C9B275" w:rsidR="005B11C1" w:rsidRDefault="00F5323E">
      <w:pPr>
        <w:pStyle w:val="TOC1"/>
        <w:rPr>
          <w:rFonts w:asciiTheme="minorHAnsi" w:eastAsiaTheme="minorEastAsia" w:hAnsiTheme="minorHAnsi" w:cstheme="minorBidi"/>
          <w:b w:val="0"/>
          <w:noProof/>
          <w:sz w:val="22"/>
          <w:szCs w:val="22"/>
        </w:rPr>
      </w:pPr>
      <w:hyperlink w:anchor="_Toc117070797" w:history="1">
        <w:r w:rsidR="005B11C1" w:rsidRPr="00BE1EC5">
          <w:rPr>
            <w:rStyle w:val="Hyperlink"/>
            <w:noProof/>
          </w:rPr>
          <w:t>Section 3: Budgeted financial statements</w:t>
        </w:r>
        <w:r w:rsidR="005B11C1">
          <w:rPr>
            <w:noProof/>
            <w:webHidden/>
          </w:rPr>
          <w:tab/>
        </w:r>
        <w:r w:rsidR="005B11C1">
          <w:rPr>
            <w:noProof/>
            <w:webHidden/>
          </w:rPr>
          <w:fldChar w:fldCharType="begin"/>
        </w:r>
        <w:r w:rsidR="005B11C1">
          <w:rPr>
            <w:noProof/>
            <w:webHidden/>
          </w:rPr>
          <w:instrText xml:space="preserve"> PAGEREF _Toc117070797 \h </w:instrText>
        </w:r>
        <w:r w:rsidR="005B11C1">
          <w:rPr>
            <w:noProof/>
            <w:webHidden/>
          </w:rPr>
        </w:r>
        <w:r w:rsidR="005B11C1">
          <w:rPr>
            <w:noProof/>
            <w:webHidden/>
          </w:rPr>
          <w:fldChar w:fldCharType="separate"/>
        </w:r>
        <w:r w:rsidR="00E5337D">
          <w:rPr>
            <w:noProof/>
            <w:webHidden/>
          </w:rPr>
          <w:t>92</w:t>
        </w:r>
        <w:r w:rsidR="005B11C1">
          <w:rPr>
            <w:noProof/>
            <w:webHidden/>
          </w:rPr>
          <w:fldChar w:fldCharType="end"/>
        </w:r>
      </w:hyperlink>
    </w:p>
    <w:p w14:paraId="2492CCE6" w14:textId="0986C378" w:rsidR="005B11C1" w:rsidRDefault="00F5323E">
      <w:pPr>
        <w:pStyle w:val="TOC2"/>
        <w:rPr>
          <w:rFonts w:asciiTheme="minorHAnsi" w:eastAsiaTheme="minorEastAsia" w:hAnsiTheme="minorHAnsi" w:cstheme="minorBidi"/>
          <w:noProof/>
          <w:sz w:val="22"/>
          <w:szCs w:val="22"/>
        </w:rPr>
      </w:pPr>
      <w:hyperlink w:anchor="_Toc117070799" w:history="1">
        <w:r w:rsidR="005B11C1" w:rsidRPr="00BE1EC5">
          <w:rPr>
            <w:rStyle w:val="Hyperlink"/>
            <w:noProof/>
          </w:rPr>
          <w:t>3.1</w:t>
        </w:r>
        <w:r w:rsidR="005B11C1">
          <w:rPr>
            <w:rFonts w:asciiTheme="minorHAnsi" w:eastAsiaTheme="minorEastAsia" w:hAnsiTheme="minorHAnsi" w:cstheme="minorBidi"/>
            <w:noProof/>
            <w:sz w:val="22"/>
            <w:szCs w:val="22"/>
          </w:rPr>
          <w:tab/>
        </w:r>
        <w:r w:rsidR="005B11C1" w:rsidRPr="00BE1EC5">
          <w:rPr>
            <w:rStyle w:val="Hyperlink"/>
            <w:noProof/>
          </w:rPr>
          <w:t>Budgeted financial statements</w:t>
        </w:r>
        <w:r w:rsidR="005B11C1">
          <w:rPr>
            <w:noProof/>
            <w:webHidden/>
          </w:rPr>
          <w:tab/>
        </w:r>
        <w:r w:rsidR="005B11C1">
          <w:rPr>
            <w:noProof/>
            <w:webHidden/>
          </w:rPr>
          <w:fldChar w:fldCharType="begin"/>
        </w:r>
        <w:r w:rsidR="005B11C1">
          <w:rPr>
            <w:noProof/>
            <w:webHidden/>
          </w:rPr>
          <w:instrText xml:space="preserve"> PAGEREF _Toc117070799 \h </w:instrText>
        </w:r>
        <w:r w:rsidR="005B11C1">
          <w:rPr>
            <w:noProof/>
            <w:webHidden/>
          </w:rPr>
        </w:r>
        <w:r w:rsidR="005B11C1">
          <w:rPr>
            <w:noProof/>
            <w:webHidden/>
          </w:rPr>
          <w:fldChar w:fldCharType="separate"/>
        </w:r>
        <w:r w:rsidR="00E5337D">
          <w:rPr>
            <w:noProof/>
            <w:webHidden/>
          </w:rPr>
          <w:t>92</w:t>
        </w:r>
        <w:r w:rsidR="005B11C1">
          <w:rPr>
            <w:noProof/>
            <w:webHidden/>
          </w:rPr>
          <w:fldChar w:fldCharType="end"/>
        </w:r>
      </w:hyperlink>
    </w:p>
    <w:p w14:paraId="2ECB69F3" w14:textId="786B386A" w:rsidR="005B11C1" w:rsidRDefault="00F5323E">
      <w:pPr>
        <w:pStyle w:val="TOC2"/>
        <w:rPr>
          <w:rFonts w:asciiTheme="minorHAnsi" w:eastAsiaTheme="minorEastAsia" w:hAnsiTheme="minorHAnsi" w:cstheme="minorBidi"/>
          <w:noProof/>
          <w:sz w:val="22"/>
          <w:szCs w:val="22"/>
        </w:rPr>
      </w:pPr>
      <w:hyperlink w:anchor="_Toc117070800" w:history="1">
        <w:r w:rsidR="005B11C1" w:rsidRPr="00BE1EC5">
          <w:rPr>
            <w:rStyle w:val="Hyperlink"/>
            <w:noProof/>
          </w:rPr>
          <w:t>3.2</w:t>
        </w:r>
        <w:r w:rsidR="005B11C1">
          <w:rPr>
            <w:rFonts w:asciiTheme="minorHAnsi" w:eastAsiaTheme="minorEastAsia" w:hAnsiTheme="minorHAnsi" w:cstheme="minorBidi"/>
            <w:noProof/>
            <w:sz w:val="22"/>
            <w:szCs w:val="22"/>
          </w:rPr>
          <w:tab/>
        </w:r>
        <w:r w:rsidR="005B11C1" w:rsidRPr="00BE1EC5">
          <w:rPr>
            <w:rStyle w:val="Hyperlink"/>
            <w:noProof/>
          </w:rPr>
          <w:t>Budgeted financial statements tables</w:t>
        </w:r>
        <w:r w:rsidR="005B11C1">
          <w:rPr>
            <w:noProof/>
            <w:webHidden/>
          </w:rPr>
          <w:tab/>
        </w:r>
        <w:r w:rsidR="005B11C1">
          <w:rPr>
            <w:noProof/>
            <w:webHidden/>
          </w:rPr>
          <w:fldChar w:fldCharType="begin"/>
        </w:r>
        <w:r w:rsidR="005B11C1">
          <w:rPr>
            <w:noProof/>
            <w:webHidden/>
          </w:rPr>
          <w:instrText xml:space="preserve"> PAGEREF _Toc117070800 \h </w:instrText>
        </w:r>
        <w:r w:rsidR="005B11C1">
          <w:rPr>
            <w:noProof/>
            <w:webHidden/>
          </w:rPr>
        </w:r>
        <w:r w:rsidR="005B11C1">
          <w:rPr>
            <w:noProof/>
            <w:webHidden/>
          </w:rPr>
          <w:fldChar w:fldCharType="separate"/>
        </w:r>
        <w:r w:rsidR="00E5337D">
          <w:rPr>
            <w:noProof/>
            <w:webHidden/>
          </w:rPr>
          <w:t>93</w:t>
        </w:r>
        <w:r w:rsidR="005B11C1">
          <w:rPr>
            <w:noProof/>
            <w:webHidden/>
          </w:rPr>
          <w:fldChar w:fldCharType="end"/>
        </w:r>
      </w:hyperlink>
    </w:p>
    <w:p w14:paraId="22C29CA3" w14:textId="71A1EB4C" w:rsidR="000F1504" w:rsidRDefault="00BF0558" w:rsidP="000F1504">
      <w:pPr>
        <w:pStyle w:val="TOC1"/>
        <w:sectPr w:rsidR="000F1504" w:rsidSect="0089325B">
          <w:headerReference w:type="default" r:id="rId84"/>
          <w:footerReference w:type="default" r:id="rId85"/>
          <w:headerReference w:type="first" r:id="rId86"/>
          <w:footerReference w:type="first" r:id="rId87"/>
          <w:type w:val="oddPage"/>
          <w:pgSz w:w="11906" w:h="16838" w:code="9"/>
          <w:pgMar w:top="2835" w:right="2098" w:bottom="2466" w:left="2098" w:header="1814" w:footer="1814" w:gutter="0"/>
          <w:cols w:space="708"/>
          <w:titlePg/>
          <w:docGrid w:linePitch="360"/>
        </w:sectPr>
      </w:pPr>
      <w:r>
        <w:fldChar w:fldCharType="end"/>
      </w:r>
    </w:p>
    <w:p w14:paraId="2239E39F" w14:textId="16456C93" w:rsidR="00BF0558" w:rsidRPr="00275445" w:rsidRDefault="00BF0558" w:rsidP="004D5C6C">
      <w:pPr>
        <w:pStyle w:val="Heading1"/>
        <w:rPr>
          <w:b w:val="0"/>
        </w:rPr>
      </w:pPr>
      <w:bookmarkStart w:id="107" w:name="_Toc116465545"/>
      <w:r w:rsidRPr="00275445">
        <w:rPr>
          <w:b w:val="0"/>
        </w:rPr>
        <w:lastRenderedPageBreak/>
        <w:t>Australian Electoral Commission</w:t>
      </w:r>
      <w:bookmarkEnd w:id="107"/>
    </w:p>
    <w:p w14:paraId="2239E3A0" w14:textId="77777777" w:rsidR="00BF0558" w:rsidRPr="002C4D41" w:rsidRDefault="00BF0558" w:rsidP="004D5C6C">
      <w:pPr>
        <w:pStyle w:val="Heading2"/>
      </w:pPr>
      <w:bookmarkStart w:id="108" w:name="_Toc117070791"/>
      <w:bookmarkStart w:id="109" w:name="_Toc117071045"/>
      <w:bookmarkStart w:id="110" w:name="_Toc117078079"/>
      <w:r w:rsidRPr="002C4D41">
        <w:t xml:space="preserve">Section 1: Entity overview and </w:t>
      </w:r>
      <w:r>
        <w:t>reso</w:t>
      </w:r>
      <w:r w:rsidRPr="002C4D41">
        <w:t>urces</w:t>
      </w:r>
      <w:bookmarkEnd w:id="108"/>
      <w:bookmarkEnd w:id="109"/>
      <w:bookmarkEnd w:id="110"/>
    </w:p>
    <w:p w14:paraId="2239E3A1" w14:textId="17AE5422" w:rsidR="00BF0558" w:rsidRDefault="00BF0558" w:rsidP="00C8474A">
      <w:pPr>
        <w:pStyle w:val="Heading3"/>
        <w:numPr>
          <w:ilvl w:val="1"/>
          <w:numId w:val="62"/>
        </w:numPr>
      </w:pPr>
      <w:bookmarkStart w:id="111" w:name="_Toc117070792"/>
      <w:bookmarkStart w:id="112" w:name="_Toc117071046"/>
      <w:bookmarkStart w:id="113" w:name="_Toc117078080"/>
      <w:r>
        <w:t>Strategic direction statement</w:t>
      </w:r>
      <w:bookmarkEnd w:id="111"/>
      <w:bookmarkEnd w:id="112"/>
      <w:bookmarkEnd w:id="113"/>
    </w:p>
    <w:p w14:paraId="6CD9589E" w14:textId="564B34C5" w:rsidR="001D2D04" w:rsidRDefault="001D2D04" w:rsidP="001D2D04">
      <w:r>
        <w:t xml:space="preserve">The Australian Electoral Commission (AEC) administers the </w:t>
      </w:r>
      <w:r w:rsidRPr="006342FE">
        <w:rPr>
          <w:i/>
        </w:rPr>
        <w:t>Commonwealth Electoral Act 1918</w:t>
      </w:r>
      <w:r>
        <w:t xml:space="preserve"> (the Electoral Act), making it responsible for:</w:t>
      </w:r>
    </w:p>
    <w:p w14:paraId="6929A2FA" w14:textId="6CFFBDF0" w:rsidR="001D2D04" w:rsidRPr="0055012F" w:rsidRDefault="001D2D04" w:rsidP="00C8474A">
      <w:pPr>
        <w:pStyle w:val="Exampletextbullet"/>
        <w:numPr>
          <w:ilvl w:val="0"/>
          <w:numId w:val="63"/>
        </w:numPr>
        <w:tabs>
          <w:tab w:val="num" w:pos="284"/>
        </w:tabs>
        <w:rPr>
          <w:i w:val="0"/>
          <w:color w:val="auto"/>
        </w:rPr>
      </w:pPr>
      <w:r w:rsidRPr="0055012F">
        <w:rPr>
          <w:i w:val="0"/>
          <w:color w:val="auto"/>
        </w:rPr>
        <w:t>conducting electoral events, including federal elections, by-elections and referendums, and industrial elections and ballots</w:t>
      </w:r>
    </w:p>
    <w:p w14:paraId="7D5E3B24" w14:textId="1051E58A" w:rsidR="001D2D04" w:rsidRPr="0055012F" w:rsidRDefault="001D2D04" w:rsidP="00C8474A">
      <w:pPr>
        <w:pStyle w:val="Exampletextbullet"/>
        <w:numPr>
          <w:ilvl w:val="0"/>
          <w:numId w:val="63"/>
        </w:numPr>
        <w:tabs>
          <w:tab w:val="num" w:pos="284"/>
        </w:tabs>
        <w:rPr>
          <w:i w:val="0"/>
          <w:color w:val="auto"/>
        </w:rPr>
      </w:pPr>
      <w:r w:rsidRPr="0055012F">
        <w:rPr>
          <w:i w:val="0"/>
          <w:color w:val="auto"/>
        </w:rPr>
        <w:t>ensuring confidence in the Commonwealth Electoral Roll</w:t>
      </w:r>
    </w:p>
    <w:p w14:paraId="230FCA9E" w14:textId="2079E85A" w:rsidR="001D2D04" w:rsidRPr="0055012F" w:rsidRDefault="001D2D04" w:rsidP="00C8474A">
      <w:pPr>
        <w:pStyle w:val="Exampletextbullet"/>
        <w:numPr>
          <w:ilvl w:val="0"/>
          <w:numId w:val="63"/>
        </w:numPr>
        <w:tabs>
          <w:tab w:val="num" w:pos="284"/>
        </w:tabs>
        <w:rPr>
          <w:i w:val="0"/>
          <w:color w:val="auto"/>
        </w:rPr>
      </w:pPr>
      <w:r w:rsidRPr="0055012F">
        <w:rPr>
          <w:i w:val="0"/>
          <w:color w:val="auto"/>
        </w:rPr>
        <w:t>regulating political party registrations and financial disclosure</w:t>
      </w:r>
    </w:p>
    <w:p w14:paraId="2FDCD0AA" w14:textId="63CDE0B7" w:rsidR="001D2D04" w:rsidRPr="0055012F" w:rsidRDefault="001D2D04" w:rsidP="00C8474A">
      <w:pPr>
        <w:pStyle w:val="Exampletextbullet"/>
        <w:numPr>
          <w:ilvl w:val="0"/>
          <w:numId w:val="63"/>
        </w:numPr>
        <w:tabs>
          <w:tab w:val="num" w:pos="284"/>
        </w:tabs>
        <w:rPr>
          <w:i w:val="0"/>
          <w:color w:val="auto"/>
        </w:rPr>
      </w:pPr>
      <w:r w:rsidRPr="0055012F">
        <w:rPr>
          <w:i w:val="0"/>
          <w:color w:val="auto"/>
        </w:rPr>
        <w:t>supporting electoral redistributions</w:t>
      </w:r>
    </w:p>
    <w:p w14:paraId="453DC540" w14:textId="486CAF32" w:rsidR="001D2D04" w:rsidRPr="0055012F" w:rsidRDefault="001D2D04" w:rsidP="00C8474A">
      <w:pPr>
        <w:pStyle w:val="Exampletextbullet"/>
        <w:numPr>
          <w:ilvl w:val="0"/>
          <w:numId w:val="63"/>
        </w:numPr>
        <w:tabs>
          <w:tab w:val="num" w:pos="284"/>
        </w:tabs>
        <w:rPr>
          <w:i w:val="0"/>
          <w:color w:val="auto"/>
        </w:rPr>
      </w:pPr>
      <w:r w:rsidRPr="0055012F">
        <w:rPr>
          <w:i w:val="0"/>
          <w:color w:val="auto"/>
        </w:rPr>
        <w:t>undertaking public awareness activities.</w:t>
      </w:r>
    </w:p>
    <w:p w14:paraId="6DC50AA1" w14:textId="77777777" w:rsidR="001D2D04" w:rsidRDefault="001D2D04" w:rsidP="001D2D04">
      <w:r>
        <w:t xml:space="preserve">The AEC also provides a range of electoral information and education programs both in Australia and in support of Australia’s international interests.  </w:t>
      </w:r>
    </w:p>
    <w:p w14:paraId="3B35AF49" w14:textId="77777777" w:rsidR="001D2D04" w:rsidRDefault="001D2D04" w:rsidP="001D2D04">
      <w:r>
        <w:t>The AEC’s actions impact on the Australian community as stated in its outcome:</w:t>
      </w:r>
    </w:p>
    <w:p w14:paraId="675F45AD" w14:textId="15925379" w:rsidR="001D2D04" w:rsidRPr="001D2D04" w:rsidRDefault="001D2D04" w:rsidP="001D2D04">
      <w:pPr>
        <w:rPr>
          <w:i/>
        </w:rPr>
      </w:pPr>
      <w:r w:rsidRPr="001D2D04">
        <w:rPr>
          <w:i/>
        </w:rPr>
        <w:t>Maintain an impartial and independent electoral system for eligible voters through active electoral roll management, efficient delivery of polling services, and targeted education and public awareness programs.</w:t>
      </w:r>
    </w:p>
    <w:p w14:paraId="2239E3AB" w14:textId="77777777" w:rsidR="00BF0558" w:rsidRDefault="00BF0558" w:rsidP="004D5C6C">
      <w:pPr>
        <w:pStyle w:val="Heading3"/>
      </w:pPr>
      <w:r w:rsidRPr="0079797F">
        <w:br w:type="page"/>
      </w:r>
      <w:bookmarkStart w:id="114" w:name="_Toc117070793"/>
      <w:bookmarkStart w:id="115" w:name="_Toc117071047"/>
      <w:bookmarkStart w:id="116" w:name="_Toc117078081"/>
      <w:r>
        <w:lastRenderedPageBreak/>
        <w:t>1.2</w:t>
      </w:r>
      <w:r>
        <w:tab/>
        <w:t>Entity resource statement</w:t>
      </w:r>
      <w:bookmarkEnd w:id="114"/>
      <w:bookmarkEnd w:id="115"/>
      <w:bookmarkEnd w:id="116"/>
    </w:p>
    <w:p w14:paraId="00A628F6" w14:textId="77777777" w:rsidR="005515E5" w:rsidRPr="005515E5" w:rsidRDefault="005515E5" w:rsidP="005515E5">
      <w:pPr>
        <w:pStyle w:val="TableHeading"/>
        <w:spacing w:before="240" w:after="240" w:line="240" w:lineRule="exact"/>
        <w:rPr>
          <w:rFonts w:ascii="Book Antiqua" w:hAnsi="Book Antiqua"/>
          <w:b w:val="0"/>
          <w:sz w:val="19"/>
          <w:szCs w:val="19"/>
        </w:rPr>
      </w:pPr>
      <w:r w:rsidRPr="005515E5">
        <w:rPr>
          <w:rFonts w:ascii="Book Antiqua" w:hAnsi="Book Antiqua"/>
          <w:b w:val="0"/>
          <w:sz w:val="19"/>
          <w:szCs w:val="19"/>
        </w:rPr>
        <w:t>Table 1.1 shows the total funding from all sources available to the entity for its operations and to deliver programs and services on behalf of the Government.</w:t>
      </w:r>
    </w:p>
    <w:p w14:paraId="017E28E2" w14:textId="77777777" w:rsidR="005515E5" w:rsidRPr="005515E5" w:rsidRDefault="005515E5" w:rsidP="005515E5">
      <w:pPr>
        <w:pStyle w:val="TableHeading"/>
        <w:spacing w:before="240" w:after="240" w:line="240" w:lineRule="exact"/>
        <w:rPr>
          <w:rFonts w:ascii="Book Antiqua" w:hAnsi="Book Antiqua"/>
          <w:b w:val="0"/>
          <w:sz w:val="19"/>
          <w:szCs w:val="19"/>
        </w:rPr>
      </w:pPr>
      <w:r w:rsidRPr="005515E5">
        <w:rPr>
          <w:rFonts w:ascii="Book Antiqua" w:hAnsi="Book Antiqua"/>
          <w:b w:val="0"/>
          <w:sz w:val="19"/>
          <w:szCs w:val="19"/>
        </w:rPr>
        <w:t>The table summarises how resources will be applied by outcome (government strategic policy objectives) and by administered (on behalf of the Government or the public) and departmental (for the entity’s operations) classification.</w:t>
      </w:r>
    </w:p>
    <w:p w14:paraId="5FF30C77" w14:textId="77777777" w:rsidR="005515E5" w:rsidRPr="005515E5" w:rsidRDefault="005515E5" w:rsidP="005515E5">
      <w:pPr>
        <w:pStyle w:val="TableHeading"/>
        <w:spacing w:before="240" w:after="240" w:line="240" w:lineRule="exact"/>
        <w:rPr>
          <w:rFonts w:ascii="Book Antiqua" w:hAnsi="Book Antiqua"/>
          <w:b w:val="0"/>
          <w:sz w:val="19"/>
          <w:szCs w:val="19"/>
        </w:rPr>
      </w:pPr>
      <w:r w:rsidRPr="005515E5">
        <w:rPr>
          <w:rFonts w:ascii="Book Antiqua" w:hAnsi="Book Antiqua"/>
          <w:b w:val="0"/>
          <w:sz w:val="19"/>
          <w:szCs w:val="19"/>
        </w:rPr>
        <w:t>For more detailed information on special accounts and special appropriations, please refer to the October Budget Paper No. 4 – Agency Resourcing.</w:t>
      </w:r>
    </w:p>
    <w:p w14:paraId="0FD44EBA" w14:textId="6116FCC3" w:rsidR="00854E65" w:rsidRDefault="005515E5" w:rsidP="00854E65">
      <w:pPr>
        <w:pStyle w:val="TableHeading"/>
        <w:spacing w:before="240" w:after="240" w:line="240" w:lineRule="exact"/>
      </w:pPr>
      <w:r w:rsidRPr="005515E5">
        <w:rPr>
          <w:rFonts w:ascii="Book Antiqua" w:hAnsi="Book Antiqua"/>
          <w:b w:val="0"/>
          <w:sz w:val="19"/>
          <w:szCs w:val="19"/>
        </w:rPr>
        <w:t>Information in this table is presented on a resourcing (that is, appropriations/cash available) basis, whilst the</w:t>
      </w:r>
      <w:r>
        <w:rPr>
          <w:rFonts w:ascii="Book Antiqua" w:hAnsi="Book Antiqua"/>
          <w:b w:val="0"/>
          <w:sz w:val="19"/>
          <w:szCs w:val="19"/>
        </w:rPr>
        <w:t xml:space="preserve"> ‘Budgeted expenses by Outcome</w:t>
      </w:r>
      <w:r w:rsidR="00A91C50">
        <w:rPr>
          <w:rFonts w:ascii="Book Antiqua" w:hAnsi="Book Antiqua"/>
          <w:b w:val="0"/>
          <w:sz w:val="19"/>
          <w:szCs w:val="19"/>
        </w:rPr>
        <w:t xml:space="preserve"> 1</w:t>
      </w:r>
      <w:r w:rsidRPr="005515E5">
        <w:rPr>
          <w:rFonts w:ascii="Book Antiqua" w:hAnsi="Book Antiqua"/>
          <w:b w:val="0"/>
          <w:sz w:val="19"/>
          <w:szCs w:val="19"/>
        </w:rPr>
        <w:t>’ tables in Section 2 and the financial statements in Section 3 are presented on an accrual basis.</w:t>
      </w:r>
      <w:r w:rsidR="00854E65">
        <w:br w:type="page"/>
      </w:r>
    </w:p>
    <w:p w14:paraId="4367911C" w14:textId="58C52137" w:rsidR="00854E65" w:rsidRDefault="00BF0558" w:rsidP="00854E65">
      <w:pPr>
        <w:pStyle w:val="TableHeading"/>
      </w:pPr>
      <w:r w:rsidRPr="00D44150">
        <w:lastRenderedPageBreak/>
        <w:t xml:space="preserve">Table 1.1: </w:t>
      </w:r>
      <w:r>
        <w:t>Australian Electoral Commission</w:t>
      </w:r>
      <w:r w:rsidRPr="00D44150">
        <w:t xml:space="preserve"> resource statement</w:t>
      </w:r>
      <w:r>
        <w:t xml:space="preserve"> — Budget estimates for 2022-23 </w:t>
      </w:r>
      <w:r w:rsidRPr="00D44150">
        <w:t xml:space="preserve">as at </w:t>
      </w:r>
      <w:r>
        <w:t>October</w:t>
      </w:r>
      <w:r w:rsidRPr="00D44150">
        <w:t xml:space="preserve"> Budget </w:t>
      </w:r>
      <w:r>
        <w:t>2022</w:t>
      </w:r>
    </w:p>
    <w:p w14:paraId="3946D07E" w14:textId="02C0D164" w:rsidR="00854E65" w:rsidRPr="00854E65" w:rsidRDefault="00924867" w:rsidP="00854E65">
      <w:pPr>
        <w:pStyle w:val="TableGraphic"/>
        <w:ind w:right="0"/>
      </w:pPr>
      <w:r w:rsidRPr="00924867">
        <w:rPr>
          <w:noProof/>
          <w:lang w:eastAsia="zh-CN"/>
        </w:rPr>
        <w:drawing>
          <wp:inline distT="0" distB="0" distL="0" distR="0" wp14:anchorId="3F750582" wp14:editId="74F15AD0">
            <wp:extent cx="4895850" cy="2439949"/>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95850" cy="2439949"/>
                    </a:xfrm>
                    <a:prstGeom prst="rect">
                      <a:avLst/>
                    </a:prstGeom>
                    <a:noFill/>
                    <a:ln>
                      <a:noFill/>
                    </a:ln>
                  </pic:spPr>
                </pic:pic>
              </a:graphicData>
            </a:graphic>
          </wp:inline>
        </w:drawing>
      </w:r>
    </w:p>
    <w:p w14:paraId="2239E3B1" w14:textId="581EF17E" w:rsidR="00BF0558" w:rsidRPr="0027793E" w:rsidRDefault="00BF0558" w:rsidP="00970F9F">
      <w:pPr>
        <w:pStyle w:val="TableGraphic"/>
        <w:spacing w:before="30"/>
        <w:ind w:right="0"/>
        <w:rPr>
          <w:rFonts w:cs="Arial"/>
          <w:sz w:val="16"/>
          <w:szCs w:val="16"/>
        </w:rPr>
      </w:pPr>
      <w:r w:rsidRPr="0027793E">
        <w:rPr>
          <w:rFonts w:ascii="Arial" w:hAnsi="Arial" w:cs="Arial"/>
          <w:color w:val="000000"/>
          <w:sz w:val="16"/>
          <w:szCs w:val="16"/>
        </w:rPr>
        <w:t>All figures shown above are GST exclusive - these may not match figures in the cash flow statement</w:t>
      </w:r>
      <w:r>
        <w:rPr>
          <w:rFonts w:ascii="Arial" w:hAnsi="Arial" w:cs="Arial"/>
          <w:color w:val="000000"/>
          <w:sz w:val="16"/>
          <w:szCs w:val="16"/>
        </w:rPr>
        <w:t>.</w:t>
      </w:r>
      <w:r w:rsidRPr="0027793E">
        <w:rPr>
          <w:rFonts w:ascii="Arial" w:hAnsi="Arial" w:cs="Arial"/>
          <w:color w:val="000000"/>
          <w:sz w:val="16"/>
          <w:szCs w:val="16"/>
        </w:rPr>
        <w:t xml:space="preserve"> </w:t>
      </w:r>
      <w:r w:rsidRPr="0027793E">
        <w:rPr>
          <w:rFonts w:ascii="Arial" w:hAnsi="Arial" w:cs="Arial"/>
          <w:sz w:val="16"/>
          <w:szCs w:val="16"/>
        </w:rPr>
        <w:t>Prepared on a resourcing (i.e. appropriations available) basis.</w:t>
      </w:r>
    </w:p>
    <w:p w14:paraId="685D9081" w14:textId="77777777" w:rsidR="00854E65" w:rsidRPr="00854E65" w:rsidRDefault="00854E65" w:rsidP="00C8474A">
      <w:pPr>
        <w:pStyle w:val="TableHeading"/>
        <w:numPr>
          <w:ilvl w:val="0"/>
          <w:numId w:val="64"/>
        </w:numPr>
        <w:spacing w:before="60" w:after="0"/>
        <w:ind w:left="284" w:hanging="284"/>
        <w:rPr>
          <w:rFonts w:cs="Arial"/>
          <w:b w:val="0"/>
          <w:color w:val="000000"/>
          <w:sz w:val="16"/>
          <w:szCs w:val="16"/>
        </w:rPr>
      </w:pPr>
      <w:r w:rsidRPr="00854E65">
        <w:rPr>
          <w:rFonts w:cs="Arial"/>
          <w:b w:val="0"/>
          <w:color w:val="000000"/>
          <w:sz w:val="16"/>
          <w:szCs w:val="16"/>
        </w:rPr>
        <w:t>Appropriation Bill (No. 1) 2022-23, Supply Bill (No.3) 2022-23 and Supply Act (No.1) 2022-23.</w:t>
      </w:r>
    </w:p>
    <w:p w14:paraId="687D9913" w14:textId="77777777" w:rsidR="00854E65" w:rsidRPr="00854E65" w:rsidRDefault="00854E65" w:rsidP="00C8474A">
      <w:pPr>
        <w:pStyle w:val="TableHeading"/>
        <w:numPr>
          <w:ilvl w:val="0"/>
          <w:numId w:val="64"/>
        </w:numPr>
        <w:spacing w:before="60" w:after="0"/>
        <w:ind w:left="284" w:hanging="284"/>
        <w:rPr>
          <w:rFonts w:cs="Arial"/>
          <w:b w:val="0"/>
          <w:color w:val="000000"/>
          <w:sz w:val="16"/>
          <w:szCs w:val="16"/>
        </w:rPr>
      </w:pPr>
      <w:r w:rsidRPr="00854E65">
        <w:rPr>
          <w:rFonts w:cs="Arial"/>
          <w:b w:val="0"/>
          <w:color w:val="000000"/>
          <w:sz w:val="16"/>
          <w:szCs w:val="16"/>
        </w:rPr>
        <w:t xml:space="preserve">2021-22 Departmental appropriation excludes $29.9m subject to administrative quarantine by Finance. </w:t>
      </w:r>
    </w:p>
    <w:p w14:paraId="3566638A" w14:textId="77777777" w:rsidR="00854E65" w:rsidRPr="00854E65" w:rsidRDefault="00854E65" w:rsidP="00C8474A">
      <w:pPr>
        <w:pStyle w:val="TableHeading"/>
        <w:numPr>
          <w:ilvl w:val="0"/>
          <w:numId w:val="64"/>
        </w:numPr>
        <w:spacing w:before="60" w:after="0"/>
        <w:ind w:left="284" w:hanging="284"/>
        <w:rPr>
          <w:rFonts w:cs="Arial"/>
          <w:b w:val="0"/>
          <w:color w:val="000000"/>
          <w:sz w:val="16"/>
          <w:szCs w:val="16"/>
        </w:rPr>
      </w:pPr>
      <w:r w:rsidRPr="00854E65">
        <w:rPr>
          <w:rFonts w:cs="Arial"/>
          <w:b w:val="0"/>
          <w:color w:val="000000"/>
          <w:sz w:val="16"/>
          <w:szCs w:val="16"/>
        </w:rPr>
        <w:t>Estimated External Revenue receipts under section 74 of the PGPA Act.</w:t>
      </w:r>
    </w:p>
    <w:p w14:paraId="340585B7" w14:textId="77777777" w:rsidR="00854E65" w:rsidRPr="00854E65" w:rsidRDefault="00854E65" w:rsidP="00C8474A">
      <w:pPr>
        <w:pStyle w:val="TableHeading"/>
        <w:numPr>
          <w:ilvl w:val="0"/>
          <w:numId w:val="64"/>
        </w:numPr>
        <w:spacing w:before="60" w:after="0"/>
        <w:ind w:left="284" w:hanging="284"/>
        <w:rPr>
          <w:rFonts w:cs="Arial"/>
          <w:b w:val="0"/>
          <w:color w:val="000000"/>
          <w:sz w:val="16"/>
          <w:szCs w:val="16"/>
        </w:rPr>
      </w:pPr>
      <w:r w:rsidRPr="00854E65">
        <w:rPr>
          <w:rFonts w:cs="Arial"/>
          <w:b w:val="0"/>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52E79C7D" w14:textId="77777777" w:rsidR="00854E65" w:rsidRPr="00854E65" w:rsidRDefault="00854E65" w:rsidP="00C8474A">
      <w:pPr>
        <w:pStyle w:val="TableHeading"/>
        <w:numPr>
          <w:ilvl w:val="0"/>
          <w:numId w:val="64"/>
        </w:numPr>
        <w:spacing w:before="60" w:after="0"/>
        <w:ind w:left="284" w:hanging="284"/>
        <w:rPr>
          <w:rFonts w:cs="Arial"/>
          <w:b w:val="0"/>
          <w:color w:val="000000"/>
          <w:sz w:val="16"/>
          <w:szCs w:val="16"/>
        </w:rPr>
      </w:pPr>
      <w:r w:rsidRPr="00854E65">
        <w:rPr>
          <w:rFonts w:cs="Arial"/>
          <w:b w:val="0"/>
          <w:color w:val="000000"/>
          <w:sz w:val="16"/>
          <w:szCs w:val="16"/>
        </w:rPr>
        <w:t>Excludes trust moneys held in Services for Other Entities and Trust Moneys (SOETM).</w:t>
      </w:r>
    </w:p>
    <w:p w14:paraId="2239E3B7" w14:textId="77777777" w:rsidR="00BF0558" w:rsidRPr="00131776" w:rsidRDefault="00BF0558" w:rsidP="00C8474A">
      <w:pPr>
        <w:pStyle w:val="TableHeading"/>
        <w:numPr>
          <w:ilvl w:val="0"/>
          <w:numId w:val="28"/>
        </w:numPr>
        <w:spacing w:before="30" w:after="0"/>
        <w:ind w:left="284" w:hanging="284"/>
        <w:rPr>
          <w:rFonts w:cs="Arial"/>
          <w:b w:val="0"/>
          <w:bCs/>
          <w:sz w:val="16"/>
          <w:szCs w:val="16"/>
        </w:rPr>
      </w:pPr>
      <w:r w:rsidRPr="00131776">
        <w:rPr>
          <w:rFonts w:cs="Arial"/>
          <w:b w:val="0"/>
          <w:bCs/>
          <w:sz w:val="16"/>
          <w:szCs w:val="16"/>
        </w:rPr>
        <w:br w:type="page"/>
      </w:r>
    </w:p>
    <w:p w14:paraId="2239E3B8" w14:textId="7A7F4521" w:rsidR="00BF0558" w:rsidRPr="005A7C0B" w:rsidRDefault="007846FE" w:rsidP="004D5C6C">
      <w:pPr>
        <w:pStyle w:val="Heading3"/>
        <w:spacing w:before="0"/>
      </w:pPr>
      <w:bookmarkStart w:id="117" w:name="_Toc65243508"/>
      <w:bookmarkStart w:id="118" w:name="_Toc117070794"/>
      <w:bookmarkStart w:id="119" w:name="_Toc117071048"/>
      <w:bookmarkStart w:id="120" w:name="_Toc117078082"/>
      <w:r w:rsidRPr="005A7C0B">
        <w:lastRenderedPageBreak/>
        <w:t>1.3</w:t>
      </w:r>
      <w:r w:rsidRPr="005A7C0B">
        <w:tab/>
        <w:t>Budget measures</w:t>
      </w:r>
      <w:bookmarkEnd w:id="117"/>
      <w:bookmarkEnd w:id="118"/>
      <w:bookmarkEnd w:id="119"/>
      <w:bookmarkEnd w:id="120"/>
    </w:p>
    <w:p w14:paraId="2239E3B9" w14:textId="77777777" w:rsidR="00BF0558" w:rsidRDefault="00BF0558" w:rsidP="004D5C6C">
      <w:r w:rsidRPr="00DC32EC">
        <w:t xml:space="preserve">Budget measures </w:t>
      </w:r>
      <w:r>
        <w:t xml:space="preserve">in Part 1 </w:t>
      </w:r>
      <w:r w:rsidRPr="00DC32EC">
        <w:t>relating to</w:t>
      </w:r>
      <w:r>
        <w:t xml:space="preserve"> entity Australian Electoral Commission</w:t>
      </w:r>
      <w:r w:rsidRPr="00DC32EC">
        <w:t xml:space="preserve"> a</w:t>
      </w:r>
      <w:r>
        <w:t>re detailed in the October Budget Paper No. </w:t>
      </w:r>
      <w:r w:rsidRPr="00DC32EC">
        <w:t>2</w:t>
      </w:r>
      <w:r>
        <w:t xml:space="preserve"> and are summarised below.</w:t>
      </w:r>
    </w:p>
    <w:p w14:paraId="2239E3BA" w14:textId="7C2AADD6" w:rsidR="00BF0558" w:rsidRPr="009A40DD" w:rsidRDefault="00DF3ED0" w:rsidP="004D5C6C">
      <w:pPr>
        <w:pStyle w:val="TableHeading"/>
      </w:pPr>
      <w:r>
        <w:t>Table 1.2: Australian Electoral commission</w:t>
      </w:r>
      <w:r w:rsidR="00BF0558" w:rsidRPr="009A40DD">
        <w:t xml:space="preserve"> </w:t>
      </w:r>
      <w:r w:rsidR="00BF0558">
        <w:t xml:space="preserve">October 2022-23 </w:t>
      </w:r>
      <w:r w:rsidR="00BF0558" w:rsidRPr="009A40DD">
        <w:t>Budget measures</w:t>
      </w:r>
    </w:p>
    <w:p w14:paraId="13FF1647" w14:textId="6A5342A5" w:rsidR="00970F9F" w:rsidRDefault="00BF0558" w:rsidP="00970F9F">
      <w:pPr>
        <w:pStyle w:val="TableGraphic"/>
        <w:rPr>
          <w:rFonts w:ascii="Arial Bold" w:hAnsi="Arial Bold"/>
          <w:b/>
        </w:rPr>
      </w:pPr>
      <w:r>
        <w:rPr>
          <w:rFonts w:ascii="Arial Bold" w:hAnsi="Arial Bold"/>
          <w:b/>
        </w:rPr>
        <w:t xml:space="preserve">Part 1: </w:t>
      </w:r>
      <w:r w:rsidRPr="007F6CAD">
        <w:rPr>
          <w:rFonts w:ascii="Arial Bold" w:hAnsi="Arial Bold"/>
          <w:b/>
        </w:rPr>
        <w:t xml:space="preserve">Measures announced </w:t>
      </w:r>
      <w:r>
        <w:rPr>
          <w:rFonts w:ascii="Arial Bold" w:hAnsi="Arial Bold"/>
          <w:b/>
        </w:rPr>
        <w:t>since</w:t>
      </w:r>
      <w:r w:rsidRPr="007F6CAD">
        <w:rPr>
          <w:rFonts w:ascii="Arial Bold" w:hAnsi="Arial Bold"/>
          <w:b/>
        </w:rPr>
        <w:t xml:space="preserve"> the</w:t>
      </w:r>
      <w:r>
        <w:rPr>
          <w:rFonts w:ascii="Arial Bold" w:hAnsi="Arial Bold"/>
          <w:b/>
        </w:rPr>
        <w:t xml:space="preserve"> 2022-23 March Budget</w:t>
      </w:r>
      <w:r w:rsidR="00123E71" w:rsidRPr="00123E71">
        <w:rPr>
          <w:rFonts w:ascii="Arial Bold" w:hAnsi="Arial Bold"/>
          <w:b/>
          <w:noProof/>
          <w:lang w:eastAsia="zh-CN"/>
        </w:rPr>
        <w:drawing>
          <wp:inline distT="0" distB="0" distL="0" distR="0" wp14:anchorId="37EFA4F5" wp14:editId="2429132A">
            <wp:extent cx="4895850" cy="2420234"/>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895850" cy="2420234"/>
                    </a:xfrm>
                    <a:prstGeom prst="rect">
                      <a:avLst/>
                    </a:prstGeom>
                    <a:noFill/>
                    <a:ln>
                      <a:noFill/>
                    </a:ln>
                  </pic:spPr>
                </pic:pic>
              </a:graphicData>
            </a:graphic>
          </wp:inline>
        </w:drawing>
      </w:r>
    </w:p>
    <w:p w14:paraId="59858737" w14:textId="0ED06758" w:rsidR="0080247B" w:rsidRDefault="0080247B" w:rsidP="0080247B">
      <w:pPr>
        <w:pStyle w:val="TableGraphic"/>
        <w:spacing w:before="30"/>
        <w:ind w:right="0"/>
        <w:rPr>
          <w:rFonts w:ascii="Arial" w:hAnsi="Arial" w:cs="Arial"/>
          <w:color w:val="000000"/>
          <w:sz w:val="16"/>
          <w:szCs w:val="16"/>
        </w:rPr>
      </w:pPr>
      <w:r w:rsidRPr="0080247B">
        <w:rPr>
          <w:rFonts w:ascii="Arial" w:hAnsi="Arial" w:cs="Arial"/>
          <w:color w:val="000000"/>
          <w:sz w:val="16"/>
          <w:szCs w:val="16"/>
        </w:rPr>
        <w:t>Prepared on a Government Finance Statistics (Underlying Cash) basis. Figures displayed as a negative (-) represent a decrease in funds and a positive (+) represent an increase in funds.</w:t>
      </w:r>
    </w:p>
    <w:p w14:paraId="617E9842" w14:textId="24705C21" w:rsidR="0080247B" w:rsidRPr="0080247B" w:rsidRDefault="0080247B" w:rsidP="00C8474A">
      <w:pPr>
        <w:pStyle w:val="TableHeading"/>
        <w:numPr>
          <w:ilvl w:val="0"/>
          <w:numId w:val="72"/>
        </w:numPr>
        <w:spacing w:before="60" w:after="0"/>
        <w:ind w:left="284" w:hanging="284"/>
        <w:rPr>
          <w:rFonts w:cs="Arial"/>
          <w:b w:val="0"/>
          <w:color w:val="000000"/>
          <w:sz w:val="16"/>
          <w:szCs w:val="16"/>
        </w:rPr>
      </w:pPr>
      <w:r w:rsidRPr="0080247B">
        <w:rPr>
          <w:rFonts w:cs="Arial"/>
          <w:b w:val="0"/>
          <w:color w:val="000000"/>
          <w:sz w:val="16"/>
          <w:szCs w:val="16"/>
        </w:rPr>
        <w:t xml:space="preserve">The lead entity for measure titled </w:t>
      </w:r>
      <w:r w:rsidRPr="005502F6">
        <w:rPr>
          <w:rFonts w:cs="Arial"/>
          <w:b w:val="0"/>
          <w:i/>
          <w:color w:val="000000"/>
          <w:sz w:val="16"/>
          <w:szCs w:val="16"/>
        </w:rPr>
        <w:t>Savings from External Labour, and Savings from Advertising, Travel and Legal Expenses</w:t>
      </w:r>
      <w:r w:rsidRPr="0080247B">
        <w:rPr>
          <w:rFonts w:cs="Arial"/>
          <w:b w:val="0"/>
          <w:color w:val="000000"/>
          <w:sz w:val="16"/>
          <w:szCs w:val="16"/>
        </w:rPr>
        <w:t xml:space="preserve"> is the Department of </w:t>
      </w:r>
      <w:r w:rsidR="008807AA">
        <w:rPr>
          <w:rFonts w:cs="Arial"/>
          <w:b w:val="0"/>
          <w:color w:val="000000"/>
          <w:sz w:val="16"/>
          <w:szCs w:val="16"/>
        </w:rPr>
        <w:t xml:space="preserve">the </w:t>
      </w:r>
      <w:r w:rsidRPr="0080247B">
        <w:rPr>
          <w:rFonts w:cs="Arial"/>
          <w:b w:val="0"/>
          <w:color w:val="000000"/>
          <w:sz w:val="16"/>
          <w:szCs w:val="16"/>
        </w:rPr>
        <w:t>Prime Minister and Cabinet. The full measure description and package details appear in the October Budget Paper No. 2 under the Prime Minister and Cabinet portfolio.</w:t>
      </w:r>
      <w:r w:rsidRPr="0080247B">
        <w:rPr>
          <w:rFonts w:cs="Arial"/>
          <w:b w:val="0"/>
          <w:color w:val="000000"/>
          <w:sz w:val="16"/>
          <w:szCs w:val="16"/>
        </w:rPr>
        <w:tab/>
      </w:r>
      <w:r w:rsidRPr="0080247B">
        <w:rPr>
          <w:rFonts w:cs="Arial"/>
          <w:b w:val="0"/>
          <w:color w:val="000000"/>
          <w:sz w:val="16"/>
          <w:szCs w:val="16"/>
        </w:rPr>
        <w:tab/>
      </w:r>
      <w:r w:rsidRPr="0080247B">
        <w:rPr>
          <w:rFonts w:cs="Arial"/>
          <w:b w:val="0"/>
          <w:color w:val="000000"/>
          <w:sz w:val="16"/>
          <w:szCs w:val="16"/>
        </w:rPr>
        <w:tab/>
      </w:r>
    </w:p>
    <w:p w14:paraId="3543B4DC" w14:textId="1448ABB8" w:rsidR="00912ECB" w:rsidRDefault="0080247B" w:rsidP="00C8474A">
      <w:pPr>
        <w:pStyle w:val="TableHeading"/>
        <w:numPr>
          <w:ilvl w:val="0"/>
          <w:numId w:val="72"/>
        </w:numPr>
        <w:spacing w:before="60" w:after="0"/>
        <w:ind w:left="284" w:hanging="284"/>
        <w:rPr>
          <w:rFonts w:cs="Arial"/>
          <w:b w:val="0"/>
          <w:color w:val="000000"/>
          <w:sz w:val="16"/>
          <w:szCs w:val="16"/>
        </w:rPr>
      </w:pPr>
      <w:r w:rsidRPr="0080247B">
        <w:rPr>
          <w:rFonts w:cs="Arial"/>
          <w:b w:val="0"/>
          <w:color w:val="000000"/>
          <w:sz w:val="16"/>
          <w:szCs w:val="16"/>
        </w:rPr>
        <w:t xml:space="preserve">The lead entity for measure titled </w:t>
      </w:r>
      <w:r w:rsidRPr="005502F6">
        <w:rPr>
          <w:rFonts w:cs="Arial"/>
          <w:b w:val="0"/>
          <w:i/>
          <w:color w:val="000000"/>
          <w:sz w:val="16"/>
          <w:szCs w:val="16"/>
        </w:rPr>
        <w:t>An Ambitious and Enduring APS Reform Plan</w:t>
      </w:r>
      <w:r w:rsidRPr="0080247B">
        <w:rPr>
          <w:rFonts w:cs="Arial"/>
          <w:b w:val="0"/>
          <w:color w:val="000000"/>
          <w:sz w:val="16"/>
          <w:szCs w:val="16"/>
        </w:rPr>
        <w:t xml:space="preserve"> is the Department of </w:t>
      </w:r>
      <w:r w:rsidR="008807AA">
        <w:rPr>
          <w:rFonts w:cs="Arial"/>
          <w:b w:val="0"/>
          <w:color w:val="000000"/>
          <w:sz w:val="16"/>
          <w:szCs w:val="16"/>
        </w:rPr>
        <w:t xml:space="preserve">the </w:t>
      </w:r>
      <w:r w:rsidRPr="0080247B">
        <w:rPr>
          <w:rFonts w:cs="Arial"/>
          <w:b w:val="0"/>
          <w:color w:val="000000"/>
          <w:sz w:val="16"/>
          <w:szCs w:val="16"/>
        </w:rPr>
        <w:t>Prime Minister and Cabinet. The full measure description and package details appear in the October Budget Paper No. 2 under the Prime Minster and Cabinet portfolio.</w:t>
      </w:r>
    </w:p>
    <w:p w14:paraId="27754275" w14:textId="5CA17AD6" w:rsidR="003262E0" w:rsidRDefault="00912ECB" w:rsidP="00C8474A">
      <w:pPr>
        <w:pStyle w:val="TableHeading"/>
        <w:numPr>
          <w:ilvl w:val="0"/>
          <w:numId w:val="72"/>
        </w:numPr>
        <w:spacing w:before="60" w:after="0"/>
        <w:ind w:left="284" w:hanging="284"/>
        <w:rPr>
          <w:rFonts w:cs="Arial"/>
          <w:b w:val="0"/>
          <w:color w:val="000000"/>
          <w:sz w:val="16"/>
          <w:szCs w:val="16"/>
        </w:rPr>
      </w:pPr>
      <w:r w:rsidRPr="00912ECB">
        <w:rPr>
          <w:rFonts w:cs="Arial"/>
          <w:b w:val="0"/>
          <w:color w:val="000000"/>
          <w:sz w:val="16"/>
          <w:szCs w:val="16"/>
        </w:rPr>
        <w:t xml:space="preserve">The lead entity for measure titled </w:t>
      </w:r>
      <w:r w:rsidR="00A07570">
        <w:rPr>
          <w:rFonts w:cs="Arial"/>
          <w:b w:val="0"/>
          <w:i/>
          <w:color w:val="000000"/>
          <w:sz w:val="16"/>
          <w:szCs w:val="16"/>
        </w:rPr>
        <w:t>Delivery of a First</w:t>
      </w:r>
      <w:r w:rsidRPr="00912ECB">
        <w:rPr>
          <w:rFonts w:cs="Arial"/>
          <w:b w:val="0"/>
          <w:i/>
          <w:color w:val="000000"/>
          <w:sz w:val="16"/>
          <w:szCs w:val="16"/>
        </w:rPr>
        <w:t xml:space="preserve"> Nations Voice to Parliament Refe</w:t>
      </w:r>
      <w:r w:rsidR="006563F3">
        <w:rPr>
          <w:rFonts w:cs="Arial"/>
          <w:b w:val="0"/>
          <w:i/>
          <w:color w:val="000000"/>
          <w:sz w:val="16"/>
          <w:szCs w:val="16"/>
        </w:rPr>
        <w:t xml:space="preserve">rendum </w:t>
      </w:r>
      <w:r w:rsidR="006563F3">
        <w:rPr>
          <w:rFonts w:cs="Arial"/>
          <w:i/>
          <w:sz w:val="16"/>
          <w:szCs w:val="16"/>
        </w:rPr>
        <w:t>–</w:t>
      </w:r>
      <w:r w:rsidR="006563F3" w:rsidRPr="00471520">
        <w:rPr>
          <w:rFonts w:cs="Arial"/>
          <w:i/>
          <w:sz w:val="16"/>
          <w:szCs w:val="16"/>
        </w:rPr>
        <w:t xml:space="preserve"> </w:t>
      </w:r>
      <w:r w:rsidRPr="00912ECB">
        <w:rPr>
          <w:rFonts w:cs="Arial"/>
          <w:b w:val="0"/>
          <w:i/>
          <w:color w:val="000000"/>
          <w:sz w:val="16"/>
          <w:szCs w:val="16"/>
        </w:rPr>
        <w:t>preparatory work</w:t>
      </w:r>
      <w:r w:rsidRPr="00912ECB">
        <w:rPr>
          <w:rFonts w:cs="Arial"/>
          <w:b w:val="0"/>
          <w:color w:val="000000"/>
          <w:sz w:val="16"/>
          <w:szCs w:val="16"/>
        </w:rPr>
        <w:t xml:space="preserve"> is the Australian Electoral Commission. The full measure description and package details appear in the Octob</w:t>
      </w:r>
      <w:r w:rsidR="008807AA">
        <w:rPr>
          <w:rFonts w:cs="Arial"/>
          <w:b w:val="0"/>
          <w:color w:val="000000"/>
          <w:sz w:val="16"/>
          <w:szCs w:val="16"/>
        </w:rPr>
        <w:t xml:space="preserve">er Budget Paper No. 2 under the Prime Minister and Cabinet </w:t>
      </w:r>
      <w:r w:rsidRPr="00912ECB">
        <w:rPr>
          <w:rFonts w:cs="Arial"/>
          <w:b w:val="0"/>
          <w:color w:val="000000"/>
          <w:sz w:val="16"/>
          <w:szCs w:val="16"/>
        </w:rPr>
        <w:t>portfolio.</w:t>
      </w:r>
    </w:p>
    <w:p w14:paraId="6C1942D4" w14:textId="07C83A67" w:rsidR="0080247B" w:rsidRPr="003262E0" w:rsidRDefault="003262E0" w:rsidP="00C8474A">
      <w:pPr>
        <w:pStyle w:val="TableHeading"/>
        <w:numPr>
          <w:ilvl w:val="0"/>
          <w:numId w:val="72"/>
        </w:numPr>
        <w:spacing w:before="60" w:after="0"/>
        <w:ind w:left="284" w:hanging="284"/>
        <w:rPr>
          <w:rFonts w:cs="Arial"/>
          <w:b w:val="0"/>
          <w:color w:val="000000"/>
          <w:sz w:val="16"/>
          <w:szCs w:val="16"/>
        </w:rPr>
      </w:pPr>
      <w:r w:rsidRPr="003262E0">
        <w:rPr>
          <w:rFonts w:cs="Arial"/>
          <w:b w:val="0"/>
          <w:color w:val="000000"/>
          <w:sz w:val="16"/>
          <w:szCs w:val="16"/>
        </w:rPr>
        <w:t>This is a cross-portfolio measure. More details can be found in the October Budget Paper No. 2.</w:t>
      </w:r>
    </w:p>
    <w:p w14:paraId="508DBFAC" w14:textId="77777777" w:rsidR="0080247B" w:rsidRPr="0080247B" w:rsidRDefault="0080247B" w:rsidP="0080247B"/>
    <w:p w14:paraId="2239E3C3" w14:textId="1E69BD07" w:rsidR="00BF0558" w:rsidRPr="0080247B" w:rsidRDefault="00BF0558" w:rsidP="00FD28F1">
      <w:pPr>
        <w:pStyle w:val="Heading2"/>
        <w:rPr>
          <w:rFonts w:ascii="Arial" w:hAnsi="Arial" w:cs="Arial"/>
          <w:color w:val="000000"/>
          <w:sz w:val="16"/>
          <w:szCs w:val="16"/>
        </w:rPr>
      </w:pPr>
      <w:r>
        <w:br w:type="page"/>
      </w:r>
      <w:bookmarkStart w:id="121" w:name="_Toc117070795"/>
      <w:bookmarkStart w:id="122" w:name="_Toc117071049"/>
      <w:bookmarkStart w:id="123" w:name="_Toc117078083"/>
      <w:r w:rsidRPr="00810C6A">
        <w:lastRenderedPageBreak/>
        <w:t>Section 2: Outcomes and planned performance</w:t>
      </w:r>
      <w:bookmarkEnd w:id="121"/>
      <w:bookmarkEnd w:id="122"/>
      <w:bookmarkEnd w:id="123"/>
    </w:p>
    <w:p w14:paraId="7B53773E" w14:textId="77777777" w:rsidR="00970F9F" w:rsidRPr="00970F9F" w:rsidRDefault="00970F9F" w:rsidP="00970F9F">
      <w:pPr>
        <w:rPr>
          <w:szCs w:val="19"/>
        </w:rPr>
      </w:pPr>
      <w:r w:rsidRPr="00970F9F">
        <w:rPr>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239E3C5" w14:textId="4C1284E7" w:rsidR="00BF0558" w:rsidRPr="0000210F" w:rsidRDefault="00970F9F" w:rsidP="00970F9F">
      <w:pPr>
        <w:rPr>
          <w:i/>
          <w:color w:val="FF0000"/>
          <w:szCs w:val="19"/>
        </w:rPr>
      </w:pPr>
      <w:r w:rsidRPr="00970F9F">
        <w:rPr>
          <w:szCs w:val="19"/>
        </w:rPr>
        <w:t>Each outcome is described below together with its related programs. The following provides detailed information on expenses for each outcome and program, further broken down by funding source.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BF0558" w:rsidRPr="001C6402" w14:paraId="2239E3CA" w14:textId="77777777" w:rsidTr="004D5C6C">
        <w:tc>
          <w:tcPr>
            <w:tcW w:w="7700" w:type="dxa"/>
            <w:shd w:val="clear" w:color="auto" w:fill="auto"/>
          </w:tcPr>
          <w:p w14:paraId="2BD4EC99" w14:textId="77777777" w:rsidR="00970F9F" w:rsidRPr="00970F9F" w:rsidRDefault="00970F9F" w:rsidP="00970F9F">
            <w:pPr>
              <w:spacing w:before="120" w:after="120" w:line="240" w:lineRule="auto"/>
              <w:jc w:val="both"/>
              <w:rPr>
                <w:b/>
              </w:rPr>
            </w:pPr>
            <w:r w:rsidRPr="00970F9F">
              <w:rPr>
                <w:b/>
              </w:rPr>
              <w:t>Note:</w:t>
            </w:r>
          </w:p>
          <w:p w14:paraId="228581ED" w14:textId="77777777" w:rsidR="00970F9F" w:rsidRPr="00970F9F" w:rsidRDefault="00970F9F" w:rsidP="00970F9F">
            <w:pPr>
              <w:jc w:val="both"/>
            </w:pPr>
            <w:r w:rsidRPr="00970F9F">
              <w:t xml:space="preserve">Performance reporting requirements in the Portfolio Budget Statements are part of the Commonwealth performance framework established by the </w:t>
            </w:r>
            <w:r w:rsidRPr="00970F9F">
              <w:rPr>
                <w:i/>
              </w:rPr>
              <w:t>Public Governance, Performance and Accountability Act 2013</w:t>
            </w:r>
            <w:r w:rsidRPr="00970F9F">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76D61A7D" w14:textId="0A0BD8A8" w:rsidR="00970F9F" w:rsidRPr="00970F9F" w:rsidRDefault="00970F9F" w:rsidP="00970F9F">
            <w:pPr>
              <w:jc w:val="both"/>
              <w:rPr>
                <w:u w:val="single"/>
              </w:rPr>
            </w:pPr>
            <w:r w:rsidRPr="00970F9F">
              <w:t>The most rece</w:t>
            </w:r>
            <w:r>
              <w:t>nt corporate plan for Australian Electoral Commission</w:t>
            </w:r>
            <w:r w:rsidRPr="00970F9F">
              <w:t xml:space="preserve"> can be found at: </w:t>
            </w:r>
            <w:r w:rsidRPr="00970F9F">
              <w:rPr>
                <w:u w:val="single"/>
              </w:rPr>
              <w:t>AEC Corporate Plan 2022-23.</w:t>
            </w:r>
          </w:p>
          <w:p w14:paraId="2239E3C9" w14:textId="0EC332DC" w:rsidR="00BF0558" w:rsidRPr="001C6402" w:rsidRDefault="00970F9F" w:rsidP="00970F9F">
            <w:pPr>
              <w:jc w:val="both"/>
            </w:pPr>
            <w:r w:rsidRPr="00970F9F">
              <w:t xml:space="preserve">The most recent annual performance statement can be found at: </w:t>
            </w:r>
            <w:r w:rsidRPr="00970F9F">
              <w:rPr>
                <w:u w:val="single"/>
              </w:rPr>
              <w:t>2020-21 Annual Performance Statements.</w:t>
            </w:r>
          </w:p>
        </w:tc>
      </w:tr>
    </w:tbl>
    <w:p w14:paraId="37CF4626" w14:textId="77777777" w:rsidR="00C46008" w:rsidRDefault="00C46008" w:rsidP="004D5C6C">
      <w:pPr>
        <w:pStyle w:val="Heading3"/>
      </w:pPr>
      <w:r>
        <w:br w:type="page"/>
      </w:r>
    </w:p>
    <w:p w14:paraId="2239E3CD" w14:textId="19D5BD63" w:rsidR="00BF0558" w:rsidRPr="00F743D8" w:rsidRDefault="00BF0558" w:rsidP="004D5C6C">
      <w:pPr>
        <w:pStyle w:val="Heading3"/>
      </w:pPr>
      <w:bookmarkStart w:id="124" w:name="_Toc117070796"/>
      <w:bookmarkStart w:id="125" w:name="_Toc117071050"/>
      <w:bookmarkStart w:id="126" w:name="_Toc117078084"/>
      <w:r>
        <w:lastRenderedPageBreak/>
        <w:t>2.1</w:t>
      </w:r>
      <w:r w:rsidRPr="00F743D8">
        <w:t xml:space="preserve"> </w:t>
      </w:r>
      <w:r w:rsidRPr="00F743D8">
        <w:tab/>
        <w:t xml:space="preserve">Budgeted expenses and performance for Outcome </w:t>
      </w:r>
      <w:r>
        <w:t>1</w:t>
      </w:r>
      <w:bookmarkEnd w:id="124"/>
      <w:bookmarkEnd w:id="125"/>
      <w:bookmarkEnd w:id="126"/>
    </w:p>
    <w:tbl>
      <w:tblPr>
        <w:tblW w:w="7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BF0558" w:rsidRPr="001C6402" w14:paraId="2239E3CF" w14:textId="77777777" w:rsidTr="00DB35A1">
        <w:tc>
          <w:tcPr>
            <w:tcW w:w="7705" w:type="dxa"/>
            <w:shd w:val="clear" w:color="auto" w:fill="E6E6E6"/>
          </w:tcPr>
          <w:p w14:paraId="2239E3CE" w14:textId="4464C4A1" w:rsidR="00BF0558" w:rsidRPr="005E6F2B" w:rsidRDefault="00FB2522" w:rsidP="004D5C6C">
            <w:pPr>
              <w:pStyle w:val="TableColumnHeadingLeft"/>
            </w:pPr>
            <w:r w:rsidRPr="00FB2522">
              <w:t>Outcome 1: Maintain an impartial and independent electoral system for eligible voters through active electoral roll management, efficient delivery of polling services, and targeted education and public awareness programs.</w:t>
            </w:r>
          </w:p>
        </w:tc>
      </w:tr>
    </w:tbl>
    <w:p w14:paraId="2239E3D0" w14:textId="77777777" w:rsidR="00BF0558" w:rsidRPr="005E6F2B" w:rsidRDefault="00BF0558" w:rsidP="004D5C6C">
      <w:pPr>
        <w:pStyle w:val="NoSpacing"/>
      </w:pPr>
    </w:p>
    <w:p w14:paraId="2239E3D1" w14:textId="77777777" w:rsidR="00BF0558" w:rsidRPr="00446612" w:rsidRDefault="00BF0558" w:rsidP="004D5C6C">
      <w:pPr>
        <w:pStyle w:val="Heading5"/>
      </w:pPr>
      <w:r w:rsidRPr="00446612">
        <w:t xml:space="preserve">Budgeted expenses for Outcome </w:t>
      </w:r>
      <w:r>
        <w:t>1</w:t>
      </w:r>
    </w:p>
    <w:p w14:paraId="2239E3D3" w14:textId="40227721" w:rsidR="00BF0558" w:rsidRDefault="00FB2522" w:rsidP="004D5C6C">
      <w:r w:rsidRPr="00FB2522">
        <w:rPr>
          <w:szCs w:val="19"/>
        </w:rPr>
        <w:t>This table shows how much the entity intends to spend (on an accrual basis) on achieving the outcome, broken down by program, as well as by Administered and Departmental funding sources.</w:t>
      </w:r>
      <w:r w:rsidR="00BF0558">
        <w:br w:type="page"/>
      </w:r>
    </w:p>
    <w:p w14:paraId="2239E3D5" w14:textId="4EE0FD9E" w:rsidR="00BF0558" w:rsidRDefault="00BF0558" w:rsidP="00FB2522">
      <w:pPr>
        <w:pStyle w:val="TableHeading"/>
      </w:pPr>
      <w:r w:rsidRPr="006E4DF1">
        <w:lastRenderedPageBreak/>
        <w:t>Table 2.</w:t>
      </w:r>
      <w:r>
        <w:t>1</w:t>
      </w:r>
      <w:r w:rsidRPr="006E4DF1">
        <w:t xml:space="preserve">.1: Budgeted expenses for Outcome </w:t>
      </w:r>
      <w:r>
        <w:t>1</w:t>
      </w:r>
      <w:r w:rsidR="00FB2522" w:rsidRPr="00FB2522">
        <w:rPr>
          <w:b w:val="0"/>
        </w:rPr>
        <w:t xml:space="preserve"> </w:t>
      </w:r>
      <w:r w:rsidR="00FB2522" w:rsidRPr="00FB2522">
        <w:rPr>
          <w:noProof/>
          <w:lang w:eastAsia="zh-CN"/>
        </w:rPr>
        <w:drawing>
          <wp:inline distT="0" distB="0" distL="0" distR="0" wp14:anchorId="68E67A92" wp14:editId="0F33DB69">
            <wp:extent cx="4895850" cy="5065107"/>
            <wp:effectExtent l="0" t="0" r="0" b="254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895850" cy="5065107"/>
                    </a:xfrm>
                    <a:prstGeom prst="rect">
                      <a:avLst/>
                    </a:prstGeom>
                    <a:noFill/>
                    <a:ln>
                      <a:noFill/>
                    </a:ln>
                  </pic:spPr>
                </pic:pic>
              </a:graphicData>
            </a:graphic>
          </wp:inline>
        </w:drawing>
      </w:r>
    </w:p>
    <w:p w14:paraId="2239E3D6" w14:textId="4FBE97FB" w:rsidR="00BF0558" w:rsidRPr="00950281" w:rsidRDefault="00BF0558" w:rsidP="00C8474A">
      <w:pPr>
        <w:pStyle w:val="ChartandTableFootnoteAlpha"/>
        <w:numPr>
          <w:ilvl w:val="0"/>
          <w:numId w:val="30"/>
        </w:numPr>
        <w:spacing w:before="60"/>
        <w:ind w:left="284" w:hanging="284"/>
      </w:pPr>
      <w:r w:rsidRPr="00950281">
        <w:t>E</w:t>
      </w:r>
      <w:r>
        <w:t>stimated e</w:t>
      </w:r>
      <w:r w:rsidRPr="00950281">
        <w:t xml:space="preserve">xpenses </w:t>
      </w:r>
      <w:r>
        <w:t xml:space="preserve">incurred in relation to receipts retained under section 74 of the </w:t>
      </w:r>
      <w:r w:rsidR="00803024" w:rsidRPr="00803024">
        <w:t>PGPA Act.</w:t>
      </w:r>
    </w:p>
    <w:p w14:paraId="2239E3D7" w14:textId="77777777" w:rsidR="00BF0558" w:rsidRDefault="00BF0558" w:rsidP="00C8474A">
      <w:pPr>
        <w:pStyle w:val="ChartandTableFootnoteAlpha"/>
        <w:numPr>
          <w:ilvl w:val="0"/>
          <w:numId w:val="30"/>
        </w:numPr>
        <w:spacing w:before="60"/>
        <w:ind w:left="284" w:hanging="284"/>
      </w:pPr>
      <w:r w:rsidRPr="00950281">
        <w:t>Expenses not requiring appropriation in the Budget year are made up of depreciation expenses, amortisation expenses, make good expenses</w:t>
      </w:r>
      <w:r>
        <w:t xml:space="preserve"> and </w:t>
      </w:r>
      <w:r w:rsidRPr="00950281">
        <w:t>audit fees.</w:t>
      </w:r>
    </w:p>
    <w:p w14:paraId="2239E3D8" w14:textId="77777777" w:rsidR="00BF0558" w:rsidRPr="00446612" w:rsidRDefault="00BF0558" w:rsidP="00FB2522">
      <w:pPr>
        <w:pStyle w:val="ChartandTableFootnote"/>
      </w:pPr>
      <w:r w:rsidRPr="00446612">
        <w:t>Note: Departmental appropriation splits and totals are indicative estimates and may change in the course of the budget year as government priorities change.</w:t>
      </w:r>
    </w:p>
    <w:p w14:paraId="2239E3D9" w14:textId="77777777" w:rsidR="00BF0558" w:rsidRDefault="00BF0558" w:rsidP="004D5C6C"/>
    <w:p w14:paraId="2239E3DA" w14:textId="77777777" w:rsidR="00BF0558" w:rsidRDefault="00BF0558" w:rsidP="004D5C6C">
      <w:pPr>
        <w:pStyle w:val="TableHeading"/>
        <w:rPr>
          <w:b w:val="0"/>
          <w:color w:val="FF0000"/>
        </w:rPr>
      </w:pPr>
      <w:r>
        <w:br w:type="page"/>
      </w:r>
    </w:p>
    <w:p w14:paraId="2239E3DB" w14:textId="77777777" w:rsidR="00BF0558" w:rsidRPr="00F71634" w:rsidRDefault="00BF0558" w:rsidP="004D5C6C">
      <w:pPr>
        <w:pStyle w:val="TableHeading"/>
      </w:pPr>
      <w:r w:rsidRPr="00F71634">
        <w:lastRenderedPageBreak/>
        <w:t>Table 2.</w:t>
      </w:r>
      <w:r>
        <w:t>1</w:t>
      </w:r>
      <w:r w:rsidRPr="00F71634">
        <w:t>.</w:t>
      </w:r>
      <w:r>
        <w:t>2</w:t>
      </w:r>
      <w:r w:rsidRPr="00F71634">
        <w:t xml:space="preserve">: Performance </w:t>
      </w:r>
      <w:r>
        <w:t>measure</w:t>
      </w:r>
      <w:r w:rsidRPr="00F71634">
        <w:t xml:space="preserve"> for Outcome </w:t>
      </w:r>
      <w:r>
        <w:t>1</w:t>
      </w:r>
    </w:p>
    <w:p w14:paraId="2239E3DC" w14:textId="6287483C" w:rsidR="00BF0558" w:rsidRDefault="00587E5A" w:rsidP="00587E5A">
      <w:r w:rsidRPr="00587E5A">
        <w:t>Table 2.1.2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p>
    <w:tbl>
      <w:tblPr>
        <w:tblW w:w="7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7"/>
      </w:tblGrid>
      <w:tr w:rsidR="00AF3379" w:rsidRPr="00131776" w14:paraId="2239E3DE" w14:textId="77777777" w:rsidTr="00A75089">
        <w:trPr>
          <w:trHeight w:val="569"/>
        </w:trPr>
        <w:tc>
          <w:tcPr>
            <w:tcW w:w="7795" w:type="dxa"/>
            <w:gridSpan w:val="3"/>
            <w:shd w:val="clear" w:color="auto" w:fill="F2F2F2"/>
          </w:tcPr>
          <w:p w14:paraId="2239E3DD" w14:textId="6B496A54" w:rsidR="00AF3379" w:rsidRPr="00131776" w:rsidRDefault="00587E5A" w:rsidP="00A75089">
            <w:pPr>
              <w:pStyle w:val="TableColumnHeadingLeft"/>
              <w:spacing w:before="60" w:after="60"/>
              <w:rPr>
                <w:rFonts w:ascii="Arial" w:hAnsi="Arial" w:cs="Arial"/>
              </w:rPr>
            </w:pPr>
            <w:r w:rsidRPr="00587E5A">
              <w:rPr>
                <w:rStyle w:val="TableHeadingChar"/>
                <w:rFonts w:cs="Arial"/>
                <w:b/>
              </w:rPr>
              <w:t>Outcome 1 – Maintain an impartial and independent electoral system for eligible voters through active electoral roll management, efficient delivery of polling services, and targeted education and public awareness programs.</w:t>
            </w:r>
          </w:p>
        </w:tc>
      </w:tr>
      <w:tr w:rsidR="00AF3379" w:rsidRPr="001B2F81" w14:paraId="2239E3E1" w14:textId="77777777" w:rsidTr="007C2B56">
        <w:trPr>
          <w:trHeight w:val="510"/>
        </w:trPr>
        <w:tc>
          <w:tcPr>
            <w:tcW w:w="7795" w:type="dxa"/>
            <w:gridSpan w:val="3"/>
            <w:shd w:val="clear" w:color="auto" w:fill="F2F2F2"/>
          </w:tcPr>
          <w:p w14:paraId="2239E3DF" w14:textId="77777777" w:rsidR="00AF3379" w:rsidRPr="00C41058" w:rsidRDefault="00AF3379" w:rsidP="00A75089">
            <w:pPr>
              <w:pStyle w:val="TableTextLeft"/>
              <w:spacing w:before="60" w:after="60"/>
              <w:rPr>
                <w:rFonts w:eastAsia="Arial"/>
                <w:b/>
              </w:rPr>
            </w:pPr>
            <w:r w:rsidRPr="00C41058">
              <w:rPr>
                <w:b/>
              </w:rPr>
              <w:t xml:space="preserve">Program </w:t>
            </w:r>
            <w:r>
              <w:rPr>
                <w:b/>
              </w:rPr>
              <w:t>1</w:t>
            </w:r>
            <w:r w:rsidRPr="00C41058">
              <w:rPr>
                <w:b/>
              </w:rPr>
              <w:t>.</w:t>
            </w:r>
            <w:r>
              <w:rPr>
                <w:b/>
              </w:rPr>
              <w:t>1</w:t>
            </w:r>
            <w:r w:rsidRPr="00C41058">
              <w:rPr>
                <w:b/>
              </w:rPr>
              <w:t xml:space="preserve">- </w:t>
            </w:r>
            <w:r>
              <w:rPr>
                <w:b/>
              </w:rPr>
              <w:t>Deliver Electoral Events</w:t>
            </w:r>
          </w:p>
          <w:p w14:paraId="2239E3E0" w14:textId="77777777" w:rsidR="00AF3379" w:rsidRPr="001B2F81" w:rsidRDefault="00AF3379" w:rsidP="00A75089">
            <w:pPr>
              <w:pStyle w:val="TableTextLeft"/>
              <w:spacing w:before="60" w:after="60"/>
            </w:pPr>
          </w:p>
        </w:tc>
      </w:tr>
      <w:tr w:rsidR="00AF3379" w:rsidRPr="00CE559F" w14:paraId="2239E3E7" w14:textId="77777777" w:rsidTr="00A75089">
        <w:trPr>
          <w:trHeight w:val="694"/>
        </w:trPr>
        <w:tc>
          <w:tcPr>
            <w:tcW w:w="1560" w:type="dxa"/>
            <w:tcBorders>
              <w:bottom w:val="double" w:sz="4" w:space="0" w:color="auto"/>
            </w:tcBorders>
          </w:tcPr>
          <w:p w14:paraId="2239E3E2" w14:textId="77777777" w:rsidR="00AF3379" w:rsidRPr="00160C23" w:rsidRDefault="00AF3379" w:rsidP="00A75089">
            <w:pPr>
              <w:pStyle w:val="TableColumnHeadingLeft"/>
              <w:spacing w:before="60" w:after="60"/>
            </w:pPr>
            <w:r w:rsidRPr="00160C23">
              <w:t xml:space="preserve">Key Activities </w:t>
            </w:r>
          </w:p>
        </w:tc>
        <w:tc>
          <w:tcPr>
            <w:tcW w:w="6235" w:type="dxa"/>
            <w:gridSpan w:val="2"/>
            <w:tcBorders>
              <w:bottom w:val="double" w:sz="4" w:space="0" w:color="auto"/>
            </w:tcBorders>
          </w:tcPr>
          <w:p w14:paraId="3787F39E" w14:textId="77777777" w:rsidR="00587E5A" w:rsidRPr="00587E5A" w:rsidRDefault="00587E5A" w:rsidP="00C8474A">
            <w:pPr>
              <w:numPr>
                <w:ilvl w:val="0"/>
                <w:numId w:val="66"/>
              </w:numPr>
              <w:autoSpaceDE w:val="0"/>
              <w:autoSpaceDN w:val="0"/>
              <w:spacing w:before="60" w:after="60" w:line="240" w:lineRule="auto"/>
              <w:ind w:left="527" w:hanging="357"/>
              <w:contextualSpacing/>
              <w:rPr>
                <w:rFonts w:ascii="Arial" w:hAnsi="Arial" w:cs="Arial"/>
                <w:sz w:val="16"/>
                <w:szCs w:val="16"/>
              </w:rPr>
            </w:pPr>
            <w:r w:rsidRPr="00587E5A">
              <w:rPr>
                <w:rFonts w:ascii="Arial" w:hAnsi="Arial" w:cs="Arial"/>
                <w:sz w:val="16"/>
                <w:szCs w:val="16"/>
              </w:rPr>
              <w:t>maintain the integrity of electoral and regulatory processes</w:t>
            </w:r>
          </w:p>
          <w:p w14:paraId="7599C2FF" w14:textId="77777777" w:rsidR="00587E5A" w:rsidRPr="00587E5A" w:rsidRDefault="00587E5A" w:rsidP="00C8474A">
            <w:pPr>
              <w:numPr>
                <w:ilvl w:val="0"/>
                <w:numId w:val="66"/>
              </w:numPr>
              <w:autoSpaceDE w:val="0"/>
              <w:autoSpaceDN w:val="0"/>
              <w:spacing w:before="60" w:after="60" w:line="240" w:lineRule="auto"/>
              <w:ind w:left="527" w:hanging="357"/>
              <w:contextualSpacing/>
              <w:rPr>
                <w:rFonts w:ascii="Arial" w:hAnsi="Arial" w:cs="Arial"/>
                <w:sz w:val="16"/>
                <w:szCs w:val="16"/>
              </w:rPr>
            </w:pPr>
            <w:r w:rsidRPr="00587E5A">
              <w:rPr>
                <w:rFonts w:ascii="Arial" w:hAnsi="Arial" w:cs="Arial"/>
                <w:sz w:val="16"/>
                <w:szCs w:val="16"/>
              </w:rPr>
              <w:t>prepare for and deliver electoral events</w:t>
            </w:r>
          </w:p>
          <w:p w14:paraId="26DA9F3C" w14:textId="77777777" w:rsidR="00587E5A" w:rsidRPr="00587E5A" w:rsidRDefault="00587E5A" w:rsidP="00C8474A">
            <w:pPr>
              <w:numPr>
                <w:ilvl w:val="0"/>
                <w:numId w:val="66"/>
              </w:numPr>
              <w:autoSpaceDE w:val="0"/>
              <w:autoSpaceDN w:val="0"/>
              <w:spacing w:before="60" w:after="60" w:line="240" w:lineRule="auto"/>
              <w:ind w:left="527" w:hanging="357"/>
              <w:contextualSpacing/>
              <w:rPr>
                <w:rFonts w:ascii="Arial" w:hAnsi="Arial" w:cs="Arial"/>
                <w:sz w:val="16"/>
                <w:szCs w:val="16"/>
              </w:rPr>
            </w:pPr>
            <w:r w:rsidRPr="00587E5A">
              <w:rPr>
                <w:rFonts w:ascii="Arial" w:hAnsi="Arial" w:cs="Arial"/>
                <w:sz w:val="16"/>
                <w:szCs w:val="16"/>
              </w:rPr>
              <w:t>engage with our stakeholders through education and public awareness activities</w:t>
            </w:r>
          </w:p>
          <w:p w14:paraId="2239E3E6" w14:textId="2C1B782C" w:rsidR="00AF3379" w:rsidRPr="00CE559F" w:rsidRDefault="00587E5A" w:rsidP="00C8474A">
            <w:pPr>
              <w:numPr>
                <w:ilvl w:val="0"/>
                <w:numId w:val="66"/>
              </w:numPr>
              <w:autoSpaceDE w:val="0"/>
              <w:autoSpaceDN w:val="0"/>
              <w:spacing w:before="60" w:after="60" w:line="240" w:lineRule="auto"/>
              <w:ind w:left="527" w:hanging="357"/>
              <w:contextualSpacing/>
              <w:rPr>
                <w:rFonts w:ascii="Arial" w:hAnsi="Arial" w:cs="Arial"/>
                <w:sz w:val="16"/>
                <w:szCs w:val="16"/>
              </w:rPr>
            </w:pPr>
            <w:r w:rsidRPr="00587E5A">
              <w:rPr>
                <w:rFonts w:ascii="Arial" w:hAnsi="Arial" w:cs="Arial"/>
                <w:sz w:val="16"/>
                <w:szCs w:val="16"/>
              </w:rPr>
              <w:t>maintain a capable and agile organisation and continue to professionalise our workforce.</w:t>
            </w:r>
          </w:p>
        </w:tc>
      </w:tr>
      <w:tr w:rsidR="00AF3379" w:rsidRPr="00160C23" w14:paraId="2239E3EB" w14:textId="77777777" w:rsidTr="00A75089">
        <w:trPr>
          <w:trHeight w:val="258"/>
        </w:trPr>
        <w:tc>
          <w:tcPr>
            <w:tcW w:w="1560" w:type="dxa"/>
            <w:tcBorders>
              <w:top w:val="double" w:sz="4" w:space="0" w:color="auto"/>
              <w:bottom w:val="single" w:sz="4" w:space="0" w:color="auto"/>
              <w:right w:val="single" w:sz="4" w:space="0" w:color="auto"/>
            </w:tcBorders>
          </w:tcPr>
          <w:p w14:paraId="2239E3E8" w14:textId="77777777" w:rsidR="00AF3379" w:rsidRPr="00160C23" w:rsidRDefault="00AF3379" w:rsidP="00A75089">
            <w:pPr>
              <w:pStyle w:val="TableColumnHeadingLeft"/>
              <w:spacing w:before="60" w:after="60"/>
            </w:pPr>
            <w:r w:rsidRPr="00160C23">
              <w:t>Year</w:t>
            </w:r>
          </w:p>
        </w:tc>
        <w:tc>
          <w:tcPr>
            <w:tcW w:w="3118" w:type="dxa"/>
            <w:tcBorders>
              <w:top w:val="double" w:sz="4" w:space="0" w:color="auto"/>
              <w:left w:val="single" w:sz="4" w:space="0" w:color="auto"/>
              <w:bottom w:val="single" w:sz="4" w:space="0" w:color="auto"/>
              <w:right w:val="single" w:sz="4" w:space="0" w:color="auto"/>
            </w:tcBorders>
          </w:tcPr>
          <w:p w14:paraId="2239E3E9" w14:textId="77777777" w:rsidR="00AF3379" w:rsidRPr="00160C23" w:rsidRDefault="00AF3379" w:rsidP="00A75089">
            <w:pPr>
              <w:pStyle w:val="TableColumnHeadingLeft"/>
              <w:spacing w:before="60" w:after="60"/>
              <w:rPr>
                <w:rFonts w:cs="Arial"/>
              </w:rPr>
            </w:pPr>
            <w:r w:rsidRPr="00160C23">
              <w:rPr>
                <w:rFonts w:cs="Arial"/>
              </w:rPr>
              <w:t>Performance measures</w:t>
            </w:r>
          </w:p>
        </w:tc>
        <w:tc>
          <w:tcPr>
            <w:tcW w:w="3117" w:type="dxa"/>
            <w:tcBorders>
              <w:top w:val="double" w:sz="4" w:space="0" w:color="auto"/>
              <w:left w:val="single" w:sz="4" w:space="0" w:color="auto"/>
              <w:bottom w:val="single" w:sz="4" w:space="0" w:color="auto"/>
            </w:tcBorders>
          </w:tcPr>
          <w:p w14:paraId="2239E3EA" w14:textId="77777777" w:rsidR="00AF3379" w:rsidRPr="00160C23" w:rsidRDefault="00AF3379" w:rsidP="00A75089">
            <w:pPr>
              <w:pStyle w:val="TableColumnHeadingLeft"/>
              <w:spacing w:before="60" w:after="60"/>
              <w:rPr>
                <w:rFonts w:cs="Arial"/>
              </w:rPr>
            </w:pPr>
            <w:r w:rsidRPr="00160C23">
              <w:rPr>
                <w:rFonts w:cs="Arial"/>
              </w:rPr>
              <w:t>Expected Performance Results</w:t>
            </w:r>
          </w:p>
        </w:tc>
      </w:tr>
      <w:tr w:rsidR="00AF3379" w:rsidRPr="00A04CCB" w14:paraId="2239E3F6" w14:textId="77777777" w:rsidTr="00A75089">
        <w:trPr>
          <w:trHeight w:val="642"/>
        </w:trPr>
        <w:tc>
          <w:tcPr>
            <w:tcW w:w="1560" w:type="dxa"/>
            <w:tcBorders>
              <w:top w:val="single" w:sz="4" w:space="0" w:color="auto"/>
              <w:bottom w:val="nil"/>
              <w:right w:val="single" w:sz="4" w:space="0" w:color="auto"/>
            </w:tcBorders>
          </w:tcPr>
          <w:p w14:paraId="2239E3EC" w14:textId="77777777" w:rsidR="00AF3379" w:rsidRPr="00160C23" w:rsidRDefault="00AF3379" w:rsidP="00A75089">
            <w:pPr>
              <w:pStyle w:val="TableTextLeft"/>
              <w:spacing w:before="60" w:after="60"/>
            </w:pPr>
            <w:r>
              <w:t>Prior</w:t>
            </w:r>
            <w:r w:rsidRPr="00160C23">
              <w:t xml:space="preserve"> year </w:t>
            </w:r>
          </w:p>
          <w:p w14:paraId="2239E3ED" w14:textId="77777777" w:rsidR="00AF3379" w:rsidRDefault="00AF3379" w:rsidP="00A75089">
            <w:pPr>
              <w:pStyle w:val="TableTextLeft"/>
              <w:spacing w:before="60" w:after="60"/>
            </w:pPr>
          </w:p>
          <w:p w14:paraId="2239E3EE" w14:textId="77777777" w:rsidR="00AF3379" w:rsidRPr="00160C23" w:rsidRDefault="00AF3379" w:rsidP="00A75089">
            <w:pPr>
              <w:pStyle w:val="TableTextLeft"/>
              <w:spacing w:before="60" w:after="60"/>
            </w:pPr>
            <w:r w:rsidRPr="00160C23">
              <w:t>2021-22</w:t>
            </w:r>
          </w:p>
        </w:tc>
        <w:tc>
          <w:tcPr>
            <w:tcW w:w="3118" w:type="dxa"/>
            <w:tcBorders>
              <w:top w:val="single" w:sz="4" w:space="0" w:color="auto"/>
              <w:left w:val="single" w:sz="4" w:space="0" w:color="auto"/>
              <w:bottom w:val="nil"/>
              <w:right w:val="single" w:sz="4" w:space="0" w:color="auto"/>
            </w:tcBorders>
          </w:tcPr>
          <w:p w14:paraId="2239E3EF" w14:textId="77777777" w:rsidR="00AF3379" w:rsidRPr="009964A0" w:rsidRDefault="00AF3379" w:rsidP="00872C22">
            <w:pPr>
              <w:tabs>
                <w:tab w:val="left" w:pos="709"/>
              </w:tabs>
              <w:spacing w:before="60" w:after="60" w:line="240" w:lineRule="auto"/>
              <w:rPr>
                <w:rFonts w:ascii="Arial" w:hAnsi="Arial" w:cs="Arial"/>
                <w:b/>
                <w:sz w:val="16"/>
                <w:szCs w:val="16"/>
              </w:rPr>
            </w:pPr>
            <w:r w:rsidRPr="009964A0">
              <w:rPr>
                <w:rFonts w:ascii="Arial" w:hAnsi="Arial" w:cs="Arial"/>
                <w:b/>
                <w:sz w:val="16"/>
                <w:szCs w:val="16"/>
              </w:rPr>
              <w:t xml:space="preserve">Electoral Roll Management </w:t>
            </w:r>
          </w:p>
          <w:p w14:paraId="2239E3F0" w14:textId="77777777" w:rsidR="00AF3379" w:rsidRPr="009964A0" w:rsidRDefault="00AF3379" w:rsidP="00C8474A">
            <w:pPr>
              <w:numPr>
                <w:ilvl w:val="0"/>
                <w:numId w:val="67"/>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Percentage of eligible voters enrolled (enrolment rate).</w:t>
            </w:r>
          </w:p>
          <w:p w14:paraId="2239E3F1" w14:textId="77777777" w:rsidR="00AF3379" w:rsidRPr="00160C23" w:rsidRDefault="00AF3379" w:rsidP="007C2B56">
            <w:pPr>
              <w:pStyle w:val="TableTextBase"/>
              <w:spacing w:before="60" w:after="60"/>
              <w:ind w:left="527" w:hanging="357"/>
              <w:rPr>
                <w:i/>
                <w:color w:val="0070C0"/>
                <w:szCs w:val="16"/>
              </w:rPr>
            </w:pPr>
          </w:p>
        </w:tc>
        <w:tc>
          <w:tcPr>
            <w:tcW w:w="3117" w:type="dxa"/>
            <w:tcBorders>
              <w:top w:val="single" w:sz="4" w:space="0" w:color="auto"/>
              <w:left w:val="single" w:sz="4" w:space="0" w:color="auto"/>
              <w:bottom w:val="nil"/>
            </w:tcBorders>
          </w:tcPr>
          <w:p w14:paraId="2239E3F3" w14:textId="29950738" w:rsidR="00AF3379" w:rsidRPr="009964A0" w:rsidRDefault="00AF3379" w:rsidP="00A75089">
            <w:pPr>
              <w:autoSpaceDE w:val="0"/>
              <w:autoSpaceDN w:val="0"/>
              <w:spacing w:before="60" w:after="60" w:line="240" w:lineRule="auto"/>
              <w:rPr>
                <w:rFonts w:ascii="Arial" w:hAnsi="Arial" w:cs="Arial"/>
                <w:sz w:val="16"/>
                <w:szCs w:val="16"/>
              </w:rPr>
            </w:pPr>
            <w:r w:rsidRPr="009964A0">
              <w:rPr>
                <w:rFonts w:ascii="Arial" w:hAnsi="Arial" w:cs="Arial"/>
                <w:b/>
                <w:bCs/>
                <w:sz w:val="16"/>
                <w:szCs w:val="16"/>
              </w:rPr>
              <w:t>Target:</w:t>
            </w:r>
            <w:r w:rsidRPr="009964A0">
              <w:rPr>
                <w:rFonts w:ascii="Arial" w:hAnsi="Arial" w:cs="Arial"/>
                <w:sz w:val="16"/>
                <w:szCs w:val="16"/>
              </w:rPr>
              <w:t xml:space="preserve"> ≥ 95% reported annually and at close of rolls for a federal election or referendum.</w:t>
            </w:r>
          </w:p>
          <w:p w14:paraId="2239E3F5" w14:textId="77A1F63F" w:rsidR="00AF3379" w:rsidRPr="00A04CCB" w:rsidRDefault="00AF3379" w:rsidP="00A75089">
            <w:pPr>
              <w:autoSpaceDE w:val="0"/>
              <w:autoSpaceDN w:val="0"/>
              <w:adjustRightInd w:val="0"/>
              <w:spacing w:before="60" w:after="60" w:line="240" w:lineRule="auto"/>
              <w:rPr>
                <w:rFonts w:ascii="Arial" w:hAnsi="Arial" w:cs="Arial"/>
                <w:sz w:val="16"/>
                <w:szCs w:val="16"/>
              </w:rPr>
            </w:pPr>
            <w:r w:rsidRPr="009964A0">
              <w:rPr>
                <w:rFonts w:ascii="Arial" w:hAnsi="Arial" w:cs="Arial"/>
                <w:b/>
                <w:bCs/>
                <w:sz w:val="16"/>
                <w:szCs w:val="16"/>
              </w:rPr>
              <w:t>Performance:</w:t>
            </w:r>
            <w:r w:rsidRPr="009964A0">
              <w:rPr>
                <w:rFonts w:ascii="Arial" w:hAnsi="Arial" w:cs="Arial"/>
                <w:sz w:val="16"/>
                <w:szCs w:val="16"/>
              </w:rPr>
              <w:t xml:space="preserve"> Met. At 30 June 2022, enrolment rate was 97.1%. The enrolment rate for the 2022 federal election was 96.8%.</w:t>
            </w:r>
          </w:p>
        </w:tc>
      </w:tr>
      <w:tr w:rsidR="00AF3379" w:rsidRPr="00A04CCB" w14:paraId="2239E3FE" w14:textId="77777777" w:rsidTr="00A75089">
        <w:trPr>
          <w:trHeight w:val="642"/>
        </w:trPr>
        <w:tc>
          <w:tcPr>
            <w:tcW w:w="1560" w:type="dxa"/>
            <w:tcBorders>
              <w:top w:val="nil"/>
              <w:bottom w:val="nil"/>
              <w:right w:val="single" w:sz="4" w:space="0" w:color="auto"/>
            </w:tcBorders>
          </w:tcPr>
          <w:p w14:paraId="2239E3F7" w14:textId="77777777" w:rsidR="00AF3379" w:rsidRDefault="00AF3379" w:rsidP="00A75089">
            <w:pPr>
              <w:pStyle w:val="TableTextLeft"/>
              <w:spacing w:before="60" w:after="60"/>
            </w:pPr>
          </w:p>
        </w:tc>
        <w:tc>
          <w:tcPr>
            <w:tcW w:w="3118" w:type="dxa"/>
            <w:tcBorders>
              <w:top w:val="nil"/>
              <w:left w:val="single" w:sz="4" w:space="0" w:color="auto"/>
              <w:bottom w:val="dotted" w:sz="4" w:space="0" w:color="auto"/>
              <w:right w:val="single" w:sz="4" w:space="0" w:color="auto"/>
            </w:tcBorders>
          </w:tcPr>
          <w:p w14:paraId="2239E3F8" w14:textId="77777777" w:rsidR="00AF3379" w:rsidRPr="009964A0" w:rsidRDefault="00AF3379" w:rsidP="00C8474A">
            <w:pPr>
              <w:numPr>
                <w:ilvl w:val="0"/>
                <w:numId w:val="68"/>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Redistributions determined when planned in accordance with timeframes identified in the</w:t>
            </w:r>
            <w:r w:rsidRPr="009964A0">
              <w:rPr>
                <w:rFonts w:ascii="Arial" w:eastAsia="Calibri" w:hAnsi="Arial" w:cs="Arial"/>
                <w:i/>
                <w:sz w:val="16"/>
                <w:szCs w:val="16"/>
                <w:lang w:val="en-US"/>
              </w:rPr>
              <w:t xml:space="preserve"> Commonwealth Electoral Act 1918</w:t>
            </w:r>
            <w:r w:rsidRPr="009964A0">
              <w:rPr>
                <w:rFonts w:ascii="Arial" w:eastAsia="Calibri" w:hAnsi="Arial" w:cs="Arial"/>
                <w:sz w:val="16"/>
                <w:szCs w:val="16"/>
                <w:lang w:val="en-US"/>
              </w:rPr>
              <w:t>.</w:t>
            </w:r>
          </w:p>
          <w:p w14:paraId="2239E3F9" w14:textId="77777777" w:rsidR="00AF3379" w:rsidRPr="009964A0" w:rsidRDefault="00AF3379" w:rsidP="007C2B56">
            <w:pPr>
              <w:tabs>
                <w:tab w:val="left" w:pos="709"/>
              </w:tabs>
              <w:spacing w:before="60" w:after="60" w:line="240" w:lineRule="auto"/>
              <w:ind w:left="527" w:hanging="357"/>
              <w:rPr>
                <w:rFonts w:ascii="Arial" w:hAnsi="Arial" w:cs="Arial"/>
                <w:b/>
                <w:sz w:val="16"/>
                <w:szCs w:val="16"/>
              </w:rPr>
            </w:pPr>
          </w:p>
        </w:tc>
        <w:tc>
          <w:tcPr>
            <w:tcW w:w="3117" w:type="dxa"/>
            <w:tcBorders>
              <w:top w:val="nil"/>
              <w:left w:val="single" w:sz="4" w:space="0" w:color="auto"/>
              <w:bottom w:val="dotted" w:sz="4" w:space="0" w:color="auto"/>
            </w:tcBorders>
          </w:tcPr>
          <w:p w14:paraId="2239E3FB" w14:textId="161D6242" w:rsidR="00AF3379" w:rsidRPr="009964A0" w:rsidRDefault="00AF3379" w:rsidP="00A75089">
            <w:pPr>
              <w:autoSpaceDE w:val="0"/>
              <w:autoSpaceDN w:val="0"/>
              <w:spacing w:before="60" w:after="60" w:line="240" w:lineRule="auto"/>
              <w:rPr>
                <w:rFonts w:ascii="Arial" w:hAnsi="Arial" w:cs="Arial"/>
                <w:sz w:val="16"/>
                <w:szCs w:val="16"/>
              </w:rPr>
            </w:pPr>
            <w:r w:rsidRPr="009964A0">
              <w:rPr>
                <w:rFonts w:ascii="Arial" w:hAnsi="Arial" w:cs="Arial"/>
                <w:b/>
                <w:bCs/>
                <w:sz w:val="16"/>
                <w:szCs w:val="16"/>
              </w:rPr>
              <w:t>Target:</w:t>
            </w:r>
            <w:r w:rsidRPr="009964A0">
              <w:rPr>
                <w:rFonts w:ascii="Arial" w:hAnsi="Arial" w:cs="Arial"/>
                <w:sz w:val="16"/>
                <w:szCs w:val="16"/>
              </w:rPr>
              <w:t xml:space="preserve"> All redistributions in the period determined and affected electors informed. </w:t>
            </w:r>
          </w:p>
          <w:p w14:paraId="2239E3FD" w14:textId="1BA312D1" w:rsidR="00AF3379" w:rsidRPr="00A04CCB" w:rsidRDefault="00DB7DCA" w:rsidP="00A75089">
            <w:pPr>
              <w:autoSpaceDE w:val="0"/>
              <w:autoSpaceDN w:val="0"/>
              <w:adjustRightInd w:val="0"/>
              <w:spacing w:before="60" w:after="60" w:line="240" w:lineRule="auto"/>
              <w:rPr>
                <w:rFonts w:ascii="Arial" w:hAnsi="Arial" w:cs="Arial"/>
                <w:sz w:val="16"/>
                <w:szCs w:val="16"/>
              </w:rPr>
            </w:pPr>
            <w:r w:rsidRPr="00DB7DCA">
              <w:rPr>
                <w:rFonts w:ascii="Arial" w:hAnsi="Arial" w:cs="Arial"/>
                <w:b/>
                <w:bCs/>
                <w:sz w:val="16"/>
                <w:szCs w:val="16"/>
              </w:rPr>
              <w:t xml:space="preserve">Performance: </w:t>
            </w:r>
            <w:r w:rsidRPr="004B674E">
              <w:rPr>
                <w:rFonts w:ascii="Arial" w:hAnsi="Arial" w:cs="Arial"/>
                <w:bCs/>
                <w:sz w:val="16"/>
                <w:szCs w:val="16"/>
              </w:rPr>
              <w:t>Met. The AEC</w:t>
            </w:r>
            <w:r w:rsidRPr="00DB7DCA">
              <w:rPr>
                <w:rFonts w:ascii="Arial" w:hAnsi="Arial" w:cs="Arial"/>
                <w:b/>
                <w:bCs/>
                <w:sz w:val="16"/>
                <w:szCs w:val="16"/>
              </w:rPr>
              <w:t xml:space="preserve"> </w:t>
            </w:r>
            <w:r w:rsidRPr="00DB7DCA">
              <w:rPr>
                <w:rFonts w:ascii="Arial" w:hAnsi="Arial" w:cs="Arial"/>
                <w:bCs/>
                <w:sz w:val="16"/>
                <w:szCs w:val="16"/>
              </w:rPr>
              <w:t>supported the timely conduct of two federal redistributions. These were determined for Victoria in July 2021 and for Western Australia in August 2021. Affected electors were notified in accordance with legislative obligations</w:t>
            </w:r>
            <w:r w:rsidR="00AF3379" w:rsidRPr="00DB7DCA">
              <w:rPr>
                <w:rFonts w:ascii="Arial" w:hAnsi="Arial" w:cs="Arial"/>
                <w:sz w:val="16"/>
                <w:szCs w:val="16"/>
              </w:rPr>
              <w:t>.</w:t>
            </w:r>
          </w:p>
        </w:tc>
      </w:tr>
      <w:tr w:rsidR="00AF3379" w:rsidRPr="00A04CCB" w14:paraId="2239E408" w14:textId="77777777" w:rsidTr="00A75089">
        <w:trPr>
          <w:trHeight w:val="642"/>
        </w:trPr>
        <w:tc>
          <w:tcPr>
            <w:tcW w:w="1560" w:type="dxa"/>
            <w:tcBorders>
              <w:top w:val="nil"/>
              <w:bottom w:val="single" w:sz="4" w:space="0" w:color="auto"/>
              <w:right w:val="single" w:sz="4" w:space="0" w:color="auto"/>
            </w:tcBorders>
          </w:tcPr>
          <w:p w14:paraId="2239E3FF" w14:textId="77777777" w:rsidR="00AF3379" w:rsidRDefault="00AF3379" w:rsidP="00A75089">
            <w:pPr>
              <w:pStyle w:val="TableTextLeft"/>
              <w:spacing w:before="60" w:after="60"/>
            </w:pPr>
          </w:p>
        </w:tc>
        <w:tc>
          <w:tcPr>
            <w:tcW w:w="3118" w:type="dxa"/>
            <w:tcBorders>
              <w:top w:val="dotted" w:sz="4" w:space="0" w:color="auto"/>
              <w:left w:val="single" w:sz="4" w:space="0" w:color="auto"/>
              <w:bottom w:val="single" w:sz="4" w:space="0" w:color="auto"/>
              <w:right w:val="single" w:sz="4" w:space="0" w:color="auto"/>
            </w:tcBorders>
          </w:tcPr>
          <w:p w14:paraId="2239E400" w14:textId="77777777" w:rsidR="00AF3379" w:rsidRDefault="00AF3379" w:rsidP="00A75089">
            <w:pPr>
              <w:tabs>
                <w:tab w:val="left" w:pos="709"/>
              </w:tabs>
              <w:spacing w:before="60" w:after="60" w:line="240" w:lineRule="auto"/>
              <w:rPr>
                <w:rFonts w:ascii="Arial" w:hAnsi="Arial" w:cs="Arial"/>
                <w:b/>
                <w:sz w:val="16"/>
                <w:szCs w:val="16"/>
              </w:rPr>
            </w:pPr>
            <w:r w:rsidRPr="009964A0">
              <w:rPr>
                <w:rFonts w:ascii="Arial" w:hAnsi="Arial" w:cs="Arial"/>
                <w:b/>
                <w:sz w:val="16"/>
                <w:szCs w:val="16"/>
              </w:rPr>
              <w:t>Elections, By-elections and</w:t>
            </w:r>
          </w:p>
          <w:p w14:paraId="2239E401" w14:textId="77777777" w:rsidR="00AF3379" w:rsidRPr="00CE559F" w:rsidRDefault="00AF3379" w:rsidP="00A75089">
            <w:pPr>
              <w:tabs>
                <w:tab w:val="left" w:pos="709"/>
              </w:tabs>
              <w:spacing w:before="60" w:after="60" w:line="240" w:lineRule="auto"/>
              <w:rPr>
                <w:rFonts w:ascii="Arial" w:hAnsi="Arial" w:cs="Arial"/>
                <w:b/>
                <w:sz w:val="16"/>
                <w:szCs w:val="16"/>
              </w:rPr>
            </w:pPr>
            <w:r w:rsidRPr="009964A0">
              <w:rPr>
                <w:rFonts w:ascii="Arial" w:hAnsi="Arial" w:cs="Arial"/>
                <w:b/>
                <w:sz w:val="16"/>
                <w:szCs w:val="16"/>
              </w:rPr>
              <w:t>Referendums</w:t>
            </w:r>
          </w:p>
          <w:p w14:paraId="2239E402" w14:textId="77777777" w:rsidR="00AF3379" w:rsidRPr="00CE559F" w:rsidRDefault="00AF3379" w:rsidP="00C8474A">
            <w:pPr>
              <w:numPr>
                <w:ilvl w:val="0"/>
                <w:numId w:val="29"/>
              </w:numPr>
              <w:autoSpaceDE w:val="0"/>
              <w:autoSpaceDN w:val="0"/>
              <w:spacing w:before="60" w:after="60" w:line="240" w:lineRule="auto"/>
              <w:ind w:left="527" w:hanging="357"/>
              <w:rPr>
                <w:rFonts w:ascii="Arial" w:hAnsi="Arial" w:cs="Arial"/>
                <w:sz w:val="16"/>
                <w:szCs w:val="16"/>
              </w:rPr>
            </w:pPr>
            <w:r w:rsidRPr="00CE559F">
              <w:rPr>
                <w:rFonts w:ascii="Arial" w:hAnsi="Arial" w:cs="Arial"/>
                <w:sz w:val="16"/>
                <w:szCs w:val="16"/>
              </w:rPr>
              <w:t>The writs for a federal election event are issued and returned in accordance with legislation and timeframes.</w:t>
            </w:r>
          </w:p>
        </w:tc>
        <w:tc>
          <w:tcPr>
            <w:tcW w:w="3117" w:type="dxa"/>
            <w:tcBorders>
              <w:top w:val="dotted" w:sz="4" w:space="0" w:color="auto"/>
              <w:left w:val="single" w:sz="4" w:space="0" w:color="auto"/>
              <w:bottom w:val="single" w:sz="4" w:space="0" w:color="auto"/>
            </w:tcBorders>
          </w:tcPr>
          <w:p w14:paraId="2239E404" w14:textId="38A75BAC" w:rsidR="00AF3379" w:rsidRPr="00FE59E1" w:rsidRDefault="00AF3379" w:rsidP="00A75089">
            <w:pPr>
              <w:autoSpaceDE w:val="0"/>
              <w:autoSpaceDN w:val="0"/>
              <w:spacing w:before="60" w:after="60" w:line="240" w:lineRule="auto"/>
              <w:rPr>
                <w:rFonts w:ascii="Arial" w:hAnsi="Arial" w:cs="Arial"/>
                <w:sz w:val="16"/>
                <w:szCs w:val="16"/>
              </w:rPr>
            </w:pPr>
            <w:r w:rsidRPr="009964A0">
              <w:rPr>
                <w:rFonts w:ascii="Arial" w:hAnsi="Arial" w:cs="Arial"/>
                <w:b/>
                <w:bCs/>
                <w:sz w:val="16"/>
                <w:szCs w:val="16"/>
              </w:rPr>
              <w:t>Target:</w:t>
            </w:r>
            <w:r w:rsidRPr="009964A0">
              <w:rPr>
                <w:rFonts w:ascii="Arial" w:hAnsi="Arial" w:cs="Arial"/>
                <w:sz w:val="16"/>
                <w:szCs w:val="16"/>
              </w:rPr>
              <w:t xml:space="preserve"> Date on the returned election writs falls within the timeframe specified</w:t>
            </w:r>
          </w:p>
          <w:p w14:paraId="2239E405" w14:textId="77777777" w:rsidR="00AF3379" w:rsidRPr="009964A0" w:rsidRDefault="00AF3379" w:rsidP="00A75089">
            <w:pPr>
              <w:autoSpaceDE w:val="0"/>
              <w:autoSpaceDN w:val="0"/>
              <w:adjustRightInd w:val="0"/>
              <w:spacing w:before="60" w:after="60" w:line="240" w:lineRule="auto"/>
              <w:rPr>
                <w:rFonts w:ascii="Arial" w:hAnsi="Arial" w:cs="Arial"/>
                <w:sz w:val="16"/>
                <w:szCs w:val="16"/>
              </w:rPr>
            </w:pPr>
            <w:r w:rsidRPr="009964A0">
              <w:rPr>
                <w:rFonts w:ascii="Arial" w:hAnsi="Arial" w:cs="Arial"/>
                <w:b/>
                <w:bCs/>
                <w:sz w:val="16"/>
                <w:szCs w:val="16"/>
              </w:rPr>
              <w:t>Performance:</w:t>
            </w:r>
            <w:r w:rsidRPr="009964A0">
              <w:rPr>
                <w:rFonts w:ascii="Arial" w:hAnsi="Arial" w:cs="Arial"/>
                <w:sz w:val="16"/>
                <w:szCs w:val="16"/>
              </w:rPr>
              <w:t xml:space="preserve"> Met. On Saturday 21 May, the AEC delivered the 2022 federal election. The writs were issued</w:t>
            </w:r>
          </w:p>
          <w:p w14:paraId="2239E407" w14:textId="6778B37E" w:rsidR="00AF3379" w:rsidRPr="00A04CCB" w:rsidRDefault="00AF3379" w:rsidP="00A75089">
            <w:pPr>
              <w:autoSpaceDE w:val="0"/>
              <w:autoSpaceDN w:val="0"/>
              <w:adjustRightInd w:val="0"/>
              <w:spacing w:before="60" w:after="60" w:line="240" w:lineRule="auto"/>
              <w:rPr>
                <w:rFonts w:ascii="Arial" w:hAnsi="Arial" w:cs="Arial"/>
                <w:sz w:val="16"/>
                <w:szCs w:val="16"/>
              </w:rPr>
            </w:pPr>
            <w:r w:rsidRPr="009964A0">
              <w:rPr>
                <w:rFonts w:ascii="Arial" w:hAnsi="Arial" w:cs="Arial"/>
                <w:sz w:val="16"/>
                <w:szCs w:val="16"/>
              </w:rPr>
              <w:t xml:space="preserve">on 11 April 2022 and returned on 23 June 2022, in accordance with the Electoral Act. </w:t>
            </w:r>
          </w:p>
        </w:tc>
      </w:tr>
    </w:tbl>
    <w:p w14:paraId="50EDCA58" w14:textId="77777777" w:rsidR="00FE59E1" w:rsidRDefault="004F187F" w:rsidP="00FE59E1">
      <w:pPr>
        <w:pStyle w:val="TableGraphic"/>
        <w:spacing w:before="30"/>
        <w:ind w:right="0"/>
        <w:rPr>
          <w:rFonts w:ascii="Arial" w:hAnsi="Arial" w:cs="Arial"/>
          <w:sz w:val="16"/>
          <w:szCs w:val="16"/>
          <w:lang w:eastAsia="x-none"/>
        </w:rPr>
      </w:pPr>
      <w:r>
        <w:rPr>
          <w:rFonts w:ascii="Arial" w:hAnsi="Arial" w:cs="Arial"/>
          <w:sz w:val="16"/>
          <w:szCs w:val="16"/>
          <w:lang w:eastAsia="x-none"/>
        </w:rPr>
        <w:t>Table continues on next page</w:t>
      </w:r>
      <w:r w:rsidR="00FE59E1">
        <w:rPr>
          <w:rFonts w:ascii="Arial" w:hAnsi="Arial" w:cs="Arial"/>
          <w:sz w:val="16"/>
          <w:szCs w:val="16"/>
          <w:lang w:eastAsia="x-none"/>
        </w:rPr>
        <w:br w:type="page"/>
      </w:r>
    </w:p>
    <w:p w14:paraId="7BDAAC1C" w14:textId="41A77985" w:rsidR="00CE34DF" w:rsidRPr="00FE59E1" w:rsidRDefault="00AF3379" w:rsidP="00FE59E1">
      <w:pPr>
        <w:pStyle w:val="TableGraphic"/>
        <w:spacing w:before="30"/>
        <w:ind w:right="0"/>
        <w:rPr>
          <w:rFonts w:ascii="Arial" w:hAnsi="Arial" w:cs="Arial"/>
          <w:sz w:val="16"/>
          <w:szCs w:val="16"/>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E34DF" w:rsidRPr="001B2F81" w14:paraId="407CE26B" w14:textId="77777777" w:rsidTr="00CE34DF">
        <w:trPr>
          <w:trHeight w:val="522"/>
        </w:trPr>
        <w:tc>
          <w:tcPr>
            <w:tcW w:w="7796" w:type="dxa"/>
            <w:gridSpan w:val="3"/>
            <w:shd w:val="clear" w:color="auto" w:fill="F2F2F2"/>
          </w:tcPr>
          <w:p w14:paraId="0F099580" w14:textId="77777777" w:rsidR="00CE34DF" w:rsidRPr="00C41058" w:rsidRDefault="00CE34DF" w:rsidP="00DE5A10">
            <w:pPr>
              <w:pStyle w:val="TableTextLeft"/>
              <w:spacing w:before="60" w:after="60"/>
              <w:rPr>
                <w:rFonts w:eastAsia="Arial"/>
                <w:b/>
              </w:rPr>
            </w:pPr>
            <w:r w:rsidRPr="00C41058">
              <w:rPr>
                <w:b/>
              </w:rPr>
              <w:t xml:space="preserve">Program </w:t>
            </w:r>
            <w:r>
              <w:rPr>
                <w:b/>
              </w:rPr>
              <w:t>1</w:t>
            </w:r>
            <w:r w:rsidRPr="00C41058">
              <w:rPr>
                <w:b/>
              </w:rPr>
              <w:t>.</w:t>
            </w:r>
            <w:r>
              <w:rPr>
                <w:b/>
              </w:rPr>
              <w:t>1</w:t>
            </w:r>
            <w:r w:rsidRPr="00C41058">
              <w:rPr>
                <w:b/>
              </w:rPr>
              <w:t xml:space="preserve">- </w:t>
            </w:r>
            <w:r>
              <w:rPr>
                <w:b/>
              </w:rPr>
              <w:t>Deliver Electoral Events</w:t>
            </w:r>
          </w:p>
          <w:p w14:paraId="7DB9158E" w14:textId="77777777" w:rsidR="00CE34DF" w:rsidRPr="001B2F81" w:rsidRDefault="00CE34DF" w:rsidP="00DE5A10">
            <w:pPr>
              <w:pStyle w:val="TableTextLeft"/>
              <w:spacing w:before="60" w:after="60"/>
            </w:pPr>
          </w:p>
        </w:tc>
      </w:tr>
      <w:tr w:rsidR="00AF3379" w:rsidRPr="00D35E38" w14:paraId="2239E40E" w14:textId="77777777" w:rsidTr="00D46837">
        <w:trPr>
          <w:trHeight w:val="343"/>
        </w:trPr>
        <w:tc>
          <w:tcPr>
            <w:tcW w:w="1560" w:type="dxa"/>
            <w:tcBorders>
              <w:top w:val="single" w:sz="4" w:space="0" w:color="auto"/>
              <w:left w:val="single" w:sz="4" w:space="0" w:color="auto"/>
              <w:bottom w:val="single" w:sz="4" w:space="0" w:color="auto"/>
              <w:right w:val="single" w:sz="4" w:space="0" w:color="auto"/>
            </w:tcBorders>
          </w:tcPr>
          <w:p w14:paraId="2239E40B" w14:textId="77777777" w:rsidR="00AF3379" w:rsidRPr="00D35E38" w:rsidRDefault="00AF3379" w:rsidP="00DE5A10">
            <w:pPr>
              <w:pStyle w:val="TableColumnHeadingLeft"/>
              <w:spacing w:before="60" w:after="60"/>
            </w:pPr>
            <w:r w:rsidRPr="00160C23">
              <w:t>Year</w:t>
            </w:r>
          </w:p>
        </w:tc>
        <w:tc>
          <w:tcPr>
            <w:tcW w:w="3118" w:type="dxa"/>
            <w:tcBorders>
              <w:top w:val="single" w:sz="4" w:space="0" w:color="auto"/>
              <w:left w:val="single" w:sz="4" w:space="0" w:color="auto"/>
              <w:bottom w:val="single" w:sz="4" w:space="0" w:color="auto"/>
              <w:right w:val="single" w:sz="4" w:space="0" w:color="auto"/>
            </w:tcBorders>
          </w:tcPr>
          <w:p w14:paraId="2239E40C" w14:textId="77777777" w:rsidR="00AF3379" w:rsidRPr="00D35E38" w:rsidRDefault="00AF3379" w:rsidP="00DE5A10">
            <w:pPr>
              <w:pStyle w:val="TableColumnHeadingLeft"/>
              <w:spacing w:before="60" w:after="60"/>
            </w:pPr>
            <w:r w:rsidRPr="00D35E38">
              <w:t>Performance measures</w:t>
            </w:r>
          </w:p>
        </w:tc>
        <w:tc>
          <w:tcPr>
            <w:tcW w:w="3118" w:type="dxa"/>
            <w:tcBorders>
              <w:top w:val="single" w:sz="4" w:space="0" w:color="auto"/>
              <w:left w:val="single" w:sz="4" w:space="0" w:color="auto"/>
              <w:bottom w:val="single" w:sz="4" w:space="0" w:color="auto"/>
              <w:right w:val="single" w:sz="4" w:space="0" w:color="auto"/>
            </w:tcBorders>
          </w:tcPr>
          <w:p w14:paraId="2239E40D" w14:textId="77777777" w:rsidR="00AF3379" w:rsidRPr="00D35E38" w:rsidRDefault="00AF3379" w:rsidP="00DE5A10">
            <w:pPr>
              <w:pStyle w:val="TableColumnHeadingLeft"/>
              <w:spacing w:before="60" w:after="60"/>
            </w:pPr>
            <w:r w:rsidRPr="00D35E38">
              <w:t>Expected Performance Results</w:t>
            </w:r>
          </w:p>
        </w:tc>
      </w:tr>
      <w:tr w:rsidR="00AF3379" w:rsidRPr="00A04CCB" w14:paraId="2239E419" w14:textId="77777777" w:rsidTr="00E04FD1">
        <w:trPr>
          <w:trHeight w:val="642"/>
        </w:trPr>
        <w:tc>
          <w:tcPr>
            <w:tcW w:w="1560" w:type="dxa"/>
            <w:tcBorders>
              <w:top w:val="single" w:sz="4" w:space="0" w:color="auto"/>
              <w:bottom w:val="nil"/>
              <w:right w:val="single" w:sz="4" w:space="0" w:color="auto"/>
            </w:tcBorders>
          </w:tcPr>
          <w:p w14:paraId="2239E40F" w14:textId="77777777" w:rsidR="00AF3379" w:rsidRPr="00160C23" w:rsidRDefault="00AF3379" w:rsidP="00DE5A10">
            <w:pPr>
              <w:pStyle w:val="TableTextLeft"/>
              <w:spacing w:before="60" w:after="60"/>
            </w:pPr>
            <w:r>
              <w:t>Prior</w:t>
            </w:r>
            <w:r w:rsidRPr="00160C23">
              <w:t xml:space="preserve"> year </w:t>
            </w:r>
          </w:p>
          <w:p w14:paraId="2239E410" w14:textId="77777777" w:rsidR="00AF3379" w:rsidRDefault="00AF3379" w:rsidP="00DE5A10">
            <w:pPr>
              <w:pStyle w:val="TableTextLeft"/>
              <w:spacing w:before="60" w:after="60"/>
            </w:pPr>
          </w:p>
          <w:p w14:paraId="2239E411" w14:textId="77777777" w:rsidR="00AF3379" w:rsidRDefault="00AF3379" w:rsidP="00DE5A10">
            <w:pPr>
              <w:pStyle w:val="TableTextLeft"/>
              <w:spacing w:before="60" w:after="60"/>
            </w:pPr>
            <w:r w:rsidRPr="00160C23">
              <w:t>2021-22</w:t>
            </w:r>
            <w:r>
              <w:t xml:space="preserve"> (continued)</w:t>
            </w:r>
          </w:p>
        </w:tc>
        <w:tc>
          <w:tcPr>
            <w:tcW w:w="3118" w:type="dxa"/>
            <w:tcBorders>
              <w:top w:val="single" w:sz="4" w:space="0" w:color="auto"/>
              <w:left w:val="single" w:sz="4" w:space="0" w:color="auto"/>
              <w:bottom w:val="dotted" w:sz="4" w:space="0" w:color="auto"/>
              <w:right w:val="single" w:sz="4" w:space="0" w:color="auto"/>
            </w:tcBorders>
          </w:tcPr>
          <w:p w14:paraId="2239E412" w14:textId="77777777" w:rsidR="00AF3379" w:rsidRPr="009964A0" w:rsidRDefault="00AF3379"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For industrial elections and ballots, results are delivered with integrity and withstand scrutiny.</w:t>
            </w:r>
          </w:p>
          <w:p w14:paraId="2239E413" w14:textId="77777777" w:rsidR="00AF3379" w:rsidRPr="009964A0" w:rsidRDefault="00AF3379" w:rsidP="00DE5A10">
            <w:pPr>
              <w:tabs>
                <w:tab w:val="left" w:pos="709"/>
              </w:tabs>
              <w:spacing w:before="60" w:after="60" w:line="240" w:lineRule="auto"/>
              <w:ind w:left="374" w:hanging="357"/>
              <w:rPr>
                <w:rFonts w:ascii="Arial" w:hAnsi="Arial" w:cs="Arial"/>
                <w:b/>
                <w:sz w:val="16"/>
                <w:szCs w:val="16"/>
              </w:rPr>
            </w:pPr>
          </w:p>
        </w:tc>
        <w:tc>
          <w:tcPr>
            <w:tcW w:w="3118" w:type="dxa"/>
            <w:tcBorders>
              <w:top w:val="single" w:sz="4" w:space="0" w:color="auto"/>
              <w:left w:val="single" w:sz="4" w:space="0" w:color="auto"/>
              <w:bottom w:val="dotted" w:sz="4" w:space="0" w:color="auto"/>
            </w:tcBorders>
          </w:tcPr>
          <w:p w14:paraId="2239E415" w14:textId="56C56B3B" w:rsidR="00AF3379" w:rsidRPr="00FE59E1" w:rsidRDefault="00AF3379" w:rsidP="00DE5A10">
            <w:pPr>
              <w:autoSpaceDE w:val="0"/>
              <w:autoSpaceDN w:val="0"/>
              <w:spacing w:before="60" w:after="60" w:line="240" w:lineRule="auto"/>
              <w:rPr>
                <w:rFonts w:ascii="Arial" w:hAnsi="Arial" w:cs="Arial"/>
                <w:sz w:val="16"/>
                <w:szCs w:val="16"/>
              </w:rPr>
            </w:pPr>
            <w:r w:rsidRPr="009964A0">
              <w:rPr>
                <w:rFonts w:ascii="Arial" w:hAnsi="Arial" w:cs="Arial"/>
                <w:b/>
                <w:bCs/>
                <w:sz w:val="16"/>
                <w:szCs w:val="16"/>
              </w:rPr>
              <w:t>Target</w:t>
            </w:r>
            <w:r w:rsidRPr="009964A0">
              <w:rPr>
                <w:rFonts w:ascii="Arial" w:hAnsi="Arial" w:cs="Arial"/>
                <w:sz w:val="16"/>
                <w:szCs w:val="16"/>
              </w:rPr>
              <w:t xml:space="preserve">: No targets. The AEC will report on the number of events where the AEC’s conduct is challenged before a court and whether the court dismissed the challenge or upheld in favour of the AEC. </w:t>
            </w:r>
          </w:p>
          <w:p w14:paraId="2239E416" w14:textId="77777777" w:rsidR="00AF3379" w:rsidRPr="009964A0" w:rsidRDefault="00AF3379" w:rsidP="00DE5A10">
            <w:pPr>
              <w:autoSpaceDE w:val="0"/>
              <w:autoSpaceDN w:val="0"/>
              <w:adjustRightInd w:val="0"/>
              <w:spacing w:before="60" w:after="60" w:line="240" w:lineRule="auto"/>
              <w:rPr>
                <w:rFonts w:ascii="Arial" w:hAnsi="Arial" w:cs="Arial"/>
                <w:sz w:val="16"/>
                <w:szCs w:val="16"/>
              </w:rPr>
            </w:pPr>
            <w:r w:rsidRPr="009964A0">
              <w:rPr>
                <w:rFonts w:ascii="Arial" w:hAnsi="Arial" w:cs="Arial"/>
                <w:b/>
                <w:bCs/>
                <w:sz w:val="16"/>
                <w:szCs w:val="16"/>
              </w:rPr>
              <w:t xml:space="preserve">Performance: </w:t>
            </w:r>
            <w:r w:rsidRPr="009964A0">
              <w:rPr>
                <w:rFonts w:ascii="Arial" w:hAnsi="Arial" w:cs="Arial"/>
                <w:sz w:val="16"/>
                <w:szCs w:val="16"/>
              </w:rPr>
              <w:t>Met. There were no Court findings of fault regarding the AEC’s conduct of industrial elections,</w:t>
            </w:r>
          </w:p>
          <w:p w14:paraId="2239E418" w14:textId="633D2D9A" w:rsidR="00AF3379" w:rsidRPr="006806D5" w:rsidRDefault="00AF3379" w:rsidP="00DE5A10">
            <w:pPr>
              <w:autoSpaceDE w:val="0"/>
              <w:autoSpaceDN w:val="0"/>
              <w:adjustRightInd w:val="0"/>
              <w:spacing w:before="60" w:after="60" w:line="240" w:lineRule="auto"/>
              <w:rPr>
                <w:rFonts w:ascii="Arial" w:hAnsi="Arial" w:cs="Arial"/>
                <w:sz w:val="16"/>
                <w:szCs w:val="16"/>
              </w:rPr>
            </w:pPr>
            <w:r w:rsidRPr="009964A0">
              <w:rPr>
                <w:rFonts w:ascii="Arial" w:hAnsi="Arial" w:cs="Arial"/>
                <w:sz w:val="16"/>
                <w:szCs w:val="16"/>
              </w:rPr>
              <w:t>or outstanding matters during the reporting period.</w:t>
            </w:r>
          </w:p>
        </w:tc>
      </w:tr>
      <w:tr w:rsidR="00AF3379" w:rsidRPr="00A04CCB" w14:paraId="2239E425" w14:textId="77777777" w:rsidTr="00E04FD1">
        <w:trPr>
          <w:trHeight w:val="642"/>
        </w:trPr>
        <w:tc>
          <w:tcPr>
            <w:tcW w:w="1560" w:type="dxa"/>
            <w:tcBorders>
              <w:top w:val="nil"/>
              <w:bottom w:val="nil"/>
              <w:right w:val="single" w:sz="4" w:space="0" w:color="auto"/>
            </w:tcBorders>
          </w:tcPr>
          <w:p w14:paraId="2239E41A" w14:textId="77777777" w:rsidR="00AF3379" w:rsidRDefault="00AF3379" w:rsidP="00DE5A10">
            <w:pPr>
              <w:pStyle w:val="TableTextLeft"/>
              <w:spacing w:before="60" w:after="60"/>
            </w:pPr>
          </w:p>
        </w:tc>
        <w:tc>
          <w:tcPr>
            <w:tcW w:w="3118" w:type="dxa"/>
            <w:tcBorders>
              <w:top w:val="dotted" w:sz="4" w:space="0" w:color="auto"/>
              <w:left w:val="single" w:sz="4" w:space="0" w:color="auto"/>
              <w:bottom w:val="dotted" w:sz="4" w:space="0" w:color="auto"/>
              <w:right w:val="single" w:sz="4" w:space="0" w:color="auto"/>
            </w:tcBorders>
          </w:tcPr>
          <w:p w14:paraId="2239E41B" w14:textId="77777777" w:rsidR="00AF3379" w:rsidRPr="009964A0" w:rsidRDefault="00AF3379" w:rsidP="00872C22">
            <w:pPr>
              <w:spacing w:before="60" w:after="60" w:line="240" w:lineRule="auto"/>
              <w:rPr>
                <w:rFonts w:ascii="Arial" w:hAnsi="Arial" w:cs="Arial"/>
                <w:b/>
                <w:sz w:val="16"/>
                <w:szCs w:val="16"/>
              </w:rPr>
            </w:pPr>
            <w:r w:rsidRPr="009964A0">
              <w:rPr>
                <w:rFonts w:ascii="Arial" w:hAnsi="Arial" w:cs="Arial"/>
                <w:b/>
                <w:sz w:val="16"/>
                <w:szCs w:val="16"/>
              </w:rPr>
              <w:t>Public Awareness</w:t>
            </w:r>
          </w:p>
          <w:p w14:paraId="2239E41C" w14:textId="77777777" w:rsidR="00AF3379" w:rsidRPr="009964A0" w:rsidRDefault="00AF3379"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Deliver public awareness and education products that target all Australian citizens aged 18 years and over.</w:t>
            </w:r>
          </w:p>
          <w:p w14:paraId="2239E41D" w14:textId="77777777" w:rsidR="00AF3379" w:rsidRPr="009964A0" w:rsidRDefault="00AF3379" w:rsidP="00DE5A10">
            <w:pPr>
              <w:autoSpaceDE w:val="0"/>
              <w:autoSpaceDN w:val="0"/>
              <w:spacing w:before="60" w:after="60" w:line="240" w:lineRule="auto"/>
              <w:ind w:left="374"/>
              <w:rPr>
                <w:rFonts w:ascii="Arial" w:hAnsi="Arial" w:cs="Arial"/>
                <w:sz w:val="16"/>
                <w:szCs w:val="16"/>
              </w:rPr>
            </w:pPr>
          </w:p>
        </w:tc>
        <w:tc>
          <w:tcPr>
            <w:tcW w:w="3118" w:type="dxa"/>
            <w:tcBorders>
              <w:top w:val="dotted" w:sz="4" w:space="0" w:color="auto"/>
              <w:left w:val="single" w:sz="4" w:space="0" w:color="auto"/>
              <w:bottom w:val="dotted" w:sz="4" w:space="0" w:color="auto"/>
            </w:tcBorders>
          </w:tcPr>
          <w:p w14:paraId="2239E41F" w14:textId="2E4A77E0" w:rsidR="00AF3379" w:rsidRPr="007C2B56" w:rsidRDefault="00AF3379" w:rsidP="00DE5A10">
            <w:pPr>
              <w:autoSpaceDE w:val="0"/>
              <w:autoSpaceDN w:val="0"/>
              <w:spacing w:before="60" w:after="60" w:line="240" w:lineRule="auto"/>
              <w:rPr>
                <w:rFonts w:ascii="Arial" w:hAnsi="Arial" w:cs="Arial"/>
                <w:sz w:val="16"/>
                <w:szCs w:val="16"/>
              </w:rPr>
            </w:pPr>
            <w:r w:rsidRPr="009964A0">
              <w:rPr>
                <w:rFonts w:ascii="Arial" w:hAnsi="Arial" w:cs="Arial"/>
                <w:b/>
                <w:bCs/>
                <w:sz w:val="16"/>
                <w:szCs w:val="16"/>
              </w:rPr>
              <w:t>Target:</w:t>
            </w:r>
            <w:r w:rsidRPr="009964A0">
              <w:rPr>
                <w:rFonts w:ascii="Arial" w:hAnsi="Arial" w:cs="Arial"/>
                <w:sz w:val="16"/>
                <w:szCs w:val="16"/>
              </w:rPr>
              <w:t xml:space="preserve"> Campaign is delivered in accordance with objectives outlined </w:t>
            </w:r>
            <w:r w:rsidR="007C2B56">
              <w:rPr>
                <w:rFonts w:ascii="Arial" w:hAnsi="Arial" w:cs="Arial"/>
                <w:sz w:val="16"/>
                <w:szCs w:val="16"/>
              </w:rPr>
              <w:t>in the campaign strategy.</w:t>
            </w:r>
          </w:p>
          <w:p w14:paraId="2239E420" w14:textId="77777777" w:rsidR="00AF3379" w:rsidRPr="009964A0" w:rsidRDefault="00AF3379" w:rsidP="00DE5A10">
            <w:pPr>
              <w:autoSpaceDE w:val="0"/>
              <w:autoSpaceDN w:val="0"/>
              <w:adjustRightInd w:val="0"/>
              <w:spacing w:before="60" w:after="60" w:line="240" w:lineRule="auto"/>
              <w:rPr>
                <w:rFonts w:ascii="Arial" w:hAnsi="Arial" w:cs="Arial"/>
                <w:sz w:val="16"/>
                <w:szCs w:val="16"/>
              </w:rPr>
            </w:pPr>
            <w:r w:rsidRPr="009964A0">
              <w:rPr>
                <w:rFonts w:ascii="Arial" w:hAnsi="Arial" w:cs="Arial"/>
                <w:b/>
                <w:bCs/>
                <w:sz w:val="16"/>
                <w:szCs w:val="16"/>
              </w:rPr>
              <w:t>Performance:</w:t>
            </w:r>
            <w:r w:rsidRPr="009964A0">
              <w:rPr>
                <w:rFonts w:ascii="Arial" w:hAnsi="Arial" w:cs="Arial"/>
                <w:sz w:val="16"/>
                <w:szCs w:val="16"/>
              </w:rPr>
              <w:t xml:space="preserve"> Met. The AEC delivered a national public information and advertising campaign for the 2022</w:t>
            </w:r>
          </w:p>
          <w:p w14:paraId="2239E421" w14:textId="77777777" w:rsidR="00AF3379" w:rsidRPr="009964A0" w:rsidRDefault="00AF3379" w:rsidP="00DE5A10">
            <w:pPr>
              <w:autoSpaceDE w:val="0"/>
              <w:autoSpaceDN w:val="0"/>
              <w:adjustRightInd w:val="0"/>
              <w:spacing w:before="60" w:after="60" w:line="240" w:lineRule="auto"/>
              <w:rPr>
                <w:rFonts w:ascii="Arial" w:hAnsi="Arial" w:cs="Arial"/>
                <w:sz w:val="16"/>
                <w:szCs w:val="16"/>
              </w:rPr>
            </w:pPr>
            <w:r w:rsidRPr="009964A0">
              <w:rPr>
                <w:rFonts w:ascii="Arial" w:hAnsi="Arial" w:cs="Arial"/>
                <w:sz w:val="16"/>
                <w:szCs w:val="16"/>
              </w:rPr>
              <w:t>federal election to maximise enrolment and successful election participation. This included a range of proactive</w:t>
            </w:r>
          </w:p>
          <w:p w14:paraId="2239E422" w14:textId="77777777" w:rsidR="00AF3379" w:rsidRPr="009964A0" w:rsidRDefault="00AF3379" w:rsidP="00DE5A10">
            <w:pPr>
              <w:autoSpaceDE w:val="0"/>
              <w:autoSpaceDN w:val="0"/>
              <w:adjustRightInd w:val="0"/>
              <w:spacing w:before="60" w:after="60" w:line="240" w:lineRule="auto"/>
              <w:rPr>
                <w:rFonts w:ascii="Arial" w:hAnsi="Arial" w:cs="Arial"/>
                <w:sz w:val="16"/>
                <w:szCs w:val="16"/>
              </w:rPr>
            </w:pPr>
            <w:r w:rsidRPr="009964A0">
              <w:rPr>
                <w:rFonts w:ascii="Arial" w:hAnsi="Arial" w:cs="Arial"/>
                <w:sz w:val="16"/>
                <w:szCs w:val="16"/>
              </w:rPr>
              <w:t>activities through social media and website channels to raise awareness on a range of electoral matters. In the</w:t>
            </w:r>
          </w:p>
          <w:p w14:paraId="2239E424" w14:textId="03D7CB9A" w:rsidR="00AF3379" w:rsidRPr="00A04CCB" w:rsidRDefault="00AF3379" w:rsidP="00DE5A10">
            <w:pPr>
              <w:autoSpaceDE w:val="0"/>
              <w:autoSpaceDN w:val="0"/>
              <w:adjustRightInd w:val="0"/>
              <w:spacing w:before="60" w:after="60" w:line="240" w:lineRule="auto"/>
              <w:rPr>
                <w:rFonts w:ascii="Arial" w:hAnsi="Arial" w:cs="Arial"/>
                <w:sz w:val="16"/>
                <w:szCs w:val="16"/>
              </w:rPr>
            </w:pPr>
            <w:r w:rsidRPr="009964A0">
              <w:rPr>
                <w:rFonts w:ascii="Arial" w:hAnsi="Arial" w:cs="Arial"/>
                <w:sz w:val="16"/>
                <w:szCs w:val="16"/>
              </w:rPr>
              <w:t xml:space="preserve">campaign, we paid particular attention to countering disinformation and potential risks to electoral integrity. The campaign delivered messages on enrolment, voting options, eligibility and formality, as well as information on COVID-19 safety measures at the election. </w:t>
            </w:r>
          </w:p>
        </w:tc>
      </w:tr>
      <w:tr w:rsidR="00AF3379" w:rsidRPr="00A04CCB" w14:paraId="2239E42E" w14:textId="77777777" w:rsidTr="00E04FD1">
        <w:trPr>
          <w:trHeight w:val="642"/>
        </w:trPr>
        <w:tc>
          <w:tcPr>
            <w:tcW w:w="1560" w:type="dxa"/>
            <w:tcBorders>
              <w:top w:val="nil"/>
              <w:bottom w:val="single" w:sz="4" w:space="0" w:color="auto"/>
              <w:right w:val="single" w:sz="4" w:space="0" w:color="auto"/>
            </w:tcBorders>
          </w:tcPr>
          <w:p w14:paraId="2239E426" w14:textId="77777777" w:rsidR="00AF3379" w:rsidRDefault="00AF3379" w:rsidP="00DE5A10">
            <w:pPr>
              <w:pStyle w:val="TableTextLeft"/>
              <w:spacing w:before="60" w:after="60"/>
            </w:pPr>
          </w:p>
        </w:tc>
        <w:tc>
          <w:tcPr>
            <w:tcW w:w="3118" w:type="dxa"/>
            <w:tcBorders>
              <w:top w:val="dotted" w:sz="4" w:space="0" w:color="auto"/>
              <w:left w:val="single" w:sz="4" w:space="0" w:color="auto"/>
              <w:bottom w:val="single" w:sz="4" w:space="0" w:color="auto"/>
              <w:right w:val="single" w:sz="4" w:space="0" w:color="auto"/>
            </w:tcBorders>
          </w:tcPr>
          <w:p w14:paraId="2239E427" w14:textId="786075FF" w:rsidR="00AF3379" w:rsidRPr="009964A0" w:rsidRDefault="00AF3379" w:rsidP="00872C22">
            <w:pPr>
              <w:spacing w:before="60" w:after="60" w:line="240" w:lineRule="auto"/>
              <w:rPr>
                <w:rFonts w:ascii="Arial" w:hAnsi="Arial" w:cs="Arial"/>
                <w:b/>
                <w:sz w:val="16"/>
                <w:szCs w:val="16"/>
              </w:rPr>
            </w:pPr>
            <w:r w:rsidRPr="009964A0">
              <w:rPr>
                <w:rFonts w:ascii="Arial" w:hAnsi="Arial" w:cs="Arial"/>
                <w:b/>
                <w:sz w:val="16"/>
                <w:szCs w:val="16"/>
              </w:rPr>
              <w:t>P</w:t>
            </w:r>
            <w:r w:rsidR="00872C22">
              <w:rPr>
                <w:rFonts w:ascii="Arial" w:hAnsi="Arial" w:cs="Arial"/>
                <w:b/>
                <w:sz w:val="16"/>
                <w:szCs w:val="16"/>
              </w:rPr>
              <w:t xml:space="preserve">arty Registration and Financial </w:t>
            </w:r>
            <w:r w:rsidRPr="009964A0">
              <w:rPr>
                <w:rFonts w:ascii="Arial" w:hAnsi="Arial" w:cs="Arial"/>
                <w:b/>
                <w:sz w:val="16"/>
                <w:szCs w:val="16"/>
              </w:rPr>
              <w:t>Disclosure</w:t>
            </w:r>
          </w:p>
          <w:p w14:paraId="2239E428" w14:textId="77777777" w:rsidR="00AF3379" w:rsidRPr="009964A0" w:rsidRDefault="00AF3379"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The AEC maintains an up-to-date public register of political parties.</w:t>
            </w:r>
          </w:p>
          <w:p w14:paraId="2239E429" w14:textId="77777777" w:rsidR="00AF3379" w:rsidRPr="009964A0" w:rsidRDefault="00AF3379" w:rsidP="00DE5A10">
            <w:pPr>
              <w:spacing w:before="60" w:after="60" w:line="240" w:lineRule="auto"/>
              <w:ind w:left="374" w:hanging="357"/>
              <w:rPr>
                <w:rFonts w:ascii="Arial" w:hAnsi="Arial" w:cs="Arial"/>
                <w:b/>
                <w:sz w:val="16"/>
                <w:szCs w:val="16"/>
              </w:rPr>
            </w:pPr>
          </w:p>
        </w:tc>
        <w:tc>
          <w:tcPr>
            <w:tcW w:w="3118" w:type="dxa"/>
            <w:tcBorders>
              <w:top w:val="dotted" w:sz="4" w:space="0" w:color="auto"/>
              <w:left w:val="single" w:sz="4" w:space="0" w:color="auto"/>
              <w:bottom w:val="single" w:sz="4" w:space="0" w:color="auto"/>
            </w:tcBorders>
          </w:tcPr>
          <w:p w14:paraId="2239E42B" w14:textId="3B73B1B2" w:rsidR="00AF3379" w:rsidRPr="007C2B56" w:rsidRDefault="00AF3379" w:rsidP="00DE5A10">
            <w:pPr>
              <w:autoSpaceDE w:val="0"/>
              <w:autoSpaceDN w:val="0"/>
              <w:spacing w:before="60" w:after="60" w:line="240" w:lineRule="auto"/>
              <w:rPr>
                <w:rFonts w:ascii="Arial" w:eastAsia="Calibri" w:hAnsi="Arial" w:cs="Arial"/>
                <w:sz w:val="16"/>
                <w:szCs w:val="16"/>
                <w:lang w:val="en-US"/>
              </w:rPr>
            </w:pPr>
            <w:r w:rsidRPr="009964A0">
              <w:rPr>
                <w:rFonts w:ascii="Arial" w:hAnsi="Arial" w:cs="Arial"/>
                <w:b/>
                <w:bCs/>
                <w:sz w:val="16"/>
                <w:szCs w:val="16"/>
              </w:rPr>
              <w:t>Target:</w:t>
            </w:r>
            <w:r w:rsidRPr="009964A0">
              <w:rPr>
                <w:rFonts w:ascii="Arial" w:hAnsi="Arial" w:cs="Arial"/>
                <w:sz w:val="16"/>
                <w:szCs w:val="16"/>
              </w:rPr>
              <w:t xml:space="preserve"> Compliance with Part XI of the </w:t>
            </w:r>
            <w:r w:rsidRPr="009964A0">
              <w:rPr>
                <w:rFonts w:ascii="Arial" w:eastAsia="Calibri" w:hAnsi="Arial" w:cs="Arial"/>
                <w:i/>
                <w:sz w:val="16"/>
                <w:szCs w:val="16"/>
                <w:lang w:val="en-US"/>
              </w:rPr>
              <w:t>Commonwealth Electoral Act 1918</w:t>
            </w:r>
            <w:r w:rsidR="007C2B56">
              <w:rPr>
                <w:rFonts w:ascii="Arial" w:eastAsia="Calibri" w:hAnsi="Arial" w:cs="Arial"/>
                <w:sz w:val="16"/>
                <w:szCs w:val="16"/>
                <w:lang w:val="en-US"/>
              </w:rPr>
              <w:t>.</w:t>
            </w:r>
          </w:p>
          <w:p w14:paraId="2239E42D" w14:textId="463B88F9" w:rsidR="00F12F4B" w:rsidRPr="00A04CCB" w:rsidRDefault="00AF3379" w:rsidP="00DE5A10">
            <w:pPr>
              <w:autoSpaceDE w:val="0"/>
              <w:autoSpaceDN w:val="0"/>
              <w:adjustRightInd w:val="0"/>
              <w:spacing w:before="60" w:after="60" w:line="240" w:lineRule="auto"/>
              <w:rPr>
                <w:rFonts w:ascii="Arial" w:hAnsi="Arial" w:cs="Arial"/>
                <w:sz w:val="16"/>
                <w:szCs w:val="16"/>
              </w:rPr>
            </w:pPr>
            <w:r w:rsidRPr="009964A0">
              <w:rPr>
                <w:rFonts w:ascii="Arial" w:hAnsi="Arial" w:cs="Arial"/>
                <w:b/>
                <w:bCs/>
                <w:sz w:val="16"/>
                <w:szCs w:val="16"/>
              </w:rPr>
              <w:t>Performance:</w:t>
            </w:r>
            <w:r w:rsidRPr="009964A0">
              <w:rPr>
                <w:rFonts w:ascii="Arial" w:hAnsi="Arial" w:cs="Arial"/>
                <w:sz w:val="16"/>
                <w:szCs w:val="16"/>
              </w:rPr>
              <w:t xml:space="preserve"> Met. The AEC maintained a publicly available Register of Political Parties during the year, consistent with the Electoral Act. The register was updated after every party registration application or review had been finalised. These included new parties, changes to the Register, appointments or revocations of a party official, or deregistration applications.</w:t>
            </w:r>
          </w:p>
        </w:tc>
      </w:tr>
    </w:tbl>
    <w:p w14:paraId="30D34CFA" w14:textId="77777777" w:rsidR="00E8401B" w:rsidRDefault="004F187F" w:rsidP="00E8401B">
      <w:pPr>
        <w:pStyle w:val="TableGraphic"/>
        <w:spacing w:before="30"/>
        <w:ind w:right="0"/>
        <w:rPr>
          <w:rFonts w:ascii="Arial" w:hAnsi="Arial" w:cs="Arial"/>
          <w:sz w:val="16"/>
          <w:szCs w:val="16"/>
          <w:lang w:eastAsia="x-none"/>
        </w:rPr>
      </w:pPr>
      <w:r>
        <w:rPr>
          <w:rFonts w:ascii="Arial" w:hAnsi="Arial" w:cs="Arial"/>
          <w:sz w:val="16"/>
          <w:szCs w:val="16"/>
          <w:lang w:eastAsia="x-none"/>
        </w:rPr>
        <w:t>Table continues on next page</w:t>
      </w:r>
      <w:r w:rsidR="00E8401B">
        <w:rPr>
          <w:rFonts w:ascii="Arial" w:hAnsi="Arial" w:cs="Arial"/>
          <w:sz w:val="16"/>
          <w:szCs w:val="16"/>
          <w:lang w:eastAsia="x-none"/>
        </w:rPr>
        <w:br w:type="page"/>
      </w:r>
    </w:p>
    <w:p w14:paraId="12DAD1E3" w14:textId="499694B2" w:rsidR="00CE34DF" w:rsidRPr="00E8401B" w:rsidRDefault="00BF0558" w:rsidP="00E8401B">
      <w:pPr>
        <w:pStyle w:val="TableGraphic"/>
        <w:spacing w:before="30"/>
        <w:ind w:right="0"/>
        <w:rPr>
          <w:rFonts w:ascii="Arial" w:hAnsi="Arial" w:cs="Arial"/>
          <w:sz w:val="16"/>
          <w:szCs w:val="16"/>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E34DF" w:rsidRPr="001B2F81" w14:paraId="2750BB1B" w14:textId="77777777" w:rsidTr="008567E9">
        <w:trPr>
          <w:trHeight w:val="522"/>
        </w:trPr>
        <w:tc>
          <w:tcPr>
            <w:tcW w:w="7796" w:type="dxa"/>
            <w:gridSpan w:val="3"/>
            <w:shd w:val="clear" w:color="auto" w:fill="F2F2F2"/>
          </w:tcPr>
          <w:p w14:paraId="6FB2B98B" w14:textId="77777777" w:rsidR="00CE34DF" w:rsidRPr="00C41058" w:rsidRDefault="00CE34DF" w:rsidP="000F4A54">
            <w:pPr>
              <w:pStyle w:val="TableTextLeft"/>
              <w:spacing w:before="60" w:after="60"/>
              <w:rPr>
                <w:rFonts w:eastAsia="Arial"/>
                <w:b/>
              </w:rPr>
            </w:pPr>
            <w:r w:rsidRPr="00C41058">
              <w:rPr>
                <w:b/>
              </w:rPr>
              <w:t xml:space="preserve">Program </w:t>
            </w:r>
            <w:r>
              <w:rPr>
                <w:b/>
              </w:rPr>
              <w:t>1</w:t>
            </w:r>
            <w:r w:rsidRPr="00C41058">
              <w:rPr>
                <w:b/>
              </w:rPr>
              <w:t>.</w:t>
            </w:r>
            <w:r>
              <w:rPr>
                <w:b/>
              </w:rPr>
              <w:t>1</w:t>
            </w:r>
            <w:r w:rsidRPr="00C41058">
              <w:rPr>
                <w:b/>
              </w:rPr>
              <w:t xml:space="preserve">- </w:t>
            </w:r>
            <w:r>
              <w:rPr>
                <w:b/>
              </w:rPr>
              <w:t>Deliver Electoral Events</w:t>
            </w:r>
          </w:p>
          <w:p w14:paraId="3684FFA9" w14:textId="77777777" w:rsidR="00CE34DF" w:rsidRPr="001B2F81" w:rsidRDefault="00CE34DF" w:rsidP="000F4A54">
            <w:pPr>
              <w:pStyle w:val="TableTextLeft"/>
              <w:spacing w:before="60" w:after="60"/>
            </w:pPr>
          </w:p>
        </w:tc>
      </w:tr>
      <w:tr w:rsidR="00BF0558" w:rsidRPr="00D35E38" w14:paraId="2239E437" w14:textId="77777777" w:rsidTr="004D5C6C">
        <w:trPr>
          <w:trHeight w:val="343"/>
        </w:trPr>
        <w:tc>
          <w:tcPr>
            <w:tcW w:w="1560" w:type="dxa"/>
            <w:tcBorders>
              <w:top w:val="single" w:sz="4" w:space="0" w:color="auto"/>
              <w:left w:val="single" w:sz="4" w:space="0" w:color="auto"/>
              <w:bottom w:val="single" w:sz="4" w:space="0" w:color="auto"/>
              <w:right w:val="single" w:sz="4" w:space="0" w:color="auto"/>
            </w:tcBorders>
          </w:tcPr>
          <w:p w14:paraId="2239E434" w14:textId="77777777" w:rsidR="00BF0558" w:rsidRPr="00D35E38" w:rsidRDefault="00BF0558" w:rsidP="000F4A54">
            <w:pPr>
              <w:pStyle w:val="TableColumnHeadingLeft"/>
              <w:spacing w:before="60" w:after="60"/>
            </w:pPr>
            <w:r w:rsidRPr="00160C23">
              <w:t>Year</w:t>
            </w:r>
          </w:p>
        </w:tc>
        <w:tc>
          <w:tcPr>
            <w:tcW w:w="3118" w:type="dxa"/>
            <w:tcBorders>
              <w:top w:val="single" w:sz="4" w:space="0" w:color="auto"/>
              <w:left w:val="single" w:sz="4" w:space="0" w:color="auto"/>
              <w:bottom w:val="single" w:sz="4" w:space="0" w:color="auto"/>
              <w:right w:val="single" w:sz="4" w:space="0" w:color="auto"/>
            </w:tcBorders>
          </w:tcPr>
          <w:p w14:paraId="2239E435" w14:textId="77777777" w:rsidR="00BF0558" w:rsidRPr="00D35E38" w:rsidRDefault="00BF0558" w:rsidP="000F4A54">
            <w:pPr>
              <w:pStyle w:val="TableColumnHeadingLeft"/>
              <w:spacing w:before="60" w:after="60"/>
            </w:pPr>
            <w:r w:rsidRPr="00D35E38">
              <w:t>Performance measures</w:t>
            </w:r>
          </w:p>
        </w:tc>
        <w:tc>
          <w:tcPr>
            <w:tcW w:w="3118" w:type="dxa"/>
            <w:tcBorders>
              <w:top w:val="single" w:sz="4" w:space="0" w:color="auto"/>
              <w:left w:val="single" w:sz="4" w:space="0" w:color="auto"/>
              <w:bottom w:val="single" w:sz="4" w:space="0" w:color="auto"/>
              <w:right w:val="single" w:sz="4" w:space="0" w:color="auto"/>
            </w:tcBorders>
          </w:tcPr>
          <w:p w14:paraId="2239E436" w14:textId="77777777" w:rsidR="00BF0558" w:rsidRPr="00D35E38" w:rsidRDefault="00BF0558" w:rsidP="000F4A54">
            <w:pPr>
              <w:pStyle w:val="TableColumnHeadingLeft"/>
              <w:spacing w:before="60" w:after="60"/>
            </w:pPr>
            <w:r w:rsidRPr="00D35E38">
              <w:t>Expected Performance Results</w:t>
            </w:r>
          </w:p>
        </w:tc>
      </w:tr>
      <w:tr w:rsidR="00BF0558" w:rsidRPr="001C6402" w14:paraId="2239E442" w14:textId="77777777" w:rsidTr="004D5C6C">
        <w:trPr>
          <w:trHeight w:val="642"/>
        </w:trPr>
        <w:tc>
          <w:tcPr>
            <w:tcW w:w="1560" w:type="dxa"/>
            <w:tcBorders>
              <w:top w:val="single" w:sz="4" w:space="0" w:color="auto"/>
              <w:bottom w:val="single" w:sz="4" w:space="0" w:color="auto"/>
              <w:right w:val="single" w:sz="4" w:space="0" w:color="auto"/>
            </w:tcBorders>
          </w:tcPr>
          <w:p w14:paraId="2239E438" w14:textId="77777777" w:rsidR="00BF0558" w:rsidRPr="00160C23" w:rsidRDefault="00BF0558" w:rsidP="000F4A54">
            <w:pPr>
              <w:pStyle w:val="TableTextLeft"/>
              <w:spacing w:before="60" w:after="60"/>
            </w:pPr>
            <w:r>
              <w:t>Prior</w:t>
            </w:r>
            <w:r w:rsidRPr="00160C23">
              <w:t xml:space="preserve"> year </w:t>
            </w:r>
          </w:p>
          <w:p w14:paraId="2239E439" w14:textId="77777777" w:rsidR="00BF0558" w:rsidRDefault="00BF0558" w:rsidP="000F4A54">
            <w:pPr>
              <w:pStyle w:val="TableTextLeft"/>
              <w:spacing w:before="60" w:after="60"/>
            </w:pPr>
          </w:p>
          <w:p w14:paraId="2239E43A" w14:textId="77777777" w:rsidR="00BF0558" w:rsidRDefault="00BF0558" w:rsidP="000F4A54">
            <w:pPr>
              <w:pStyle w:val="TableTextLeft"/>
              <w:spacing w:before="60" w:after="60"/>
            </w:pPr>
            <w:r w:rsidRPr="00160C23">
              <w:t>2021-22</w:t>
            </w:r>
            <w:r>
              <w:t xml:space="preserve"> (continued)</w:t>
            </w:r>
          </w:p>
        </w:tc>
        <w:tc>
          <w:tcPr>
            <w:tcW w:w="3118" w:type="dxa"/>
            <w:tcBorders>
              <w:top w:val="single" w:sz="4" w:space="0" w:color="auto"/>
              <w:left w:val="single" w:sz="4" w:space="0" w:color="auto"/>
              <w:bottom w:val="single" w:sz="4" w:space="0" w:color="auto"/>
              <w:right w:val="single" w:sz="4" w:space="0" w:color="auto"/>
            </w:tcBorders>
          </w:tcPr>
          <w:p w14:paraId="2239E43B" w14:textId="77777777" w:rsidR="00BF0558" w:rsidRPr="009964A0"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 xml:space="preserve">Disclosure returns are published and regulated in accordance with timeframes in the </w:t>
            </w:r>
            <w:r w:rsidRPr="009964A0">
              <w:rPr>
                <w:rFonts w:ascii="Arial" w:eastAsia="Calibri" w:hAnsi="Arial" w:cs="Arial"/>
                <w:i/>
                <w:sz w:val="16"/>
                <w:szCs w:val="16"/>
                <w:lang w:val="en-US"/>
              </w:rPr>
              <w:t>Commonwealth Electoral Act 1918</w:t>
            </w:r>
            <w:r w:rsidRPr="009964A0">
              <w:rPr>
                <w:rFonts w:ascii="Arial" w:eastAsia="Calibri" w:hAnsi="Arial" w:cs="Arial"/>
                <w:sz w:val="16"/>
                <w:szCs w:val="16"/>
                <w:lang w:val="en-US"/>
              </w:rPr>
              <w:t>.</w:t>
            </w:r>
          </w:p>
          <w:p w14:paraId="2239E43C" w14:textId="77777777" w:rsidR="00BF0558" w:rsidRPr="009964A0" w:rsidRDefault="00BF0558" w:rsidP="000F4A54">
            <w:pPr>
              <w:spacing w:before="60" w:after="60" w:line="240" w:lineRule="auto"/>
              <w:ind w:left="374" w:hanging="357"/>
              <w:rPr>
                <w:rFonts w:ascii="Arial" w:hAnsi="Arial" w:cs="Arial"/>
                <w:b/>
                <w:sz w:val="16"/>
                <w:szCs w:val="16"/>
              </w:rPr>
            </w:pPr>
          </w:p>
        </w:tc>
        <w:tc>
          <w:tcPr>
            <w:tcW w:w="3118" w:type="dxa"/>
            <w:tcBorders>
              <w:top w:val="single" w:sz="4" w:space="0" w:color="auto"/>
              <w:left w:val="single" w:sz="4" w:space="0" w:color="auto"/>
              <w:bottom w:val="single" w:sz="4" w:space="0" w:color="auto"/>
            </w:tcBorders>
          </w:tcPr>
          <w:p w14:paraId="2239E43D" w14:textId="77777777" w:rsidR="00BF0558" w:rsidRPr="00BF0558" w:rsidRDefault="00BF0558" w:rsidP="000F4A54">
            <w:pPr>
              <w:autoSpaceDE w:val="0"/>
              <w:autoSpaceDN w:val="0"/>
              <w:spacing w:before="60" w:after="60" w:line="240" w:lineRule="auto"/>
              <w:rPr>
                <w:rFonts w:ascii="Arial" w:hAnsi="Arial" w:cs="Arial"/>
                <w:sz w:val="16"/>
                <w:szCs w:val="16"/>
              </w:rPr>
            </w:pPr>
            <w:r w:rsidRPr="009964A0">
              <w:rPr>
                <w:rFonts w:ascii="Arial" w:hAnsi="Arial" w:cs="Arial"/>
                <w:b/>
                <w:bCs/>
                <w:sz w:val="16"/>
                <w:szCs w:val="16"/>
              </w:rPr>
              <w:t>Target:</w:t>
            </w:r>
            <w:r w:rsidRPr="009964A0">
              <w:rPr>
                <w:rFonts w:ascii="Arial" w:hAnsi="Arial" w:cs="Arial"/>
                <w:sz w:val="16"/>
                <w:szCs w:val="16"/>
              </w:rPr>
              <w:t xml:space="preserve"> Annual returns published on the first working day in February. </w:t>
            </w:r>
          </w:p>
          <w:p w14:paraId="2239E43F" w14:textId="22604940" w:rsidR="00BF0558" w:rsidRPr="00563199" w:rsidRDefault="00BF0558" w:rsidP="000F4A54">
            <w:pPr>
              <w:autoSpaceDE w:val="0"/>
              <w:autoSpaceDN w:val="0"/>
              <w:adjustRightInd w:val="0"/>
              <w:spacing w:before="60" w:after="60" w:line="240" w:lineRule="auto"/>
              <w:rPr>
                <w:rFonts w:ascii="Arial" w:hAnsi="Arial" w:cs="Arial"/>
                <w:sz w:val="16"/>
                <w:szCs w:val="16"/>
              </w:rPr>
            </w:pPr>
            <w:r w:rsidRPr="009964A0">
              <w:rPr>
                <w:rFonts w:ascii="Arial" w:hAnsi="Arial" w:cs="Arial"/>
                <w:b/>
                <w:bCs/>
                <w:sz w:val="16"/>
                <w:szCs w:val="16"/>
              </w:rPr>
              <w:t xml:space="preserve">Performance: </w:t>
            </w:r>
            <w:r w:rsidRPr="009964A0">
              <w:rPr>
                <w:rFonts w:ascii="Arial" w:hAnsi="Arial" w:cs="Arial"/>
                <w:sz w:val="16"/>
                <w:szCs w:val="16"/>
              </w:rPr>
              <w:t xml:space="preserve">Met. 2020–21 annual disclosure returns received by the AEC were published on the first working day in February 2022. The </w:t>
            </w:r>
            <w:r w:rsidRPr="00A3249C">
              <w:rPr>
                <w:rFonts w:ascii="Arial" w:hAnsi="Arial" w:cs="Arial"/>
                <w:i/>
                <w:sz w:val="16"/>
                <w:szCs w:val="16"/>
              </w:rPr>
              <w:t>Electoral Legislation Amendment (Annual Disclosure Equality) Act 2021</w:t>
            </w:r>
            <w:r w:rsidRPr="009964A0">
              <w:rPr>
                <w:rFonts w:ascii="Arial" w:hAnsi="Arial" w:cs="Arial"/>
                <w:sz w:val="16"/>
                <w:szCs w:val="16"/>
              </w:rPr>
              <w:t xml:space="preserve"> created a new category of disclosure returns for members of the House of Representatives and Senators, with these ret</w:t>
            </w:r>
            <w:r w:rsidR="003076D4">
              <w:rPr>
                <w:rFonts w:ascii="Arial" w:hAnsi="Arial" w:cs="Arial"/>
                <w:sz w:val="16"/>
                <w:szCs w:val="16"/>
              </w:rPr>
              <w:t>urns published on 1 March </w:t>
            </w:r>
            <w:r w:rsidR="00563199">
              <w:rPr>
                <w:rFonts w:ascii="Arial" w:hAnsi="Arial" w:cs="Arial"/>
                <w:sz w:val="16"/>
                <w:szCs w:val="16"/>
              </w:rPr>
              <w:t>2022.</w:t>
            </w:r>
          </w:p>
          <w:p w14:paraId="2239E440" w14:textId="77777777" w:rsidR="00BF0558" w:rsidRPr="00BF0558" w:rsidRDefault="00BF0558" w:rsidP="000F4A54">
            <w:pPr>
              <w:autoSpaceDE w:val="0"/>
              <w:autoSpaceDN w:val="0"/>
              <w:spacing w:before="60" w:after="60" w:line="240" w:lineRule="auto"/>
              <w:rPr>
                <w:rFonts w:ascii="Arial" w:hAnsi="Arial" w:cs="Arial"/>
                <w:sz w:val="16"/>
                <w:szCs w:val="16"/>
              </w:rPr>
            </w:pPr>
            <w:r w:rsidRPr="009964A0">
              <w:rPr>
                <w:rFonts w:ascii="Arial" w:hAnsi="Arial" w:cs="Arial"/>
                <w:b/>
                <w:bCs/>
                <w:sz w:val="16"/>
                <w:szCs w:val="16"/>
              </w:rPr>
              <w:t>Target</w:t>
            </w:r>
            <w:r w:rsidRPr="009964A0">
              <w:rPr>
                <w:rFonts w:ascii="Arial" w:hAnsi="Arial" w:cs="Arial"/>
                <w:sz w:val="16"/>
                <w:szCs w:val="16"/>
              </w:rPr>
              <w:t>: Election returns published 24 weeks after polling day for each electoral event.</w:t>
            </w:r>
          </w:p>
          <w:p w14:paraId="2239E441" w14:textId="77777777" w:rsidR="00BF0558" w:rsidRPr="00A04CCB" w:rsidRDefault="00BF0558" w:rsidP="000F4A54">
            <w:pPr>
              <w:autoSpaceDE w:val="0"/>
              <w:autoSpaceDN w:val="0"/>
              <w:adjustRightInd w:val="0"/>
              <w:spacing w:before="60" w:after="60" w:line="240" w:lineRule="auto"/>
              <w:rPr>
                <w:rFonts w:ascii="Arial" w:hAnsi="Arial" w:cs="Arial"/>
                <w:sz w:val="16"/>
                <w:szCs w:val="16"/>
              </w:rPr>
            </w:pPr>
            <w:r w:rsidRPr="009964A0">
              <w:rPr>
                <w:rFonts w:ascii="Arial" w:hAnsi="Arial" w:cs="Arial"/>
                <w:b/>
                <w:bCs/>
                <w:sz w:val="16"/>
                <w:szCs w:val="16"/>
              </w:rPr>
              <w:t xml:space="preserve">Performance: </w:t>
            </w:r>
            <w:r w:rsidRPr="009964A0">
              <w:rPr>
                <w:rFonts w:ascii="Arial" w:hAnsi="Arial" w:cs="Arial"/>
                <w:sz w:val="16"/>
                <w:szCs w:val="16"/>
              </w:rPr>
              <w:t>On track to be met. Returns from the 2022 federal election will be published in November 2022, according to the requirements of the Electoral Act. No by-elections have been held within the reportable timeframe.</w:t>
            </w:r>
          </w:p>
        </w:tc>
      </w:tr>
      <w:tr w:rsidR="00BF0558" w:rsidRPr="001C6402" w14:paraId="2239E446" w14:textId="77777777" w:rsidTr="000F4A54">
        <w:trPr>
          <w:trHeight w:val="100"/>
        </w:trPr>
        <w:tc>
          <w:tcPr>
            <w:tcW w:w="1560" w:type="dxa"/>
            <w:tcBorders>
              <w:top w:val="single" w:sz="4" w:space="0" w:color="auto"/>
              <w:bottom w:val="single" w:sz="4" w:space="0" w:color="auto"/>
              <w:right w:val="single" w:sz="4" w:space="0" w:color="auto"/>
            </w:tcBorders>
          </w:tcPr>
          <w:p w14:paraId="2239E443" w14:textId="77777777" w:rsidR="00BF0558" w:rsidRPr="00160C23" w:rsidRDefault="00BF0558" w:rsidP="000F4A54">
            <w:pPr>
              <w:pStyle w:val="TableColumnHeadingLeft"/>
              <w:spacing w:before="60" w:after="60"/>
            </w:pPr>
            <w:r w:rsidRPr="00160C23">
              <w:t>Year</w:t>
            </w:r>
          </w:p>
        </w:tc>
        <w:tc>
          <w:tcPr>
            <w:tcW w:w="3118" w:type="dxa"/>
            <w:tcBorders>
              <w:top w:val="single" w:sz="4" w:space="0" w:color="auto"/>
              <w:left w:val="single" w:sz="4" w:space="0" w:color="auto"/>
              <w:bottom w:val="single" w:sz="4" w:space="0" w:color="auto"/>
              <w:right w:val="single" w:sz="4" w:space="0" w:color="auto"/>
            </w:tcBorders>
          </w:tcPr>
          <w:p w14:paraId="2239E444" w14:textId="77777777" w:rsidR="00BF0558" w:rsidRPr="00160C23" w:rsidRDefault="00BF0558" w:rsidP="000F4A54">
            <w:pPr>
              <w:pStyle w:val="TableColumnHeadingLeft"/>
              <w:spacing w:before="60" w:after="60"/>
            </w:pPr>
            <w:r w:rsidRPr="00160C23">
              <w:t>Performance measures</w:t>
            </w:r>
          </w:p>
        </w:tc>
        <w:tc>
          <w:tcPr>
            <w:tcW w:w="3118" w:type="dxa"/>
            <w:tcBorders>
              <w:top w:val="single" w:sz="4" w:space="0" w:color="auto"/>
              <w:left w:val="single" w:sz="4" w:space="0" w:color="auto"/>
              <w:bottom w:val="single" w:sz="4" w:space="0" w:color="auto"/>
            </w:tcBorders>
          </w:tcPr>
          <w:p w14:paraId="2239E445" w14:textId="77777777" w:rsidR="00BF0558" w:rsidRPr="00160C23" w:rsidRDefault="00BF0558" w:rsidP="000F4A54">
            <w:pPr>
              <w:pStyle w:val="TableColumnHeadingLeft"/>
              <w:spacing w:before="60" w:after="60"/>
            </w:pPr>
            <w:r>
              <w:t>Planned</w:t>
            </w:r>
            <w:r w:rsidRPr="00160C23">
              <w:t xml:space="preserve"> Performance Results</w:t>
            </w:r>
          </w:p>
        </w:tc>
      </w:tr>
      <w:tr w:rsidR="00BF0558" w:rsidRPr="001C6402" w14:paraId="2239E44D" w14:textId="77777777" w:rsidTr="004D5C6C">
        <w:trPr>
          <w:trHeight w:val="100"/>
        </w:trPr>
        <w:tc>
          <w:tcPr>
            <w:tcW w:w="1560" w:type="dxa"/>
            <w:tcBorders>
              <w:top w:val="single" w:sz="4" w:space="0" w:color="auto"/>
              <w:bottom w:val="nil"/>
              <w:right w:val="single" w:sz="4" w:space="0" w:color="auto"/>
            </w:tcBorders>
          </w:tcPr>
          <w:p w14:paraId="2239E447" w14:textId="77777777" w:rsidR="00BF0558" w:rsidRDefault="00BF0558" w:rsidP="000F4A54">
            <w:pPr>
              <w:pStyle w:val="TableTextLeft"/>
              <w:spacing w:before="60" w:after="60"/>
            </w:pPr>
            <w:r w:rsidRPr="001B2F81">
              <w:t xml:space="preserve">Budget Year </w:t>
            </w:r>
          </w:p>
          <w:p w14:paraId="2239E448" w14:textId="77777777" w:rsidR="00BF0558" w:rsidRPr="001B2F81" w:rsidRDefault="00BF0558" w:rsidP="000F4A54">
            <w:pPr>
              <w:pStyle w:val="TableTextLeft"/>
              <w:spacing w:before="60" w:after="60"/>
            </w:pPr>
            <w:r w:rsidRPr="001B2F81">
              <w:t>202</w:t>
            </w:r>
            <w:r>
              <w:t>2</w:t>
            </w:r>
            <w:r w:rsidRPr="001B2F81">
              <w:t>-</w:t>
            </w:r>
            <w:r>
              <w:t>23</w:t>
            </w:r>
          </w:p>
        </w:tc>
        <w:tc>
          <w:tcPr>
            <w:tcW w:w="3118" w:type="dxa"/>
            <w:tcBorders>
              <w:top w:val="single" w:sz="4" w:space="0" w:color="auto"/>
              <w:left w:val="single" w:sz="4" w:space="0" w:color="auto"/>
              <w:bottom w:val="nil"/>
              <w:right w:val="single" w:sz="4" w:space="0" w:color="auto"/>
            </w:tcBorders>
          </w:tcPr>
          <w:p w14:paraId="2239E449" w14:textId="77777777" w:rsidR="00BF0558" w:rsidRPr="009964A0" w:rsidRDefault="00BF0558" w:rsidP="00872C22">
            <w:pPr>
              <w:autoSpaceDE w:val="0"/>
              <w:autoSpaceDN w:val="0"/>
              <w:spacing w:before="60" w:after="60" w:line="240" w:lineRule="auto"/>
              <w:rPr>
                <w:rFonts w:ascii="Arial" w:hAnsi="Arial" w:cs="Arial"/>
                <w:b/>
                <w:sz w:val="16"/>
                <w:szCs w:val="16"/>
              </w:rPr>
            </w:pPr>
            <w:r w:rsidRPr="009964A0">
              <w:rPr>
                <w:rFonts w:ascii="Arial" w:hAnsi="Arial" w:cs="Arial"/>
                <w:b/>
                <w:sz w:val="16"/>
                <w:szCs w:val="16"/>
              </w:rPr>
              <w:t xml:space="preserve">Electoral Roll Management </w:t>
            </w:r>
          </w:p>
          <w:p w14:paraId="2239E44A" w14:textId="77777777" w:rsidR="00BF0558" w:rsidRPr="00160C23" w:rsidRDefault="00BF0558" w:rsidP="00C8474A">
            <w:pPr>
              <w:numPr>
                <w:ilvl w:val="0"/>
                <w:numId w:val="29"/>
              </w:numPr>
              <w:autoSpaceDE w:val="0"/>
              <w:autoSpaceDN w:val="0"/>
              <w:spacing w:before="60" w:after="60" w:line="240" w:lineRule="auto"/>
              <w:ind w:left="527" w:hanging="357"/>
              <w:rPr>
                <w:i/>
                <w:color w:val="0070C0"/>
              </w:rPr>
            </w:pPr>
            <w:r w:rsidRPr="009964A0">
              <w:rPr>
                <w:rFonts w:ascii="Arial" w:hAnsi="Arial" w:cs="Arial"/>
                <w:sz w:val="16"/>
                <w:szCs w:val="16"/>
              </w:rPr>
              <w:t>Percentage of eligible voters enrolled (enrolment rate).</w:t>
            </w:r>
          </w:p>
        </w:tc>
        <w:tc>
          <w:tcPr>
            <w:tcW w:w="3118" w:type="dxa"/>
            <w:tcBorders>
              <w:top w:val="single" w:sz="4" w:space="0" w:color="auto"/>
              <w:left w:val="single" w:sz="4" w:space="0" w:color="auto"/>
              <w:bottom w:val="nil"/>
            </w:tcBorders>
          </w:tcPr>
          <w:p w14:paraId="2239E44C" w14:textId="3C6E43F8" w:rsidR="00BF0558" w:rsidRPr="00563199"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 95% reported annually and at close of rolls for a federal election or referendum.</w:t>
            </w:r>
          </w:p>
        </w:tc>
      </w:tr>
      <w:tr w:rsidR="00BF0558" w:rsidRPr="001C6402" w14:paraId="2239E453" w14:textId="77777777" w:rsidTr="007C2B56">
        <w:trPr>
          <w:trHeight w:val="100"/>
        </w:trPr>
        <w:tc>
          <w:tcPr>
            <w:tcW w:w="1560" w:type="dxa"/>
            <w:tcBorders>
              <w:top w:val="nil"/>
              <w:bottom w:val="nil"/>
              <w:right w:val="single" w:sz="4" w:space="0" w:color="auto"/>
            </w:tcBorders>
          </w:tcPr>
          <w:p w14:paraId="2239E44E" w14:textId="77777777" w:rsidR="00BF0558" w:rsidRPr="001B2F81" w:rsidRDefault="00BF0558" w:rsidP="000F4A54">
            <w:pPr>
              <w:pStyle w:val="TableTextLeft"/>
              <w:spacing w:before="60" w:after="60"/>
            </w:pPr>
          </w:p>
        </w:tc>
        <w:tc>
          <w:tcPr>
            <w:tcW w:w="3118" w:type="dxa"/>
            <w:tcBorders>
              <w:top w:val="nil"/>
              <w:left w:val="single" w:sz="4" w:space="0" w:color="auto"/>
              <w:bottom w:val="dotted" w:sz="4" w:space="0" w:color="auto"/>
              <w:right w:val="single" w:sz="4" w:space="0" w:color="auto"/>
            </w:tcBorders>
          </w:tcPr>
          <w:p w14:paraId="2239E44F" w14:textId="77777777" w:rsidR="00BF0558" w:rsidRPr="009964A0"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 xml:space="preserve">Redistributions determined in accordance with the </w:t>
            </w:r>
            <w:r w:rsidRPr="00A3249C">
              <w:rPr>
                <w:rFonts w:ascii="Arial" w:hAnsi="Arial" w:cs="Arial"/>
                <w:i/>
                <w:sz w:val="16"/>
                <w:szCs w:val="16"/>
              </w:rPr>
              <w:t>Commonwealth Electoral Act 1918.</w:t>
            </w:r>
          </w:p>
          <w:p w14:paraId="2239E450" w14:textId="77777777" w:rsidR="00BF0558" w:rsidRPr="007C2B56" w:rsidRDefault="00BF0558" w:rsidP="007C2B56">
            <w:pPr>
              <w:autoSpaceDE w:val="0"/>
              <w:autoSpaceDN w:val="0"/>
              <w:spacing w:before="60" w:after="60" w:line="240" w:lineRule="auto"/>
              <w:ind w:left="527" w:hanging="357"/>
              <w:rPr>
                <w:rFonts w:ascii="Arial" w:hAnsi="Arial" w:cs="Arial"/>
                <w:sz w:val="16"/>
                <w:szCs w:val="16"/>
              </w:rPr>
            </w:pPr>
          </w:p>
        </w:tc>
        <w:tc>
          <w:tcPr>
            <w:tcW w:w="3118" w:type="dxa"/>
            <w:tcBorders>
              <w:top w:val="nil"/>
              <w:left w:val="single" w:sz="4" w:space="0" w:color="auto"/>
              <w:bottom w:val="dotted" w:sz="4" w:space="0" w:color="auto"/>
            </w:tcBorders>
          </w:tcPr>
          <w:p w14:paraId="2239E452" w14:textId="38D9E80C" w:rsidR="00BF0558" w:rsidRPr="00563199"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All redistributions are determined in accordance with the planned determination date and impacted electors are notified prior to the relevant federal election.</w:t>
            </w:r>
          </w:p>
        </w:tc>
      </w:tr>
      <w:tr w:rsidR="00BF0558" w:rsidRPr="001C6402" w14:paraId="2239E459" w14:textId="77777777" w:rsidTr="007C2B56">
        <w:trPr>
          <w:trHeight w:val="100"/>
        </w:trPr>
        <w:tc>
          <w:tcPr>
            <w:tcW w:w="1560" w:type="dxa"/>
            <w:tcBorders>
              <w:top w:val="nil"/>
              <w:bottom w:val="nil"/>
              <w:right w:val="single" w:sz="4" w:space="0" w:color="auto"/>
            </w:tcBorders>
          </w:tcPr>
          <w:p w14:paraId="2239E454" w14:textId="77777777" w:rsidR="00BF0558" w:rsidRPr="001B2F81" w:rsidRDefault="00BF0558" w:rsidP="000F4A54">
            <w:pPr>
              <w:pStyle w:val="TableTextLeft"/>
              <w:spacing w:before="60" w:after="60"/>
            </w:pPr>
          </w:p>
        </w:tc>
        <w:tc>
          <w:tcPr>
            <w:tcW w:w="3118" w:type="dxa"/>
            <w:tcBorders>
              <w:top w:val="dotted" w:sz="4" w:space="0" w:color="auto"/>
              <w:left w:val="single" w:sz="4" w:space="0" w:color="auto"/>
              <w:bottom w:val="nil"/>
              <w:right w:val="single" w:sz="4" w:space="0" w:color="auto"/>
            </w:tcBorders>
          </w:tcPr>
          <w:p w14:paraId="2239E455" w14:textId="77777777" w:rsidR="00BF0558" w:rsidRPr="009964A0" w:rsidRDefault="00BF0558" w:rsidP="00872C22">
            <w:pPr>
              <w:autoSpaceDE w:val="0"/>
              <w:autoSpaceDN w:val="0"/>
              <w:spacing w:before="60" w:after="60" w:line="240" w:lineRule="auto"/>
              <w:rPr>
                <w:rFonts w:ascii="Arial" w:hAnsi="Arial" w:cs="Arial"/>
                <w:sz w:val="16"/>
                <w:szCs w:val="16"/>
              </w:rPr>
            </w:pPr>
            <w:r w:rsidRPr="009964A0">
              <w:rPr>
                <w:rFonts w:ascii="Arial" w:hAnsi="Arial" w:cs="Arial"/>
                <w:b/>
                <w:sz w:val="16"/>
                <w:szCs w:val="16"/>
              </w:rPr>
              <w:t>Elections, By-elections and</w:t>
            </w:r>
            <w:r w:rsidRPr="009964A0">
              <w:rPr>
                <w:rFonts w:ascii="Arial" w:hAnsi="Arial" w:cs="Arial"/>
                <w:sz w:val="16"/>
                <w:szCs w:val="16"/>
              </w:rPr>
              <w:t xml:space="preserve"> </w:t>
            </w:r>
            <w:r w:rsidRPr="009964A0">
              <w:rPr>
                <w:rFonts w:ascii="Arial" w:hAnsi="Arial" w:cs="Arial"/>
                <w:b/>
                <w:sz w:val="16"/>
                <w:szCs w:val="16"/>
              </w:rPr>
              <w:t>Referendums</w:t>
            </w:r>
          </w:p>
          <w:p w14:paraId="2239E457" w14:textId="75F23855" w:rsidR="00BF0558" w:rsidRPr="007C2B56"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 xml:space="preserve">The election result – for each event – is delivered in accordance with the </w:t>
            </w:r>
            <w:r w:rsidRPr="00A3249C">
              <w:rPr>
                <w:rFonts w:ascii="Arial" w:hAnsi="Arial" w:cs="Arial"/>
                <w:i/>
                <w:sz w:val="16"/>
                <w:szCs w:val="16"/>
              </w:rPr>
              <w:t>Commonwealth Electoral Act 1918.</w:t>
            </w:r>
          </w:p>
        </w:tc>
        <w:tc>
          <w:tcPr>
            <w:tcW w:w="3118" w:type="dxa"/>
            <w:tcBorders>
              <w:top w:val="dotted" w:sz="4" w:space="0" w:color="auto"/>
              <w:left w:val="single" w:sz="4" w:space="0" w:color="auto"/>
              <w:bottom w:val="nil"/>
            </w:tcBorders>
          </w:tcPr>
          <w:p w14:paraId="2239E458" w14:textId="77777777" w:rsidR="00BF0558" w:rsidRPr="00BF0558"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 xml:space="preserve">The writs for a federal election event are issued and returned in accordance with legislative requirements and timeframes. </w:t>
            </w:r>
          </w:p>
        </w:tc>
      </w:tr>
      <w:tr w:rsidR="00BF0558" w:rsidRPr="001C6402" w14:paraId="2239E45F" w14:textId="77777777" w:rsidTr="000F4A54">
        <w:trPr>
          <w:trHeight w:val="100"/>
        </w:trPr>
        <w:tc>
          <w:tcPr>
            <w:tcW w:w="1560" w:type="dxa"/>
            <w:tcBorders>
              <w:top w:val="nil"/>
              <w:bottom w:val="single" w:sz="4" w:space="0" w:color="auto"/>
              <w:right w:val="single" w:sz="4" w:space="0" w:color="auto"/>
            </w:tcBorders>
          </w:tcPr>
          <w:p w14:paraId="2239E45A" w14:textId="77777777" w:rsidR="00BF0558" w:rsidRPr="001B2F81" w:rsidRDefault="00BF0558" w:rsidP="000F4A54">
            <w:pPr>
              <w:pStyle w:val="TableTextLeft"/>
              <w:spacing w:before="60" w:after="60"/>
            </w:pPr>
          </w:p>
        </w:tc>
        <w:tc>
          <w:tcPr>
            <w:tcW w:w="3118" w:type="dxa"/>
            <w:tcBorders>
              <w:top w:val="nil"/>
              <w:left w:val="single" w:sz="4" w:space="0" w:color="auto"/>
              <w:bottom w:val="single" w:sz="4" w:space="0" w:color="auto"/>
              <w:right w:val="single" w:sz="4" w:space="0" w:color="auto"/>
            </w:tcBorders>
          </w:tcPr>
          <w:p w14:paraId="2239E45B" w14:textId="77777777" w:rsidR="00BF0558" w:rsidRPr="009964A0"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Industrial election and ballot results are delivered with integrity and withstand scrutiny.</w:t>
            </w:r>
          </w:p>
          <w:p w14:paraId="2239E45C" w14:textId="77777777" w:rsidR="00BF0558" w:rsidRPr="007C2B56" w:rsidRDefault="00BF0558" w:rsidP="007C2B56">
            <w:pPr>
              <w:autoSpaceDE w:val="0"/>
              <w:autoSpaceDN w:val="0"/>
              <w:spacing w:before="60" w:after="60" w:line="240" w:lineRule="auto"/>
              <w:ind w:left="527" w:hanging="357"/>
              <w:rPr>
                <w:rFonts w:ascii="Arial" w:hAnsi="Arial" w:cs="Arial"/>
                <w:sz w:val="16"/>
                <w:szCs w:val="16"/>
              </w:rPr>
            </w:pPr>
          </w:p>
        </w:tc>
        <w:tc>
          <w:tcPr>
            <w:tcW w:w="3118" w:type="dxa"/>
            <w:tcBorders>
              <w:top w:val="nil"/>
              <w:left w:val="single" w:sz="4" w:space="0" w:color="auto"/>
              <w:bottom w:val="single" w:sz="4" w:space="0" w:color="auto"/>
            </w:tcBorders>
          </w:tcPr>
          <w:p w14:paraId="2239E45E" w14:textId="56EEC313" w:rsidR="00BF0558" w:rsidRPr="007C2B56" w:rsidRDefault="00BF0558"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The AEC will report on the outcomes and number of events in which the AEC's conduct is challenged before a court.</w:t>
            </w:r>
          </w:p>
        </w:tc>
      </w:tr>
    </w:tbl>
    <w:p w14:paraId="12DB8FED" w14:textId="77777777" w:rsidR="00F12F4B" w:rsidRDefault="004F187F" w:rsidP="00F12F4B">
      <w:pPr>
        <w:pStyle w:val="TableGraphic"/>
        <w:spacing w:before="30"/>
        <w:ind w:right="0"/>
        <w:rPr>
          <w:rFonts w:ascii="Arial" w:hAnsi="Arial" w:cs="Arial"/>
          <w:sz w:val="16"/>
          <w:szCs w:val="16"/>
          <w:lang w:eastAsia="x-none"/>
        </w:rPr>
      </w:pPr>
      <w:r>
        <w:rPr>
          <w:rFonts w:ascii="Arial" w:hAnsi="Arial" w:cs="Arial"/>
          <w:sz w:val="16"/>
          <w:szCs w:val="16"/>
          <w:lang w:eastAsia="x-none"/>
        </w:rPr>
        <w:t>Table continues on next page</w:t>
      </w:r>
      <w:r w:rsidR="00F12F4B">
        <w:rPr>
          <w:rFonts w:ascii="Arial" w:hAnsi="Arial" w:cs="Arial"/>
          <w:sz w:val="16"/>
          <w:szCs w:val="16"/>
          <w:lang w:eastAsia="x-none"/>
        </w:rPr>
        <w:br w:type="page"/>
      </w:r>
    </w:p>
    <w:p w14:paraId="5502EC86" w14:textId="277371A5" w:rsidR="00CE34DF" w:rsidRPr="00F12F4B" w:rsidRDefault="00AF3379" w:rsidP="00F12F4B">
      <w:pPr>
        <w:pStyle w:val="TableGraphic"/>
        <w:spacing w:before="30"/>
        <w:ind w:right="0"/>
        <w:rPr>
          <w:rFonts w:ascii="Arial" w:hAnsi="Arial" w:cs="Arial"/>
          <w:sz w:val="16"/>
          <w:szCs w:val="16"/>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E34DF" w:rsidRPr="001B2F81" w14:paraId="019CBE79" w14:textId="77777777" w:rsidTr="008567E9">
        <w:trPr>
          <w:trHeight w:val="522"/>
        </w:trPr>
        <w:tc>
          <w:tcPr>
            <w:tcW w:w="7796" w:type="dxa"/>
            <w:gridSpan w:val="3"/>
            <w:shd w:val="clear" w:color="auto" w:fill="F2F2F2"/>
          </w:tcPr>
          <w:p w14:paraId="6C38C471" w14:textId="77777777" w:rsidR="00CE34DF" w:rsidRPr="00C41058" w:rsidRDefault="00CE34DF" w:rsidP="00B72686">
            <w:pPr>
              <w:pStyle w:val="TableTextLeft"/>
              <w:spacing w:before="60" w:after="60"/>
              <w:rPr>
                <w:rFonts w:eastAsia="Arial"/>
                <w:b/>
              </w:rPr>
            </w:pPr>
            <w:r w:rsidRPr="00C41058">
              <w:rPr>
                <w:b/>
              </w:rPr>
              <w:t xml:space="preserve">Program </w:t>
            </w:r>
            <w:r>
              <w:rPr>
                <w:b/>
              </w:rPr>
              <w:t>1</w:t>
            </w:r>
            <w:r w:rsidRPr="00C41058">
              <w:rPr>
                <w:b/>
              </w:rPr>
              <w:t>.</w:t>
            </w:r>
            <w:r>
              <w:rPr>
                <w:b/>
              </w:rPr>
              <w:t>1</w:t>
            </w:r>
            <w:r w:rsidRPr="00C41058">
              <w:rPr>
                <w:b/>
              </w:rPr>
              <w:t xml:space="preserve">- </w:t>
            </w:r>
            <w:r>
              <w:rPr>
                <w:b/>
              </w:rPr>
              <w:t>Deliver Electoral Events</w:t>
            </w:r>
          </w:p>
          <w:p w14:paraId="58D5153E" w14:textId="77777777" w:rsidR="00CE34DF" w:rsidRPr="001B2F81" w:rsidRDefault="00CE34DF" w:rsidP="00B72686">
            <w:pPr>
              <w:pStyle w:val="TableTextLeft"/>
              <w:spacing w:before="60" w:after="60"/>
            </w:pPr>
          </w:p>
        </w:tc>
      </w:tr>
      <w:tr w:rsidR="00AF3379" w:rsidRPr="003C32E7" w14:paraId="2239E46A" w14:textId="77777777" w:rsidTr="00AF3379">
        <w:trPr>
          <w:trHeight w:val="100"/>
        </w:trPr>
        <w:tc>
          <w:tcPr>
            <w:tcW w:w="1560" w:type="dxa"/>
            <w:tcBorders>
              <w:top w:val="single" w:sz="4" w:space="0" w:color="auto"/>
              <w:bottom w:val="single" w:sz="4" w:space="0" w:color="auto"/>
            </w:tcBorders>
          </w:tcPr>
          <w:p w14:paraId="2239E467" w14:textId="77777777" w:rsidR="00AF3379" w:rsidRPr="003C32E7" w:rsidRDefault="00AF3379" w:rsidP="00B72686">
            <w:pPr>
              <w:pStyle w:val="TableColumnHeadingLeft"/>
              <w:spacing w:before="60" w:after="60"/>
            </w:pPr>
            <w:r w:rsidRPr="00160C23">
              <w:t>Year</w:t>
            </w:r>
          </w:p>
        </w:tc>
        <w:tc>
          <w:tcPr>
            <w:tcW w:w="3118" w:type="dxa"/>
            <w:tcBorders>
              <w:top w:val="single" w:sz="4" w:space="0" w:color="auto"/>
              <w:bottom w:val="single" w:sz="4" w:space="0" w:color="auto"/>
            </w:tcBorders>
          </w:tcPr>
          <w:p w14:paraId="2239E468" w14:textId="77777777" w:rsidR="00AF3379" w:rsidRPr="003C32E7" w:rsidRDefault="00AF3379" w:rsidP="00B72686">
            <w:pPr>
              <w:pStyle w:val="TableColumnHeadingLeft"/>
              <w:spacing w:before="60" w:after="60"/>
            </w:pPr>
            <w:r w:rsidRPr="00160C23">
              <w:t>Performance measures</w:t>
            </w:r>
          </w:p>
        </w:tc>
        <w:tc>
          <w:tcPr>
            <w:tcW w:w="3118" w:type="dxa"/>
            <w:tcBorders>
              <w:top w:val="single" w:sz="4" w:space="0" w:color="auto"/>
              <w:bottom w:val="single" w:sz="4" w:space="0" w:color="auto"/>
            </w:tcBorders>
          </w:tcPr>
          <w:p w14:paraId="2239E469" w14:textId="77777777" w:rsidR="00AF3379" w:rsidRPr="003C32E7" w:rsidRDefault="00AF3379" w:rsidP="00B72686">
            <w:pPr>
              <w:pStyle w:val="TableColumnHeadingLeft"/>
              <w:spacing w:before="60" w:after="60"/>
            </w:pPr>
            <w:r>
              <w:t>Planned</w:t>
            </w:r>
            <w:r w:rsidRPr="00160C23">
              <w:t xml:space="preserve"> Performance Results</w:t>
            </w:r>
          </w:p>
        </w:tc>
      </w:tr>
      <w:tr w:rsidR="00CE34DF" w:rsidRPr="00A04CCB" w14:paraId="2239E470" w14:textId="77777777" w:rsidTr="00E04FD1">
        <w:trPr>
          <w:trHeight w:val="100"/>
        </w:trPr>
        <w:tc>
          <w:tcPr>
            <w:tcW w:w="1560" w:type="dxa"/>
            <w:tcBorders>
              <w:top w:val="single" w:sz="4" w:space="0" w:color="auto"/>
              <w:bottom w:val="nil"/>
              <w:right w:val="single" w:sz="4" w:space="0" w:color="auto"/>
            </w:tcBorders>
          </w:tcPr>
          <w:p w14:paraId="2239E46B" w14:textId="77777777" w:rsidR="00CE34DF" w:rsidRDefault="00CE34DF" w:rsidP="00B72686">
            <w:pPr>
              <w:pStyle w:val="TableTextLeft"/>
              <w:spacing w:before="60" w:after="60"/>
            </w:pPr>
            <w:r w:rsidRPr="001B2F81">
              <w:t xml:space="preserve">Budget Year </w:t>
            </w:r>
          </w:p>
          <w:p w14:paraId="2239E46C" w14:textId="77777777" w:rsidR="00CE34DF" w:rsidRPr="001B2F81" w:rsidRDefault="00CE34DF" w:rsidP="00B72686">
            <w:pPr>
              <w:pStyle w:val="TableTextLeft"/>
              <w:spacing w:before="60" w:after="60"/>
            </w:pPr>
            <w:r w:rsidRPr="001B2F81">
              <w:t>202</w:t>
            </w:r>
            <w:r>
              <w:t>2</w:t>
            </w:r>
            <w:r w:rsidRPr="001B2F81">
              <w:t>-</w:t>
            </w:r>
            <w:r>
              <w:t>23 (continued)</w:t>
            </w:r>
          </w:p>
        </w:tc>
        <w:tc>
          <w:tcPr>
            <w:tcW w:w="3118" w:type="dxa"/>
            <w:tcBorders>
              <w:top w:val="single" w:sz="4" w:space="0" w:color="auto"/>
              <w:left w:val="single" w:sz="4" w:space="0" w:color="auto"/>
              <w:bottom w:val="dotted" w:sz="4" w:space="0" w:color="auto"/>
              <w:right w:val="single" w:sz="4" w:space="0" w:color="auto"/>
            </w:tcBorders>
          </w:tcPr>
          <w:p w14:paraId="13386761" w14:textId="77777777" w:rsidR="00CE34DF" w:rsidRPr="009964A0" w:rsidRDefault="00CE34DF" w:rsidP="00872C22">
            <w:pPr>
              <w:autoSpaceDE w:val="0"/>
              <w:autoSpaceDN w:val="0"/>
              <w:spacing w:before="60" w:after="60" w:line="240" w:lineRule="auto"/>
              <w:rPr>
                <w:rFonts w:ascii="Arial" w:hAnsi="Arial" w:cs="Arial"/>
                <w:b/>
                <w:bCs/>
                <w:sz w:val="16"/>
                <w:szCs w:val="16"/>
              </w:rPr>
            </w:pPr>
            <w:r w:rsidRPr="009964A0">
              <w:rPr>
                <w:rFonts w:ascii="Arial" w:hAnsi="Arial" w:cs="Arial"/>
                <w:b/>
                <w:bCs/>
                <w:sz w:val="16"/>
                <w:szCs w:val="16"/>
              </w:rPr>
              <w:t>Public Awareness</w:t>
            </w:r>
          </w:p>
          <w:p w14:paraId="2239E46E" w14:textId="0CB7D806" w:rsidR="008F0D1E" w:rsidRPr="002A2161" w:rsidRDefault="00CE34DF" w:rsidP="00C8474A">
            <w:pPr>
              <w:numPr>
                <w:ilvl w:val="0"/>
                <w:numId w:val="29"/>
              </w:numPr>
              <w:autoSpaceDE w:val="0"/>
              <w:autoSpaceDN w:val="0"/>
              <w:spacing w:before="60" w:after="60" w:line="240" w:lineRule="auto"/>
              <w:ind w:left="527" w:hanging="357"/>
              <w:rPr>
                <w:rFonts w:ascii="Arial" w:hAnsi="Arial" w:cs="Arial"/>
                <w:sz w:val="16"/>
                <w:szCs w:val="16"/>
              </w:rPr>
            </w:pPr>
            <w:r w:rsidRPr="00A04CCB">
              <w:rPr>
                <w:rFonts w:ascii="Arial" w:hAnsi="Arial" w:cs="Arial"/>
                <w:sz w:val="16"/>
                <w:szCs w:val="16"/>
              </w:rPr>
              <w:t>Deliver public awareness and education products that target all Australian citizens aged 18 years and over.</w:t>
            </w:r>
          </w:p>
        </w:tc>
        <w:tc>
          <w:tcPr>
            <w:tcW w:w="3118" w:type="dxa"/>
            <w:tcBorders>
              <w:top w:val="single" w:sz="4" w:space="0" w:color="auto"/>
              <w:left w:val="single" w:sz="4" w:space="0" w:color="auto"/>
              <w:bottom w:val="dotted" w:sz="4" w:space="0" w:color="auto"/>
            </w:tcBorders>
          </w:tcPr>
          <w:p w14:paraId="2239E46F" w14:textId="589B308A" w:rsidR="00CE34DF" w:rsidRPr="00A04CCB" w:rsidRDefault="00CE34DF" w:rsidP="00C8474A">
            <w:pPr>
              <w:pStyle w:val="ListParagraph"/>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The AEC's public awareness campaign is delivered in accordance with key objectives outlined in the campaign strategy</w:t>
            </w:r>
            <w:r w:rsidR="008F0D1E">
              <w:rPr>
                <w:rFonts w:ascii="Arial" w:hAnsi="Arial" w:cs="Arial"/>
                <w:sz w:val="16"/>
                <w:szCs w:val="16"/>
              </w:rPr>
              <w:t>.</w:t>
            </w:r>
          </w:p>
        </w:tc>
      </w:tr>
      <w:tr w:rsidR="008F0D1E" w:rsidRPr="009964A0" w14:paraId="2239E477" w14:textId="77777777" w:rsidTr="00E04FD1">
        <w:trPr>
          <w:trHeight w:val="100"/>
        </w:trPr>
        <w:tc>
          <w:tcPr>
            <w:tcW w:w="1560" w:type="dxa"/>
            <w:tcBorders>
              <w:top w:val="nil"/>
              <w:bottom w:val="dotted" w:sz="4" w:space="0" w:color="auto"/>
              <w:right w:val="single" w:sz="4" w:space="0" w:color="auto"/>
            </w:tcBorders>
          </w:tcPr>
          <w:p w14:paraId="2239E471" w14:textId="77777777" w:rsidR="008F0D1E" w:rsidRPr="001B2F81" w:rsidRDefault="008F0D1E" w:rsidP="00B72686">
            <w:pPr>
              <w:pStyle w:val="TableTextLeft"/>
              <w:spacing w:before="60" w:after="60"/>
            </w:pPr>
          </w:p>
        </w:tc>
        <w:tc>
          <w:tcPr>
            <w:tcW w:w="3118" w:type="dxa"/>
            <w:tcBorders>
              <w:top w:val="dotted" w:sz="4" w:space="0" w:color="auto"/>
              <w:left w:val="single" w:sz="4" w:space="0" w:color="auto"/>
              <w:bottom w:val="dotted" w:sz="4" w:space="0" w:color="auto"/>
              <w:right w:val="single" w:sz="4" w:space="0" w:color="auto"/>
            </w:tcBorders>
          </w:tcPr>
          <w:p w14:paraId="78531381" w14:textId="77777777" w:rsidR="008F0D1E" w:rsidRPr="008F0D1E" w:rsidRDefault="008F0D1E" w:rsidP="00B72686">
            <w:pPr>
              <w:autoSpaceDE w:val="0"/>
              <w:autoSpaceDN w:val="0"/>
              <w:spacing w:before="60" w:after="60" w:line="240" w:lineRule="auto"/>
              <w:rPr>
                <w:rFonts w:ascii="Arial" w:hAnsi="Arial" w:cs="Arial"/>
                <w:b/>
                <w:bCs/>
                <w:sz w:val="16"/>
                <w:szCs w:val="16"/>
              </w:rPr>
            </w:pPr>
            <w:r w:rsidRPr="008F0D1E">
              <w:rPr>
                <w:rFonts w:ascii="Arial" w:hAnsi="Arial" w:cs="Arial"/>
                <w:b/>
                <w:bCs/>
                <w:sz w:val="16"/>
                <w:szCs w:val="16"/>
              </w:rPr>
              <w:t>Party Registration and Financial Disclosure</w:t>
            </w:r>
          </w:p>
          <w:p w14:paraId="585A889D" w14:textId="3D147F2C" w:rsidR="008F0D1E" w:rsidRPr="00B72686" w:rsidRDefault="008F0D1E" w:rsidP="00C8474A">
            <w:pPr>
              <w:numPr>
                <w:ilvl w:val="0"/>
                <w:numId w:val="29"/>
              </w:numPr>
              <w:autoSpaceDE w:val="0"/>
              <w:autoSpaceDN w:val="0"/>
              <w:spacing w:before="60" w:after="60" w:line="240" w:lineRule="auto"/>
              <w:ind w:left="527" w:hanging="357"/>
              <w:rPr>
                <w:rFonts w:ascii="Arial" w:hAnsi="Arial" w:cs="Arial"/>
                <w:sz w:val="16"/>
                <w:szCs w:val="16"/>
              </w:rPr>
            </w:pPr>
            <w:r w:rsidRPr="008F0D1E">
              <w:rPr>
                <w:rFonts w:ascii="Arial" w:hAnsi="Arial" w:cs="Arial"/>
                <w:sz w:val="16"/>
                <w:szCs w:val="16"/>
              </w:rPr>
              <w:t>The AEC maintains an up-to-date public register of political parties.</w:t>
            </w:r>
          </w:p>
          <w:p w14:paraId="2239E473" w14:textId="7C34222D" w:rsidR="008F0D1E" w:rsidRPr="00B72686" w:rsidRDefault="008F0D1E" w:rsidP="00C8474A">
            <w:pPr>
              <w:numPr>
                <w:ilvl w:val="0"/>
                <w:numId w:val="29"/>
              </w:numPr>
              <w:autoSpaceDE w:val="0"/>
              <w:autoSpaceDN w:val="0"/>
              <w:spacing w:before="60" w:after="60" w:line="240" w:lineRule="auto"/>
              <w:ind w:left="527" w:hanging="357"/>
              <w:rPr>
                <w:rFonts w:ascii="Arial" w:hAnsi="Arial" w:cs="Arial"/>
                <w:sz w:val="16"/>
                <w:szCs w:val="16"/>
              </w:rPr>
            </w:pPr>
            <w:r w:rsidRPr="008F0D1E">
              <w:rPr>
                <w:rFonts w:ascii="Arial" w:hAnsi="Arial" w:cs="Arial"/>
                <w:sz w:val="16"/>
                <w:szCs w:val="16"/>
              </w:rPr>
              <w:t xml:space="preserve">Disclosure returns are published and regulated in accordance with timeframes in the </w:t>
            </w:r>
            <w:r w:rsidRPr="00611F29">
              <w:rPr>
                <w:rFonts w:ascii="Arial" w:hAnsi="Arial" w:cs="Arial"/>
                <w:i/>
                <w:sz w:val="16"/>
                <w:szCs w:val="16"/>
              </w:rPr>
              <w:t>Commonwealth Electoral Act 1918</w:t>
            </w:r>
            <w:r w:rsidRPr="008F0D1E">
              <w:rPr>
                <w:rFonts w:ascii="Arial" w:hAnsi="Arial" w:cs="Arial"/>
                <w:sz w:val="16"/>
                <w:szCs w:val="16"/>
              </w:rPr>
              <w:t>.</w:t>
            </w:r>
          </w:p>
        </w:tc>
        <w:tc>
          <w:tcPr>
            <w:tcW w:w="3118" w:type="dxa"/>
            <w:tcBorders>
              <w:top w:val="dotted" w:sz="4" w:space="0" w:color="auto"/>
              <w:left w:val="single" w:sz="4" w:space="0" w:color="auto"/>
              <w:bottom w:val="dotted" w:sz="4" w:space="0" w:color="auto"/>
            </w:tcBorders>
          </w:tcPr>
          <w:p w14:paraId="0405F7EA" w14:textId="29B58F47" w:rsidR="008F0D1E" w:rsidRDefault="008F0D1E"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 xml:space="preserve">Compliance with s125(1) of Part XI of the </w:t>
            </w:r>
            <w:r w:rsidRPr="00611F29">
              <w:rPr>
                <w:rFonts w:ascii="Arial" w:hAnsi="Arial" w:cs="Arial"/>
                <w:i/>
                <w:sz w:val="16"/>
                <w:szCs w:val="16"/>
              </w:rPr>
              <w:t>Commonwealth Electoral Act 1918</w:t>
            </w:r>
            <w:r w:rsidRPr="009964A0">
              <w:rPr>
                <w:rFonts w:ascii="Arial" w:hAnsi="Arial" w:cs="Arial"/>
                <w:sz w:val="16"/>
                <w:szCs w:val="16"/>
              </w:rPr>
              <w:t>.</w:t>
            </w:r>
          </w:p>
          <w:p w14:paraId="35466A57" w14:textId="77777777" w:rsidR="00B72686" w:rsidRPr="00B72686" w:rsidRDefault="00B72686" w:rsidP="00AF3DA8">
            <w:pPr>
              <w:autoSpaceDE w:val="0"/>
              <w:autoSpaceDN w:val="0"/>
              <w:spacing w:before="60" w:after="60" w:line="240" w:lineRule="auto"/>
              <w:ind w:left="527" w:hanging="357"/>
              <w:rPr>
                <w:rFonts w:ascii="Arial" w:hAnsi="Arial" w:cs="Arial"/>
                <w:sz w:val="16"/>
                <w:szCs w:val="16"/>
              </w:rPr>
            </w:pPr>
          </w:p>
          <w:p w14:paraId="501938B7" w14:textId="77777777" w:rsidR="008F0D1E" w:rsidRPr="009964A0" w:rsidRDefault="008F0D1E"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Annual returns published on the first working day in February.</w:t>
            </w:r>
          </w:p>
          <w:p w14:paraId="2239E476" w14:textId="57E256AB" w:rsidR="008F0D1E" w:rsidRPr="00B72686" w:rsidRDefault="008F0D1E" w:rsidP="00C8474A">
            <w:pPr>
              <w:numPr>
                <w:ilvl w:val="0"/>
                <w:numId w:val="29"/>
              </w:numPr>
              <w:autoSpaceDE w:val="0"/>
              <w:autoSpaceDN w:val="0"/>
              <w:spacing w:before="60" w:after="60" w:line="240" w:lineRule="auto"/>
              <w:ind w:left="527" w:hanging="357"/>
              <w:rPr>
                <w:rFonts w:ascii="Arial" w:hAnsi="Arial" w:cs="Arial"/>
                <w:sz w:val="16"/>
                <w:szCs w:val="16"/>
              </w:rPr>
            </w:pPr>
            <w:r w:rsidRPr="009964A0">
              <w:rPr>
                <w:rFonts w:ascii="Arial" w:hAnsi="Arial" w:cs="Arial"/>
                <w:sz w:val="16"/>
                <w:szCs w:val="16"/>
              </w:rPr>
              <w:t>Election returns published 24 weeks after polling day for each electoral event.</w:t>
            </w:r>
          </w:p>
        </w:tc>
      </w:tr>
      <w:tr w:rsidR="008F0D1E" w:rsidRPr="00160C23" w14:paraId="2239E47C" w14:textId="77777777" w:rsidTr="00D46837">
        <w:trPr>
          <w:trHeight w:val="491"/>
        </w:trPr>
        <w:tc>
          <w:tcPr>
            <w:tcW w:w="1560" w:type="dxa"/>
            <w:tcBorders>
              <w:top w:val="dotted" w:sz="4" w:space="0" w:color="auto"/>
              <w:bottom w:val="single" w:sz="4" w:space="0" w:color="auto"/>
              <w:right w:val="single" w:sz="4" w:space="0" w:color="auto"/>
            </w:tcBorders>
          </w:tcPr>
          <w:p w14:paraId="2239E478" w14:textId="77777777" w:rsidR="008F0D1E" w:rsidRPr="001B2F81" w:rsidRDefault="008F0D1E" w:rsidP="00B72686">
            <w:pPr>
              <w:pStyle w:val="TableTextLeft"/>
              <w:spacing w:before="60" w:after="60"/>
            </w:pPr>
            <w:r w:rsidRPr="001B2F81">
              <w:t xml:space="preserve">Forward Estimates </w:t>
            </w:r>
          </w:p>
          <w:p w14:paraId="2239E479" w14:textId="77777777" w:rsidR="008F0D1E" w:rsidRPr="001B2F81" w:rsidRDefault="008F0D1E" w:rsidP="00B72686">
            <w:pPr>
              <w:pStyle w:val="TableTextLeft"/>
              <w:spacing w:before="60" w:after="60"/>
              <w:rPr>
                <w:b/>
              </w:rPr>
            </w:pPr>
            <w:r w:rsidRPr="001B2F81">
              <w:t>202</w:t>
            </w:r>
            <w:r>
              <w:t>3</w:t>
            </w:r>
            <w:r w:rsidRPr="001B2F81">
              <w:t>-</w:t>
            </w:r>
            <w:r>
              <w:t>26</w:t>
            </w:r>
          </w:p>
        </w:tc>
        <w:tc>
          <w:tcPr>
            <w:tcW w:w="3118" w:type="dxa"/>
            <w:tcBorders>
              <w:top w:val="dotted" w:sz="4" w:space="0" w:color="auto"/>
              <w:left w:val="single" w:sz="4" w:space="0" w:color="auto"/>
              <w:bottom w:val="single" w:sz="4" w:space="0" w:color="auto"/>
              <w:right w:val="single" w:sz="4" w:space="0" w:color="auto"/>
            </w:tcBorders>
          </w:tcPr>
          <w:p w14:paraId="2239E47A" w14:textId="77777777" w:rsidR="008F0D1E" w:rsidRPr="00160C23" w:rsidRDefault="008F0D1E" w:rsidP="00B72686">
            <w:pPr>
              <w:pStyle w:val="TableTextBase"/>
              <w:spacing w:before="60" w:after="60"/>
              <w:rPr>
                <w:b/>
                <w:color w:val="0070C0"/>
              </w:rPr>
            </w:pPr>
            <w:r w:rsidRPr="00A04CCB">
              <w:rPr>
                <w:rFonts w:eastAsia="Calibri" w:cs="Arial"/>
                <w:szCs w:val="16"/>
                <w:lang w:val="en-US" w:eastAsia="en-US"/>
              </w:rPr>
              <w:t>As per 2022-23</w:t>
            </w:r>
          </w:p>
        </w:tc>
        <w:tc>
          <w:tcPr>
            <w:tcW w:w="3118" w:type="dxa"/>
            <w:tcBorders>
              <w:top w:val="dotted" w:sz="4" w:space="0" w:color="auto"/>
              <w:left w:val="single" w:sz="4" w:space="0" w:color="auto"/>
              <w:bottom w:val="single" w:sz="4" w:space="0" w:color="auto"/>
            </w:tcBorders>
          </w:tcPr>
          <w:p w14:paraId="2239E47B" w14:textId="614F88B8" w:rsidR="008F0D1E" w:rsidRPr="008F0D1E" w:rsidRDefault="008F0D1E" w:rsidP="00B72686">
            <w:pPr>
              <w:pStyle w:val="TableTextBase"/>
              <w:spacing w:before="60" w:after="60"/>
              <w:rPr>
                <w:rFonts w:cs="Arial"/>
                <w:b/>
                <w:color w:val="0070C0"/>
                <w:szCs w:val="16"/>
              </w:rPr>
            </w:pPr>
            <w:r w:rsidRPr="008F0D1E">
              <w:rPr>
                <w:rFonts w:eastAsia="Calibri" w:cs="Arial"/>
                <w:szCs w:val="16"/>
                <w:lang w:val="en-US" w:eastAsia="en-US"/>
              </w:rPr>
              <w:t>As per 2022-23</w:t>
            </w:r>
          </w:p>
        </w:tc>
      </w:tr>
      <w:tr w:rsidR="008F0D1E" w:rsidRPr="00160C23" w14:paraId="2239E47E" w14:textId="77777777" w:rsidTr="00D46837">
        <w:trPr>
          <w:trHeight w:val="291"/>
        </w:trPr>
        <w:tc>
          <w:tcPr>
            <w:tcW w:w="7796" w:type="dxa"/>
            <w:gridSpan w:val="3"/>
            <w:tcBorders>
              <w:bottom w:val="single" w:sz="4" w:space="0" w:color="auto"/>
            </w:tcBorders>
          </w:tcPr>
          <w:p w14:paraId="2239E47D" w14:textId="77777777" w:rsidR="008F0D1E" w:rsidRPr="00160C23" w:rsidRDefault="008F0D1E" w:rsidP="00B72686">
            <w:pPr>
              <w:pStyle w:val="TableTextLeft"/>
              <w:spacing w:before="60" w:after="60"/>
              <w:rPr>
                <w:rFonts w:eastAsia="Cambria"/>
                <w:bCs/>
                <w:iCs/>
                <w:color w:val="0070C0"/>
                <w:spacing w:val="-6"/>
                <w:lang w:val="x-none"/>
              </w:rPr>
            </w:pPr>
            <w:r w:rsidRPr="00160C23">
              <w:t xml:space="preserve">Material changes to Program </w:t>
            </w:r>
            <w:r>
              <w:t>1</w:t>
            </w:r>
            <w:r w:rsidRPr="00160C23">
              <w:t>.</w:t>
            </w:r>
            <w:r>
              <w:t>1</w:t>
            </w:r>
            <w:r w:rsidRPr="00160C23">
              <w:t xml:space="preserve"> resulting from </w:t>
            </w:r>
            <w:r>
              <w:t xml:space="preserve">October </w:t>
            </w:r>
            <w:r w:rsidRPr="00160C23">
              <w:t>2022-23 Budget Measures:</w:t>
            </w:r>
            <w:r>
              <w:t xml:space="preserve"> Nil</w:t>
            </w:r>
            <w:r w:rsidRPr="001C6402">
              <w:rPr>
                <w:bCs/>
                <w:iCs/>
                <w:color w:val="2E74B5"/>
                <w:spacing w:val="-6"/>
              </w:rPr>
              <w:t xml:space="preserve"> </w:t>
            </w:r>
          </w:p>
        </w:tc>
      </w:tr>
    </w:tbl>
    <w:p w14:paraId="70A5EAD8" w14:textId="77777777" w:rsidR="00757E45" w:rsidRDefault="00757E45" w:rsidP="004D5C6C">
      <w:pPr>
        <w:pStyle w:val="Heading2"/>
      </w:pPr>
      <w:r>
        <w:br w:type="page"/>
      </w:r>
    </w:p>
    <w:p w14:paraId="2239E48E" w14:textId="3EB63F44" w:rsidR="00BF0558" w:rsidRPr="00757E45" w:rsidRDefault="00BF0558" w:rsidP="004D5C6C">
      <w:pPr>
        <w:pStyle w:val="Heading2"/>
      </w:pPr>
      <w:bookmarkStart w:id="127" w:name="_Toc117070797"/>
      <w:bookmarkStart w:id="128" w:name="_Toc117071051"/>
      <w:bookmarkStart w:id="129" w:name="_Toc117078085"/>
      <w:r w:rsidRPr="006913EB">
        <w:lastRenderedPageBreak/>
        <w:t>Section 3: Budgeted financial statements</w:t>
      </w:r>
      <w:bookmarkEnd w:id="127"/>
      <w:bookmarkEnd w:id="128"/>
      <w:bookmarkEnd w:id="129"/>
    </w:p>
    <w:p w14:paraId="26EC1B24" w14:textId="77777777" w:rsidR="00C3236D" w:rsidRDefault="00C3236D" w:rsidP="00D62346">
      <w:pPr>
        <w:pStyle w:val="Heading3"/>
        <w:spacing w:before="240" w:after="240"/>
        <w:rPr>
          <w:rFonts w:ascii="Book Antiqua" w:hAnsi="Book Antiqua"/>
          <w:b w:val="0"/>
          <w:sz w:val="19"/>
        </w:rPr>
      </w:pPr>
      <w:bookmarkStart w:id="130" w:name="_Toc116742507"/>
      <w:bookmarkStart w:id="131" w:name="_Toc117070798"/>
      <w:bookmarkStart w:id="132" w:name="_Toc117071052"/>
      <w:bookmarkStart w:id="133" w:name="_Toc117078086"/>
      <w:r w:rsidRPr="00C3236D">
        <w:rPr>
          <w:rFonts w:ascii="Book Antiqua" w:hAnsi="Book Antiqua"/>
          <w:b w:val="0"/>
          <w:sz w:val="19"/>
        </w:rPr>
        <w:t>Section 3 presents budgeted financial statements which provide a comprehensive snapshot of entity finances for the 2022-23 budget year, including the impact of budget measures and resourcing on financial statements</w:t>
      </w:r>
      <w:bookmarkEnd w:id="130"/>
      <w:bookmarkEnd w:id="131"/>
      <w:bookmarkEnd w:id="132"/>
      <w:bookmarkEnd w:id="133"/>
    </w:p>
    <w:p w14:paraId="2239E490" w14:textId="3F8D330C" w:rsidR="00BF0558" w:rsidRPr="005328A9" w:rsidRDefault="00BF0558" w:rsidP="004D5C6C">
      <w:pPr>
        <w:pStyle w:val="Heading3"/>
      </w:pPr>
      <w:bookmarkStart w:id="134" w:name="_Toc117070799"/>
      <w:bookmarkStart w:id="135" w:name="_Toc117071053"/>
      <w:bookmarkStart w:id="136" w:name="_Toc117078087"/>
      <w:r w:rsidRPr="005328A9">
        <w:t>3.1</w:t>
      </w:r>
      <w:r w:rsidRPr="005328A9">
        <w:tab/>
        <w:t>Budgeted financial statements</w:t>
      </w:r>
      <w:bookmarkEnd w:id="134"/>
      <w:bookmarkEnd w:id="135"/>
      <w:bookmarkEnd w:id="136"/>
    </w:p>
    <w:p w14:paraId="2239E491" w14:textId="77777777" w:rsidR="00BF0558" w:rsidRDefault="00BF0558" w:rsidP="004D5C6C">
      <w:pPr>
        <w:pStyle w:val="Heading4"/>
      </w:pPr>
      <w:r>
        <w:t>3.1.1</w:t>
      </w:r>
      <w:r>
        <w:tab/>
        <w:t>Differences between entity resourcing and financial statements</w:t>
      </w:r>
    </w:p>
    <w:p w14:paraId="2239E492" w14:textId="77777777" w:rsidR="00BF0558" w:rsidRPr="00A952A3" w:rsidRDefault="00BF0558" w:rsidP="003E3AFD">
      <w:pPr>
        <w:pStyle w:val="ExampleText0"/>
        <w:spacing w:after="160"/>
        <w:rPr>
          <w:i w:val="0"/>
          <w:iCs/>
          <w:color w:val="auto"/>
        </w:rPr>
      </w:pPr>
      <w:r w:rsidRPr="00A952A3">
        <w:rPr>
          <w:i w:val="0"/>
          <w:iCs/>
          <w:color w:val="auto"/>
        </w:rPr>
        <w:t>No material differences exist between entity resourcing and financial statements.</w:t>
      </w:r>
    </w:p>
    <w:p w14:paraId="2239E493" w14:textId="77777777" w:rsidR="00BF0558" w:rsidRDefault="00BF0558" w:rsidP="004D5C6C">
      <w:pPr>
        <w:pStyle w:val="Heading4"/>
      </w:pPr>
      <w:r>
        <w:t>3.1.2</w:t>
      </w:r>
      <w:r>
        <w:tab/>
        <w:t>Explanatory notes and analysis of budgeted financial statements</w:t>
      </w:r>
    </w:p>
    <w:p w14:paraId="7B267F43" w14:textId="77777777" w:rsidR="00B419CA" w:rsidRDefault="00BF0558" w:rsidP="00B419CA">
      <w:pPr>
        <w:pStyle w:val="ExampleText0"/>
        <w:spacing w:after="160"/>
        <w:rPr>
          <w:i w:val="0"/>
          <w:iCs/>
          <w:color w:val="auto"/>
        </w:rPr>
      </w:pPr>
      <w:r w:rsidRPr="00A952A3">
        <w:rPr>
          <w:i w:val="0"/>
          <w:iCs/>
          <w:color w:val="auto"/>
        </w:rPr>
        <w:t>The budgeted financial statements have not changed materially compared with the la</w:t>
      </w:r>
      <w:r w:rsidR="00B419CA">
        <w:rPr>
          <w:i w:val="0"/>
          <w:iCs/>
          <w:color w:val="auto"/>
        </w:rPr>
        <w:t>st official published position.</w:t>
      </w:r>
      <w:r w:rsidR="00B419CA">
        <w:rPr>
          <w:i w:val="0"/>
          <w:iCs/>
          <w:color w:val="auto"/>
        </w:rPr>
        <w:br w:type="page"/>
      </w:r>
    </w:p>
    <w:p w14:paraId="2239E495" w14:textId="68DB09D6" w:rsidR="00BF0558" w:rsidRPr="00B419CA" w:rsidRDefault="005B11C1" w:rsidP="009D7FAB">
      <w:pPr>
        <w:pStyle w:val="Heading3"/>
        <w:rPr>
          <w:rStyle w:val="TableHeadingChar"/>
          <w:rFonts w:ascii="Arial Bold" w:hAnsi="Arial Bold"/>
        </w:rPr>
      </w:pPr>
      <w:bookmarkStart w:id="137" w:name="_Toc117070800"/>
      <w:bookmarkStart w:id="138" w:name="_Toc117071054"/>
      <w:bookmarkStart w:id="139" w:name="_Toc117078088"/>
      <w:r>
        <w:rPr>
          <w:rStyle w:val="TableHeadingChar"/>
          <w:rFonts w:ascii="Arial Bold" w:hAnsi="Arial Bold"/>
          <w:b/>
        </w:rPr>
        <w:lastRenderedPageBreak/>
        <w:t>3.2</w:t>
      </w:r>
      <w:r w:rsidR="00BF0558" w:rsidRPr="009E0483">
        <w:rPr>
          <w:rStyle w:val="TableHeadingChar"/>
          <w:rFonts w:ascii="Arial Bold" w:hAnsi="Arial Bold"/>
          <w:b/>
        </w:rPr>
        <w:tab/>
        <w:t>Budgeted financial statements tables</w:t>
      </w:r>
      <w:bookmarkEnd w:id="137"/>
      <w:bookmarkEnd w:id="138"/>
      <w:bookmarkEnd w:id="139"/>
    </w:p>
    <w:p w14:paraId="2239E496" w14:textId="2966D8F3" w:rsidR="00BF0558" w:rsidRDefault="00BF0558" w:rsidP="004D5C6C">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r w:rsidR="004950CC" w:rsidRPr="004950CC">
        <w:rPr>
          <w:noProof/>
          <w:snapToGrid w:val="0"/>
          <w:lang w:eastAsia="zh-CN"/>
        </w:rPr>
        <w:drawing>
          <wp:inline distT="0" distB="0" distL="0" distR="0" wp14:anchorId="0CCB24A9" wp14:editId="66DCF6DB">
            <wp:extent cx="4895850" cy="3925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895850" cy="3925328"/>
                    </a:xfrm>
                    <a:prstGeom prst="rect">
                      <a:avLst/>
                    </a:prstGeom>
                    <a:noFill/>
                    <a:ln>
                      <a:noFill/>
                    </a:ln>
                  </pic:spPr>
                </pic:pic>
              </a:graphicData>
            </a:graphic>
          </wp:inline>
        </w:drawing>
      </w:r>
    </w:p>
    <w:p w14:paraId="2239E498" w14:textId="6C1F24F4" w:rsidR="00BF0558" w:rsidRPr="00131776" w:rsidRDefault="00BF0558" w:rsidP="004950CC">
      <w:pPr>
        <w:pStyle w:val="TableGraphic"/>
        <w:spacing w:before="30"/>
        <w:ind w:right="0"/>
        <w:rPr>
          <w:rFonts w:ascii="Arial" w:hAnsi="Arial" w:cs="Arial"/>
          <w:sz w:val="16"/>
          <w:szCs w:val="16"/>
        </w:rPr>
      </w:pPr>
      <w:r w:rsidRPr="00D52088">
        <w:rPr>
          <w:noProof/>
        </w:rPr>
        <w:t xml:space="preserve"> </w:t>
      </w:r>
      <w:r w:rsidRPr="00131776">
        <w:rPr>
          <w:rFonts w:ascii="Arial" w:hAnsi="Arial" w:cs="Arial"/>
          <w:sz w:val="16"/>
          <w:szCs w:val="16"/>
        </w:rPr>
        <w:t xml:space="preserve">Table continues on next page </w:t>
      </w:r>
      <w:r w:rsidRPr="00131776">
        <w:rPr>
          <w:rFonts w:ascii="Arial" w:hAnsi="Arial" w:cs="Arial"/>
          <w:sz w:val="16"/>
          <w:szCs w:val="16"/>
        </w:rPr>
        <w:br w:type="page"/>
      </w:r>
    </w:p>
    <w:p w14:paraId="2239E49A" w14:textId="7FD497CF" w:rsidR="00BF0558" w:rsidRDefault="00BF0558" w:rsidP="00E20329">
      <w:pPr>
        <w:pStyle w:val="TableHeading"/>
        <w:rPr>
          <w:snapToGrid w:val="0"/>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p>
    <w:p w14:paraId="19D0DB89" w14:textId="4543AAE4" w:rsidR="00E20329" w:rsidRPr="00E20329" w:rsidRDefault="00E20329" w:rsidP="00E20329">
      <w:pPr>
        <w:pStyle w:val="TableGraphic"/>
      </w:pPr>
      <w:r w:rsidRPr="00E20329">
        <w:rPr>
          <w:noProof/>
          <w:lang w:eastAsia="zh-CN"/>
        </w:rPr>
        <w:drawing>
          <wp:inline distT="0" distB="0" distL="0" distR="0" wp14:anchorId="7509FC34" wp14:editId="6A94B41C">
            <wp:extent cx="4895850" cy="1752464"/>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895850" cy="1752464"/>
                    </a:xfrm>
                    <a:prstGeom prst="rect">
                      <a:avLst/>
                    </a:prstGeom>
                    <a:noFill/>
                    <a:ln>
                      <a:noFill/>
                    </a:ln>
                  </pic:spPr>
                </pic:pic>
              </a:graphicData>
            </a:graphic>
          </wp:inline>
        </w:drawing>
      </w:r>
    </w:p>
    <w:p w14:paraId="25D67B16" w14:textId="4CD07CAB" w:rsidR="002A2161" w:rsidRDefault="002A2161" w:rsidP="002A2161">
      <w:pPr>
        <w:pStyle w:val="Source"/>
        <w:spacing w:after="0"/>
        <w:ind w:left="0" w:firstLine="0"/>
        <w:rPr>
          <w:rFonts w:cs="Arial"/>
        </w:rPr>
      </w:pPr>
      <w:r w:rsidRPr="009D54F3">
        <w:rPr>
          <w:rFonts w:cs="Arial"/>
        </w:rPr>
        <w:t>Prepared on Australian Accounting Standards basis.</w:t>
      </w:r>
    </w:p>
    <w:p w14:paraId="2239E49B" w14:textId="2BCB0047" w:rsidR="00BF0558" w:rsidRDefault="00BF0558" w:rsidP="00FE1CCA">
      <w:pPr>
        <w:pStyle w:val="ChartandTableFootnoteAlpha"/>
        <w:numPr>
          <w:ilvl w:val="0"/>
          <w:numId w:val="5"/>
        </w:numPr>
        <w:spacing w:before="60"/>
        <w:ind w:left="284"/>
        <w:rPr>
          <w:rFonts w:cs="Arial"/>
        </w:rPr>
      </w:pPr>
      <w:r w:rsidRPr="009D54F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2239E49C" w14:textId="77777777" w:rsidR="00BF0558" w:rsidRPr="002A0F2E" w:rsidRDefault="00BF0558" w:rsidP="00FE1CCA">
      <w:pPr>
        <w:pStyle w:val="ChartandTableFootnoteAlpha"/>
        <w:numPr>
          <w:ilvl w:val="0"/>
          <w:numId w:val="5"/>
        </w:numPr>
        <w:spacing w:before="60"/>
        <w:ind w:left="284"/>
      </w:pPr>
      <w:r w:rsidRPr="00D52088">
        <w:t>Applies leases under AASB 16 Leases.</w:t>
      </w:r>
    </w:p>
    <w:p w14:paraId="2239E49E" w14:textId="77777777" w:rsidR="00BF0558" w:rsidRDefault="00BF0558" w:rsidP="004D5C6C">
      <w:pPr>
        <w:pStyle w:val="SingleParagraph"/>
      </w:pPr>
    </w:p>
    <w:p w14:paraId="2239E49F" w14:textId="2FAD73A4" w:rsidR="00BF0558" w:rsidRDefault="00BF0558" w:rsidP="004D5C6C">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p w14:paraId="2C3A33F8" w14:textId="432D35F0" w:rsidR="00E20329" w:rsidRPr="00E20329" w:rsidRDefault="00744A76" w:rsidP="00E20329">
      <w:pPr>
        <w:pStyle w:val="TableGraphic"/>
      </w:pPr>
      <w:r w:rsidRPr="00744A76">
        <w:rPr>
          <w:noProof/>
          <w:lang w:eastAsia="zh-CN"/>
        </w:rPr>
        <w:drawing>
          <wp:inline distT="0" distB="0" distL="0" distR="0" wp14:anchorId="5F216326" wp14:editId="0F292ADD">
            <wp:extent cx="4895850" cy="5173914"/>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895850" cy="5173914"/>
                    </a:xfrm>
                    <a:prstGeom prst="rect">
                      <a:avLst/>
                    </a:prstGeom>
                    <a:noFill/>
                    <a:ln>
                      <a:noFill/>
                    </a:ln>
                  </pic:spPr>
                </pic:pic>
              </a:graphicData>
            </a:graphic>
          </wp:inline>
        </w:drawing>
      </w:r>
    </w:p>
    <w:p w14:paraId="2239E4A0" w14:textId="561149C0" w:rsidR="00BF0558" w:rsidRPr="00132F9E" w:rsidRDefault="00BF0558" w:rsidP="00473E40">
      <w:pPr>
        <w:pStyle w:val="ChartandTableFootnote"/>
      </w:pPr>
      <w:r w:rsidRPr="00132F9E">
        <w:t xml:space="preserve">Prepared on </w:t>
      </w:r>
      <w:r w:rsidRPr="00446EE2">
        <w:rPr>
          <w:rStyle w:val="ChartandTableFootnoteChar"/>
        </w:rPr>
        <w:t>Australian</w:t>
      </w:r>
      <w:r w:rsidRPr="00132F9E">
        <w:t xml:space="preserve"> Accounting Standards basis.</w:t>
      </w:r>
    </w:p>
    <w:p w14:paraId="2239E4A1" w14:textId="77777777" w:rsidR="00BF0558" w:rsidRPr="00132F9E" w:rsidRDefault="00BF0558" w:rsidP="00473E40">
      <w:pPr>
        <w:pStyle w:val="ChartandTableFootnote"/>
        <w:rPr>
          <w:rFonts w:cs="Arial"/>
        </w:rPr>
      </w:pPr>
      <w:r w:rsidRPr="00132F9E">
        <w:rPr>
          <w:rFonts w:cs="Arial"/>
        </w:rPr>
        <w:t>*‘Equity’ is the residual interest in assets after deduction of liabilities.</w:t>
      </w:r>
    </w:p>
    <w:p w14:paraId="2239E4A2" w14:textId="77777777" w:rsidR="00BF0558" w:rsidRPr="00152B2B" w:rsidRDefault="00BF0558" w:rsidP="004D5C6C"/>
    <w:p w14:paraId="2239E4A3" w14:textId="7D3ABEA7" w:rsidR="00BF0558" w:rsidRDefault="00BF0558" w:rsidP="004D5C6C">
      <w:pPr>
        <w:pStyle w:val="TableHeading"/>
      </w:pPr>
      <w:r>
        <w:br w:type="page"/>
      </w:r>
      <w:r w:rsidRPr="00AD42E2">
        <w:lastRenderedPageBreak/>
        <w:t>Table 3.3: Departmental statement of changes in equity — summary of</w:t>
      </w:r>
      <w:r>
        <w:t xml:space="preserve"> movement (Budget year 2022-23</w:t>
      </w:r>
      <w:r w:rsidRPr="00D30CBA">
        <w:t>)</w:t>
      </w:r>
      <w:r w:rsidR="00E20329" w:rsidRPr="00E20329">
        <w:rPr>
          <w:b w:val="0"/>
        </w:rPr>
        <w:t xml:space="preserve"> </w:t>
      </w:r>
      <w:r w:rsidR="00E20329" w:rsidRPr="00E20329">
        <w:rPr>
          <w:noProof/>
          <w:lang w:eastAsia="zh-CN"/>
        </w:rPr>
        <w:drawing>
          <wp:inline distT="0" distB="0" distL="0" distR="0" wp14:anchorId="53E262E7" wp14:editId="6A77490F">
            <wp:extent cx="4688840" cy="2750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88840" cy="2750820"/>
                    </a:xfrm>
                    <a:prstGeom prst="rect">
                      <a:avLst/>
                    </a:prstGeom>
                    <a:noFill/>
                    <a:ln>
                      <a:noFill/>
                    </a:ln>
                  </pic:spPr>
                </pic:pic>
              </a:graphicData>
            </a:graphic>
          </wp:inline>
        </w:drawing>
      </w:r>
    </w:p>
    <w:p w14:paraId="2239E4A5" w14:textId="4CA3A251" w:rsidR="00BF0558" w:rsidRPr="003369FD" w:rsidRDefault="00BF0558" w:rsidP="00473E40">
      <w:pPr>
        <w:pStyle w:val="TableGraphic"/>
        <w:spacing w:before="30"/>
        <w:ind w:right="0"/>
        <w:rPr>
          <w:rFonts w:ascii="Arial" w:hAnsi="Arial" w:cs="Arial"/>
          <w:sz w:val="16"/>
          <w:szCs w:val="16"/>
        </w:rPr>
      </w:pPr>
      <w:r w:rsidRPr="003369FD">
        <w:t xml:space="preserve"> </w:t>
      </w:r>
      <w:r w:rsidRPr="003369FD">
        <w:rPr>
          <w:rFonts w:ascii="Arial" w:hAnsi="Arial" w:cs="Arial"/>
          <w:sz w:val="16"/>
          <w:szCs w:val="16"/>
        </w:rPr>
        <w:t>Prepared on Australian Accounting Standards basis</w:t>
      </w:r>
    </w:p>
    <w:p w14:paraId="2239E4A6" w14:textId="77777777" w:rsidR="00BF0558" w:rsidRPr="00152B2B" w:rsidRDefault="00BF0558" w:rsidP="004D5C6C"/>
    <w:p w14:paraId="2239E4A8" w14:textId="7D782B8A" w:rsidR="00BF0558" w:rsidRPr="0054102D" w:rsidRDefault="00BF0558" w:rsidP="00E20329">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r w:rsidR="00E20329" w:rsidRPr="00E20329">
        <w:rPr>
          <w:b w:val="0"/>
        </w:rPr>
        <w:t xml:space="preserve"> </w:t>
      </w:r>
      <w:r w:rsidR="00E20329" w:rsidRPr="00E20329">
        <w:rPr>
          <w:noProof/>
          <w:lang w:eastAsia="zh-CN"/>
        </w:rPr>
        <w:drawing>
          <wp:inline distT="0" distB="0" distL="0" distR="0" wp14:anchorId="4DFD6BA7" wp14:editId="37E1C4AB">
            <wp:extent cx="4895850" cy="4951075"/>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95850" cy="4951075"/>
                    </a:xfrm>
                    <a:prstGeom prst="rect">
                      <a:avLst/>
                    </a:prstGeom>
                    <a:noFill/>
                    <a:ln>
                      <a:noFill/>
                    </a:ln>
                  </pic:spPr>
                </pic:pic>
              </a:graphicData>
            </a:graphic>
          </wp:inline>
        </w:drawing>
      </w:r>
    </w:p>
    <w:p w14:paraId="2239E4A9" w14:textId="77777777" w:rsidR="00BF0558" w:rsidRPr="0054102D" w:rsidRDefault="00BF0558" w:rsidP="00473E40">
      <w:pPr>
        <w:pStyle w:val="TableGraphic"/>
        <w:tabs>
          <w:tab w:val="left" w:pos="6237"/>
        </w:tabs>
        <w:spacing w:before="30"/>
        <w:ind w:right="0"/>
        <w:rPr>
          <w:rFonts w:ascii="Arial" w:hAnsi="Arial" w:cs="Arial"/>
          <w:sz w:val="16"/>
          <w:szCs w:val="16"/>
        </w:rPr>
      </w:pPr>
      <w:r w:rsidRPr="0054102D">
        <w:rPr>
          <w:rFonts w:ascii="Arial" w:hAnsi="Arial" w:cs="Arial"/>
          <w:sz w:val="16"/>
          <w:szCs w:val="16"/>
        </w:rPr>
        <w:t>Prepared on Australian Accounting Standards basis.</w:t>
      </w:r>
    </w:p>
    <w:p w14:paraId="0606827F" w14:textId="77777777" w:rsidR="00E20329" w:rsidRPr="00C944F5" w:rsidRDefault="00BF0558" w:rsidP="00E20329">
      <w:pPr>
        <w:pStyle w:val="TableHeadingcontinued"/>
      </w:pPr>
      <w:r>
        <w:br w:type="page"/>
      </w:r>
      <w:r w:rsidRPr="00D30CBA">
        <w:lastRenderedPageBreak/>
        <w:t>Table</w:t>
      </w:r>
      <w:r>
        <w:t xml:space="preserve"> 3.5</w:t>
      </w:r>
      <w:r w:rsidRPr="00D30CBA">
        <w:t xml:space="preserve">: </w:t>
      </w:r>
      <w:r>
        <w:t>Departmental capital budget statement (for the period ended 30 June)</w:t>
      </w:r>
    </w:p>
    <w:tbl>
      <w:tblPr>
        <w:tblW w:w="7620" w:type="dxa"/>
        <w:tblLook w:val="04A0" w:firstRow="1" w:lastRow="0" w:firstColumn="1" w:lastColumn="0" w:noHBand="0" w:noVBand="1"/>
      </w:tblPr>
      <w:tblGrid>
        <w:gridCol w:w="3220"/>
        <w:gridCol w:w="928"/>
        <w:gridCol w:w="880"/>
        <w:gridCol w:w="880"/>
        <w:gridCol w:w="880"/>
        <w:gridCol w:w="880"/>
      </w:tblGrid>
      <w:tr w:rsidR="00E20329" w:rsidRPr="00E20329" w14:paraId="4CC4879A" w14:textId="77777777" w:rsidTr="00E20329">
        <w:trPr>
          <w:trHeight w:val="900"/>
        </w:trPr>
        <w:tc>
          <w:tcPr>
            <w:tcW w:w="3220" w:type="dxa"/>
            <w:tcBorders>
              <w:top w:val="single" w:sz="4" w:space="0" w:color="auto"/>
              <w:left w:val="nil"/>
              <w:bottom w:val="nil"/>
              <w:right w:val="nil"/>
            </w:tcBorders>
            <w:shd w:val="clear" w:color="auto" w:fill="auto"/>
            <w:noWrap/>
            <w:hideMark/>
          </w:tcPr>
          <w:p w14:paraId="42C8EF52" w14:textId="77777777" w:rsidR="00E20329" w:rsidRPr="00E20329" w:rsidRDefault="00E20329" w:rsidP="00E20329">
            <w:pPr>
              <w:spacing w:before="0" w:after="0" w:line="240" w:lineRule="auto"/>
              <w:rPr>
                <w:rFonts w:ascii="Arial" w:hAnsi="Arial" w:cs="Arial"/>
                <w:b/>
                <w:bCs/>
                <w:sz w:val="16"/>
                <w:szCs w:val="16"/>
              </w:rPr>
            </w:pPr>
            <w:r w:rsidRPr="00E20329">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3191E492"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2021-22 Estimated actual</w:t>
            </w:r>
            <w:r w:rsidRPr="00E2032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44FA8F54"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2022-23</w:t>
            </w:r>
            <w:r w:rsidRPr="00E20329">
              <w:rPr>
                <w:rFonts w:ascii="Arial" w:hAnsi="Arial" w:cs="Arial"/>
                <w:sz w:val="16"/>
                <w:szCs w:val="16"/>
              </w:rPr>
              <w:br/>
              <w:t>Budget</w:t>
            </w:r>
            <w:r w:rsidRPr="00E20329">
              <w:rPr>
                <w:rFonts w:ascii="Arial" w:hAnsi="Arial" w:cs="Arial"/>
                <w:sz w:val="16"/>
                <w:szCs w:val="16"/>
              </w:rPr>
              <w:br/>
            </w:r>
            <w:r w:rsidRPr="00E2032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5B595EA2"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2023-24 Forward estimate</w:t>
            </w:r>
            <w:r w:rsidRPr="00E2032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0E9053E2"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2024-25 Forward estimate</w:t>
            </w:r>
            <w:r w:rsidRPr="00E2032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51EEAF36"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2025-26</w:t>
            </w:r>
            <w:r w:rsidRPr="00E20329">
              <w:rPr>
                <w:rFonts w:ascii="Arial" w:hAnsi="Arial" w:cs="Arial"/>
                <w:sz w:val="16"/>
                <w:szCs w:val="16"/>
              </w:rPr>
              <w:br/>
              <w:t>Forward estimate</w:t>
            </w:r>
            <w:r w:rsidRPr="00E20329">
              <w:rPr>
                <w:rFonts w:ascii="Arial" w:hAnsi="Arial" w:cs="Arial"/>
                <w:sz w:val="16"/>
                <w:szCs w:val="16"/>
              </w:rPr>
              <w:br/>
              <w:t>$'000</w:t>
            </w:r>
          </w:p>
        </w:tc>
      </w:tr>
      <w:tr w:rsidR="00E20329" w:rsidRPr="00E20329" w14:paraId="130184C7" w14:textId="77777777" w:rsidTr="00E20329">
        <w:trPr>
          <w:trHeight w:val="240"/>
        </w:trPr>
        <w:tc>
          <w:tcPr>
            <w:tcW w:w="3220" w:type="dxa"/>
            <w:tcBorders>
              <w:top w:val="nil"/>
              <w:left w:val="nil"/>
              <w:bottom w:val="nil"/>
              <w:right w:val="nil"/>
            </w:tcBorders>
            <w:shd w:val="clear" w:color="auto" w:fill="auto"/>
            <w:noWrap/>
            <w:vAlign w:val="bottom"/>
            <w:hideMark/>
          </w:tcPr>
          <w:p w14:paraId="2A9308BF" w14:textId="77777777" w:rsidR="00E20329" w:rsidRPr="00E20329" w:rsidRDefault="00E20329" w:rsidP="00E20329">
            <w:pPr>
              <w:spacing w:before="0" w:after="0" w:line="240" w:lineRule="auto"/>
              <w:rPr>
                <w:rFonts w:ascii="Arial" w:hAnsi="Arial" w:cs="Arial"/>
                <w:b/>
                <w:bCs/>
                <w:sz w:val="16"/>
                <w:szCs w:val="16"/>
              </w:rPr>
            </w:pPr>
            <w:r w:rsidRPr="00E20329">
              <w:rPr>
                <w:rFonts w:ascii="Arial" w:hAnsi="Arial" w:cs="Arial"/>
                <w:b/>
                <w:bCs/>
                <w:sz w:val="16"/>
                <w:szCs w:val="16"/>
              </w:rPr>
              <w:t>NEW CAPITAL APPROPRIATIONS</w:t>
            </w:r>
          </w:p>
        </w:tc>
        <w:tc>
          <w:tcPr>
            <w:tcW w:w="880" w:type="dxa"/>
            <w:tcBorders>
              <w:top w:val="nil"/>
              <w:left w:val="nil"/>
              <w:bottom w:val="nil"/>
              <w:right w:val="nil"/>
            </w:tcBorders>
            <w:shd w:val="clear" w:color="auto" w:fill="auto"/>
            <w:noWrap/>
            <w:vAlign w:val="center"/>
            <w:hideMark/>
          </w:tcPr>
          <w:p w14:paraId="65C34D25" w14:textId="77777777" w:rsidR="00E20329" w:rsidRPr="00E20329" w:rsidRDefault="00E20329" w:rsidP="00E20329">
            <w:pPr>
              <w:spacing w:before="0" w:after="0" w:line="240" w:lineRule="auto"/>
              <w:rPr>
                <w:rFonts w:ascii="Arial" w:hAnsi="Arial" w:cs="Arial"/>
                <w:b/>
                <w:bCs/>
                <w:sz w:val="16"/>
                <w:szCs w:val="16"/>
              </w:rPr>
            </w:pPr>
          </w:p>
        </w:tc>
        <w:tc>
          <w:tcPr>
            <w:tcW w:w="880" w:type="dxa"/>
            <w:tcBorders>
              <w:top w:val="nil"/>
              <w:left w:val="nil"/>
              <w:bottom w:val="nil"/>
              <w:right w:val="nil"/>
            </w:tcBorders>
            <w:shd w:val="clear" w:color="000000" w:fill="E6E6E6"/>
            <w:noWrap/>
            <w:vAlign w:val="center"/>
            <w:hideMark/>
          </w:tcPr>
          <w:p w14:paraId="10736268" w14:textId="77777777" w:rsidR="00E20329" w:rsidRPr="00E20329" w:rsidRDefault="00E20329" w:rsidP="00E20329">
            <w:pPr>
              <w:spacing w:before="0" w:after="0" w:line="240" w:lineRule="auto"/>
              <w:rPr>
                <w:rFonts w:ascii="Arial" w:hAnsi="Arial" w:cs="Arial"/>
                <w:sz w:val="16"/>
                <w:szCs w:val="16"/>
              </w:rPr>
            </w:pPr>
            <w:r w:rsidRPr="00E20329">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3592DAB7" w14:textId="77777777" w:rsidR="00E20329" w:rsidRPr="00E20329" w:rsidRDefault="00E20329" w:rsidP="00E20329">
            <w:pPr>
              <w:spacing w:before="0"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5DDD7B64" w14:textId="77777777" w:rsidR="00E20329" w:rsidRPr="00E20329" w:rsidRDefault="00E20329" w:rsidP="00E20329">
            <w:pPr>
              <w:spacing w:before="0" w:after="0" w:line="240" w:lineRule="auto"/>
              <w:rPr>
                <w:rFonts w:ascii="Times New Roman" w:hAnsi="Times New Roman"/>
                <w:sz w:val="20"/>
              </w:rPr>
            </w:pPr>
          </w:p>
        </w:tc>
        <w:tc>
          <w:tcPr>
            <w:tcW w:w="880" w:type="dxa"/>
            <w:tcBorders>
              <w:top w:val="nil"/>
              <w:left w:val="nil"/>
              <w:bottom w:val="nil"/>
              <w:right w:val="nil"/>
            </w:tcBorders>
            <w:shd w:val="clear" w:color="auto" w:fill="auto"/>
            <w:noWrap/>
            <w:vAlign w:val="center"/>
            <w:hideMark/>
          </w:tcPr>
          <w:p w14:paraId="14D38E29" w14:textId="77777777" w:rsidR="00E20329" w:rsidRPr="00E20329" w:rsidRDefault="00E20329" w:rsidP="00E20329">
            <w:pPr>
              <w:spacing w:before="0" w:after="0" w:line="240" w:lineRule="auto"/>
              <w:rPr>
                <w:rFonts w:ascii="Times New Roman" w:hAnsi="Times New Roman"/>
                <w:sz w:val="20"/>
              </w:rPr>
            </w:pPr>
          </w:p>
        </w:tc>
      </w:tr>
      <w:tr w:rsidR="00E20329" w:rsidRPr="00E20329" w14:paraId="6BEC8434" w14:textId="77777777" w:rsidTr="00E20329">
        <w:trPr>
          <w:trHeight w:val="240"/>
        </w:trPr>
        <w:tc>
          <w:tcPr>
            <w:tcW w:w="3220" w:type="dxa"/>
            <w:tcBorders>
              <w:top w:val="nil"/>
              <w:left w:val="nil"/>
              <w:bottom w:val="nil"/>
              <w:right w:val="nil"/>
            </w:tcBorders>
            <w:shd w:val="clear" w:color="auto" w:fill="auto"/>
            <w:noWrap/>
            <w:vAlign w:val="center"/>
            <w:hideMark/>
          </w:tcPr>
          <w:p w14:paraId="3C4F7D84" w14:textId="77777777" w:rsidR="00E20329" w:rsidRPr="00E20329" w:rsidRDefault="00E20329" w:rsidP="00E20329">
            <w:pPr>
              <w:spacing w:before="0" w:after="0" w:line="240" w:lineRule="auto"/>
              <w:ind w:firstLineChars="100" w:firstLine="160"/>
              <w:rPr>
                <w:rFonts w:ascii="Arial" w:hAnsi="Arial" w:cs="Arial"/>
                <w:sz w:val="16"/>
                <w:szCs w:val="16"/>
              </w:rPr>
            </w:pPr>
            <w:r w:rsidRPr="00E20329">
              <w:rPr>
                <w:rFonts w:ascii="Arial" w:hAnsi="Arial" w:cs="Arial"/>
                <w:sz w:val="16"/>
                <w:szCs w:val="16"/>
              </w:rPr>
              <w:t>Capital budget - Bill 1 (DCB)</w:t>
            </w:r>
          </w:p>
        </w:tc>
        <w:tc>
          <w:tcPr>
            <w:tcW w:w="880" w:type="dxa"/>
            <w:tcBorders>
              <w:top w:val="nil"/>
              <w:left w:val="nil"/>
              <w:bottom w:val="nil"/>
              <w:right w:val="nil"/>
            </w:tcBorders>
            <w:shd w:val="clear" w:color="auto" w:fill="auto"/>
            <w:noWrap/>
            <w:vAlign w:val="center"/>
            <w:hideMark/>
          </w:tcPr>
          <w:p w14:paraId="508F05C5"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37,136 </w:t>
            </w:r>
          </w:p>
        </w:tc>
        <w:tc>
          <w:tcPr>
            <w:tcW w:w="880" w:type="dxa"/>
            <w:tcBorders>
              <w:top w:val="nil"/>
              <w:left w:val="nil"/>
              <w:bottom w:val="nil"/>
              <w:right w:val="nil"/>
            </w:tcBorders>
            <w:shd w:val="clear" w:color="000000" w:fill="E6E6E6"/>
            <w:noWrap/>
            <w:vAlign w:val="center"/>
            <w:hideMark/>
          </w:tcPr>
          <w:p w14:paraId="19DD4816"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49,959 </w:t>
            </w:r>
          </w:p>
        </w:tc>
        <w:tc>
          <w:tcPr>
            <w:tcW w:w="880" w:type="dxa"/>
            <w:tcBorders>
              <w:top w:val="nil"/>
              <w:left w:val="nil"/>
              <w:bottom w:val="nil"/>
              <w:right w:val="nil"/>
            </w:tcBorders>
            <w:shd w:val="clear" w:color="auto" w:fill="auto"/>
            <w:noWrap/>
            <w:vAlign w:val="center"/>
            <w:hideMark/>
          </w:tcPr>
          <w:p w14:paraId="59232E96"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16,492 </w:t>
            </w:r>
          </w:p>
        </w:tc>
        <w:tc>
          <w:tcPr>
            <w:tcW w:w="880" w:type="dxa"/>
            <w:tcBorders>
              <w:top w:val="nil"/>
              <w:left w:val="nil"/>
              <w:bottom w:val="nil"/>
              <w:right w:val="nil"/>
            </w:tcBorders>
            <w:shd w:val="clear" w:color="auto" w:fill="auto"/>
            <w:noWrap/>
            <w:vAlign w:val="center"/>
            <w:hideMark/>
          </w:tcPr>
          <w:p w14:paraId="35BF0BFB"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11,846 </w:t>
            </w:r>
          </w:p>
        </w:tc>
        <w:tc>
          <w:tcPr>
            <w:tcW w:w="880" w:type="dxa"/>
            <w:tcBorders>
              <w:top w:val="nil"/>
              <w:left w:val="nil"/>
              <w:bottom w:val="nil"/>
              <w:right w:val="nil"/>
            </w:tcBorders>
            <w:shd w:val="clear" w:color="auto" w:fill="auto"/>
            <w:noWrap/>
            <w:vAlign w:val="center"/>
            <w:hideMark/>
          </w:tcPr>
          <w:p w14:paraId="7D3B6DB4"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11,950 </w:t>
            </w:r>
          </w:p>
        </w:tc>
      </w:tr>
      <w:tr w:rsidR="00E20329" w:rsidRPr="00E20329" w14:paraId="57EF4511" w14:textId="77777777" w:rsidTr="00E20329">
        <w:trPr>
          <w:trHeight w:val="240"/>
        </w:trPr>
        <w:tc>
          <w:tcPr>
            <w:tcW w:w="3220" w:type="dxa"/>
            <w:tcBorders>
              <w:top w:val="nil"/>
              <w:left w:val="nil"/>
              <w:bottom w:val="nil"/>
              <w:right w:val="nil"/>
            </w:tcBorders>
            <w:shd w:val="clear" w:color="auto" w:fill="auto"/>
            <w:noWrap/>
            <w:vAlign w:val="center"/>
            <w:hideMark/>
          </w:tcPr>
          <w:p w14:paraId="6B98BBCB" w14:textId="77777777" w:rsidR="00E20329" w:rsidRPr="00E20329" w:rsidRDefault="00E20329" w:rsidP="00E20329">
            <w:pPr>
              <w:spacing w:before="0" w:after="0" w:line="240" w:lineRule="auto"/>
              <w:rPr>
                <w:rFonts w:ascii="Arial" w:hAnsi="Arial" w:cs="Arial"/>
                <w:b/>
                <w:bCs/>
                <w:sz w:val="16"/>
                <w:szCs w:val="16"/>
              </w:rPr>
            </w:pPr>
            <w:r w:rsidRPr="00E20329">
              <w:rPr>
                <w:rFonts w:ascii="Arial" w:hAnsi="Arial" w:cs="Arial"/>
                <w:b/>
                <w:bCs/>
                <w:sz w:val="16"/>
                <w:szCs w:val="16"/>
              </w:rPr>
              <w:t>Total new capital appropriations</w:t>
            </w:r>
          </w:p>
        </w:tc>
        <w:tc>
          <w:tcPr>
            <w:tcW w:w="880" w:type="dxa"/>
            <w:tcBorders>
              <w:top w:val="single" w:sz="4" w:space="0" w:color="auto"/>
              <w:left w:val="nil"/>
              <w:bottom w:val="single" w:sz="4" w:space="0" w:color="auto"/>
              <w:right w:val="nil"/>
            </w:tcBorders>
            <w:shd w:val="clear" w:color="auto" w:fill="auto"/>
            <w:noWrap/>
            <w:vAlign w:val="center"/>
            <w:hideMark/>
          </w:tcPr>
          <w:p w14:paraId="5D695328"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37,136 </w:t>
            </w:r>
          </w:p>
        </w:tc>
        <w:tc>
          <w:tcPr>
            <w:tcW w:w="880" w:type="dxa"/>
            <w:tcBorders>
              <w:top w:val="single" w:sz="4" w:space="0" w:color="auto"/>
              <w:left w:val="nil"/>
              <w:bottom w:val="single" w:sz="4" w:space="0" w:color="auto"/>
              <w:right w:val="nil"/>
            </w:tcBorders>
            <w:shd w:val="clear" w:color="000000" w:fill="E6E6E6"/>
            <w:noWrap/>
            <w:vAlign w:val="center"/>
            <w:hideMark/>
          </w:tcPr>
          <w:p w14:paraId="2CA7FB7A"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49,959 </w:t>
            </w:r>
          </w:p>
        </w:tc>
        <w:tc>
          <w:tcPr>
            <w:tcW w:w="880" w:type="dxa"/>
            <w:tcBorders>
              <w:top w:val="single" w:sz="4" w:space="0" w:color="auto"/>
              <w:left w:val="nil"/>
              <w:bottom w:val="single" w:sz="4" w:space="0" w:color="auto"/>
              <w:right w:val="nil"/>
            </w:tcBorders>
            <w:shd w:val="clear" w:color="auto" w:fill="auto"/>
            <w:noWrap/>
            <w:vAlign w:val="center"/>
            <w:hideMark/>
          </w:tcPr>
          <w:p w14:paraId="436737E9"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16,492 </w:t>
            </w:r>
          </w:p>
        </w:tc>
        <w:tc>
          <w:tcPr>
            <w:tcW w:w="880" w:type="dxa"/>
            <w:tcBorders>
              <w:top w:val="single" w:sz="4" w:space="0" w:color="auto"/>
              <w:left w:val="nil"/>
              <w:bottom w:val="single" w:sz="4" w:space="0" w:color="auto"/>
              <w:right w:val="nil"/>
            </w:tcBorders>
            <w:shd w:val="clear" w:color="auto" w:fill="auto"/>
            <w:noWrap/>
            <w:vAlign w:val="center"/>
            <w:hideMark/>
          </w:tcPr>
          <w:p w14:paraId="69D8AF26"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11,846 </w:t>
            </w:r>
          </w:p>
        </w:tc>
        <w:tc>
          <w:tcPr>
            <w:tcW w:w="880" w:type="dxa"/>
            <w:tcBorders>
              <w:top w:val="single" w:sz="4" w:space="0" w:color="auto"/>
              <w:left w:val="nil"/>
              <w:bottom w:val="single" w:sz="4" w:space="0" w:color="auto"/>
              <w:right w:val="nil"/>
            </w:tcBorders>
            <w:shd w:val="clear" w:color="auto" w:fill="auto"/>
            <w:noWrap/>
            <w:vAlign w:val="center"/>
            <w:hideMark/>
          </w:tcPr>
          <w:p w14:paraId="38C425EA"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11,950 </w:t>
            </w:r>
          </w:p>
        </w:tc>
      </w:tr>
      <w:tr w:rsidR="00E20329" w:rsidRPr="00E20329" w14:paraId="7C3FCCE0" w14:textId="77777777" w:rsidTr="00E20329">
        <w:trPr>
          <w:trHeight w:val="240"/>
        </w:trPr>
        <w:tc>
          <w:tcPr>
            <w:tcW w:w="3220" w:type="dxa"/>
            <w:tcBorders>
              <w:top w:val="nil"/>
              <w:left w:val="nil"/>
              <w:bottom w:val="nil"/>
              <w:right w:val="nil"/>
            </w:tcBorders>
            <w:shd w:val="clear" w:color="auto" w:fill="auto"/>
            <w:noWrap/>
            <w:vAlign w:val="center"/>
            <w:hideMark/>
          </w:tcPr>
          <w:p w14:paraId="11398CD2" w14:textId="77777777" w:rsidR="00E20329" w:rsidRPr="00E20329" w:rsidRDefault="00E20329" w:rsidP="00E20329">
            <w:pPr>
              <w:spacing w:before="0" w:after="0" w:line="240" w:lineRule="auto"/>
              <w:rPr>
                <w:rFonts w:ascii="Arial" w:hAnsi="Arial" w:cs="Arial"/>
                <w:b/>
                <w:bCs/>
                <w:i/>
                <w:iCs/>
                <w:sz w:val="16"/>
                <w:szCs w:val="16"/>
              </w:rPr>
            </w:pPr>
            <w:r w:rsidRPr="00E20329">
              <w:rPr>
                <w:rFonts w:ascii="Arial" w:hAnsi="Arial" w:cs="Arial"/>
                <w:b/>
                <w:bCs/>
                <w:i/>
                <w:iCs/>
                <w:sz w:val="16"/>
                <w:szCs w:val="16"/>
              </w:rPr>
              <w:t>Provided for:</w:t>
            </w:r>
          </w:p>
        </w:tc>
        <w:tc>
          <w:tcPr>
            <w:tcW w:w="880" w:type="dxa"/>
            <w:tcBorders>
              <w:top w:val="nil"/>
              <w:left w:val="nil"/>
              <w:bottom w:val="nil"/>
              <w:right w:val="nil"/>
            </w:tcBorders>
            <w:shd w:val="clear" w:color="auto" w:fill="auto"/>
            <w:noWrap/>
            <w:vAlign w:val="center"/>
            <w:hideMark/>
          </w:tcPr>
          <w:p w14:paraId="67DC207D" w14:textId="77777777" w:rsidR="00E20329" w:rsidRPr="00E20329" w:rsidRDefault="00E20329" w:rsidP="00E20329">
            <w:pPr>
              <w:spacing w:before="0" w:after="0" w:line="240" w:lineRule="auto"/>
              <w:rPr>
                <w:rFonts w:ascii="Arial" w:hAnsi="Arial" w:cs="Arial"/>
                <w:b/>
                <w:bCs/>
                <w:i/>
                <w:iCs/>
                <w:sz w:val="16"/>
                <w:szCs w:val="16"/>
              </w:rPr>
            </w:pPr>
          </w:p>
        </w:tc>
        <w:tc>
          <w:tcPr>
            <w:tcW w:w="880" w:type="dxa"/>
            <w:tcBorders>
              <w:top w:val="nil"/>
              <w:left w:val="nil"/>
              <w:bottom w:val="nil"/>
              <w:right w:val="nil"/>
            </w:tcBorders>
            <w:shd w:val="clear" w:color="000000" w:fill="E6E6E6"/>
            <w:noWrap/>
            <w:vAlign w:val="center"/>
            <w:hideMark/>
          </w:tcPr>
          <w:p w14:paraId="02D75134" w14:textId="77777777" w:rsidR="00E20329" w:rsidRPr="00E20329" w:rsidRDefault="00E20329" w:rsidP="00E20329">
            <w:pPr>
              <w:spacing w:before="0" w:after="0" w:line="240" w:lineRule="auto"/>
              <w:rPr>
                <w:rFonts w:ascii="Arial" w:hAnsi="Arial" w:cs="Arial"/>
                <w:i/>
                <w:iCs/>
                <w:sz w:val="16"/>
                <w:szCs w:val="16"/>
              </w:rPr>
            </w:pPr>
            <w:r w:rsidRPr="00E20329">
              <w:rPr>
                <w:rFonts w:ascii="Arial" w:hAnsi="Arial" w:cs="Arial"/>
                <w:i/>
                <w:iCs/>
                <w:sz w:val="16"/>
                <w:szCs w:val="16"/>
              </w:rPr>
              <w:t> </w:t>
            </w:r>
          </w:p>
        </w:tc>
        <w:tc>
          <w:tcPr>
            <w:tcW w:w="880" w:type="dxa"/>
            <w:tcBorders>
              <w:top w:val="nil"/>
              <w:left w:val="nil"/>
              <w:bottom w:val="nil"/>
              <w:right w:val="nil"/>
            </w:tcBorders>
            <w:shd w:val="clear" w:color="auto" w:fill="auto"/>
            <w:noWrap/>
            <w:vAlign w:val="center"/>
            <w:hideMark/>
          </w:tcPr>
          <w:p w14:paraId="1952D9B0" w14:textId="77777777" w:rsidR="00E20329" w:rsidRPr="00E20329" w:rsidRDefault="00E20329" w:rsidP="00E20329">
            <w:pPr>
              <w:spacing w:before="0" w:after="0" w:line="240" w:lineRule="auto"/>
              <w:rPr>
                <w:rFonts w:ascii="Arial" w:hAnsi="Arial" w:cs="Arial"/>
                <w:i/>
                <w:iCs/>
                <w:sz w:val="16"/>
                <w:szCs w:val="16"/>
              </w:rPr>
            </w:pPr>
          </w:p>
        </w:tc>
        <w:tc>
          <w:tcPr>
            <w:tcW w:w="880" w:type="dxa"/>
            <w:tcBorders>
              <w:top w:val="nil"/>
              <w:left w:val="nil"/>
              <w:bottom w:val="nil"/>
              <w:right w:val="nil"/>
            </w:tcBorders>
            <w:shd w:val="clear" w:color="auto" w:fill="auto"/>
            <w:noWrap/>
            <w:vAlign w:val="center"/>
            <w:hideMark/>
          </w:tcPr>
          <w:p w14:paraId="1A75E559" w14:textId="77777777" w:rsidR="00E20329" w:rsidRPr="00E20329" w:rsidRDefault="00E20329" w:rsidP="00E20329">
            <w:pPr>
              <w:spacing w:before="0" w:after="0" w:line="240" w:lineRule="auto"/>
              <w:rPr>
                <w:rFonts w:ascii="Times New Roman" w:hAnsi="Times New Roman"/>
                <w:sz w:val="20"/>
              </w:rPr>
            </w:pPr>
          </w:p>
        </w:tc>
        <w:tc>
          <w:tcPr>
            <w:tcW w:w="880" w:type="dxa"/>
            <w:tcBorders>
              <w:top w:val="nil"/>
              <w:left w:val="nil"/>
              <w:bottom w:val="nil"/>
              <w:right w:val="nil"/>
            </w:tcBorders>
            <w:shd w:val="clear" w:color="auto" w:fill="auto"/>
            <w:noWrap/>
            <w:vAlign w:val="center"/>
            <w:hideMark/>
          </w:tcPr>
          <w:p w14:paraId="37EC387C" w14:textId="77777777" w:rsidR="00E20329" w:rsidRPr="00E20329" w:rsidRDefault="00E20329" w:rsidP="00E20329">
            <w:pPr>
              <w:spacing w:before="0" w:after="0" w:line="240" w:lineRule="auto"/>
              <w:rPr>
                <w:rFonts w:ascii="Times New Roman" w:hAnsi="Times New Roman"/>
                <w:sz w:val="20"/>
              </w:rPr>
            </w:pPr>
          </w:p>
        </w:tc>
      </w:tr>
      <w:tr w:rsidR="00E20329" w:rsidRPr="00E20329" w14:paraId="0BBE1AB1" w14:textId="77777777" w:rsidTr="00E20329">
        <w:trPr>
          <w:trHeight w:val="240"/>
        </w:trPr>
        <w:tc>
          <w:tcPr>
            <w:tcW w:w="3220" w:type="dxa"/>
            <w:tcBorders>
              <w:top w:val="nil"/>
              <w:left w:val="nil"/>
              <w:bottom w:val="nil"/>
              <w:right w:val="nil"/>
            </w:tcBorders>
            <w:shd w:val="clear" w:color="auto" w:fill="auto"/>
            <w:noWrap/>
            <w:vAlign w:val="center"/>
            <w:hideMark/>
          </w:tcPr>
          <w:p w14:paraId="36A3B9CB" w14:textId="77777777" w:rsidR="00E20329" w:rsidRPr="00E20329" w:rsidRDefault="00E20329" w:rsidP="00E20329">
            <w:pPr>
              <w:spacing w:before="0" w:after="0" w:line="240" w:lineRule="auto"/>
              <w:ind w:firstLineChars="100" w:firstLine="160"/>
              <w:rPr>
                <w:rFonts w:ascii="Arial" w:hAnsi="Arial" w:cs="Arial"/>
                <w:i/>
                <w:iCs/>
                <w:sz w:val="16"/>
                <w:szCs w:val="16"/>
              </w:rPr>
            </w:pPr>
            <w:r w:rsidRPr="00E20329">
              <w:rPr>
                <w:rFonts w:ascii="Arial" w:hAnsi="Arial" w:cs="Arial"/>
                <w:i/>
                <w:iCs/>
                <w:sz w:val="16"/>
                <w:szCs w:val="16"/>
              </w:rPr>
              <w:t>Purchase of non-financial assets</w:t>
            </w:r>
          </w:p>
        </w:tc>
        <w:tc>
          <w:tcPr>
            <w:tcW w:w="880" w:type="dxa"/>
            <w:tcBorders>
              <w:top w:val="nil"/>
              <w:left w:val="nil"/>
              <w:bottom w:val="nil"/>
              <w:right w:val="nil"/>
            </w:tcBorders>
            <w:shd w:val="clear" w:color="auto" w:fill="auto"/>
            <w:noWrap/>
            <w:vAlign w:val="center"/>
            <w:hideMark/>
          </w:tcPr>
          <w:p w14:paraId="421B6382"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37,136 </w:t>
            </w:r>
          </w:p>
        </w:tc>
        <w:tc>
          <w:tcPr>
            <w:tcW w:w="880" w:type="dxa"/>
            <w:tcBorders>
              <w:top w:val="nil"/>
              <w:left w:val="nil"/>
              <w:bottom w:val="nil"/>
              <w:right w:val="nil"/>
            </w:tcBorders>
            <w:shd w:val="clear" w:color="000000" w:fill="E6E6E6"/>
            <w:noWrap/>
            <w:vAlign w:val="center"/>
            <w:hideMark/>
          </w:tcPr>
          <w:p w14:paraId="2FC545FF"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49,959 </w:t>
            </w:r>
          </w:p>
        </w:tc>
        <w:tc>
          <w:tcPr>
            <w:tcW w:w="880" w:type="dxa"/>
            <w:tcBorders>
              <w:top w:val="nil"/>
              <w:left w:val="nil"/>
              <w:bottom w:val="nil"/>
              <w:right w:val="nil"/>
            </w:tcBorders>
            <w:shd w:val="clear" w:color="auto" w:fill="auto"/>
            <w:noWrap/>
            <w:vAlign w:val="center"/>
            <w:hideMark/>
          </w:tcPr>
          <w:p w14:paraId="3E1B2453"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16,492 </w:t>
            </w:r>
          </w:p>
        </w:tc>
        <w:tc>
          <w:tcPr>
            <w:tcW w:w="880" w:type="dxa"/>
            <w:tcBorders>
              <w:top w:val="nil"/>
              <w:left w:val="nil"/>
              <w:bottom w:val="nil"/>
              <w:right w:val="nil"/>
            </w:tcBorders>
            <w:shd w:val="clear" w:color="auto" w:fill="auto"/>
            <w:noWrap/>
            <w:vAlign w:val="center"/>
            <w:hideMark/>
          </w:tcPr>
          <w:p w14:paraId="324D5214"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11,846 </w:t>
            </w:r>
          </w:p>
        </w:tc>
        <w:tc>
          <w:tcPr>
            <w:tcW w:w="880" w:type="dxa"/>
            <w:tcBorders>
              <w:top w:val="nil"/>
              <w:left w:val="nil"/>
              <w:bottom w:val="nil"/>
              <w:right w:val="nil"/>
            </w:tcBorders>
            <w:shd w:val="clear" w:color="auto" w:fill="auto"/>
            <w:noWrap/>
            <w:vAlign w:val="center"/>
            <w:hideMark/>
          </w:tcPr>
          <w:p w14:paraId="5B529F82"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11,950 </w:t>
            </w:r>
          </w:p>
        </w:tc>
      </w:tr>
      <w:tr w:rsidR="00E20329" w:rsidRPr="00E20329" w14:paraId="7E9A0A1B" w14:textId="77777777" w:rsidTr="00E20329">
        <w:trPr>
          <w:trHeight w:val="240"/>
        </w:trPr>
        <w:tc>
          <w:tcPr>
            <w:tcW w:w="3220" w:type="dxa"/>
            <w:tcBorders>
              <w:top w:val="nil"/>
              <w:left w:val="nil"/>
              <w:bottom w:val="nil"/>
              <w:right w:val="nil"/>
            </w:tcBorders>
            <w:shd w:val="clear" w:color="auto" w:fill="auto"/>
            <w:noWrap/>
            <w:vAlign w:val="center"/>
            <w:hideMark/>
          </w:tcPr>
          <w:p w14:paraId="1712B153" w14:textId="77777777" w:rsidR="00E20329" w:rsidRPr="00E20329" w:rsidRDefault="00E20329" w:rsidP="00E20329">
            <w:pPr>
              <w:spacing w:before="0" w:after="0" w:line="240" w:lineRule="auto"/>
              <w:rPr>
                <w:rFonts w:ascii="Arial" w:hAnsi="Arial" w:cs="Arial"/>
                <w:b/>
                <w:bCs/>
                <w:i/>
                <w:iCs/>
                <w:sz w:val="16"/>
                <w:szCs w:val="16"/>
              </w:rPr>
            </w:pPr>
            <w:r w:rsidRPr="00E20329">
              <w:rPr>
                <w:rFonts w:ascii="Arial" w:hAnsi="Arial" w:cs="Arial"/>
                <w:b/>
                <w:bCs/>
                <w:i/>
                <w:iCs/>
                <w:sz w:val="16"/>
                <w:szCs w:val="16"/>
              </w:rPr>
              <w:t>Total items</w:t>
            </w:r>
          </w:p>
        </w:tc>
        <w:tc>
          <w:tcPr>
            <w:tcW w:w="880" w:type="dxa"/>
            <w:tcBorders>
              <w:top w:val="single" w:sz="4" w:space="0" w:color="auto"/>
              <w:left w:val="nil"/>
              <w:bottom w:val="single" w:sz="4" w:space="0" w:color="auto"/>
              <w:right w:val="nil"/>
            </w:tcBorders>
            <w:shd w:val="clear" w:color="auto" w:fill="auto"/>
            <w:noWrap/>
            <w:vAlign w:val="center"/>
            <w:hideMark/>
          </w:tcPr>
          <w:p w14:paraId="43297965" w14:textId="77777777" w:rsidR="00E20329" w:rsidRPr="00E20329" w:rsidRDefault="00E20329" w:rsidP="00E20329">
            <w:pPr>
              <w:spacing w:before="0" w:after="0" w:line="240" w:lineRule="auto"/>
              <w:jc w:val="right"/>
              <w:rPr>
                <w:rFonts w:ascii="Arial" w:hAnsi="Arial" w:cs="Arial"/>
                <w:b/>
                <w:bCs/>
                <w:i/>
                <w:iCs/>
                <w:sz w:val="16"/>
                <w:szCs w:val="16"/>
              </w:rPr>
            </w:pPr>
            <w:r w:rsidRPr="00E20329">
              <w:rPr>
                <w:rFonts w:ascii="Arial" w:hAnsi="Arial" w:cs="Arial"/>
                <w:b/>
                <w:bCs/>
                <w:i/>
                <w:iCs/>
                <w:sz w:val="16"/>
                <w:szCs w:val="16"/>
              </w:rPr>
              <w:t xml:space="preserve">37,136 </w:t>
            </w:r>
          </w:p>
        </w:tc>
        <w:tc>
          <w:tcPr>
            <w:tcW w:w="880" w:type="dxa"/>
            <w:tcBorders>
              <w:top w:val="single" w:sz="4" w:space="0" w:color="auto"/>
              <w:left w:val="nil"/>
              <w:bottom w:val="single" w:sz="4" w:space="0" w:color="auto"/>
              <w:right w:val="nil"/>
            </w:tcBorders>
            <w:shd w:val="clear" w:color="000000" w:fill="E6E6E6"/>
            <w:noWrap/>
            <w:vAlign w:val="center"/>
            <w:hideMark/>
          </w:tcPr>
          <w:p w14:paraId="2922F308" w14:textId="77777777" w:rsidR="00E20329" w:rsidRPr="00E20329" w:rsidRDefault="00E20329" w:rsidP="00E20329">
            <w:pPr>
              <w:spacing w:before="0" w:after="0" w:line="240" w:lineRule="auto"/>
              <w:jc w:val="right"/>
              <w:rPr>
                <w:rFonts w:ascii="Arial" w:hAnsi="Arial" w:cs="Arial"/>
                <w:b/>
                <w:bCs/>
                <w:i/>
                <w:iCs/>
                <w:sz w:val="16"/>
                <w:szCs w:val="16"/>
              </w:rPr>
            </w:pPr>
            <w:r w:rsidRPr="00E20329">
              <w:rPr>
                <w:rFonts w:ascii="Arial" w:hAnsi="Arial" w:cs="Arial"/>
                <w:b/>
                <w:bCs/>
                <w:i/>
                <w:iCs/>
                <w:sz w:val="16"/>
                <w:szCs w:val="16"/>
              </w:rPr>
              <w:t xml:space="preserve">49,959 </w:t>
            </w:r>
          </w:p>
        </w:tc>
        <w:tc>
          <w:tcPr>
            <w:tcW w:w="880" w:type="dxa"/>
            <w:tcBorders>
              <w:top w:val="single" w:sz="4" w:space="0" w:color="auto"/>
              <w:left w:val="nil"/>
              <w:bottom w:val="single" w:sz="4" w:space="0" w:color="auto"/>
              <w:right w:val="nil"/>
            </w:tcBorders>
            <w:shd w:val="clear" w:color="auto" w:fill="auto"/>
            <w:noWrap/>
            <w:vAlign w:val="center"/>
            <w:hideMark/>
          </w:tcPr>
          <w:p w14:paraId="3CD23D7E" w14:textId="77777777" w:rsidR="00E20329" w:rsidRPr="00E20329" w:rsidRDefault="00E20329" w:rsidP="00E20329">
            <w:pPr>
              <w:spacing w:before="0" w:after="0" w:line="240" w:lineRule="auto"/>
              <w:jc w:val="right"/>
              <w:rPr>
                <w:rFonts w:ascii="Arial" w:hAnsi="Arial" w:cs="Arial"/>
                <w:b/>
                <w:bCs/>
                <w:i/>
                <w:iCs/>
                <w:sz w:val="16"/>
                <w:szCs w:val="16"/>
              </w:rPr>
            </w:pPr>
            <w:r w:rsidRPr="00E20329">
              <w:rPr>
                <w:rFonts w:ascii="Arial" w:hAnsi="Arial" w:cs="Arial"/>
                <w:b/>
                <w:bCs/>
                <w:i/>
                <w:iCs/>
                <w:sz w:val="16"/>
                <w:szCs w:val="16"/>
              </w:rPr>
              <w:t xml:space="preserve">16,492 </w:t>
            </w:r>
          </w:p>
        </w:tc>
        <w:tc>
          <w:tcPr>
            <w:tcW w:w="880" w:type="dxa"/>
            <w:tcBorders>
              <w:top w:val="single" w:sz="4" w:space="0" w:color="auto"/>
              <w:left w:val="nil"/>
              <w:bottom w:val="single" w:sz="4" w:space="0" w:color="auto"/>
              <w:right w:val="nil"/>
            </w:tcBorders>
            <w:shd w:val="clear" w:color="auto" w:fill="auto"/>
            <w:noWrap/>
            <w:vAlign w:val="center"/>
            <w:hideMark/>
          </w:tcPr>
          <w:p w14:paraId="688DDE77" w14:textId="77777777" w:rsidR="00E20329" w:rsidRPr="00E20329" w:rsidRDefault="00E20329" w:rsidP="00E20329">
            <w:pPr>
              <w:spacing w:before="0" w:after="0" w:line="240" w:lineRule="auto"/>
              <w:jc w:val="right"/>
              <w:rPr>
                <w:rFonts w:ascii="Arial" w:hAnsi="Arial" w:cs="Arial"/>
                <w:b/>
                <w:bCs/>
                <w:i/>
                <w:iCs/>
                <w:sz w:val="16"/>
                <w:szCs w:val="16"/>
              </w:rPr>
            </w:pPr>
            <w:r w:rsidRPr="00E20329">
              <w:rPr>
                <w:rFonts w:ascii="Arial" w:hAnsi="Arial" w:cs="Arial"/>
                <w:b/>
                <w:bCs/>
                <w:i/>
                <w:iCs/>
                <w:sz w:val="16"/>
                <w:szCs w:val="16"/>
              </w:rPr>
              <w:t xml:space="preserve">11,846 </w:t>
            </w:r>
          </w:p>
        </w:tc>
        <w:tc>
          <w:tcPr>
            <w:tcW w:w="880" w:type="dxa"/>
            <w:tcBorders>
              <w:top w:val="single" w:sz="4" w:space="0" w:color="auto"/>
              <w:left w:val="nil"/>
              <w:bottom w:val="single" w:sz="4" w:space="0" w:color="auto"/>
              <w:right w:val="nil"/>
            </w:tcBorders>
            <w:shd w:val="clear" w:color="auto" w:fill="auto"/>
            <w:noWrap/>
            <w:vAlign w:val="center"/>
            <w:hideMark/>
          </w:tcPr>
          <w:p w14:paraId="259C7750" w14:textId="77777777" w:rsidR="00E20329" w:rsidRPr="00E20329" w:rsidRDefault="00E20329" w:rsidP="00E20329">
            <w:pPr>
              <w:spacing w:before="0" w:after="0" w:line="240" w:lineRule="auto"/>
              <w:jc w:val="right"/>
              <w:rPr>
                <w:rFonts w:ascii="Arial" w:hAnsi="Arial" w:cs="Arial"/>
                <w:b/>
                <w:bCs/>
                <w:i/>
                <w:iCs/>
                <w:sz w:val="16"/>
                <w:szCs w:val="16"/>
              </w:rPr>
            </w:pPr>
            <w:r w:rsidRPr="00E20329">
              <w:rPr>
                <w:rFonts w:ascii="Arial" w:hAnsi="Arial" w:cs="Arial"/>
                <w:b/>
                <w:bCs/>
                <w:i/>
                <w:iCs/>
                <w:sz w:val="16"/>
                <w:szCs w:val="16"/>
              </w:rPr>
              <w:t xml:space="preserve">11,950 </w:t>
            </w:r>
          </w:p>
        </w:tc>
      </w:tr>
      <w:tr w:rsidR="00E20329" w:rsidRPr="00E20329" w14:paraId="3038BF30" w14:textId="77777777" w:rsidTr="00E20329">
        <w:trPr>
          <w:trHeight w:val="450"/>
        </w:trPr>
        <w:tc>
          <w:tcPr>
            <w:tcW w:w="3220" w:type="dxa"/>
            <w:tcBorders>
              <w:top w:val="nil"/>
              <w:left w:val="nil"/>
              <w:bottom w:val="nil"/>
              <w:right w:val="nil"/>
            </w:tcBorders>
            <w:shd w:val="clear" w:color="auto" w:fill="auto"/>
            <w:vAlign w:val="center"/>
            <w:hideMark/>
          </w:tcPr>
          <w:p w14:paraId="7682AA09" w14:textId="77777777" w:rsidR="00E20329" w:rsidRPr="00E20329" w:rsidRDefault="00E20329" w:rsidP="00E20329">
            <w:pPr>
              <w:spacing w:before="0" w:after="0" w:line="240" w:lineRule="auto"/>
              <w:rPr>
                <w:rFonts w:ascii="Arial" w:hAnsi="Arial" w:cs="Arial"/>
                <w:b/>
                <w:bCs/>
                <w:sz w:val="16"/>
                <w:szCs w:val="16"/>
              </w:rPr>
            </w:pPr>
            <w:r w:rsidRPr="00E20329">
              <w:rPr>
                <w:rFonts w:ascii="Arial" w:hAnsi="Arial" w:cs="Arial"/>
                <w:b/>
                <w:bCs/>
                <w:sz w:val="16"/>
                <w:szCs w:val="16"/>
              </w:rPr>
              <w:t>PURCHASE OF NON-FINANCIAL</w:t>
            </w:r>
            <w:r w:rsidRPr="00E20329">
              <w:rPr>
                <w:rFonts w:ascii="Arial" w:hAnsi="Arial" w:cs="Arial"/>
                <w:b/>
                <w:bCs/>
                <w:sz w:val="16"/>
                <w:szCs w:val="16"/>
              </w:rPr>
              <w:br/>
              <w:t xml:space="preserve">  ASSETS</w:t>
            </w:r>
          </w:p>
        </w:tc>
        <w:tc>
          <w:tcPr>
            <w:tcW w:w="880" w:type="dxa"/>
            <w:tcBorders>
              <w:top w:val="nil"/>
              <w:left w:val="nil"/>
              <w:bottom w:val="nil"/>
              <w:right w:val="nil"/>
            </w:tcBorders>
            <w:shd w:val="clear" w:color="auto" w:fill="auto"/>
            <w:vAlign w:val="center"/>
            <w:hideMark/>
          </w:tcPr>
          <w:p w14:paraId="0DC221C5" w14:textId="77777777" w:rsidR="00E20329" w:rsidRPr="00E20329" w:rsidRDefault="00E20329" w:rsidP="00E20329">
            <w:pPr>
              <w:spacing w:before="0" w:after="0" w:line="240" w:lineRule="auto"/>
              <w:rPr>
                <w:rFonts w:ascii="Arial" w:hAnsi="Arial" w:cs="Arial"/>
                <w:b/>
                <w:bCs/>
                <w:sz w:val="16"/>
                <w:szCs w:val="16"/>
              </w:rPr>
            </w:pPr>
          </w:p>
        </w:tc>
        <w:tc>
          <w:tcPr>
            <w:tcW w:w="880" w:type="dxa"/>
            <w:tcBorders>
              <w:top w:val="nil"/>
              <w:left w:val="nil"/>
              <w:bottom w:val="nil"/>
              <w:right w:val="nil"/>
            </w:tcBorders>
            <w:shd w:val="clear" w:color="000000" w:fill="E6E6E6"/>
            <w:vAlign w:val="center"/>
            <w:hideMark/>
          </w:tcPr>
          <w:p w14:paraId="6B9637D7" w14:textId="77777777" w:rsidR="00E20329" w:rsidRPr="00E20329" w:rsidRDefault="00E20329" w:rsidP="00E20329">
            <w:pPr>
              <w:spacing w:before="0" w:after="0" w:line="240" w:lineRule="auto"/>
              <w:rPr>
                <w:rFonts w:ascii="Arial" w:hAnsi="Arial" w:cs="Arial"/>
                <w:sz w:val="16"/>
                <w:szCs w:val="16"/>
              </w:rPr>
            </w:pPr>
            <w:r w:rsidRPr="00E20329">
              <w:rPr>
                <w:rFonts w:ascii="Arial" w:hAnsi="Arial" w:cs="Arial"/>
                <w:sz w:val="16"/>
                <w:szCs w:val="16"/>
              </w:rPr>
              <w:t> </w:t>
            </w:r>
          </w:p>
        </w:tc>
        <w:tc>
          <w:tcPr>
            <w:tcW w:w="880" w:type="dxa"/>
            <w:tcBorders>
              <w:top w:val="nil"/>
              <w:left w:val="nil"/>
              <w:bottom w:val="nil"/>
              <w:right w:val="nil"/>
            </w:tcBorders>
            <w:shd w:val="clear" w:color="auto" w:fill="auto"/>
            <w:vAlign w:val="center"/>
            <w:hideMark/>
          </w:tcPr>
          <w:p w14:paraId="7CE91290" w14:textId="77777777" w:rsidR="00E20329" w:rsidRPr="00E20329" w:rsidRDefault="00E20329" w:rsidP="00E20329">
            <w:pPr>
              <w:spacing w:before="0" w:after="0" w:line="240" w:lineRule="auto"/>
              <w:rPr>
                <w:rFonts w:ascii="Arial" w:hAnsi="Arial" w:cs="Arial"/>
                <w:sz w:val="16"/>
                <w:szCs w:val="16"/>
              </w:rPr>
            </w:pPr>
          </w:p>
        </w:tc>
        <w:tc>
          <w:tcPr>
            <w:tcW w:w="880" w:type="dxa"/>
            <w:tcBorders>
              <w:top w:val="nil"/>
              <w:left w:val="nil"/>
              <w:bottom w:val="nil"/>
              <w:right w:val="nil"/>
            </w:tcBorders>
            <w:shd w:val="clear" w:color="auto" w:fill="auto"/>
            <w:vAlign w:val="center"/>
            <w:hideMark/>
          </w:tcPr>
          <w:p w14:paraId="147A080A" w14:textId="77777777" w:rsidR="00E20329" w:rsidRPr="00E20329" w:rsidRDefault="00E20329" w:rsidP="00E20329">
            <w:pPr>
              <w:spacing w:before="0" w:after="0" w:line="240" w:lineRule="auto"/>
              <w:rPr>
                <w:rFonts w:ascii="Times New Roman" w:hAnsi="Times New Roman"/>
                <w:sz w:val="20"/>
              </w:rPr>
            </w:pPr>
          </w:p>
        </w:tc>
        <w:tc>
          <w:tcPr>
            <w:tcW w:w="880" w:type="dxa"/>
            <w:tcBorders>
              <w:top w:val="nil"/>
              <w:left w:val="nil"/>
              <w:bottom w:val="nil"/>
              <w:right w:val="nil"/>
            </w:tcBorders>
            <w:shd w:val="clear" w:color="auto" w:fill="auto"/>
            <w:vAlign w:val="center"/>
            <w:hideMark/>
          </w:tcPr>
          <w:p w14:paraId="28932680" w14:textId="77777777" w:rsidR="00E20329" w:rsidRPr="00E20329" w:rsidRDefault="00E20329" w:rsidP="00E20329">
            <w:pPr>
              <w:spacing w:before="0" w:after="0" w:line="240" w:lineRule="auto"/>
              <w:rPr>
                <w:rFonts w:ascii="Times New Roman" w:hAnsi="Times New Roman"/>
                <w:sz w:val="20"/>
              </w:rPr>
            </w:pPr>
          </w:p>
        </w:tc>
      </w:tr>
      <w:tr w:rsidR="00E20329" w:rsidRPr="00E20329" w14:paraId="35E295F5" w14:textId="77777777" w:rsidTr="00E20329">
        <w:trPr>
          <w:trHeight w:val="450"/>
        </w:trPr>
        <w:tc>
          <w:tcPr>
            <w:tcW w:w="3220" w:type="dxa"/>
            <w:tcBorders>
              <w:top w:val="nil"/>
              <w:left w:val="nil"/>
              <w:bottom w:val="nil"/>
              <w:right w:val="nil"/>
            </w:tcBorders>
            <w:shd w:val="clear" w:color="auto" w:fill="auto"/>
            <w:vAlign w:val="center"/>
            <w:hideMark/>
          </w:tcPr>
          <w:p w14:paraId="0C0B613E" w14:textId="77777777" w:rsidR="00E20329" w:rsidRPr="00E20329" w:rsidRDefault="00E20329" w:rsidP="00E20329">
            <w:pPr>
              <w:spacing w:before="0" w:after="0" w:line="240" w:lineRule="auto"/>
              <w:ind w:firstLineChars="100" w:firstLine="160"/>
              <w:rPr>
                <w:rFonts w:ascii="Arial" w:hAnsi="Arial" w:cs="Arial"/>
                <w:sz w:val="16"/>
                <w:szCs w:val="16"/>
              </w:rPr>
            </w:pPr>
            <w:r w:rsidRPr="00E20329">
              <w:rPr>
                <w:rFonts w:ascii="Arial" w:hAnsi="Arial" w:cs="Arial"/>
                <w:sz w:val="16"/>
                <w:szCs w:val="16"/>
              </w:rPr>
              <w:t>Funded by capital appropriation -</w:t>
            </w:r>
            <w:r w:rsidRPr="00E20329">
              <w:rPr>
                <w:rFonts w:ascii="Arial" w:hAnsi="Arial" w:cs="Arial"/>
                <w:sz w:val="16"/>
                <w:szCs w:val="16"/>
              </w:rPr>
              <w:br/>
              <w:t xml:space="preserve">  DCB</w:t>
            </w:r>
          </w:p>
        </w:tc>
        <w:tc>
          <w:tcPr>
            <w:tcW w:w="880" w:type="dxa"/>
            <w:tcBorders>
              <w:top w:val="nil"/>
              <w:left w:val="nil"/>
              <w:bottom w:val="nil"/>
              <w:right w:val="nil"/>
            </w:tcBorders>
            <w:shd w:val="clear" w:color="auto" w:fill="auto"/>
            <w:noWrap/>
            <w:vAlign w:val="center"/>
            <w:hideMark/>
          </w:tcPr>
          <w:p w14:paraId="2B9E41F8"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37,136 </w:t>
            </w:r>
          </w:p>
        </w:tc>
        <w:tc>
          <w:tcPr>
            <w:tcW w:w="880" w:type="dxa"/>
            <w:tcBorders>
              <w:top w:val="nil"/>
              <w:left w:val="nil"/>
              <w:bottom w:val="nil"/>
              <w:right w:val="nil"/>
            </w:tcBorders>
            <w:shd w:val="clear" w:color="000000" w:fill="E6E6E6"/>
            <w:noWrap/>
            <w:vAlign w:val="center"/>
            <w:hideMark/>
          </w:tcPr>
          <w:p w14:paraId="715594A4"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49,959 </w:t>
            </w:r>
          </w:p>
        </w:tc>
        <w:tc>
          <w:tcPr>
            <w:tcW w:w="880" w:type="dxa"/>
            <w:tcBorders>
              <w:top w:val="nil"/>
              <w:left w:val="nil"/>
              <w:bottom w:val="nil"/>
              <w:right w:val="nil"/>
            </w:tcBorders>
            <w:shd w:val="clear" w:color="auto" w:fill="auto"/>
            <w:noWrap/>
            <w:vAlign w:val="center"/>
            <w:hideMark/>
          </w:tcPr>
          <w:p w14:paraId="7B3457B4"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16,492 </w:t>
            </w:r>
          </w:p>
        </w:tc>
        <w:tc>
          <w:tcPr>
            <w:tcW w:w="880" w:type="dxa"/>
            <w:tcBorders>
              <w:top w:val="nil"/>
              <w:left w:val="nil"/>
              <w:bottom w:val="nil"/>
              <w:right w:val="nil"/>
            </w:tcBorders>
            <w:shd w:val="clear" w:color="auto" w:fill="auto"/>
            <w:noWrap/>
            <w:vAlign w:val="center"/>
            <w:hideMark/>
          </w:tcPr>
          <w:p w14:paraId="2215859C"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11,846 </w:t>
            </w:r>
          </w:p>
        </w:tc>
        <w:tc>
          <w:tcPr>
            <w:tcW w:w="880" w:type="dxa"/>
            <w:tcBorders>
              <w:top w:val="nil"/>
              <w:left w:val="nil"/>
              <w:bottom w:val="nil"/>
              <w:right w:val="nil"/>
            </w:tcBorders>
            <w:shd w:val="clear" w:color="auto" w:fill="auto"/>
            <w:noWrap/>
            <w:vAlign w:val="center"/>
            <w:hideMark/>
          </w:tcPr>
          <w:p w14:paraId="2EB376D5"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11,950 </w:t>
            </w:r>
          </w:p>
        </w:tc>
      </w:tr>
      <w:tr w:rsidR="00E20329" w:rsidRPr="00E20329" w14:paraId="6412297B" w14:textId="77777777" w:rsidTr="00E20329">
        <w:trPr>
          <w:trHeight w:val="240"/>
        </w:trPr>
        <w:tc>
          <w:tcPr>
            <w:tcW w:w="3220" w:type="dxa"/>
            <w:tcBorders>
              <w:top w:val="nil"/>
              <w:left w:val="nil"/>
              <w:bottom w:val="nil"/>
              <w:right w:val="nil"/>
            </w:tcBorders>
            <w:shd w:val="clear" w:color="auto" w:fill="auto"/>
            <w:noWrap/>
            <w:vAlign w:val="center"/>
            <w:hideMark/>
          </w:tcPr>
          <w:p w14:paraId="509FA3E8" w14:textId="77777777" w:rsidR="00E20329" w:rsidRPr="00E20329" w:rsidRDefault="00E20329" w:rsidP="00E20329">
            <w:pPr>
              <w:spacing w:before="0" w:after="0" w:line="240" w:lineRule="auto"/>
              <w:rPr>
                <w:rFonts w:ascii="Arial" w:hAnsi="Arial" w:cs="Arial"/>
                <w:b/>
                <w:bCs/>
                <w:sz w:val="16"/>
                <w:szCs w:val="16"/>
              </w:rPr>
            </w:pPr>
            <w:r w:rsidRPr="00E20329">
              <w:rPr>
                <w:rFonts w:ascii="Arial" w:hAnsi="Arial" w:cs="Arial"/>
                <w:b/>
                <w:bCs/>
                <w:sz w:val="16"/>
                <w:szCs w:val="16"/>
              </w:rPr>
              <w:t>TOTAL</w:t>
            </w:r>
          </w:p>
        </w:tc>
        <w:tc>
          <w:tcPr>
            <w:tcW w:w="880" w:type="dxa"/>
            <w:tcBorders>
              <w:top w:val="single" w:sz="4" w:space="0" w:color="auto"/>
              <w:left w:val="nil"/>
              <w:bottom w:val="single" w:sz="4" w:space="0" w:color="auto"/>
              <w:right w:val="nil"/>
            </w:tcBorders>
            <w:shd w:val="clear" w:color="auto" w:fill="auto"/>
            <w:noWrap/>
            <w:vAlign w:val="center"/>
            <w:hideMark/>
          </w:tcPr>
          <w:p w14:paraId="175FD533"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37,136 </w:t>
            </w:r>
          </w:p>
        </w:tc>
        <w:tc>
          <w:tcPr>
            <w:tcW w:w="880" w:type="dxa"/>
            <w:tcBorders>
              <w:top w:val="single" w:sz="4" w:space="0" w:color="auto"/>
              <w:left w:val="nil"/>
              <w:bottom w:val="single" w:sz="4" w:space="0" w:color="auto"/>
              <w:right w:val="nil"/>
            </w:tcBorders>
            <w:shd w:val="clear" w:color="000000" w:fill="E6E6E6"/>
            <w:noWrap/>
            <w:vAlign w:val="center"/>
            <w:hideMark/>
          </w:tcPr>
          <w:p w14:paraId="5282B7CE"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49,959 </w:t>
            </w:r>
          </w:p>
        </w:tc>
        <w:tc>
          <w:tcPr>
            <w:tcW w:w="880" w:type="dxa"/>
            <w:tcBorders>
              <w:top w:val="single" w:sz="4" w:space="0" w:color="auto"/>
              <w:left w:val="nil"/>
              <w:bottom w:val="single" w:sz="4" w:space="0" w:color="auto"/>
              <w:right w:val="nil"/>
            </w:tcBorders>
            <w:shd w:val="clear" w:color="auto" w:fill="auto"/>
            <w:noWrap/>
            <w:vAlign w:val="center"/>
            <w:hideMark/>
          </w:tcPr>
          <w:p w14:paraId="7BD22F1A"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16,492 </w:t>
            </w:r>
          </w:p>
        </w:tc>
        <w:tc>
          <w:tcPr>
            <w:tcW w:w="880" w:type="dxa"/>
            <w:tcBorders>
              <w:top w:val="single" w:sz="4" w:space="0" w:color="auto"/>
              <w:left w:val="nil"/>
              <w:bottom w:val="single" w:sz="4" w:space="0" w:color="auto"/>
              <w:right w:val="nil"/>
            </w:tcBorders>
            <w:shd w:val="clear" w:color="auto" w:fill="auto"/>
            <w:noWrap/>
            <w:vAlign w:val="center"/>
            <w:hideMark/>
          </w:tcPr>
          <w:p w14:paraId="4965ED68"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11,846 </w:t>
            </w:r>
          </w:p>
        </w:tc>
        <w:tc>
          <w:tcPr>
            <w:tcW w:w="880" w:type="dxa"/>
            <w:tcBorders>
              <w:top w:val="single" w:sz="4" w:space="0" w:color="auto"/>
              <w:left w:val="nil"/>
              <w:bottom w:val="single" w:sz="4" w:space="0" w:color="auto"/>
              <w:right w:val="nil"/>
            </w:tcBorders>
            <w:shd w:val="clear" w:color="auto" w:fill="auto"/>
            <w:noWrap/>
            <w:vAlign w:val="center"/>
            <w:hideMark/>
          </w:tcPr>
          <w:p w14:paraId="66519D73"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11,950 </w:t>
            </w:r>
          </w:p>
        </w:tc>
      </w:tr>
      <w:tr w:rsidR="00E20329" w:rsidRPr="00E20329" w14:paraId="47C06437" w14:textId="77777777" w:rsidTr="00E20329">
        <w:trPr>
          <w:trHeight w:val="675"/>
        </w:trPr>
        <w:tc>
          <w:tcPr>
            <w:tcW w:w="3220" w:type="dxa"/>
            <w:tcBorders>
              <w:top w:val="nil"/>
              <w:left w:val="nil"/>
              <w:bottom w:val="nil"/>
              <w:right w:val="nil"/>
            </w:tcBorders>
            <w:shd w:val="clear" w:color="auto" w:fill="auto"/>
            <w:vAlign w:val="center"/>
            <w:hideMark/>
          </w:tcPr>
          <w:p w14:paraId="27CE3252" w14:textId="77777777" w:rsidR="00E20329" w:rsidRPr="00E20329" w:rsidRDefault="00E20329" w:rsidP="00E20329">
            <w:pPr>
              <w:spacing w:before="0" w:after="0" w:line="240" w:lineRule="auto"/>
              <w:rPr>
                <w:rFonts w:ascii="Arial" w:hAnsi="Arial" w:cs="Arial"/>
                <w:b/>
                <w:bCs/>
                <w:sz w:val="16"/>
                <w:szCs w:val="16"/>
              </w:rPr>
            </w:pPr>
            <w:r w:rsidRPr="00E20329">
              <w:rPr>
                <w:rFonts w:ascii="Arial" w:hAnsi="Arial" w:cs="Arial"/>
                <w:b/>
                <w:bCs/>
                <w:sz w:val="16"/>
                <w:szCs w:val="16"/>
              </w:rPr>
              <w:t>RECONCILIATION OF CASH USED</w:t>
            </w:r>
            <w:r w:rsidRPr="00E20329">
              <w:rPr>
                <w:rFonts w:ascii="Arial" w:hAnsi="Arial" w:cs="Arial"/>
                <w:b/>
                <w:bCs/>
                <w:sz w:val="16"/>
                <w:szCs w:val="16"/>
              </w:rPr>
              <w:br/>
              <w:t xml:space="preserve">  TO ACQUIRE ASSETS TO ASSET</w:t>
            </w:r>
            <w:r w:rsidRPr="00E20329">
              <w:rPr>
                <w:rFonts w:ascii="Arial" w:hAnsi="Arial" w:cs="Arial"/>
                <w:b/>
                <w:bCs/>
                <w:sz w:val="16"/>
                <w:szCs w:val="16"/>
              </w:rPr>
              <w:br/>
              <w:t xml:space="preserve">  MOVEMENT TABLE</w:t>
            </w:r>
          </w:p>
        </w:tc>
        <w:tc>
          <w:tcPr>
            <w:tcW w:w="880" w:type="dxa"/>
            <w:tcBorders>
              <w:top w:val="nil"/>
              <w:left w:val="nil"/>
              <w:bottom w:val="nil"/>
              <w:right w:val="nil"/>
            </w:tcBorders>
            <w:shd w:val="clear" w:color="auto" w:fill="auto"/>
            <w:noWrap/>
            <w:vAlign w:val="center"/>
            <w:hideMark/>
          </w:tcPr>
          <w:p w14:paraId="2C6D3714" w14:textId="77777777" w:rsidR="00E20329" w:rsidRPr="00E20329" w:rsidRDefault="00E20329" w:rsidP="00E20329">
            <w:pPr>
              <w:spacing w:before="0" w:after="0" w:line="240" w:lineRule="auto"/>
              <w:rPr>
                <w:rFonts w:ascii="Arial" w:hAnsi="Arial" w:cs="Arial"/>
                <w:b/>
                <w:bCs/>
                <w:sz w:val="16"/>
                <w:szCs w:val="16"/>
              </w:rPr>
            </w:pPr>
          </w:p>
        </w:tc>
        <w:tc>
          <w:tcPr>
            <w:tcW w:w="880" w:type="dxa"/>
            <w:tcBorders>
              <w:top w:val="nil"/>
              <w:left w:val="nil"/>
              <w:bottom w:val="nil"/>
              <w:right w:val="nil"/>
            </w:tcBorders>
            <w:shd w:val="clear" w:color="000000" w:fill="E6E6E6"/>
            <w:noWrap/>
            <w:vAlign w:val="center"/>
            <w:hideMark/>
          </w:tcPr>
          <w:p w14:paraId="74E6B216" w14:textId="77777777" w:rsidR="00E20329" w:rsidRPr="00E20329" w:rsidRDefault="00E20329" w:rsidP="00E20329">
            <w:pPr>
              <w:spacing w:before="0" w:after="0" w:line="240" w:lineRule="auto"/>
              <w:rPr>
                <w:rFonts w:ascii="Arial" w:hAnsi="Arial" w:cs="Arial"/>
                <w:sz w:val="16"/>
                <w:szCs w:val="16"/>
              </w:rPr>
            </w:pPr>
            <w:r w:rsidRPr="00E20329">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514ADC32" w14:textId="77777777" w:rsidR="00E20329" w:rsidRPr="00E20329" w:rsidRDefault="00E20329" w:rsidP="00E20329">
            <w:pPr>
              <w:spacing w:before="0"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3FEE3AB6" w14:textId="77777777" w:rsidR="00E20329" w:rsidRPr="00E20329" w:rsidRDefault="00E20329" w:rsidP="00E20329">
            <w:pPr>
              <w:spacing w:before="0" w:after="0" w:line="240" w:lineRule="auto"/>
              <w:rPr>
                <w:rFonts w:ascii="Times New Roman" w:hAnsi="Times New Roman"/>
                <w:sz w:val="20"/>
              </w:rPr>
            </w:pPr>
          </w:p>
        </w:tc>
        <w:tc>
          <w:tcPr>
            <w:tcW w:w="880" w:type="dxa"/>
            <w:tcBorders>
              <w:top w:val="nil"/>
              <w:left w:val="nil"/>
              <w:bottom w:val="nil"/>
              <w:right w:val="nil"/>
            </w:tcBorders>
            <w:shd w:val="clear" w:color="auto" w:fill="auto"/>
            <w:noWrap/>
            <w:vAlign w:val="center"/>
            <w:hideMark/>
          </w:tcPr>
          <w:p w14:paraId="314F3C13" w14:textId="77777777" w:rsidR="00E20329" w:rsidRPr="00E20329" w:rsidRDefault="00E20329" w:rsidP="00E20329">
            <w:pPr>
              <w:spacing w:before="0" w:after="0" w:line="240" w:lineRule="auto"/>
              <w:rPr>
                <w:rFonts w:ascii="Times New Roman" w:hAnsi="Times New Roman"/>
                <w:sz w:val="20"/>
              </w:rPr>
            </w:pPr>
          </w:p>
        </w:tc>
      </w:tr>
      <w:tr w:rsidR="00E20329" w:rsidRPr="00E20329" w14:paraId="1370801B" w14:textId="77777777" w:rsidTr="00E20329">
        <w:trPr>
          <w:trHeight w:val="240"/>
        </w:trPr>
        <w:tc>
          <w:tcPr>
            <w:tcW w:w="3220" w:type="dxa"/>
            <w:tcBorders>
              <w:top w:val="nil"/>
              <w:left w:val="nil"/>
              <w:bottom w:val="nil"/>
              <w:right w:val="nil"/>
            </w:tcBorders>
            <w:shd w:val="clear" w:color="auto" w:fill="auto"/>
            <w:noWrap/>
            <w:vAlign w:val="center"/>
            <w:hideMark/>
          </w:tcPr>
          <w:p w14:paraId="3AD17E7A" w14:textId="77777777" w:rsidR="00E20329" w:rsidRPr="00E20329" w:rsidRDefault="00E20329" w:rsidP="00E20329">
            <w:pPr>
              <w:spacing w:before="0" w:after="0" w:line="240" w:lineRule="auto"/>
              <w:rPr>
                <w:rFonts w:ascii="Arial" w:hAnsi="Arial" w:cs="Arial"/>
                <w:sz w:val="16"/>
                <w:szCs w:val="16"/>
              </w:rPr>
            </w:pPr>
            <w:r w:rsidRPr="00E20329">
              <w:rPr>
                <w:rFonts w:ascii="Arial" w:hAnsi="Arial" w:cs="Arial"/>
                <w:sz w:val="16"/>
                <w:szCs w:val="16"/>
              </w:rPr>
              <w:t>Total purchases</w:t>
            </w:r>
          </w:p>
        </w:tc>
        <w:tc>
          <w:tcPr>
            <w:tcW w:w="880" w:type="dxa"/>
            <w:tcBorders>
              <w:top w:val="nil"/>
              <w:left w:val="nil"/>
              <w:bottom w:val="nil"/>
              <w:right w:val="nil"/>
            </w:tcBorders>
            <w:shd w:val="clear" w:color="auto" w:fill="auto"/>
            <w:noWrap/>
            <w:vAlign w:val="center"/>
            <w:hideMark/>
          </w:tcPr>
          <w:p w14:paraId="11EDE8C3"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37,136 </w:t>
            </w:r>
          </w:p>
        </w:tc>
        <w:tc>
          <w:tcPr>
            <w:tcW w:w="880" w:type="dxa"/>
            <w:tcBorders>
              <w:top w:val="nil"/>
              <w:left w:val="nil"/>
              <w:bottom w:val="nil"/>
              <w:right w:val="nil"/>
            </w:tcBorders>
            <w:shd w:val="clear" w:color="000000" w:fill="E6E6E6"/>
            <w:noWrap/>
            <w:vAlign w:val="center"/>
            <w:hideMark/>
          </w:tcPr>
          <w:p w14:paraId="6F073D87"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49,959 </w:t>
            </w:r>
          </w:p>
        </w:tc>
        <w:tc>
          <w:tcPr>
            <w:tcW w:w="880" w:type="dxa"/>
            <w:tcBorders>
              <w:top w:val="nil"/>
              <w:left w:val="nil"/>
              <w:bottom w:val="nil"/>
              <w:right w:val="nil"/>
            </w:tcBorders>
            <w:shd w:val="clear" w:color="auto" w:fill="auto"/>
            <w:noWrap/>
            <w:vAlign w:val="center"/>
            <w:hideMark/>
          </w:tcPr>
          <w:p w14:paraId="03D06932"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16,492 </w:t>
            </w:r>
          </w:p>
        </w:tc>
        <w:tc>
          <w:tcPr>
            <w:tcW w:w="880" w:type="dxa"/>
            <w:tcBorders>
              <w:top w:val="nil"/>
              <w:left w:val="nil"/>
              <w:bottom w:val="nil"/>
              <w:right w:val="nil"/>
            </w:tcBorders>
            <w:shd w:val="clear" w:color="auto" w:fill="auto"/>
            <w:noWrap/>
            <w:vAlign w:val="center"/>
            <w:hideMark/>
          </w:tcPr>
          <w:p w14:paraId="6D604E18"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11,846 </w:t>
            </w:r>
          </w:p>
        </w:tc>
        <w:tc>
          <w:tcPr>
            <w:tcW w:w="880" w:type="dxa"/>
            <w:tcBorders>
              <w:top w:val="nil"/>
              <w:left w:val="nil"/>
              <w:bottom w:val="nil"/>
              <w:right w:val="nil"/>
            </w:tcBorders>
            <w:shd w:val="clear" w:color="auto" w:fill="auto"/>
            <w:noWrap/>
            <w:vAlign w:val="center"/>
            <w:hideMark/>
          </w:tcPr>
          <w:p w14:paraId="22A0F1FF" w14:textId="77777777" w:rsidR="00E20329" w:rsidRPr="00E20329" w:rsidRDefault="00E20329" w:rsidP="00E20329">
            <w:pPr>
              <w:spacing w:before="0" w:after="0" w:line="240" w:lineRule="auto"/>
              <w:jc w:val="right"/>
              <w:rPr>
                <w:rFonts w:ascii="Arial" w:hAnsi="Arial" w:cs="Arial"/>
                <w:sz w:val="16"/>
                <w:szCs w:val="16"/>
              </w:rPr>
            </w:pPr>
            <w:r w:rsidRPr="00E20329">
              <w:rPr>
                <w:rFonts w:ascii="Arial" w:hAnsi="Arial" w:cs="Arial"/>
                <w:sz w:val="16"/>
                <w:szCs w:val="16"/>
              </w:rPr>
              <w:t xml:space="preserve">11,950 </w:t>
            </w:r>
          </w:p>
        </w:tc>
      </w:tr>
      <w:tr w:rsidR="00E20329" w:rsidRPr="00E20329" w14:paraId="09C4F490" w14:textId="77777777" w:rsidTr="00E20329">
        <w:trPr>
          <w:trHeight w:val="240"/>
        </w:trPr>
        <w:tc>
          <w:tcPr>
            <w:tcW w:w="3220" w:type="dxa"/>
            <w:tcBorders>
              <w:top w:val="nil"/>
              <w:left w:val="nil"/>
              <w:bottom w:val="single" w:sz="4" w:space="0" w:color="auto"/>
              <w:right w:val="nil"/>
            </w:tcBorders>
            <w:shd w:val="clear" w:color="auto" w:fill="auto"/>
            <w:vAlign w:val="center"/>
            <w:hideMark/>
          </w:tcPr>
          <w:p w14:paraId="5DEF55B0" w14:textId="77777777" w:rsidR="00E20329" w:rsidRPr="00E20329" w:rsidRDefault="00E20329" w:rsidP="00E20329">
            <w:pPr>
              <w:spacing w:before="0" w:after="0" w:line="240" w:lineRule="auto"/>
              <w:rPr>
                <w:rFonts w:ascii="Arial" w:hAnsi="Arial" w:cs="Arial"/>
                <w:b/>
                <w:bCs/>
                <w:sz w:val="16"/>
                <w:szCs w:val="16"/>
              </w:rPr>
            </w:pPr>
            <w:r w:rsidRPr="00E20329">
              <w:rPr>
                <w:rFonts w:ascii="Arial" w:hAnsi="Arial" w:cs="Arial"/>
                <w:b/>
                <w:bCs/>
                <w:sz w:val="16"/>
                <w:szCs w:val="16"/>
              </w:rPr>
              <w:t>Total cash used to acquire assets</w:t>
            </w:r>
          </w:p>
        </w:tc>
        <w:tc>
          <w:tcPr>
            <w:tcW w:w="880" w:type="dxa"/>
            <w:tcBorders>
              <w:top w:val="single" w:sz="4" w:space="0" w:color="auto"/>
              <w:left w:val="nil"/>
              <w:bottom w:val="single" w:sz="4" w:space="0" w:color="auto"/>
              <w:right w:val="nil"/>
            </w:tcBorders>
            <w:shd w:val="clear" w:color="auto" w:fill="auto"/>
            <w:noWrap/>
            <w:vAlign w:val="center"/>
            <w:hideMark/>
          </w:tcPr>
          <w:p w14:paraId="41B71E86"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37,136 </w:t>
            </w:r>
          </w:p>
        </w:tc>
        <w:tc>
          <w:tcPr>
            <w:tcW w:w="880" w:type="dxa"/>
            <w:tcBorders>
              <w:top w:val="single" w:sz="4" w:space="0" w:color="auto"/>
              <w:left w:val="nil"/>
              <w:bottom w:val="single" w:sz="4" w:space="0" w:color="auto"/>
              <w:right w:val="nil"/>
            </w:tcBorders>
            <w:shd w:val="clear" w:color="000000" w:fill="E6E6E6"/>
            <w:noWrap/>
            <w:vAlign w:val="center"/>
            <w:hideMark/>
          </w:tcPr>
          <w:p w14:paraId="291ACF80"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49,959 </w:t>
            </w:r>
          </w:p>
        </w:tc>
        <w:tc>
          <w:tcPr>
            <w:tcW w:w="880" w:type="dxa"/>
            <w:tcBorders>
              <w:top w:val="single" w:sz="4" w:space="0" w:color="auto"/>
              <w:left w:val="nil"/>
              <w:bottom w:val="single" w:sz="4" w:space="0" w:color="auto"/>
              <w:right w:val="nil"/>
            </w:tcBorders>
            <w:shd w:val="clear" w:color="auto" w:fill="auto"/>
            <w:noWrap/>
            <w:vAlign w:val="center"/>
            <w:hideMark/>
          </w:tcPr>
          <w:p w14:paraId="04972CA8"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16,492 </w:t>
            </w:r>
          </w:p>
        </w:tc>
        <w:tc>
          <w:tcPr>
            <w:tcW w:w="880" w:type="dxa"/>
            <w:tcBorders>
              <w:top w:val="single" w:sz="4" w:space="0" w:color="auto"/>
              <w:left w:val="nil"/>
              <w:bottom w:val="single" w:sz="4" w:space="0" w:color="auto"/>
              <w:right w:val="nil"/>
            </w:tcBorders>
            <w:shd w:val="clear" w:color="auto" w:fill="auto"/>
            <w:noWrap/>
            <w:vAlign w:val="center"/>
            <w:hideMark/>
          </w:tcPr>
          <w:p w14:paraId="3698E3A0"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11,846 </w:t>
            </w:r>
          </w:p>
        </w:tc>
        <w:tc>
          <w:tcPr>
            <w:tcW w:w="880" w:type="dxa"/>
            <w:tcBorders>
              <w:top w:val="single" w:sz="4" w:space="0" w:color="auto"/>
              <w:left w:val="nil"/>
              <w:bottom w:val="single" w:sz="4" w:space="0" w:color="auto"/>
              <w:right w:val="nil"/>
            </w:tcBorders>
            <w:shd w:val="clear" w:color="auto" w:fill="auto"/>
            <w:noWrap/>
            <w:vAlign w:val="center"/>
            <w:hideMark/>
          </w:tcPr>
          <w:p w14:paraId="22614C9D" w14:textId="77777777" w:rsidR="00E20329" w:rsidRPr="00E20329" w:rsidRDefault="00E20329" w:rsidP="00E20329">
            <w:pPr>
              <w:spacing w:before="0" w:after="0" w:line="240" w:lineRule="auto"/>
              <w:jc w:val="right"/>
              <w:rPr>
                <w:rFonts w:ascii="Arial" w:hAnsi="Arial" w:cs="Arial"/>
                <w:b/>
                <w:bCs/>
                <w:sz w:val="16"/>
                <w:szCs w:val="16"/>
              </w:rPr>
            </w:pPr>
            <w:r w:rsidRPr="00E20329">
              <w:rPr>
                <w:rFonts w:ascii="Arial" w:hAnsi="Arial" w:cs="Arial"/>
                <w:b/>
                <w:bCs/>
                <w:sz w:val="16"/>
                <w:szCs w:val="16"/>
              </w:rPr>
              <w:t xml:space="preserve">11,950 </w:t>
            </w:r>
          </w:p>
        </w:tc>
      </w:tr>
    </w:tbl>
    <w:p w14:paraId="1337308F" w14:textId="7012384B" w:rsidR="00995D25" w:rsidRPr="00473E40" w:rsidRDefault="00BF0558" w:rsidP="00473E40">
      <w:pPr>
        <w:pStyle w:val="TableGraphic"/>
        <w:tabs>
          <w:tab w:val="left" w:pos="6237"/>
        </w:tabs>
        <w:spacing w:before="30"/>
        <w:ind w:right="0"/>
        <w:rPr>
          <w:rFonts w:ascii="Arial" w:hAnsi="Arial" w:cs="Arial"/>
          <w:b/>
          <w:sz w:val="16"/>
          <w:szCs w:val="16"/>
        </w:rPr>
      </w:pPr>
      <w:r w:rsidRPr="00473E40">
        <w:rPr>
          <w:rFonts w:ascii="Arial" w:hAnsi="Arial" w:cs="Arial"/>
          <w:b/>
        </w:rPr>
        <w:t xml:space="preserve"> </w:t>
      </w:r>
      <w:r w:rsidRPr="00473E40">
        <w:rPr>
          <w:rFonts w:ascii="Arial" w:hAnsi="Arial" w:cs="Arial"/>
          <w:sz w:val="16"/>
          <w:szCs w:val="16"/>
        </w:rPr>
        <w:t>Prepared on Australian Accounting Standards basis.</w:t>
      </w:r>
      <w:r w:rsidR="00995D25" w:rsidRPr="00473E40">
        <w:rPr>
          <w:rFonts w:ascii="Arial" w:hAnsi="Arial" w:cs="Arial"/>
          <w:b/>
          <w:sz w:val="16"/>
          <w:szCs w:val="16"/>
        </w:rPr>
        <w:br w:type="page"/>
      </w:r>
    </w:p>
    <w:p w14:paraId="2239E4AD" w14:textId="60F78E99" w:rsidR="00BF0558" w:rsidRDefault="00BF0558" w:rsidP="00995D25">
      <w:pPr>
        <w:pStyle w:val="TableHeadingcontinued"/>
      </w:pPr>
      <w:r w:rsidRPr="00D30CBA">
        <w:lastRenderedPageBreak/>
        <w:t>Table</w:t>
      </w:r>
      <w:r>
        <w:t xml:space="preserve"> 3.6</w:t>
      </w:r>
      <w:r w:rsidRPr="00D30CBA">
        <w:t xml:space="preserve">: </w:t>
      </w:r>
      <w:r>
        <w:t>Statement of departmental asset movements (Budget year 2022-23)</w:t>
      </w:r>
    </w:p>
    <w:p w14:paraId="142667FD" w14:textId="6FC0CBDF" w:rsidR="00274606" w:rsidRPr="00274606" w:rsidRDefault="004D11C7" w:rsidP="00274606">
      <w:pPr>
        <w:pStyle w:val="TableGraphic"/>
      </w:pPr>
      <w:r w:rsidRPr="004D11C7">
        <w:rPr>
          <w:noProof/>
          <w:lang w:eastAsia="zh-CN"/>
        </w:rPr>
        <w:drawing>
          <wp:inline distT="0" distB="0" distL="0" distR="0" wp14:anchorId="1E2F0135" wp14:editId="5985DB7A">
            <wp:extent cx="4895850" cy="4586515"/>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895850" cy="4586515"/>
                    </a:xfrm>
                    <a:prstGeom prst="rect">
                      <a:avLst/>
                    </a:prstGeom>
                    <a:noFill/>
                    <a:ln>
                      <a:noFill/>
                    </a:ln>
                  </pic:spPr>
                </pic:pic>
              </a:graphicData>
            </a:graphic>
          </wp:inline>
        </w:drawing>
      </w:r>
    </w:p>
    <w:p w14:paraId="2239E532" w14:textId="77777777" w:rsidR="00BF0558" w:rsidRPr="002E5D24" w:rsidRDefault="00BF0558" w:rsidP="00473E40">
      <w:pPr>
        <w:pStyle w:val="ChartandTableFootnote"/>
      </w:pPr>
      <w:r w:rsidRPr="00132F9E">
        <w:t>Prepared on Australian Accounting Standards basis.</w:t>
      </w:r>
    </w:p>
    <w:p w14:paraId="2239E533" w14:textId="77777777" w:rsidR="00BF0558" w:rsidRPr="002568CD" w:rsidRDefault="00BF0558" w:rsidP="00C8474A">
      <w:pPr>
        <w:pStyle w:val="ChartandTableFootnoteAlpha"/>
        <w:numPr>
          <w:ilvl w:val="0"/>
          <w:numId w:val="49"/>
        </w:numPr>
        <w:spacing w:before="60"/>
        <w:ind w:left="284"/>
        <w:rPr>
          <w:rFonts w:cs="Arial"/>
          <w:szCs w:val="16"/>
        </w:rPr>
      </w:pPr>
      <w:r w:rsidRPr="002568CD">
        <w:rPr>
          <w:rFonts w:cs="Arial"/>
          <w:szCs w:val="16"/>
        </w:rPr>
        <w:t>‘Appropriation ordinary annual services’ refers to funding provided through Appropriation Bill (No. 1) 2022-23 for depreciation/amortisation expenses, DCBs or other operational expenses.</w:t>
      </w:r>
    </w:p>
    <w:p w14:paraId="2239E534" w14:textId="77777777" w:rsidR="00BF0558" w:rsidRDefault="00BF0558" w:rsidP="004D5C6C">
      <w:pPr>
        <w:pStyle w:val="ChartandTableFootnoteAlpha"/>
      </w:pPr>
    </w:p>
    <w:p w14:paraId="2239E535" w14:textId="77777777" w:rsidR="00BF0558" w:rsidRDefault="00BF0558">
      <w:pPr>
        <w:spacing w:after="0" w:line="240" w:lineRule="auto"/>
        <w:rPr>
          <w:rFonts w:ascii="Arial" w:hAnsi="Arial"/>
          <w:color w:val="000000"/>
          <w:sz w:val="16"/>
        </w:rPr>
      </w:pPr>
      <w:r>
        <w:br w:type="page"/>
      </w:r>
    </w:p>
    <w:p w14:paraId="2239E537" w14:textId="0C2F3394" w:rsidR="00BF0558" w:rsidRDefault="00BF0558" w:rsidP="00CB166A">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14:paraId="09DA7F06" w14:textId="1AF95306" w:rsidR="00CB166A" w:rsidRPr="00CB166A" w:rsidRDefault="00CB166A" w:rsidP="00CB166A">
      <w:pPr>
        <w:pStyle w:val="TableGraphic"/>
      </w:pPr>
      <w:r w:rsidRPr="00CB166A">
        <w:rPr>
          <w:noProof/>
          <w:lang w:eastAsia="zh-CN"/>
        </w:rPr>
        <w:drawing>
          <wp:inline distT="0" distB="0" distL="0" distR="0" wp14:anchorId="687A018A" wp14:editId="7CE86352">
            <wp:extent cx="4895850" cy="3001088"/>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95850" cy="3001088"/>
                    </a:xfrm>
                    <a:prstGeom prst="rect">
                      <a:avLst/>
                    </a:prstGeom>
                    <a:noFill/>
                    <a:ln>
                      <a:noFill/>
                    </a:ln>
                  </pic:spPr>
                </pic:pic>
              </a:graphicData>
            </a:graphic>
          </wp:inline>
        </w:drawing>
      </w:r>
    </w:p>
    <w:p w14:paraId="2239E538" w14:textId="77777777" w:rsidR="00BF0558" w:rsidRDefault="00BF0558" w:rsidP="00473E40">
      <w:pPr>
        <w:pStyle w:val="ChartandTableFootnoteAlpha"/>
      </w:pPr>
      <w:r w:rsidRPr="00E4582E">
        <w:t>Prepared on Australian Accounting Standards basis</w:t>
      </w:r>
      <w:r>
        <w:t>.</w:t>
      </w:r>
    </w:p>
    <w:p w14:paraId="2239E539" w14:textId="77777777" w:rsidR="00BF0558" w:rsidRDefault="00BF0558" w:rsidP="004D5C6C">
      <w:pPr>
        <w:pStyle w:val="ChartandTableFootnoteAlpha"/>
        <w:ind w:left="284"/>
      </w:pPr>
    </w:p>
    <w:p w14:paraId="2239E53A" w14:textId="77777777" w:rsidR="00BF0558" w:rsidRPr="009962A7" w:rsidRDefault="00BF0558" w:rsidP="004D5C6C"/>
    <w:p w14:paraId="2239E53B" w14:textId="77777777" w:rsidR="00AA5B81" w:rsidRDefault="00BF0558" w:rsidP="00AA5B81">
      <w:pPr>
        <w:pStyle w:val="TableHeading"/>
      </w:pPr>
      <w:r w:rsidRPr="004A4188">
        <w:t>Table 3.8: Schedule of budgeted assets and liabilities administered on behal</w:t>
      </w:r>
      <w:r w:rsidR="00AA5B81">
        <w:t>f of Government (as at 30 June)</w:t>
      </w:r>
    </w:p>
    <w:p w14:paraId="2239E53C" w14:textId="77777777" w:rsidR="00BF0558" w:rsidRPr="00AA5B81" w:rsidRDefault="00BF0558" w:rsidP="00AA5B81">
      <w:pPr>
        <w:pStyle w:val="TableHeading"/>
        <w:rPr>
          <w:rFonts w:ascii="Book Antiqua" w:hAnsi="Book Antiqua"/>
          <w:b w:val="0"/>
          <w:sz w:val="19"/>
          <w:szCs w:val="19"/>
        </w:rPr>
      </w:pPr>
      <w:r w:rsidRPr="00AA5B81">
        <w:rPr>
          <w:rFonts w:ascii="Book Antiqua" w:hAnsi="Book Antiqua"/>
          <w:b w:val="0"/>
          <w:sz w:val="19"/>
          <w:szCs w:val="19"/>
        </w:rPr>
        <w:t>The AEC has no budgeted assets and liabilities administered on behalf of the Government.</w:t>
      </w:r>
    </w:p>
    <w:p w14:paraId="2239E53D" w14:textId="77777777" w:rsidR="00BF0558" w:rsidRPr="009F6C14" w:rsidRDefault="00BF0558" w:rsidP="004D5C6C">
      <w:r>
        <w:br w:type="page"/>
      </w:r>
    </w:p>
    <w:p w14:paraId="2239E53F" w14:textId="5A8D0059" w:rsidR="00BF0558" w:rsidRPr="0044552A" w:rsidRDefault="00BF0558" w:rsidP="00CB166A">
      <w:pPr>
        <w:pStyle w:val="TableHeading"/>
      </w:pPr>
      <w:r>
        <w:lastRenderedPageBreak/>
        <w:t xml:space="preserve">Table 3.9: </w:t>
      </w:r>
      <w:r w:rsidRPr="00C41D55">
        <w:t xml:space="preserve">Schedule of </w:t>
      </w:r>
      <w:r>
        <w:t xml:space="preserve">budgeted administered cash flows </w:t>
      </w:r>
      <w:r w:rsidRPr="00C41D55">
        <w:t>(for</w:t>
      </w:r>
      <w:r>
        <w:t> the </w:t>
      </w:r>
      <w:r w:rsidRPr="00C41D55">
        <w:t>period ended 30 June)</w:t>
      </w:r>
      <w:r w:rsidR="00CB166A" w:rsidRPr="00CB166A">
        <w:rPr>
          <w:b w:val="0"/>
        </w:rPr>
        <w:t xml:space="preserve"> </w:t>
      </w:r>
      <w:r w:rsidR="00CB166A" w:rsidRPr="00CB166A">
        <w:rPr>
          <w:noProof/>
          <w:lang w:eastAsia="zh-CN"/>
        </w:rPr>
        <w:drawing>
          <wp:inline distT="0" distB="0" distL="0" distR="0" wp14:anchorId="3D22A654" wp14:editId="5289A450">
            <wp:extent cx="4895850" cy="2960379"/>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895850" cy="2960379"/>
                    </a:xfrm>
                    <a:prstGeom prst="rect">
                      <a:avLst/>
                    </a:prstGeom>
                    <a:noFill/>
                    <a:ln>
                      <a:noFill/>
                    </a:ln>
                  </pic:spPr>
                </pic:pic>
              </a:graphicData>
            </a:graphic>
          </wp:inline>
        </w:drawing>
      </w:r>
    </w:p>
    <w:p w14:paraId="2239E540" w14:textId="77777777" w:rsidR="007C78D3" w:rsidRDefault="007C78D3" w:rsidP="00473E40">
      <w:pPr>
        <w:pStyle w:val="ChartandTableFootnote"/>
      </w:pPr>
      <w:r>
        <w:t>Prepared on Australian Accounting Standards basis.</w:t>
      </w:r>
    </w:p>
    <w:p w14:paraId="2239E542" w14:textId="67E3BDBE" w:rsidR="00BF0558" w:rsidRDefault="00BF0558" w:rsidP="004D5C6C">
      <w:pPr>
        <w:pStyle w:val="TableHeading"/>
        <w:keepNext w:val="0"/>
        <w:spacing w:after="0" w:line="260" w:lineRule="exact"/>
        <w:jc w:val="both"/>
      </w:pPr>
    </w:p>
    <w:p w14:paraId="2239E543" w14:textId="77777777" w:rsidR="00AA5B81" w:rsidRDefault="00BF0558" w:rsidP="00AA5B81">
      <w:pPr>
        <w:pStyle w:val="TableHeading"/>
        <w:keepNext w:val="0"/>
        <w:spacing w:after="0" w:line="260" w:lineRule="exact"/>
        <w:jc w:val="both"/>
      </w:pPr>
      <w:r w:rsidRPr="009962A7">
        <w:t xml:space="preserve">Table 3.10 </w:t>
      </w:r>
      <w:r>
        <w:t>Schedule of administered capital budget statement (for the period ended 30 June)</w:t>
      </w:r>
    </w:p>
    <w:p w14:paraId="2239E544" w14:textId="77777777" w:rsidR="00BF0558" w:rsidRPr="00AA5B81" w:rsidRDefault="00BF0558" w:rsidP="00AA5B81">
      <w:pPr>
        <w:pStyle w:val="TableHeading"/>
        <w:keepNext w:val="0"/>
        <w:spacing w:after="0" w:line="260" w:lineRule="exact"/>
        <w:jc w:val="both"/>
        <w:rPr>
          <w:rFonts w:ascii="Book Antiqua" w:hAnsi="Book Antiqua"/>
          <w:b w:val="0"/>
          <w:sz w:val="19"/>
          <w:szCs w:val="19"/>
        </w:rPr>
      </w:pPr>
      <w:r w:rsidRPr="00AA5B81">
        <w:rPr>
          <w:rFonts w:ascii="Book Antiqua" w:hAnsi="Book Antiqua"/>
          <w:b w:val="0"/>
          <w:sz w:val="19"/>
          <w:szCs w:val="19"/>
        </w:rPr>
        <w:t xml:space="preserve">The AEC </w:t>
      </w:r>
      <w:r w:rsidR="00BB574D" w:rsidRPr="00AA5B81">
        <w:rPr>
          <w:rFonts w:ascii="Book Antiqua" w:hAnsi="Book Antiqua"/>
          <w:b w:val="0"/>
          <w:sz w:val="19"/>
          <w:szCs w:val="19"/>
        </w:rPr>
        <w:t>has no</w:t>
      </w:r>
      <w:r w:rsidRPr="00AA5B81">
        <w:rPr>
          <w:rFonts w:ascii="Book Antiqua" w:hAnsi="Book Antiqua"/>
          <w:b w:val="0"/>
          <w:sz w:val="19"/>
          <w:szCs w:val="19"/>
        </w:rPr>
        <w:t xml:space="preserve"> budgeted capital administered on behalf of the Government. </w:t>
      </w:r>
    </w:p>
    <w:p w14:paraId="2239E545" w14:textId="77777777" w:rsidR="00BF0558" w:rsidRDefault="00BF0558" w:rsidP="004D5C6C">
      <w:pPr>
        <w:pStyle w:val="TableHeading"/>
        <w:keepNext w:val="0"/>
        <w:spacing w:after="0" w:line="260" w:lineRule="exact"/>
        <w:jc w:val="both"/>
      </w:pPr>
    </w:p>
    <w:p w14:paraId="2239E546" w14:textId="77777777" w:rsidR="00AA5B81" w:rsidRDefault="00BF0558" w:rsidP="00AA5B81">
      <w:pPr>
        <w:pStyle w:val="TableHeading"/>
        <w:keepNext w:val="0"/>
        <w:spacing w:after="0" w:line="260" w:lineRule="exact"/>
        <w:jc w:val="both"/>
      </w:pPr>
      <w:r>
        <w:t>Table 3.11: Statement of administered asset movements (Budget year 2022-23)</w:t>
      </w:r>
    </w:p>
    <w:p w14:paraId="2239E547" w14:textId="77777777" w:rsidR="00BF0558" w:rsidRPr="00AA5B81" w:rsidRDefault="00BF0558" w:rsidP="00AA5B81">
      <w:pPr>
        <w:pStyle w:val="TableHeading"/>
        <w:keepNext w:val="0"/>
        <w:spacing w:after="0" w:line="260" w:lineRule="exact"/>
        <w:jc w:val="both"/>
        <w:rPr>
          <w:rFonts w:ascii="Book Antiqua" w:hAnsi="Book Antiqua"/>
          <w:b w:val="0"/>
          <w:sz w:val="19"/>
          <w:szCs w:val="19"/>
        </w:rPr>
        <w:sectPr w:rsidR="00BF0558" w:rsidRPr="00AA5B81" w:rsidSect="000F1504">
          <w:headerReference w:type="even" r:id="rId99"/>
          <w:headerReference w:type="default" r:id="rId100"/>
          <w:footerReference w:type="default" r:id="rId101"/>
          <w:headerReference w:type="first" r:id="rId102"/>
          <w:footerReference w:type="first" r:id="rId103"/>
          <w:type w:val="oddPage"/>
          <w:pgSz w:w="11906" w:h="16838" w:code="9"/>
          <w:pgMar w:top="2835" w:right="2098" w:bottom="2466" w:left="2098" w:header="1814" w:footer="1814" w:gutter="0"/>
          <w:cols w:space="708"/>
          <w:titlePg/>
          <w:docGrid w:linePitch="360"/>
        </w:sectPr>
      </w:pPr>
      <w:r w:rsidRPr="00AA5B81">
        <w:rPr>
          <w:rFonts w:ascii="Book Antiqua" w:hAnsi="Book Antiqua"/>
          <w:b w:val="0"/>
          <w:sz w:val="19"/>
          <w:szCs w:val="19"/>
        </w:rPr>
        <w:t>The AEC has no budgeted non-financial assets administered on behalf of the</w:t>
      </w:r>
      <w:r w:rsidRPr="009F6C14">
        <w:t xml:space="preserve"> </w:t>
      </w:r>
      <w:r w:rsidRPr="00AA5B81">
        <w:rPr>
          <w:rFonts w:ascii="Book Antiqua" w:hAnsi="Book Antiqua"/>
          <w:b w:val="0"/>
          <w:sz w:val="19"/>
          <w:szCs w:val="19"/>
        </w:rPr>
        <w:t>Government.</w:t>
      </w:r>
    </w:p>
    <w:p w14:paraId="2239E548" w14:textId="77777777" w:rsidR="00BF0558" w:rsidRPr="000C3B86" w:rsidRDefault="00BF0558" w:rsidP="00F52790"/>
    <w:p w14:paraId="2239E549" w14:textId="77777777" w:rsidR="00BF0558" w:rsidRPr="005A7C0B" w:rsidRDefault="00BF0558" w:rsidP="004D5C6C">
      <w:pPr>
        <w:pStyle w:val="PartHeading"/>
      </w:pPr>
      <w:r>
        <w:t>Commonwealth Superannuation Corporation</w:t>
      </w:r>
    </w:p>
    <w:p w14:paraId="2239E54A" w14:textId="77777777" w:rsidR="00BF0558" w:rsidRDefault="00BF0558" w:rsidP="004D5C6C">
      <w:pPr>
        <w:pStyle w:val="PartHeading"/>
      </w:pPr>
    </w:p>
    <w:p w14:paraId="2239E54B" w14:textId="77777777" w:rsidR="00BF0558" w:rsidRDefault="00BF0558" w:rsidP="004D5C6C">
      <w:pPr>
        <w:pStyle w:val="PartHeading-TOC"/>
      </w:pPr>
      <w:bookmarkStart w:id="140" w:name="_Toc116465546"/>
      <w:r>
        <w:t>Entity resources and planned performance</w:t>
      </w:r>
      <w:bookmarkEnd w:id="140"/>
    </w:p>
    <w:p w14:paraId="2239E54C" w14:textId="77777777" w:rsidR="00BF0558" w:rsidRDefault="00BF0558" w:rsidP="004D5C6C">
      <w:pPr>
        <w:pStyle w:val="PartHeading"/>
        <w:sectPr w:rsidR="00BF0558" w:rsidSect="00ED3FB1">
          <w:headerReference w:type="first" r:id="rId104"/>
          <w:footerReference w:type="first" r:id="rId105"/>
          <w:type w:val="oddPage"/>
          <w:pgSz w:w="11906" w:h="16838" w:code="9"/>
          <w:pgMar w:top="2835" w:right="2098" w:bottom="2466" w:left="2098" w:header="1814" w:footer="1814" w:gutter="0"/>
          <w:cols w:space="708"/>
          <w:vAlign w:val="center"/>
          <w:titlePg/>
          <w:docGrid w:linePitch="360"/>
        </w:sectPr>
      </w:pPr>
    </w:p>
    <w:p w14:paraId="2239E54D" w14:textId="77777777" w:rsidR="00BF0558" w:rsidRPr="00E36F77" w:rsidRDefault="00BF0558" w:rsidP="004D5C6C">
      <w:pPr>
        <w:pStyle w:val="ContentsHeading"/>
      </w:pPr>
      <w:r>
        <w:lastRenderedPageBreak/>
        <w:t>Commonwealth Superannuation Corporation</w:t>
      </w:r>
    </w:p>
    <w:p w14:paraId="2D947289" w14:textId="49287D5F" w:rsidR="008918ED" w:rsidRDefault="00BF0558" w:rsidP="008918ED">
      <w:pPr>
        <w:pStyle w:val="TOC1"/>
        <w:rPr>
          <w:rFonts w:asciiTheme="minorHAnsi" w:eastAsiaTheme="minorEastAsia" w:hAnsiTheme="minorHAnsi" w:cstheme="minorBidi"/>
          <w:noProof/>
          <w:sz w:val="22"/>
          <w:szCs w:val="22"/>
        </w:rPr>
      </w:pPr>
      <w:r>
        <w:fldChar w:fldCharType="begin"/>
      </w:r>
      <w:r>
        <w:instrText xml:space="preserve"> TOC \h \z \t "Heading 2,1,Heading 3,2" </w:instrText>
      </w:r>
      <w:r>
        <w:fldChar w:fldCharType="separate"/>
      </w:r>
    </w:p>
    <w:p w14:paraId="32FAC4CB" w14:textId="3B8DE04B" w:rsidR="008918ED" w:rsidRDefault="00F5323E">
      <w:pPr>
        <w:pStyle w:val="TOC1"/>
        <w:rPr>
          <w:rFonts w:asciiTheme="minorHAnsi" w:eastAsiaTheme="minorEastAsia" w:hAnsiTheme="minorHAnsi" w:cstheme="minorBidi"/>
          <w:b w:val="0"/>
          <w:noProof/>
          <w:sz w:val="22"/>
          <w:szCs w:val="22"/>
        </w:rPr>
      </w:pPr>
      <w:hyperlink w:anchor="_Toc117071055" w:history="1">
        <w:r w:rsidR="008918ED" w:rsidRPr="003E7FF4">
          <w:rPr>
            <w:rStyle w:val="Hyperlink"/>
            <w:noProof/>
          </w:rPr>
          <w:t>Section 1: Entity overview and resources</w:t>
        </w:r>
        <w:r w:rsidR="008918ED">
          <w:rPr>
            <w:noProof/>
            <w:webHidden/>
          </w:rPr>
          <w:tab/>
        </w:r>
        <w:r w:rsidR="008918ED">
          <w:rPr>
            <w:noProof/>
            <w:webHidden/>
          </w:rPr>
          <w:fldChar w:fldCharType="begin"/>
        </w:r>
        <w:r w:rsidR="008918ED">
          <w:rPr>
            <w:noProof/>
            <w:webHidden/>
          </w:rPr>
          <w:instrText xml:space="preserve"> PAGEREF _Toc117071055 \h </w:instrText>
        </w:r>
        <w:r w:rsidR="008918ED">
          <w:rPr>
            <w:noProof/>
            <w:webHidden/>
          </w:rPr>
        </w:r>
        <w:r w:rsidR="008918ED">
          <w:rPr>
            <w:noProof/>
            <w:webHidden/>
          </w:rPr>
          <w:fldChar w:fldCharType="separate"/>
        </w:r>
        <w:r w:rsidR="00E5337D">
          <w:rPr>
            <w:noProof/>
            <w:webHidden/>
          </w:rPr>
          <w:t>107</w:t>
        </w:r>
        <w:r w:rsidR="008918ED">
          <w:rPr>
            <w:noProof/>
            <w:webHidden/>
          </w:rPr>
          <w:fldChar w:fldCharType="end"/>
        </w:r>
      </w:hyperlink>
    </w:p>
    <w:p w14:paraId="595C5D1C" w14:textId="28442A0D" w:rsidR="008918ED" w:rsidRDefault="00F5323E">
      <w:pPr>
        <w:pStyle w:val="TOC2"/>
        <w:rPr>
          <w:rFonts w:asciiTheme="minorHAnsi" w:eastAsiaTheme="minorEastAsia" w:hAnsiTheme="minorHAnsi" w:cstheme="minorBidi"/>
          <w:noProof/>
          <w:sz w:val="22"/>
          <w:szCs w:val="22"/>
        </w:rPr>
      </w:pPr>
      <w:hyperlink w:anchor="_Toc117071056" w:history="1">
        <w:r w:rsidR="008918ED" w:rsidRPr="003E7FF4">
          <w:rPr>
            <w:rStyle w:val="Hyperlink"/>
            <w:noProof/>
          </w:rPr>
          <w:t>1.1</w:t>
        </w:r>
        <w:r w:rsidR="008918ED">
          <w:rPr>
            <w:rFonts w:asciiTheme="minorHAnsi" w:eastAsiaTheme="minorEastAsia" w:hAnsiTheme="minorHAnsi" w:cstheme="minorBidi"/>
            <w:noProof/>
            <w:sz w:val="22"/>
            <w:szCs w:val="22"/>
          </w:rPr>
          <w:tab/>
        </w:r>
        <w:r w:rsidR="008918ED" w:rsidRPr="003E7FF4">
          <w:rPr>
            <w:rStyle w:val="Hyperlink"/>
            <w:noProof/>
          </w:rPr>
          <w:t>Strategic direction statement</w:t>
        </w:r>
        <w:r w:rsidR="008918ED">
          <w:rPr>
            <w:noProof/>
            <w:webHidden/>
          </w:rPr>
          <w:tab/>
        </w:r>
        <w:r w:rsidR="008918ED">
          <w:rPr>
            <w:noProof/>
            <w:webHidden/>
          </w:rPr>
          <w:fldChar w:fldCharType="begin"/>
        </w:r>
        <w:r w:rsidR="008918ED">
          <w:rPr>
            <w:noProof/>
            <w:webHidden/>
          </w:rPr>
          <w:instrText xml:space="preserve"> PAGEREF _Toc117071056 \h </w:instrText>
        </w:r>
        <w:r w:rsidR="008918ED">
          <w:rPr>
            <w:noProof/>
            <w:webHidden/>
          </w:rPr>
        </w:r>
        <w:r w:rsidR="008918ED">
          <w:rPr>
            <w:noProof/>
            <w:webHidden/>
          </w:rPr>
          <w:fldChar w:fldCharType="separate"/>
        </w:r>
        <w:r w:rsidR="00E5337D">
          <w:rPr>
            <w:noProof/>
            <w:webHidden/>
          </w:rPr>
          <w:t>107</w:t>
        </w:r>
        <w:r w:rsidR="008918ED">
          <w:rPr>
            <w:noProof/>
            <w:webHidden/>
          </w:rPr>
          <w:fldChar w:fldCharType="end"/>
        </w:r>
      </w:hyperlink>
    </w:p>
    <w:p w14:paraId="476CF24F" w14:textId="677425F1" w:rsidR="008918ED" w:rsidRDefault="00F5323E">
      <w:pPr>
        <w:pStyle w:val="TOC2"/>
        <w:rPr>
          <w:rFonts w:asciiTheme="minorHAnsi" w:eastAsiaTheme="minorEastAsia" w:hAnsiTheme="minorHAnsi" w:cstheme="minorBidi"/>
          <w:noProof/>
          <w:sz w:val="22"/>
          <w:szCs w:val="22"/>
        </w:rPr>
      </w:pPr>
      <w:hyperlink w:anchor="_Toc117071057" w:history="1">
        <w:r w:rsidR="008918ED" w:rsidRPr="003E7FF4">
          <w:rPr>
            <w:rStyle w:val="Hyperlink"/>
            <w:noProof/>
          </w:rPr>
          <w:t>1.2</w:t>
        </w:r>
        <w:r w:rsidR="008918ED">
          <w:rPr>
            <w:rFonts w:asciiTheme="minorHAnsi" w:eastAsiaTheme="minorEastAsia" w:hAnsiTheme="minorHAnsi" w:cstheme="minorBidi"/>
            <w:noProof/>
            <w:sz w:val="22"/>
            <w:szCs w:val="22"/>
          </w:rPr>
          <w:tab/>
        </w:r>
        <w:r w:rsidR="008918ED" w:rsidRPr="003E7FF4">
          <w:rPr>
            <w:rStyle w:val="Hyperlink"/>
            <w:noProof/>
          </w:rPr>
          <w:t>Entity resource statement</w:t>
        </w:r>
        <w:r w:rsidR="008918ED">
          <w:rPr>
            <w:noProof/>
            <w:webHidden/>
          </w:rPr>
          <w:tab/>
        </w:r>
        <w:r w:rsidR="008918ED">
          <w:rPr>
            <w:noProof/>
            <w:webHidden/>
          </w:rPr>
          <w:fldChar w:fldCharType="begin"/>
        </w:r>
        <w:r w:rsidR="008918ED">
          <w:rPr>
            <w:noProof/>
            <w:webHidden/>
          </w:rPr>
          <w:instrText xml:space="preserve"> PAGEREF _Toc117071057 \h </w:instrText>
        </w:r>
        <w:r w:rsidR="008918ED">
          <w:rPr>
            <w:noProof/>
            <w:webHidden/>
          </w:rPr>
        </w:r>
        <w:r w:rsidR="008918ED">
          <w:rPr>
            <w:noProof/>
            <w:webHidden/>
          </w:rPr>
          <w:fldChar w:fldCharType="separate"/>
        </w:r>
        <w:r w:rsidR="00E5337D">
          <w:rPr>
            <w:noProof/>
            <w:webHidden/>
          </w:rPr>
          <w:t>108</w:t>
        </w:r>
        <w:r w:rsidR="008918ED">
          <w:rPr>
            <w:noProof/>
            <w:webHidden/>
          </w:rPr>
          <w:fldChar w:fldCharType="end"/>
        </w:r>
      </w:hyperlink>
    </w:p>
    <w:p w14:paraId="39989332" w14:textId="568FE4CC" w:rsidR="008918ED" w:rsidRDefault="00F5323E">
      <w:pPr>
        <w:pStyle w:val="TOC2"/>
        <w:rPr>
          <w:rFonts w:asciiTheme="minorHAnsi" w:eastAsiaTheme="minorEastAsia" w:hAnsiTheme="minorHAnsi" w:cstheme="minorBidi"/>
          <w:noProof/>
          <w:sz w:val="22"/>
          <w:szCs w:val="22"/>
        </w:rPr>
      </w:pPr>
      <w:hyperlink w:anchor="_Toc117071058" w:history="1">
        <w:r w:rsidR="008918ED" w:rsidRPr="003E7FF4">
          <w:rPr>
            <w:rStyle w:val="Hyperlink"/>
            <w:noProof/>
          </w:rPr>
          <w:t>1.3</w:t>
        </w:r>
        <w:r w:rsidR="008918ED">
          <w:rPr>
            <w:rFonts w:asciiTheme="minorHAnsi" w:eastAsiaTheme="minorEastAsia" w:hAnsiTheme="minorHAnsi" w:cstheme="minorBidi"/>
            <w:noProof/>
            <w:sz w:val="22"/>
            <w:szCs w:val="22"/>
          </w:rPr>
          <w:tab/>
        </w:r>
        <w:r w:rsidR="008918ED" w:rsidRPr="003E7FF4">
          <w:rPr>
            <w:rStyle w:val="Hyperlink"/>
            <w:noProof/>
          </w:rPr>
          <w:t>Budget measures</w:t>
        </w:r>
        <w:r w:rsidR="008918ED">
          <w:rPr>
            <w:noProof/>
            <w:webHidden/>
          </w:rPr>
          <w:tab/>
        </w:r>
        <w:r w:rsidR="008918ED">
          <w:rPr>
            <w:noProof/>
            <w:webHidden/>
          </w:rPr>
          <w:fldChar w:fldCharType="begin"/>
        </w:r>
        <w:r w:rsidR="008918ED">
          <w:rPr>
            <w:noProof/>
            <w:webHidden/>
          </w:rPr>
          <w:instrText xml:space="preserve"> PAGEREF _Toc117071058 \h </w:instrText>
        </w:r>
        <w:r w:rsidR="008918ED">
          <w:rPr>
            <w:noProof/>
            <w:webHidden/>
          </w:rPr>
        </w:r>
        <w:r w:rsidR="008918ED">
          <w:rPr>
            <w:noProof/>
            <w:webHidden/>
          </w:rPr>
          <w:fldChar w:fldCharType="separate"/>
        </w:r>
        <w:r w:rsidR="00E5337D">
          <w:rPr>
            <w:noProof/>
            <w:webHidden/>
          </w:rPr>
          <w:t>110</w:t>
        </w:r>
        <w:r w:rsidR="008918ED">
          <w:rPr>
            <w:noProof/>
            <w:webHidden/>
          </w:rPr>
          <w:fldChar w:fldCharType="end"/>
        </w:r>
      </w:hyperlink>
    </w:p>
    <w:p w14:paraId="2D53BE7B" w14:textId="3E31F064" w:rsidR="008918ED" w:rsidRDefault="00F5323E">
      <w:pPr>
        <w:pStyle w:val="TOC1"/>
        <w:rPr>
          <w:rFonts w:asciiTheme="minorHAnsi" w:eastAsiaTheme="minorEastAsia" w:hAnsiTheme="minorHAnsi" w:cstheme="minorBidi"/>
          <w:b w:val="0"/>
          <w:noProof/>
          <w:sz w:val="22"/>
          <w:szCs w:val="22"/>
        </w:rPr>
      </w:pPr>
      <w:hyperlink w:anchor="_Toc117071059" w:history="1">
        <w:r w:rsidR="008918ED" w:rsidRPr="003E7FF4">
          <w:rPr>
            <w:rStyle w:val="Hyperlink"/>
            <w:noProof/>
          </w:rPr>
          <w:t>Section 2: Outcomes and planned performance</w:t>
        </w:r>
        <w:r w:rsidR="008918ED">
          <w:rPr>
            <w:noProof/>
            <w:webHidden/>
          </w:rPr>
          <w:tab/>
        </w:r>
        <w:r w:rsidR="008918ED">
          <w:rPr>
            <w:noProof/>
            <w:webHidden/>
          </w:rPr>
          <w:fldChar w:fldCharType="begin"/>
        </w:r>
        <w:r w:rsidR="008918ED">
          <w:rPr>
            <w:noProof/>
            <w:webHidden/>
          </w:rPr>
          <w:instrText xml:space="preserve"> PAGEREF _Toc117071059 \h </w:instrText>
        </w:r>
        <w:r w:rsidR="008918ED">
          <w:rPr>
            <w:noProof/>
            <w:webHidden/>
          </w:rPr>
        </w:r>
        <w:r w:rsidR="008918ED">
          <w:rPr>
            <w:noProof/>
            <w:webHidden/>
          </w:rPr>
          <w:fldChar w:fldCharType="separate"/>
        </w:r>
        <w:r w:rsidR="00E5337D">
          <w:rPr>
            <w:noProof/>
            <w:webHidden/>
          </w:rPr>
          <w:t>111</w:t>
        </w:r>
        <w:r w:rsidR="008918ED">
          <w:rPr>
            <w:noProof/>
            <w:webHidden/>
          </w:rPr>
          <w:fldChar w:fldCharType="end"/>
        </w:r>
      </w:hyperlink>
    </w:p>
    <w:p w14:paraId="00BF3BF2" w14:textId="5B2B1C57" w:rsidR="008918ED" w:rsidRDefault="00F5323E">
      <w:pPr>
        <w:pStyle w:val="TOC2"/>
        <w:rPr>
          <w:rFonts w:asciiTheme="minorHAnsi" w:eastAsiaTheme="minorEastAsia" w:hAnsiTheme="minorHAnsi" w:cstheme="minorBidi"/>
          <w:noProof/>
          <w:sz w:val="22"/>
          <w:szCs w:val="22"/>
        </w:rPr>
      </w:pPr>
      <w:hyperlink w:anchor="_Toc117071060" w:history="1">
        <w:r w:rsidR="008918ED" w:rsidRPr="003E7FF4">
          <w:rPr>
            <w:rStyle w:val="Hyperlink"/>
            <w:noProof/>
          </w:rPr>
          <w:t xml:space="preserve">2.1 </w:t>
        </w:r>
        <w:r w:rsidR="008918ED">
          <w:rPr>
            <w:rFonts w:asciiTheme="minorHAnsi" w:eastAsiaTheme="minorEastAsia" w:hAnsiTheme="minorHAnsi" w:cstheme="minorBidi"/>
            <w:noProof/>
            <w:sz w:val="22"/>
            <w:szCs w:val="22"/>
          </w:rPr>
          <w:tab/>
        </w:r>
        <w:r w:rsidR="008918ED" w:rsidRPr="003E7FF4">
          <w:rPr>
            <w:rStyle w:val="Hyperlink"/>
            <w:noProof/>
          </w:rPr>
          <w:t>Budgeted expenses and performance for Outcome 1</w:t>
        </w:r>
        <w:r w:rsidR="008918ED">
          <w:rPr>
            <w:noProof/>
            <w:webHidden/>
          </w:rPr>
          <w:tab/>
        </w:r>
        <w:r w:rsidR="008918ED">
          <w:rPr>
            <w:noProof/>
            <w:webHidden/>
          </w:rPr>
          <w:fldChar w:fldCharType="begin"/>
        </w:r>
        <w:r w:rsidR="008918ED">
          <w:rPr>
            <w:noProof/>
            <w:webHidden/>
          </w:rPr>
          <w:instrText xml:space="preserve"> PAGEREF _Toc117071060 \h </w:instrText>
        </w:r>
        <w:r w:rsidR="008918ED">
          <w:rPr>
            <w:noProof/>
            <w:webHidden/>
          </w:rPr>
        </w:r>
        <w:r w:rsidR="008918ED">
          <w:rPr>
            <w:noProof/>
            <w:webHidden/>
          </w:rPr>
          <w:fldChar w:fldCharType="separate"/>
        </w:r>
        <w:r w:rsidR="00E5337D">
          <w:rPr>
            <w:noProof/>
            <w:webHidden/>
          </w:rPr>
          <w:t>112</w:t>
        </w:r>
        <w:r w:rsidR="008918ED">
          <w:rPr>
            <w:noProof/>
            <w:webHidden/>
          </w:rPr>
          <w:fldChar w:fldCharType="end"/>
        </w:r>
      </w:hyperlink>
    </w:p>
    <w:p w14:paraId="436B5C6D" w14:textId="1B1AB34A" w:rsidR="008918ED" w:rsidRDefault="00F5323E">
      <w:pPr>
        <w:pStyle w:val="TOC1"/>
        <w:rPr>
          <w:rFonts w:asciiTheme="minorHAnsi" w:eastAsiaTheme="minorEastAsia" w:hAnsiTheme="minorHAnsi" w:cstheme="minorBidi"/>
          <w:b w:val="0"/>
          <w:noProof/>
          <w:sz w:val="22"/>
          <w:szCs w:val="22"/>
        </w:rPr>
      </w:pPr>
      <w:hyperlink w:anchor="_Toc117071061" w:history="1">
        <w:r w:rsidR="008918ED" w:rsidRPr="003E7FF4">
          <w:rPr>
            <w:rStyle w:val="Hyperlink"/>
            <w:noProof/>
          </w:rPr>
          <w:t>Section 3: Budgeted financial statements</w:t>
        </w:r>
        <w:r w:rsidR="008918ED">
          <w:rPr>
            <w:noProof/>
            <w:webHidden/>
          </w:rPr>
          <w:tab/>
        </w:r>
        <w:r w:rsidR="008918ED">
          <w:rPr>
            <w:noProof/>
            <w:webHidden/>
          </w:rPr>
          <w:fldChar w:fldCharType="begin"/>
        </w:r>
        <w:r w:rsidR="008918ED">
          <w:rPr>
            <w:noProof/>
            <w:webHidden/>
          </w:rPr>
          <w:instrText xml:space="preserve"> PAGEREF _Toc117071061 \h </w:instrText>
        </w:r>
        <w:r w:rsidR="008918ED">
          <w:rPr>
            <w:noProof/>
            <w:webHidden/>
          </w:rPr>
        </w:r>
        <w:r w:rsidR="008918ED">
          <w:rPr>
            <w:noProof/>
            <w:webHidden/>
          </w:rPr>
          <w:fldChar w:fldCharType="separate"/>
        </w:r>
        <w:r w:rsidR="00E5337D">
          <w:rPr>
            <w:noProof/>
            <w:webHidden/>
          </w:rPr>
          <w:t>115</w:t>
        </w:r>
        <w:r w:rsidR="008918ED">
          <w:rPr>
            <w:noProof/>
            <w:webHidden/>
          </w:rPr>
          <w:fldChar w:fldCharType="end"/>
        </w:r>
      </w:hyperlink>
    </w:p>
    <w:p w14:paraId="08C58D35" w14:textId="0A3995A9" w:rsidR="008918ED" w:rsidRDefault="00F5323E">
      <w:pPr>
        <w:pStyle w:val="TOC2"/>
        <w:rPr>
          <w:rFonts w:asciiTheme="minorHAnsi" w:eastAsiaTheme="minorEastAsia" w:hAnsiTheme="minorHAnsi" w:cstheme="minorBidi"/>
          <w:noProof/>
          <w:sz w:val="22"/>
          <w:szCs w:val="22"/>
        </w:rPr>
      </w:pPr>
      <w:hyperlink w:anchor="_Toc117071062" w:history="1">
        <w:r w:rsidR="008918ED" w:rsidRPr="003E7FF4">
          <w:rPr>
            <w:rStyle w:val="Hyperlink"/>
            <w:noProof/>
          </w:rPr>
          <w:t>3.1</w:t>
        </w:r>
        <w:r w:rsidR="008918ED">
          <w:rPr>
            <w:rFonts w:asciiTheme="minorHAnsi" w:eastAsiaTheme="minorEastAsia" w:hAnsiTheme="minorHAnsi" w:cstheme="minorBidi"/>
            <w:noProof/>
            <w:sz w:val="22"/>
            <w:szCs w:val="22"/>
          </w:rPr>
          <w:tab/>
        </w:r>
        <w:r w:rsidR="008918ED" w:rsidRPr="003E7FF4">
          <w:rPr>
            <w:rStyle w:val="Hyperlink"/>
            <w:noProof/>
          </w:rPr>
          <w:t>Budgeted financial statements</w:t>
        </w:r>
        <w:r w:rsidR="008918ED">
          <w:rPr>
            <w:noProof/>
            <w:webHidden/>
          </w:rPr>
          <w:tab/>
        </w:r>
        <w:r w:rsidR="008918ED">
          <w:rPr>
            <w:noProof/>
            <w:webHidden/>
          </w:rPr>
          <w:fldChar w:fldCharType="begin"/>
        </w:r>
        <w:r w:rsidR="008918ED">
          <w:rPr>
            <w:noProof/>
            <w:webHidden/>
          </w:rPr>
          <w:instrText xml:space="preserve"> PAGEREF _Toc117071062 \h </w:instrText>
        </w:r>
        <w:r w:rsidR="008918ED">
          <w:rPr>
            <w:noProof/>
            <w:webHidden/>
          </w:rPr>
        </w:r>
        <w:r w:rsidR="008918ED">
          <w:rPr>
            <w:noProof/>
            <w:webHidden/>
          </w:rPr>
          <w:fldChar w:fldCharType="separate"/>
        </w:r>
        <w:r w:rsidR="00E5337D">
          <w:rPr>
            <w:noProof/>
            <w:webHidden/>
          </w:rPr>
          <w:t>115</w:t>
        </w:r>
        <w:r w:rsidR="008918ED">
          <w:rPr>
            <w:noProof/>
            <w:webHidden/>
          </w:rPr>
          <w:fldChar w:fldCharType="end"/>
        </w:r>
      </w:hyperlink>
    </w:p>
    <w:p w14:paraId="1DC6CD66" w14:textId="52A3617A" w:rsidR="008918ED" w:rsidRDefault="00F5323E">
      <w:pPr>
        <w:pStyle w:val="TOC2"/>
        <w:rPr>
          <w:rFonts w:asciiTheme="minorHAnsi" w:eastAsiaTheme="minorEastAsia" w:hAnsiTheme="minorHAnsi" w:cstheme="minorBidi"/>
          <w:noProof/>
          <w:sz w:val="22"/>
          <w:szCs w:val="22"/>
        </w:rPr>
      </w:pPr>
      <w:hyperlink w:anchor="_Toc117071063" w:history="1">
        <w:r w:rsidR="008918ED" w:rsidRPr="003E7FF4">
          <w:rPr>
            <w:rStyle w:val="Hyperlink"/>
            <w:noProof/>
          </w:rPr>
          <w:t>3.2</w:t>
        </w:r>
        <w:r w:rsidR="008918ED">
          <w:rPr>
            <w:rFonts w:asciiTheme="minorHAnsi" w:eastAsiaTheme="minorEastAsia" w:hAnsiTheme="minorHAnsi" w:cstheme="minorBidi"/>
            <w:noProof/>
            <w:sz w:val="22"/>
            <w:szCs w:val="22"/>
          </w:rPr>
          <w:tab/>
        </w:r>
        <w:r w:rsidR="008918ED" w:rsidRPr="003E7FF4">
          <w:rPr>
            <w:rStyle w:val="Hyperlink"/>
            <w:noProof/>
          </w:rPr>
          <w:t>Budgeted financial statements tables</w:t>
        </w:r>
        <w:r w:rsidR="008918ED">
          <w:rPr>
            <w:noProof/>
            <w:webHidden/>
          </w:rPr>
          <w:tab/>
        </w:r>
        <w:r w:rsidR="008918ED">
          <w:rPr>
            <w:noProof/>
            <w:webHidden/>
          </w:rPr>
          <w:fldChar w:fldCharType="begin"/>
        </w:r>
        <w:r w:rsidR="008918ED">
          <w:rPr>
            <w:noProof/>
            <w:webHidden/>
          </w:rPr>
          <w:instrText xml:space="preserve"> PAGEREF _Toc117071063 \h </w:instrText>
        </w:r>
        <w:r w:rsidR="008918ED">
          <w:rPr>
            <w:noProof/>
            <w:webHidden/>
          </w:rPr>
        </w:r>
        <w:r w:rsidR="008918ED">
          <w:rPr>
            <w:noProof/>
            <w:webHidden/>
          </w:rPr>
          <w:fldChar w:fldCharType="separate"/>
        </w:r>
        <w:r w:rsidR="00E5337D">
          <w:rPr>
            <w:noProof/>
            <w:webHidden/>
          </w:rPr>
          <w:t>116</w:t>
        </w:r>
        <w:r w:rsidR="008918ED">
          <w:rPr>
            <w:noProof/>
            <w:webHidden/>
          </w:rPr>
          <w:fldChar w:fldCharType="end"/>
        </w:r>
      </w:hyperlink>
    </w:p>
    <w:p w14:paraId="2239E556" w14:textId="7201AAEC" w:rsidR="00BF0558" w:rsidRDefault="00BF0558" w:rsidP="004D5C6C">
      <w:pPr>
        <w:pStyle w:val="TOC1"/>
      </w:pPr>
      <w:r>
        <w:fldChar w:fldCharType="end"/>
      </w:r>
    </w:p>
    <w:p w14:paraId="2239E557" w14:textId="77777777" w:rsidR="00BF0558" w:rsidRPr="008B5AFD" w:rsidRDefault="00BF0558" w:rsidP="004D5C6C"/>
    <w:p w14:paraId="2239E558" w14:textId="77777777" w:rsidR="00BF0558" w:rsidRDefault="00BF0558" w:rsidP="004D5C6C">
      <w:pPr>
        <w:sectPr w:rsidR="00BF0558" w:rsidSect="004D5C6C">
          <w:footerReference w:type="first" r:id="rId106"/>
          <w:type w:val="oddPage"/>
          <w:pgSz w:w="11906" w:h="16838" w:code="9"/>
          <w:pgMar w:top="2835" w:right="2098" w:bottom="2466" w:left="2098" w:header="1814" w:footer="1814" w:gutter="0"/>
          <w:cols w:space="708"/>
          <w:titlePg/>
          <w:docGrid w:linePitch="360"/>
        </w:sectPr>
      </w:pPr>
    </w:p>
    <w:p w14:paraId="2239E559" w14:textId="77777777" w:rsidR="00BF0558" w:rsidRDefault="00BF0558" w:rsidP="004D5C6C">
      <w:pPr>
        <w:pStyle w:val="Heading1"/>
      </w:pPr>
      <w:bookmarkStart w:id="141" w:name="_Toc116465547"/>
      <w:r>
        <w:lastRenderedPageBreak/>
        <w:t>Commonwealth Superannuation Corporation</w:t>
      </w:r>
      <w:bookmarkEnd w:id="141"/>
    </w:p>
    <w:p w14:paraId="2239E55A" w14:textId="77777777" w:rsidR="00BF0558" w:rsidRPr="002C4D41" w:rsidRDefault="00BF0558" w:rsidP="004D5C6C">
      <w:pPr>
        <w:pStyle w:val="Heading2"/>
      </w:pPr>
      <w:bookmarkStart w:id="142" w:name="_Toc116742509"/>
      <w:bookmarkStart w:id="143" w:name="_Toc117070801"/>
      <w:bookmarkStart w:id="144" w:name="_Toc117071055"/>
      <w:bookmarkStart w:id="145" w:name="_Toc117078089"/>
      <w:r w:rsidRPr="002C4D41">
        <w:t xml:space="preserve">Section 1: Entity overview and </w:t>
      </w:r>
      <w:r>
        <w:t>reso</w:t>
      </w:r>
      <w:r w:rsidRPr="002C4D41">
        <w:t>urces</w:t>
      </w:r>
      <w:bookmarkEnd w:id="142"/>
      <w:bookmarkEnd w:id="143"/>
      <w:bookmarkEnd w:id="144"/>
      <w:bookmarkEnd w:id="145"/>
    </w:p>
    <w:p w14:paraId="2239E55B" w14:textId="77777777" w:rsidR="00BF0558" w:rsidRDefault="00BF0558" w:rsidP="004D5C6C">
      <w:pPr>
        <w:pStyle w:val="Heading3"/>
      </w:pPr>
      <w:bookmarkStart w:id="146" w:name="_Toc116742510"/>
      <w:bookmarkStart w:id="147" w:name="_Toc117070802"/>
      <w:bookmarkStart w:id="148" w:name="_Toc117071056"/>
      <w:bookmarkStart w:id="149" w:name="_Toc117078090"/>
      <w:r>
        <w:t>1.1</w:t>
      </w:r>
      <w:r>
        <w:tab/>
        <w:t>Strategic direction statement</w:t>
      </w:r>
      <w:bookmarkEnd w:id="146"/>
      <w:bookmarkEnd w:id="147"/>
      <w:bookmarkEnd w:id="148"/>
      <w:bookmarkEnd w:id="149"/>
    </w:p>
    <w:p w14:paraId="2239E55C" w14:textId="77777777" w:rsidR="00BF0558" w:rsidRPr="00B35207" w:rsidRDefault="00BF0558" w:rsidP="001D2D04">
      <w:pPr>
        <w:rPr>
          <w:szCs w:val="19"/>
        </w:rPr>
      </w:pPr>
      <w:r w:rsidRPr="00B35207">
        <w:rPr>
          <w:szCs w:val="19"/>
        </w:rPr>
        <w:t xml:space="preserve">Commonwealth Superannuation Corporation (CSC) is responsible for the investment of funds and administration of the Public Superannuation Scheme Accumulation Plan (PSSap); the Public Sector Superannuation Scheme (PSS); the Commonwealth Superannuation Scheme (CSS); the Military Superannuation and Benefits Scheme (MSBS); and the Australian Defence Force Superannuation Scheme (ADF Super). In addition, CSC administers six ‘unfunded’ superannuation schemes: the Defence Forces Retirement Benefits Scheme (DFRB), the Defence Force Retirement and Death Benefits Scheme (DFRDB), the Defence Force (Superannuation) (Productivity Benefit) Scheme (DFSPB), the 1922 Scheme, the Papua New Guinea Scheme (PNG), and the Australian Defence Force Cover Scheme (ADF Cover). </w:t>
      </w:r>
    </w:p>
    <w:p w14:paraId="2239E55D" w14:textId="77777777" w:rsidR="00BF0558" w:rsidRPr="00B35207" w:rsidRDefault="00BF0558" w:rsidP="00747491">
      <w:pPr>
        <w:rPr>
          <w:szCs w:val="19"/>
        </w:rPr>
      </w:pPr>
      <w:r w:rsidRPr="00B35207">
        <w:rPr>
          <w:szCs w:val="19"/>
        </w:rPr>
        <w:t xml:space="preserve">CSC seeks to achieve its outcome agreed with the government by delivering consistently competitive and risk-managed investment performance, efficient scheme administration for contributors and beneficiaries, and effective interaction with its other stakeholders. </w:t>
      </w:r>
    </w:p>
    <w:p w14:paraId="2239E55E" w14:textId="77777777" w:rsidR="00BF0558" w:rsidRPr="00B35207" w:rsidRDefault="00BF0558" w:rsidP="00747491">
      <w:pPr>
        <w:rPr>
          <w:szCs w:val="19"/>
        </w:rPr>
      </w:pPr>
      <w:r w:rsidRPr="00B35207">
        <w:rPr>
          <w:szCs w:val="19"/>
        </w:rPr>
        <w:t xml:space="preserve">CSC aspires to maintain its leadership position as a superannuation provider of choice in the Commonwealth sector. CSC will work with the government to improve or modernise scheme design and will work to improve service to members.  </w:t>
      </w:r>
    </w:p>
    <w:p w14:paraId="2239E55F" w14:textId="77777777" w:rsidR="00BF0558" w:rsidRPr="00B35207" w:rsidRDefault="00BF0558" w:rsidP="00747491">
      <w:pPr>
        <w:rPr>
          <w:szCs w:val="19"/>
        </w:rPr>
      </w:pPr>
      <w:r w:rsidRPr="00B35207">
        <w:rPr>
          <w:szCs w:val="19"/>
        </w:rPr>
        <w:t>As a holder of licences from both Australian Prudential Regulation Authority (APRA) and Australian Securities and Investments Commission (ASIC), CSC will continue to ensure the highest standards are maintained and will seek to meet all compliance obligations.</w:t>
      </w:r>
    </w:p>
    <w:p w14:paraId="2239E560" w14:textId="77777777" w:rsidR="00BF0558" w:rsidRDefault="00BF0558" w:rsidP="004D5C6C">
      <w:pPr>
        <w:pStyle w:val="Heading3"/>
      </w:pPr>
      <w:r w:rsidRPr="0079797F">
        <w:br w:type="page"/>
      </w:r>
      <w:bookmarkStart w:id="150" w:name="_Toc116742511"/>
      <w:bookmarkStart w:id="151" w:name="_Toc117070803"/>
      <w:bookmarkStart w:id="152" w:name="_Toc117071057"/>
      <w:bookmarkStart w:id="153" w:name="_Toc117078091"/>
      <w:r>
        <w:lastRenderedPageBreak/>
        <w:t>1.2</w:t>
      </w:r>
      <w:r>
        <w:tab/>
        <w:t>Entity resource statement</w:t>
      </w:r>
      <w:bookmarkEnd w:id="150"/>
      <w:bookmarkEnd w:id="151"/>
      <w:bookmarkEnd w:id="152"/>
      <w:bookmarkEnd w:id="153"/>
    </w:p>
    <w:p w14:paraId="2239E561" w14:textId="77777777" w:rsidR="00BF0558" w:rsidRPr="009A3B71" w:rsidRDefault="00BF0558" w:rsidP="001F63E1">
      <w:pPr>
        <w:rPr>
          <w:szCs w:val="19"/>
        </w:rPr>
      </w:pPr>
      <w:r w:rsidRPr="009A3B71">
        <w:rPr>
          <w:szCs w:val="19"/>
        </w:rPr>
        <w:t>Table 1.1 shows the total funding from all sources available to CSC for its operations and to deliver programs and services on behalf of the Government.</w:t>
      </w:r>
    </w:p>
    <w:p w14:paraId="2239E562" w14:textId="77777777" w:rsidR="00BF0558" w:rsidRPr="009A3B71" w:rsidRDefault="00BF0558" w:rsidP="001F63E1">
      <w:pPr>
        <w:rPr>
          <w:szCs w:val="19"/>
        </w:rPr>
      </w:pPr>
      <w:r w:rsidRPr="009A3B71">
        <w:rPr>
          <w:szCs w:val="19"/>
        </w:rPr>
        <w:t>The table summarises how resources will be applied by outcome (government strategic policy objectives) and by administered (on behalf of the Government or the public) and departmental (for the entity’s operations) classification.</w:t>
      </w:r>
    </w:p>
    <w:p w14:paraId="2239E563" w14:textId="77777777" w:rsidR="00BF0558" w:rsidRPr="009A3B71" w:rsidRDefault="00BF0558" w:rsidP="001F63E1">
      <w:pPr>
        <w:rPr>
          <w:szCs w:val="19"/>
        </w:rPr>
      </w:pPr>
      <w:r w:rsidRPr="009A3B71">
        <w:rPr>
          <w:szCs w:val="19"/>
        </w:rPr>
        <w:t xml:space="preserve">For more detailed information on special accounts and special appropriations, please refer to the October </w:t>
      </w:r>
      <w:r w:rsidRPr="009A3B71">
        <w:rPr>
          <w:i/>
          <w:szCs w:val="19"/>
        </w:rPr>
        <w:t>Budget Paper No. 4 – Agency Resourcing</w:t>
      </w:r>
      <w:r w:rsidRPr="009A3B71">
        <w:rPr>
          <w:szCs w:val="19"/>
        </w:rPr>
        <w:t>.</w:t>
      </w:r>
    </w:p>
    <w:p w14:paraId="2239E564" w14:textId="77777777" w:rsidR="00BF0558" w:rsidRPr="009A3B71" w:rsidRDefault="00BF0558" w:rsidP="001F63E1">
      <w:pPr>
        <w:rPr>
          <w:szCs w:val="19"/>
        </w:rPr>
      </w:pPr>
      <w:r w:rsidRPr="009A3B71">
        <w:rPr>
          <w:szCs w:val="19"/>
        </w:rPr>
        <w:t>Information in this table is presented on a resourcing (that is, appropriations/cash available) basis, whilst the ‘Budgeted expenses by Outcome 1’ tables in Section 2 and the financial statements in Section 3 are presented on an accrual basis.</w:t>
      </w:r>
    </w:p>
    <w:p w14:paraId="2239E565" w14:textId="77777777" w:rsidR="00BF0558" w:rsidRPr="00FE1091" w:rsidRDefault="00BF0558" w:rsidP="004D5C6C">
      <w:pPr>
        <w:pStyle w:val="TableHeading"/>
        <w:rPr>
          <w:b w:val="0"/>
        </w:rPr>
      </w:pPr>
      <w:r w:rsidRPr="00D44150">
        <w:t xml:space="preserve">Table 1.1: </w:t>
      </w:r>
      <w:r>
        <w:t>Commonwealth Superannuation Corporation</w:t>
      </w:r>
      <w:r w:rsidRPr="00D44150">
        <w:t xml:space="preserve"> resource statement</w:t>
      </w:r>
      <w:r>
        <w:t xml:space="preserve"> — Budget estimates for 2022-23 </w:t>
      </w:r>
      <w:r w:rsidRPr="00D44150">
        <w:t xml:space="preserve">as at </w:t>
      </w:r>
      <w:r>
        <w:t>October</w:t>
      </w:r>
      <w:r w:rsidRPr="00D44150">
        <w:t xml:space="preserve"> Budget </w:t>
      </w:r>
      <w:r>
        <w:t>2022</w:t>
      </w:r>
    </w:p>
    <w:p w14:paraId="2239E566" w14:textId="77777777" w:rsidR="00BF0558" w:rsidRDefault="00BF0558" w:rsidP="004D5C6C">
      <w:pPr>
        <w:pStyle w:val="ChartandTableFootnote"/>
      </w:pPr>
      <w:r w:rsidRPr="004E678C">
        <w:rPr>
          <w:noProof/>
          <w:lang w:eastAsia="zh-CN"/>
        </w:rPr>
        <w:drawing>
          <wp:inline distT="0" distB="0" distL="0" distR="0" wp14:anchorId="2239EB53" wp14:editId="2239EB54">
            <wp:extent cx="48895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889500" cy="1581150"/>
                    </a:xfrm>
                    <a:prstGeom prst="rect">
                      <a:avLst/>
                    </a:prstGeom>
                    <a:noFill/>
                    <a:ln>
                      <a:noFill/>
                    </a:ln>
                  </pic:spPr>
                </pic:pic>
              </a:graphicData>
            </a:graphic>
          </wp:inline>
        </w:drawing>
      </w:r>
    </w:p>
    <w:p w14:paraId="2239E567" w14:textId="77777777" w:rsidR="00BF0558" w:rsidRPr="00D4191A" w:rsidRDefault="00BF0558" w:rsidP="00C8474A">
      <w:pPr>
        <w:pStyle w:val="ChartandTableFootnoteAlpha"/>
        <w:numPr>
          <w:ilvl w:val="0"/>
          <w:numId w:val="45"/>
        </w:numPr>
        <w:spacing w:before="60"/>
        <w:ind w:left="284"/>
      </w:pPr>
      <w:r>
        <w:t>Average staffing levels reflect all staff involved in the investment and administration of the schemes.  All employee expenses are paid by CSC and CSC on-charges the scheme for the portion of expenses that are referable to the investment of the scheme funds.</w:t>
      </w:r>
    </w:p>
    <w:p w14:paraId="2239E568" w14:textId="77777777" w:rsidR="00BF0558" w:rsidRDefault="00BF0558" w:rsidP="004D5C6C">
      <w:pPr>
        <w:pStyle w:val="TableHeading"/>
      </w:pPr>
      <w:r>
        <w:br w:type="page"/>
      </w:r>
      <w:r w:rsidRPr="00D44150">
        <w:lastRenderedPageBreak/>
        <w:t xml:space="preserve">Table 1.1: </w:t>
      </w:r>
      <w:r>
        <w:t xml:space="preserve">Commonwealth Superannuation Corporation </w:t>
      </w:r>
      <w:r w:rsidRPr="00D44150">
        <w:t>resource statement</w:t>
      </w:r>
      <w:r>
        <w:t xml:space="preserve"> — Budget estimates for 2022-23 </w:t>
      </w:r>
      <w:r w:rsidRPr="00D44150">
        <w:t xml:space="preserve">as at </w:t>
      </w:r>
      <w:r>
        <w:t xml:space="preserve">October </w:t>
      </w:r>
      <w:r w:rsidRPr="00D44150">
        <w:t xml:space="preserve">Budget </w:t>
      </w:r>
      <w:r>
        <w:t>2022 (continued)</w:t>
      </w:r>
    </w:p>
    <w:p w14:paraId="2239E569" w14:textId="10A2B3A6" w:rsidR="00BF0558" w:rsidRPr="00502C2F" w:rsidRDefault="00BF0558" w:rsidP="004D5C6C">
      <w:pPr>
        <w:pStyle w:val="TableGraphic"/>
        <w:rPr>
          <w:rFonts w:ascii="Arial" w:hAnsi="Arial" w:cs="Arial"/>
          <w:b/>
          <w:sz w:val="20"/>
        </w:rPr>
      </w:pPr>
      <w:r w:rsidRPr="00502C2F">
        <w:rPr>
          <w:rFonts w:ascii="Arial" w:hAnsi="Arial" w:cs="Arial"/>
          <w:b/>
          <w:sz w:val="20"/>
        </w:rPr>
        <w:t>Third party payments from and on behalf of other entities</w:t>
      </w:r>
      <w:r w:rsidR="004D11C7" w:rsidRPr="004D11C7">
        <w:rPr>
          <w:rFonts w:ascii="Arial" w:hAnsi="Arial" w:cs="Arial"/>
          <w:b/>
          <w:noProof/>
          <w:sz w:val="20"/>
          <w:lang w:eastAsia="zh-CN"/>
        </w:rPr>
        <w:drawing>
          <wp:inline distT="0" distB="0" distL="0" distR="0" wp14:anchorId="712A868C" wp14:editId="0DE12467">
            <wp:extent cx="4895850" cy="3466130"/>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895850" cy="3466130"/>
                    </a:xfrm>
                    <a:prstGeom prst="rect">
                      <a:avLst/>
                    </a:prstGeom>
                    <a:noFill/>
                    <a:ln>
                      <a:noFill/>
                    </a:ln>
                  </pic:spPr>
                </pic:pic>
              </a:graphicData>
            </a:graphic>
          </wp:inline>
        </w:drawing>
      </w:r>
    </w:p>
    <w:p w14:paraId="2239E56A" w14:textId="77777777" w:rsidR="00BF0558" w:rsidRDefault="00BF0558" w:rsidP="00EB32A1">
      <w:pPr>
        <w:pStyle w:val="ChartandTableFootnote"/>
      </w:pPr>
      <w:r>
        <w:t>Prepared on a resourcing (that is, appropriations available) basis.</w:t>
      </w:r>
    </w:p>
    <w:p w14:paraId="2239E56B" w14:textId="77777777" w:rsidR="00BF0558" w:rsidRPr="002003A1" w:rsidRDefault="00BF0558" w:rsidP="00C8474A">
      <w:pPr>
        <w:pStyle w:val="ChartandTableFootnoteAlpha"/>
        <w:numPr>
          <w:ilvl w:val="0"/>
          <w:numId w:val="47"/>
        </w:numPr>
        <w:spacing w:before="60"/>
        <w:ind w:left="284"/>
      </w:pPr>
      <w:r>
        <w:t>Compensation and Legal Payments</w:t>
      </w:r>
    </w:p>
    <w:p w14:paraId="2239E56C" w14:textId="77777777" w:rsidR="00BF0558" w:rsidRPr="00686D14" w:rsidRDefault="00BF0558" w:rsidP="00C8474A">
      <w:pPr>
        <w:pStyle w:val="ChartandTableFootnoteAlpha"/>
        <w:numPr>
          <w:ilvl w:val="0"/>
          <w:numId w:val="47"/>
        </w:numPr>
        <w:spacing w:before="60"/>
        <w:ind w:left="284"/>
      </w:pPr>
      <w:r>
        <w:t>Act of Grace Payments</w:t>
      </w:r>
    </w:p>
    <w:p w14:paraId="2239E56D" w14:textId="77777777" w:rsidR="00BF0558" w:rsidRPr="005A7C0B" w:rsidRDefault="00BF0558" w:rsidP="004D5C6C">
      <w:pPr>
        <w:pStyle w:val="Heading3"/>
        <w:spacing w:before="0"/>
      </w:pPr>
      <w:r>
        <w:br w:type="page"/>
      </w:r>
      <w:bookmarkStart w:id="154" w:name="_Toc116742512"/>
      <w:bookmarkStart w:id="155" w:name="_Toc117070804"/>
      <w:bookmarkStart w:id="156" w:name="_Toc117071058"/>
      <w:bookmarkStart w:id="157" w:name="_Toc117078092"/>
      <w:r w:rsidRPr="005A7C0B">
        <w:lastRenderedPageBreak/>
        <w:t>1.3</w:t>
      </w:r>
      <w:r w:rsidRPr="005A7C0B">
        <w:tab/>
        <w:t>Budget measures</w:t>
      </w:r>
      <w:bookmarkEnd w:id="154"/>
      <w:bookmarkEnd w:id="155"/>
      <w:bookmarkEnd w:id="156"/>
      <w:bookmarkEnd w:id="157"/>
    </w:p>
    <w:p w14:paraId="2239E56E" w14:textId="77777777" w:rsidR="00BF0558" w:rsidRPr="00B556F8" w:rsidRDefault="00BF0558" w:rsidP="008B2ABC">
      <w:pPr>
        <w:rPr>
          <w:b/>
          <w:szCs w:val="19"/>
        </w:rPr>
      </w:pPr>
      <w:r w:rsidRPr="00B556F8">
        <w:rPr>
          <w:szCs w:val="19"/>
        </w:rPr>
        <w:t>No budget measures have been announced since the 2022-23 March Budget that impacts CSC.</w:t>
      </w:r>
    </w:p>
    <w:p w14:paraId="2239E56F" w14:textId="77777777" w:rsidR="00BF0558" w:rsidRPr="00810C6A" w:rsidRDefault="00BF0558" w:rsidP="004D5C6C">
      <w:pPr>
        <w:pStyle w:val="Heading2"/>
      </w:pPr>
      <w:r>
        <w:br w:type="page"/>
      </w:r>
      <w:bookmarkStart w:id="158" w:name="_Toc116742513"/>
      <w:bookmarkStart w:id="159" w:name="_Toc117070805"/>
      <w:bookmarkStart w:id="160" w:name="_Toc117071059"/>
      <w:bookmarkStart w:id="161" w:name="_Toc117078093"/>
      <w:r w:rsidRPr="00810C6A">
        <w:lastRenderedPageBreak/>
        <w:t>Section 2: Outcomes and planned performance</w:t>
      </w:r>
      <w:bookmarkEnd w:id="158"/>
      <w:bookmarkEnd w:id="159"/>
      <w:bookmarkEnd w:id="160"/>
      <w:bookmarkEnd w:id="161"/>
    </w:p>
    <w:p w14:paraId="2239E570" w14:textId="77777777" w:rsidR="00BF0558" w:rsidRPr="00B14DB3" w:rsidRDefault="00BF0558" w:rsidP="008B2ABC">
      <w:pPr>
        <w:rPr>
          <w:szCs w:val="19"/>
        </w:rPr>
      </w:pPr>
      <w:r w:rsidRPr="00B14DB3">
        <w:rPr>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239E571" w14:textId="77777777" w:rsidR="00BF0558" w:rsidRPr="00B14DB3" w:rsidRDefault="00BF0558" w:rsidP="008B2ABC">
      <w:pPr>
        <w:rPr>
          <w:i/>
          <w:szCs w:val="19"/>
        </w:rPr>
      </w:pPr>
      <w:r w:rsidRPr="00B14DB3">
        <w:rPr>
          <w:szCs w:val="19"/>
        </w:rPr>
        <w:t xml:space="preserve">Each outcome is described below together with its related programs. The following provides detailed information on expenses for each outcome and program, further broken down by funding source.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BF0558" w:rsidRPr="001C6402" w14:paraId="2239E578" w14:textId="77777777" w:rsidTr="004D5C6C">
        <w:tc>
          <w:tcPr>
            <w:tcW w:w="7700" w:type="dxa"/>
            <w:shd w:val="clear" w:color="auto" w:fill="auto"/>
          </w:tcPr>
          <w:p w14:paraId="2239E572" w14:textId="77777777" w:rsidR="00BF0558" w:rsidRPr="00B14DB3" w:rsidRDefault="00BF0558" w:rsidP="004D5C6C">
            <w:pPr>
              <w:spacing w:before="120" w:after="120" w:line="240" w:lineRule="auto"/>
              <w:jc w:val="both"/>
              <w:rPr>
                <w:b/>
                <w:szCs w:val="19"/>
              </w:rPr>
            </w:pPr>
            <w:r w:rsidRPr="00B14DB3">
              <w:rPr>
                <w:b/>
                <w:szCs w:val="19"/>
              </w:rPr>
              <w:t>Note:</w:t>
            </w:r>
          </w:p>
          <w:p w14:paraId="2239E573" w14:textId="77777777" w:rsidR="00BF0558" w:rsidRPr="00B14DB3" w:rsidRDefault="00BF0558" w:rsidP="004D5C6C">
            <w:pPr>
              <w:jc w:val="both"/>
              <w:rPr>
                <w:szCs w:val="19"/>
              </w:rPr>
            </w:pPr>
            <w:r w:rsidRPr="00B14DB3">
              <w:rPr>
                <w:szCs w:val="19"/>
              </w:rPr>
              <w:t xml:space="preserve">Performance reporting requirements in the Portfolio Budget Statements are part of the Commonwealth performance framework established by the </w:t>
            </w:r>
            <w:r w:rsidRPr="00B14DB3">
              <w:rPr>
                <w:i/>
                <w:szCs w:val="19"/>
              </w:rPr>
              <w:t>Public Governance, Performance and Accountability Act 2013</w:t>
            </w:r>
            <w:r w:rsidRPr="00B14DB3">
              <w:rPr>
                <w:szCs w:val="19"/>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2239E574" w14:textId="77777777" w:rsidR="00BF0558" w:rsidRPr="00B14DB3" w:rsidRDefault="00BF0558" w:rsidP="004D5C6C">
            <w:pPr>
              <w:jc w:val="both"/>
              <w:rPr>
                <w:szCs w:val="19"/>
              </w:rPr>
            </w:pPr>
            <w:r w:rsidRPr="00B14DB3">
              <w:rPr>
                <w:szCs w:val="19"/>
              </w:rPr>
              <w:t xml:space="preserve">The most recent corporate plan for CSC can be found at: </w:t>
            </w:r>
          </w:p>
          <w:p w14:paraId="2239E575" w14:textId="77777777" w:rsidR="00BF0558" w:rsidRPr="00B14DB3" w:rsidRDefault="00F5323E" w:rsidP="004D5C6C">
            <w:pPr>
              <w:jc w:val="both"/>
              <w:rPr>
                <w:szCs w:val="19"/>
              </w:rPr>
            </w:pPr>
            <w:hyperlink r:id="rId109" w:history="1">
              <w:r w:rsidR="00BF0558" w:rsidRPr="00B14DB3">
                <w:rPr>
                  <w:rStyle w:val="Hyperlink"/>
                  <w:szCs w:val="19"/>
                </w:rPr>
                <w:t>https://www.csc.gov.au/Members/About-CSC/Corporate-governance</w:t>
              </w:r>
            </w:hyperlink>
            <w:r w:rsidR="00BF0558" w:rsidRPr="00B14DB3">
              <w:rPr>
                <w:szCs w:val="19"/>
              </w:rPr>
              <w:t>.</w:t>
            </w:r>
          </w:p>
          <w:p w14:paraId="2239E576" w14:textId="77777777" w:rsidR="00BF0558" w:rsidRPr="00B14DB3" w:rsidRDefault="00BF0558" w:rsidP="004D5C6C">
            <w:pPr>
              <w:jc w:val="both"/>
              <w:rPr>
                <w:szCs w:val="19"/>
              </w:rPr>
            </w:pPr>
            <w:r w:rsidRPr="00B14DB3">
              <w:rPr>
                <w:szCs w:val="19"/>
              </w:rPr>
              <w:t xml:space="preserve">The most recent annual performance statement is included within CSC’s 2021-22 Annual Report to Parliament, which can be found at: </w:t>
            </w:r>
          </w:p>
          <w:p w14:paraId="2239E577" w14:textId="77777777" w:rsidR="00BF0558" w:rsidRPr="001C6402" w:rsidRDefault="00F5323E" w:rsidP="004D5C6C">
            <w:pPr>
              <w:jc w:val="both"/>
            </w:pPr>
            <w:hyperlink r:id="rId110" w:history="1">
              <w:r w:rsidR="00BF0558" w:rsidRPr="00B14DB3">
                <w:rPr>
                  <w:rStyle w:val="Hyperlink"/>
                  <w:szCs w:val="19"/>
                </w:rPr>
                <w:t>https://www.csc.gov.au/Members/About-CSC/Corporate-governance</w:t>
              </w:r>
            </w:hyperlink>
            <w:r w:rsidR="00BF0558" w:rsidRPr="00B14DB3">
              <w:rPr>
                <w:szCs w:val="19"/>
              </w:rPr>
              <w:t>.</w:t>
            </w:r>
          </w:p>
        </w:tc>
      </w:tr>
    </w:tbl>
    <w:p w14:paraId="2239E579" w14:textId="77777777" w:rsidR="00BF0558" w:rsidRDefault="00BF0558" w:rsidP="004D5C6C">
      <w:pPr>
        <w:rPr>
          <w:highlight w:val="yellow"/>
        </w:rPr>
      </w:pPr>
    </w:p>
    <w:p w14:paraId="2C8C771D" w14:textId="77777777" w:rsidR="00A55835" w:rsidRDefault="00A55835" w:rsidP="004D5C6C">
      <w:pPr>
        <w:pStyle w:val="Heading3"/>
      </w:pPr>
      <w:r>
        <w:br w:type="page"/>
      </w:r>
    </w:p>
    <w:p w14:paraId="2239E57B" w14:textId="0C1F6C5A" w:rsidR="00BF0558" w:rsidRPr="00F743D8" w:rsidRDefault="00BF0558" w:rsidP="004D5C6C">
      <w:pPr>
        <w:pStyle w:val="Heading3"/>
      </w:pPr>
      <w:bookmarkStart w:id="162" w:name="_Toc116742514"/>
      <w:bookmarkStart w:id="163" w:name="_Toc117070806"/>
      <w:bookmarkStart w:id="164" w:name="_Toc117071060"/>
      <w:bookmarkStart w:id="165" w:name="_Toc117078094"/>
      <w:r>
        <w:lastRenderedPageBreak/>
        <w:t>2.1</w:t>
      </w:r>
      <w:r w:rsidRPr="00F743D8">
        <w:t xml:space="preserve"> </w:t>
      </w:r>
      <w:r w:rsidRPr="00F743D8">
        <w:tab/>
        <w:t xml:space="preserve">Budgeted expenses and performance for Outcome </w:t>
      </w:r>
      <w:r>
        <w:t>1</w:t>
      </w:r>
      <w:bookmarkEnd w:id="162"/>
      <w:bookmarkEnd w:id="163"/>
      <w:bookmarkEnd w:id="164"/>
      <w:bookmarkEnd w:id="165"/>
    </w:p>
    <w:p w14:paraId="2239E57C" w14:textId="77777777" w:rsidR="00BF0558" w:rsidRPr="00831489" w:rsidRDefault="00BF0558" w:rsidP="004D5C6C">
      <w:pPr>
        <w:pStyle w:val="Exampletext"/>
        <w:rPr>
          <w:lang w:val="en-AU"/>
        </w:rPr>
      </w:pPr>
    </w:p>
    <w:tbl>
      <w:tblPr>
        <w:tblW w:w="7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BF0558" w:rsidRPr="001C6402" w14:paraId="2239E57E" w14:textId="77777777" w:rsidTr="00DB35A1">
        <w:tc>
          <w:tcPr>
            <w:tcW w:w="7705" w:type="dxa"/>
            <w:shd w:val="clear" w:color="auto" w:fill="E6E6E6"/>
          </w:tcPr>
          <w:p w14:paraId="2239E57D" w14:textId="77777777" w:rsidR="00BF0558" w:rsidRPr="005E6F2B" w:rsidRDefault="00BF0558" w:rsidP="004D5C6C">
            <w:pPr>
              <w:pStyle w:val="TableColumnHeadingLeft"/>
            </w:pPr>
            <w:r w:rsidRPr="005E6F2B">
              <w:t xml:space="preserve">Outcome </w:t>
            </w:r>
            <w:r>
              <w:t>1</w:t>
            </w:r>
            <w:r w:rsidRPr="005E6F2B">
              <w:t xml:space="preserve">: </w:t>
            </w:r>
            <w:r>
              <w:t>Retirement and insurance benefits for scheme members and beneficiaries, including past, present and future employees of the Australian Government and other eligible employers and members of the Australian Defence Force, through investment and administration of their superannuation funds and schemes.</w:t>
            </w:r>
          </w:p>
        </w:tc>
      </w:tr>
    </w:tbl>
    <w:p w14:paraId="2239E57F" w14:textId="77777777" w:rsidR="00BF0558" w:rsidRPr="005E6F2B" w:rsidRDefault="00BF0558" w:rsidP="004D5C6C">
      <w:pPr>
        <w:pStyle w:val="NoSpacing"/>
      </w:pPr>
    </w:p>
    <w:p w14:paraId="2239E580" w14:textId="77777777" w:rsidR="00BF0558" w:rsidRPr="00446612" w:rsidRDefault="00BF0558" w:rsidP="004D5C6C">
      <w:pPr>
        <w:pStyle w:val="Heading5"/>
      </w:pPr>
      <w:r w:rsidRPr="00446612">
        <w:t xml:space="preserve">Budgeted expenses for Outcome </w:t>
      </w:r>
      <w:r>
        <w:t>1</w:t>
      </w:r>
    </w:p>
    <w:p w14:paraId="2239E581" w14:textId="77777777" w:rsidR="00BF0558" w:rsidRPr="005432BE" w:rsidRDefault="00BF0558" w:rsidP="004D5C6C">
      <w:pPr>
        <w:rPr>
          <w:szCs w:val="19"/>
        </w:rPr>
      </w:pPr>
      <w:r w:rsidRPr="005432BE">
        <w:rPr>
          <w:szCs w:val="19"/>
        </w:rPr>
        <w:t>This table shows how much the entity intends to spend (on an accrual basis) on achieving the outcome, broken down by program, as well as by Administered and Departmental funding sources.</w:t>
      </w:r>
    </w:p>
    <w:p w14:paraId="2239E582" w14:textId="77777777" w:rsidR="00BF0558" w:rsidRPr="006E4DF1" w:rsidRDefault="00BF0558" w:rsidP="004D5C6C">
      <w:pPr>
        <w:pStyle w:val="TableHeading"/>
      </w:pPr>
      <w:r w:rsidRPr="006E4DF1">
        <w:t>Table 2.</w:t>
      </w:r>
      <w:r>
        <w:t>1</w:t>
      </w:r>
      <w:r w:rsidRPr="006E4DF1">
        <w:t xml:space="preserve">.1: Budgeted expenses for Outcome </w:t>
      </w:r>
      <w:r>
        <w:t>1</w:t>
      </w:r>
    </w:p>
    <w:p w14:paraId="2239E583" w14:textId="77777777" w:rsidR="00BF0558" w:rsidRDefault="00BF0558" w:rsidP="004D5C6C">
      <w:pPr>
        <w:pStyle w:val="TableGraphic"/>
      </w:pPr>
      <w:r w:rsidRPr="006F44AC">
        <w:rPr>
          <w:noProof/>
          <w:lang w:eastAsia="zh-CN"/>
        </w:rPr>
        <w:drawing>
          <wp:inline distT="0" distB="0" distL="0" distR="0" wp14:anchorId="2239EB57" wp14:editId="2239EB58">
            <wp:extent cx="4895850" cy="32385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895850" cy="3238500"/>
                    </a:xfrm>
                    <a:prstGeom prst="rect">
                      <a:avLst/>
                    </a:prstGeom>
                    <a:noFill/>
                    <a:ln>
                      <a:noFill/>
                    </a:ln>
                  </pic:spPr>
                </pic:pic>
              </a:graphicData>
            </a:graphic>
          </wp:inline>
        </w:drawing>
      </w:r>
    </w:p>
    <w:p w14:paraId="2239E584" w14:textId="77777777" w:rsidR="00BF0558" w:rsidRPr="00950281" w:rsidRDefault="00BF0558" w:rsidP="00C8474A">
      <w:pPr>
        <w:pStyle w:val="ChartandTableFootnoteAlpha"/>
        <w:numPr>
          <w:ilvl w:val="0"/>
          <w:numId w:val="48"/>
        </w:numPr>
        <w:spacing w:before="60"/>
        <w:ind w:left="284"/>
      </w:pPr>
      <w:r>
        <w:t>Expenses reflect only the cost paid by CSC and do not reflect the total cost involved in the investment of funds and administration of the schemes.</w:t>
      </w:r>
    </w:p>
    <w:p w14:paraId="2239E585" w14:textId="77777777" w:rsidR="00BF0558" w:rsidRDefault="00BF0558" w:rsidP="00C8474A">
      <w:pPr>
        <w:pStyle w:val="ChartandTableFootnoteAlpha"/>
        <w:numPr>
          <w:ilvl w:val="0"/>
          <w:numId w:val="48"/>
        </w:numPr>
        <w:spacing w:before="60"/>
        <w:ind w:left="284"/>
      </w:pPr>
      <w:r>
        <w:t>Average staffing levels reflect all staff involved in the investment and administration for the schemes.  All employee expenses are paid by CSC and CSC on-charges the schemes for the portion of expenses that are referable to the investment of the scheme funds.</w:t>
      </w:r>
    </w:p>
    <w:p w14:paraId="2239E586" w14:textId="77777777" w:rsidR="003D754B" w:rsidRDefault="003D754B" w:rsidP="003D754B"/>
    <w:p w14:paraId="2239E587" w14:textId="77777777" w:rsidR="003D754B" w:rsidRPr="003D754B" w:rsidRDefault="003D754B" w:rsidP="003D754B"/>
    <w:p w14:paraId="2239E588" w14:textId="77777777" w:rsidR="003D754B" w:rsidRDefault="003D754B" w:rsidP="003D754B">
      <w:pPr>
        <w:pStyle w:val="TableHeading"/>
      </w:pPr>
      <w:r w:rsidRPr="00F71634">
        <w:lastRenderedPageBreak/>
        <w:t>Table 2.</w:t>
      </w:r>
      <w:r>
        <w:t>1</w:t>
      </w:r>
      <w:r w:rsidRPr="00F71634">
        <w:t>.</w:t>
      </w:r>
      <w:r>
        <w:t>2</w:t>
      </w:r>
      <w:r w:rsidRPr="00F71634">
        <w:t xml:space="preserve">: Performance </w:t>
      </w:r>
      <w:r>
        <w:t>measure</w:t>
      </w:r>
      <w:r w:rsidRPr="00F71634">
        <w:t xml:space="preserve"> for Outcome </w:t>
      </w:r>
      <w:r>
        <w:t>1</w:t>
      </w:r>
    </w:p>
    <w:p w14:paraId="2239E589" w14:textId="77777777" w:rsidR="003D754B" w:rsidRPr="003D754B" w:rsidRDefault="003D754B" w:rsidP="003D754B">
      <w:pPr>
        <w:pStyle w:val="TableHeading"/>
        <w:spacing w:before="240" w:after="240" w:line="240" w:lineRule="exact"/>
        <w:rPr>
          <w:rFonts w:ascii="Book Antiqua" w:hAnsi="Book Antiqua"/>
          <w:b w:val="0"/>
          <w:sz w:val="19"/>
          <w:szCs w:val="19"/>
          <w:highlight w:val="yellow"/>
          <w:lang w:val="en-US"/>
        </w:rPr>
      </w:pPr>
      <w:r w:rsidRPr="003D754B">
        <w:rPr>
          <w:rFonts w:ascii="Book Antiqua" w:hAnsi="Book Antiqua"/>
          <w:b w:val="0"/>
          <w:sz w:val="19"/>
          <w:szCs w:val="19"/>
        </w:rPr>
        <w:t>Table 2.1.2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3D754B" w:rsidRPr="00C41058" w14:paraId="2239E58B" w14:textId="77777777" w:rsidTr="00D46837">
        <w:trPr>
          <w:trHeight w:val="569"/>
          <w:tblHeader/>
        </w:trPr>
        <w:tc>
          <w:tcPr>
            <w:tcW w:w="7796" w:type="dxa"/>
            <w:gridSpan w:val="3"/>
            <w:shd w:val="clear" w:color="auto" w:fill="F2F2F2"/>
          </w:tcPr>
          <w:p w14:paraId="2239E58A" w14:textId="77777777" w:rsidR="003D754B" w:rsidRPr="0047110B" w:rsidRDefault="003D754B" w:rsidP="00AF3DA8">
            <w:pPr>
              <w:pStyle w:val="TableColumnHeadingLeft"/>
              <w:spacing w:before="60" w:after="60"/>
              <w:rPr>
                <w:rFonts w:ascii="Arial" w:hAnsi="Arial" w:cs="Arial"/>
                <w:szCs w:val="16"/>
              </w:rPr>
            </w:pPr>
            <w:r w:rsidRPr="0047110B">
              <w:rPr>
                <w:rStyle w:val="TableHeadingChar"/>
                <w:rFonts w:cs="Arial"/>
                <w:b/>
                <w:szCs w:val="16"/>
              </w:rPr>
              <w:t>Outcome 1</w:t>
            </w:r>
            <w:r w:rsidRPr="0047110B">
              <w:rPr>
                <w:rFonts w:ascii="Arial" w:hAnsi="Arial" w:cs="Arial"/>
                <w:b w:val="0"/>
                <w:szCs w:val="16"/>
              </w:rPr>
              <w:t xml:space="preserve"> –</w:t>
            </w:r>
            <w:r w:rsidRPr="0047110B">
              <w:rPr>
                <w:rFonts w:ascii="Arial" w:hAnsi="Arial" w:cs="Arial"/>
                <w:szCs w:val="16"/>
              </w:rPr>
              <w:t xml:space="preserve"> Retirement and insurance benefits for scheme members and beneficiaries, including past, present and future employees of the Australian Government and other eligible employers and members of the Australian Defence Force, through investment and administration of their superannuation funds  and schemes.</w:t>
            </w:r>
          </w:p>
        </w:tc>
      </w:tr>
      <w:tr w:rsidR="003D754B" w:rsidRPr="001B2F81" w14:paraId="2239E58E" w14:textId="77777777" w:rsidTr="00D46837">
        <w:trPr>
          <w:trHeight w:val="522"/>
          <w:tblHeader/>
        </w:trPr>
        <w:tc>
          <w:tcPr>
            <w:tcW w:w="7796" w:type="dxa"/>
            <w:gridSpan w:val="3"/>
            <w:shd w:val="clear" w:color="auto" w:fill="F2F2F2"/>
          </w:tcPr>
          <w:p w14:paraId="2239E58C" w14:textId="77777777" w:rsidR="003D754B" w:rsidRPr="001B2F81" w:rsidRDefault="003D754B" w:rsidP="00AF3DA8">
            <w:pPr>
              <w:pStyle w:val="TableTextLeft"/>
              <w:spacing w:before="60" w:after="60"/>
            </w:pPr>
            <w:r w:rsidRPr="00C41058">
              <w:rPr>
                <w:b/>
              </w:rPr>
              <w:t xml:space="preserve">Program </w:t>
            </w:r>
            <w:r>
              <w:rPr>
                <w:b/>
              </w:rPr>
              <w:t>1</w:t>
            </w:r>
            <w:r w:rsidRPr="00C41058">
              <w:rPr>
                <w:b/>
              </w:rPr>
              <w:t>.</w:t>
            </w:r>
            <w:r>
              <w:rPr>
                <w:b/>
              </w:rPr>
              <w:t>1</w:t>
            </w:r>
            <w:r w:rsidRPr="00C41058">
              <w:rPr>
                <w:b/>
              </w:rPr>
              <w:t xml:space="preserve">- </w:t>
            </w:r>
            <w:r>
              <w:rPr>
                <w:b/>
              </w:rPr>
              <w:t>Superannuation Scheme Governance</w:t>
            </w:r>
          </w:p>
          <w:p w14:paraId="2239E58D" w14:textId="77777777" w:rsidR="003D754B" w:rsidRPr="001B2F81" w:rsidRDefault="003D754B" w:rsidP="00AF3DA8">
            <w:pPr>
              <w:pStyle w:val="TableTextLeft"/>
              <w:spacing w:before="60" w:after="60"/>
            </w:pPr>
            <w:r>
              <w:t>B</w:t>
            </w:r>
            <w:r w:rsidRPr="00185F2D">
              <w:t>uild, support and protect better retirement outcomes for all our customers (being current and former Australian Government employees and members of the Australian Defence Force) and their families.</w:t>
            </w:r>
          </w:p>
        </w:tc>
      </w:tr>
      <w:tr w:rsidR="003D754B" w:rsidRPr="00502C2F" w14:paraId="2239E594" w14:textId="77777777" w:rsidTr="00D46837">
        <w:trPr>
          <w:trHeight w:val="694"/>
        </w:trPr>
        <w:tc>
          <w:tcPr>
            <w:tcW w:w="1560" w:type="dxa"/>
            <w:tcBorders>
              <w:bottom w:val="double" w:sz="4" w:space="0" w:color="auto"/>
            </w:tcBorders>
          </w:tcPr>
          <w:p w14:paraId="2239E58F" w14:textId="77777777" w:rsidR="003D754B" w:rsidRPr="00160C23" w:rsidRDefault="003D754B" w:rsidP="00AF3DA8">
            <w:pPr>
              <w:pStyle w:val="TableColumnHeadingLeft"/>
              <w:spacing w:before="60" w:after="60"/>
            </w:pPr>
            <w:r w:rsidRPr="00160C23">
              <w:t xml:space="preserve">Key Activities </w:t>
            </w:r>
          </w:p>
        </w:tc>
        <w:tc>
          <w:tcPr>
            <w:tcW w:w="6236" w:type="dxa"/>
            <w:gridSpan w:val="2"/>
            <w:tcBorders>
              <w:bottom w:val="double" w:sz="4" w:space="0" w:color="auto"/>
            </w:tcBorders>
          </w:tcPr>
          <w:p w14:paraId="2239E590" w14:textId="77777777" w:rsidR="003D754B" w:rsidRPr="002865E8" w:rsidRDefault="003D754B" w:rsidP="00C8474A">
            <w:pPr>
              <w:numPr>
                <w:ilvl w:val="0"/>
                <w:numId w:val="31"/>
              </w:numPr>
              <w:spacing w:before="60" w:after="60" w:line="240" w:lineRule="auto"/>
              <w:ind w:left="527" w:hanging="357"/>
              <w:rPr>
                <w:rFonts w:ascii="Arial" w:eastAsia="Calibri" w:hAnsi="Arial" w:cs="Arial"/>
                <w:sz w:val="16"/>
                <w:szCs w:val="16"/>
                <w:lang w:val="en-US" w:eastAsia="en-US"/>
              </w:rPr>
            </w:pPr>
            <w:r w:rsidRPr="002865E8">
              <w:rPr>
                <w:rFonts w:ascii="Arial" w:eastAsia="Calibri" w:hAnsi="Arial" w:cs="Arial"/>
                <w:sz w:val="16"/>
                <w:szCs w:val="16"/>
                <w:lang w:val="en-US" w:eastAsia="en-US"/>
              </w:rPr>
              <w:t xml:space="preserve">Risk managed investment of member’s superannuation balances. </w:t>
            </w:r>
          </w:p>
          <w:p w14:paraId="2239E591" w14:textId="77777777" w:rsidR="003D754B" w:rsidRPr="002865E8" w:rsidRDefault="003D754B" w:rsidP="00C8474A">
            <w:pPr>
              <w:numPr>
                <w:ilvl w:val="0"/>
                <w:numId w:val="31"/>
              </w:numPr>
              <w:spacing w:before="60" w:after="60" w:line="240" w:lineRule="auto"/>
              <w:ind w:left="527" w:hanging="357"/>
              <w:rPr>
                <w:rFonts w:ascii="Arial" w:eastAsia="Calibri" w:hAnsi="Arial" w:cs="Arial"/>
                <w:sz w:val="16"/>
                <w:szCs w:val="16"/>
                <w:lang w:val="en-US" w:eastAsia="en-US"/>
              </w:rPr>
            </w:pPr>
            <w:r w:rsidRPr="002865E8">
              <w:rPr>
                <w:rFonts w:ascii="Arial" w:eastAsia="Calibri" w:hAnsi="Arial" w:cs="Arial"/>
                <w:sz w:val="16"/>
                <w:szCs w:val="16"/>
                <w:lang w:val="en-US" w:eastAsia="en-US"/>
              </w:rPr>
              <w:t xml:space="preserve">Meeting license obligations set out by APRA and ASIC. </w:t>
            </w:r>
          </w:p>
          <w:p w14:paraId="2239E592" w14:textId="77777777" w:rsidR="003D754B" w:rsidRPr="00502C2F" w:rsidRDefault="003D754B" w:rsidP="00C8474A">
            <w:pPr>
              <w:numPr>
                <w:ilvl w:val="0"/>
                <w:numId w:val="31"/>
              </w:numPr>
              <w:spacing w:before="60" w:after="60" w:line="240" w:lineRule="auto"/>
              <w:ind w:left="527" w:hanging="357"/>
              <w:rPr>
                <w:rFonts w:ascii="Arial" w:hAnsi="Arial" w:cs="Arial"/>
                <w:i/>
                <w:sz w:val="16"/>
                <w:szCs w:val="16"/>
              </w:rPr>
            </w:pPr>
            <w:r w:rsidRPr="002865E8">
              <w:rPr>
                <w:rFonts w:ascii="Arial" w:eastAsia="Calibri" w:hAnsi="Arial" w:cs="Arial"/>
                <w:sz w:val="16"/>
                <w:szCs w:val="16"/>
                <w:lang w:val="en-US" w:eastAsia="en-US"/>
              </w:rPr>
              <w:t>Development and implementation of industry st</w:t>
            </w:r>
            <w:r>
              <w:rPr>
                <w:rFonts w:ascii="Arial" w:eastAsia="Calibri" w:hAnsi="Arial" w:cs="Arial"/>
                <w:sz w:val="16"/>
                <w:szCs w:val="16"/>
                <w:lang w:val="en-US" w:eastAsia="en-US"/>
              </w:rPr>
              <w:t>andard administration services.</w:t>
            </w:r>
          </w:p>
          <w:p w14:paraId="2239E593" w14:textId="77777777" w:rsidR="003D754B" w:rsidRPr="00502C2F" w:rsidRDefault="003D754B" w:rsidP="00C8474A">
            <w:pPr>
              <w:numPr>
                <w:ilvl w:val="0"/>
                <w:numId w:val="31"/>
              </w:numPr>
              <w:spacing w:before="60" w:after="60" w:line="240" w:lineRule="auto"/>
              <w:ind w:left="527" w:hanging="357"/>
              <w:rPr>
                <w:rFonts w:ascii="Arial" w:hAnsi="Arial" w:cs="Arial"/>
                <w:i/>
                <w:sz w:val="16"/>
                <w:szCs w:val="16"/>
              </w:rPr>
            </w:pPr>
            <w:r w:rsidRPr="00502C2F">
              <w:rPr>
                <w:rFonts w:ascii="Arial" w:eastAsia="Calibri" w:hAnsi="Arial" w:cs="Arial"/>
                <w:sz w:val="16"/>
                <w:szCs w:val="16"/>
                <w:lang w:val="en-US" w:eastAsia="en-US"/>
              </w:rPr>
              <w:t>Provision of information for scheme members including responding to member enquiries and publications, websites and seminars.</w:t>
            </w:r>
          </w:p>
        </w:tc>
      </w:tr>
      <w:tr w:rsidR="003D754B" w:rsidRPr="00A81A48" w14:paraId="2239E598" w14:textId="77777777" w:rsidTr="00507F26">
        <w:trPr>
          <w:trHeight w:val="258"/>
        </w:trPr>
        <w:tc>
          <w:tcPr>
            <w:tcW w:w="1560" w:type="dxa"/>
            <w:tcBorders>
              <w:top w:val="double" w:sz="4" w:space="0" w:color="auto"/>
              <w:bottom w:val="single" w:sz="4" w:space="0" w:color="auto"/>
              <w:right w:val="single" w:sz="4" w:space="0" w:color="auto"/>
            </w:tcBorders>
          </w:tcPr>
          <w:p w14:paraId="2239E595" w14:textId="77777777" w:rsidR="003D754B" w:rsidRPr="00160C23" w:rsidRDefault="003D754B" w:rsidP="00AF3DA8">
            <w:pPr>
              <w:pStyle w:val="TableColumnHeadingLeft"/>
              <w:spacing w:before="60" w:after="60"/>
            </w:pPr>
            <w:r w:rsidRPr="00160C23">
              <w:t>Year</w:t>
            </w:r>
          </w:p>
        </w:tc>
        <w:tc>
          <w:tcPr>
            <w:tcW w:w="3118" w:type="dxa"/>
            <w:tcBorders>
              <w:top w:val="double" w:sz="4" w:space="0" w:color="auto"/>
              <w:left w:val="single" w:sz="4" w:space="0" w:color="auto"/>
              <w:bottom w:val="single" w:sz="4" w:space="0" w:color="auto"/>
              <w:right w:val="single" w:sz="4" w:space="0" w:color="auto"/>
            </w:tcBorders>
          </w:tcPr>
          <w:p w14:paraId="2239E596" w14:textId="77777777" w:rsidR="003D754B" w:rsidRPr="00160C23" w:rsidRDefault="003D754B" w:rsidP="00AF3DA8">
            <w:pPr>
              <w:pStyle w:val="TableColumnHeadingLeft"/>
              <w:spacing w:before="60" w:after="60"/>
              <w:rPr>
                <w:rFonts w:cs="Arial"/>
              </w:rPr>
            </w:pPr>
            <w:r w:rsidRPr="00160C23">
              <w:rPr>
                <w:rFonts w:cs="Arial"/>
              </w:rPr>
              <w:t>Performance measures</w:t>
            </w:r>
          </w:p>
        </w:tc>
        <w:tc>
          <w:tcPr>
            <w:tcW w:w="3118" w:type="dxa"/>
            <w:tcBorders>
              <w:top w:val="double" w:sz="4" w:space="0" w:color="auto"/>
              <w:left w:val="single" w:sz="4" w:space="0" w:color="auto"/>
              <w:bottom w:val="single" w:sz="4" w:space="0" w:color="auto"/>
            </w:tcBorders>
          </w:tcPr>
          <w:p w14:paraId="2239E597" w14:textId="77777777" w:rsidR="003D754B" w:rsidRPr="00A81A48" w:rsidRDefault="003D754B" w:rsidP="00AF3DA8">
            <w:pPr>
              <w:pStyle w:val="TableColumnHeadingLeft"/>
              <w:spacing w:before="60" w:after="60"/>
              <w:rPr>
                <w:rFonts w:cs="Arial"/>
              </w:rPr>
            </w:pPr>
            <w:r w:rsidRPr="00A81A48">
              <w:rPr>
                <w:rFonts w:cs="Arial"/>
              </w:rPr>
              <w:t>Performance Results</w:t>
            </w:r>
          </w:p>
        </w:tc>
      </w:tr>
      <w:tr w:rsidR="003D754B" w:rsidRPr="00A81A48" w14:paraId="2239E5B0" w14:textId="77777777" w:rsidTr="00507F26">
        <w:trPr>
          <w:trHeight w:val="642"/>
        </w:trPr>
        <w:tc>
          <w:tcPr>
            <w:tcW w:w="1560" w:type="dxa"/>
            <w:tcBorders>
              <w:top w:val="single" w:sz="4" w:space="0" w:color="auto"/>
              <w:bottom w:val="single" w:sz="4" w:space="0" w:color="auto"/>
              <w:right w:val="single" w:sz="4" w:space="0" w:color="auto"/>
            </w:tcBorders>
          </w:tcPr>
          <w:p w14:paraId="7A6AF00A" w14:textId="77777777" w:rsidR="00034B81" w:rsidRDefault="00034B81" w:rsidP="00034B81">
            <w:pPr>
              <w:pStyle w:val="TableTextLeft"/>
            </w:pPr>
            <w:r>
              <w:t xml:space="preserve">Prior year </w:t>
            </w:r>
          </w:p>
          <w:p w14:paraId="7387AF28" w14:textId="77777777" w:rsidR="00034B81" w:rsidRDefault="00034B81" w:rsidP="00034B81">
            <w:pPr>
              <w:pStyle w:val="TableTextLeft"/>
            </w:pPr>
          </w:p>
          <w:p w14:paraId="2239E59A" w14:textId="375797BB" w:rsidR="003D754B" w:rsidRPr="00160C23" w:rsidRDefault="00034B81" w:rsidP="00034B81">
            <w:pPr>
              <w:pStyle w:val="TableTextLeft"/>
            </w:pPr>
            <w:r>
              <w:t>2021-22</w:t>
            </w:r>
          </w:p>
        </w:tc>
        <w:tc>
          <w:tcPr>
            <w:tcW w:w="3118" w:type="dxa"/>
            <w:tcBorders>
              <w:top w:val="single" w:sz="4" w:space="0" w:color="auto"/>
              <w:left w:val="single" w:sz="4" w:space="0" w:color="auto"/>
              <w:bottom w:val="single" w:sz="4" w:space="0" w:color="auto"/>
              <w:right w:val="single" w:sz="4" w:space="0" w:color="auto"/>
            </w:tcBorders>
          </w:tcPr>
          <w:p w14:paraId="2239E59C" w14:textId="15B44A7B" w:rsidR="003D754B" w:rsidRPr="00034B81" w:rsidRDefault="003D754B" w:rsidP="00C8474A">
            <w:pPr>
              <w:numPr>
                <w:ilvl w:val="0"/>
                <w:numId w:val="32"/>
              </w:numPr>
              <w:spacing w:before="60" w:after="60" w:line="240" w:lineRule="auto"/>
              <w:ind w:left="527" w:hanging="357"/>
              <w:rPr>
                <w:rFonts w:ascii="Arial" w:hAnsi="Arial" w:cs="Arial"/>
                <w:sz w:val="16"/>
                <w:szCs w:val="16"/>
              </w:rPr>
            </w:pPr>
            <w:r w:rsidRPr="00C55825">
              <w:rPr>
                <w:rFonts w:ascii="Arial" w:hAnsi="Arial" w:cs="Arial"/>
                <w:sz w:val="16"/>
                <w:szCs w:val="16"/>
              </w:rPr>
              <w:t>CSC’s investment performance for its default accumulation options over a rolling three-year period.</w:t>
            </w:r>
          </w:p>
          <w:p w14:paraId="2239E59E" w14:textId="1898F6EF" w:rsidR="003D754B" w:rsidRPr="00034B81" w:rsidRDefault="003D754B" w:rsidP="00C8474A">
            <w:pPr>
              <w:numPr>
                <w:ilvl w:val="0"/>
                <w:numId w:val="32"/>
              </w:numPr>
              <w:spacing w:before="60" w:after="60" w:line="240" w:lineRule="auto"/>
              <w:ind w:left="527" w:hanging="357"/>
              <w:rPr>
                <w:rFonts w:ascii="Arial" w:hAnsi="Arial" w:cs="Arial"/>
                <w:sz w:val="16"/>
                <w:szCs w:val="16"/>
              </w:rPr>
            </w:pPr>
            <w:r w:rsidRPr="00C55825">
              <w:rPr>
                <w:rFonts w:ascii="Arial" w:hAnsi="Arial" w:cs="Arial"/>
                <w:sz w:val="16"/>
                <w:szCs w:val="16"/>
              </w:rPr>
              <w:t>CSC’s investment portfolio is maintained within Board approved risk parameters, such that negative returns are expected in no more than four out of every 20 years for the default accumulation options.</w:t>
            </w:r>
          </w:p>
          <w:p w14:paraId="2239E59F" w14:textId="549E3C7E" w:rsidR="003D754B" w:rsidRPr="00C55825" w:rsidRDefault="003D754B" w:rsidP="00C8474A">
            <w:pPr>
              <w:numPr>
                <w:ilvl w:val="0"/>
                <w:numId w:val="32"/>
              </w:numPr>
              <w:spacing w:before="60" w:after="60" w:line="240" w:lineRule="auto"/>
              <w:ind w:left="527" w:hanging="357"/>
              <w:rPr>
                <w:rFonts w:ascii="Arial" w:hAnsi="Arial" w:cs="Arial"/>
                <w:sz w:val="16"/>
                <w:szCs w:val="16"/>
              </w:rPr>
            </w:pPr>
            <w:r w:rsidRPr="00C55825">
              <w:rPr>
                <w:rFonts w:ascii="Arial" w:hAnsi="Arial" w:cs="Arial"/>
                <w:sz w:val="16"/>
                <w:szCs w:val="16"/>
              </w:rPr>
              <w:t>Achievement of operational objectives for contributions processing</w:t>
            </w:r>
            <w:r w:rsidR="00034B81">
              <w:rPr>
                <w:rFonts w:ascii="Arial" w:hAnsi="Arial" w:cs="Arial"/>
                <w:sz w:val="16"/>
                <w:szCs w:val="16"/>
              </w:rPr>
              <w:t xml:space="preserve"> and benefits/pension payments.</w:t>
            </w:r>
          </w:p>
          <w:p w14:paraId="2239E5A0" w14:textId="77777777" w:rsidR="003D754B" w:rsidRPr="00C55825" w:rsidRDefault="003D754B" w:rsidP="00C8474A">
            <w:pPr>
              <w:numPr>
                <w:ilvl w:val="0"/>
                <w:numId w:val="32"/>
              </w:numPr>
              <w:spacing w:before="60" w:after="60" w:line="240" w:lineRule="auto"/>
              <w:ind w:left="527" w:hanging="357"/>
              <w:rPr>
                <w:rFonts w:ascii="Arial" w:hAnsi="Arial" w:cs="Arial"/>
                <w:sz w:val="16"/>
                <w:szCs w:val="16"/>
              </w:rPr>
            </w:pPr>
            <w:r w:rsidRPr="00C55825">
              <w:rPr>
                <w:rFonts w:ascii="Arial" w:hAnsi="Arial" w:cs="Arial"/>
                <w:sz w:val="16"/>
                <w:szCs w:val="16"/>
              </w:rPr>
              <w:t>Adequate satisfaction levels of customers and employers with the service provided.</w:t>
            </w:r>
          </w:p>
          <w:p w14:paraId="2239E5A1" w14:textId="77777777" w:rsidR="003D754B" w:rsidRPr="00160C23" w:rsidRDefault="003D754B" w:rsidP="00AF3DA8">
            <w:pPr>
              <w:pStyle w:val="TableTextBase"/>
              <w:spacing w:before="60" w:after="60"/>
              <w:rPr>
                <w:i/>
                <w:color w:val="0070C0"/>
                <w:szCs w:val="16"/>
              </w:rPr>
            </w:pPr>
          </w:p>
        </w:tc>
        <w:tc>
          <w:tcPr>
            <w:tcW w:w="3118" w:type="dxa"/>
            <w:tcBorders>
              <w:top w:val="single" w:sz="4" w:space="0" w:color="auto"/>
              <w:left w:val="single" w:sz="4" w:space="0" w:color="auto"/>
              <w:bottom w:val="single" w:sz="4" w:space="0" w:color="auto"/>
            </w:tcBorders>
          </w:tcPr>
          <w:p w14:paraId="17583E06" w14:textId="624904CF" w:rsidR="00AF3DA8" w:rsidRDefault="003D754B" w:rsidP="00C8474A">
            <w:pPr>
              <w:numPr>
                <w:ilvl w:val="0"/>
                <w:numId w:val="32"/>
              </w:numPr>
              <w:spacing w:before="60" w:after="60" w:line="240" w:lineRule="auto"/>
              <w:ind w:left="527" w:hanging="357"/>
              <w:rPr>
                <w:rFonts w:ascii="Arial" w:hAnsi="Arial" w:cs="Arial"/>
                <w:sz w:val="16"/>
                <w:szCs w:val="16"/>
              </w:rPr>
            </w:pPr>
            <w:r w:rsidRPr="00A81A48">
              <w:rPr>
                <w:rFonts w:ascii="Arial" w:hAnsi="Arial" w:cs="Arial"/>
                <w:sz w:val="16"/>
                <w:szCs w:val="16"/>
              </w:rPr>
              <w:t>The annual real return target of 3.5% over a rolling three-year period was not met.</w:t>
            </w:r>
          </w:p>
          <w:p w14:paraId="264A64A6" w14:textId="77777777" w:rsidR="00034B81" w:rsidRPr="00034B81" w:rsidRDefault="00034B81" w:rsidP="005C0509">
            <w:pPr>
              <w:spacing w:before="60" w:after="60" w:line="240" w:lineRule="auto"/>
              <w:ind w:left="527" w:hanging="357"/>
              <w:rPr>
                <w:rFonts w:ascii="Arial" w:hAnsi="Arial" w:cs="Arial"/>
                <w:sz w:val="16"/>
                <w:szCs w:val="16"/>
              </w:rPr>
            </w:pPr>
          </w:p>
          <w:p w14:paraId="2239E5A4" w14:textId="77777777" w:rsidR="003D754B" w:rsidRPr="00A81A48" w:rsidRDefault="003D754B" w:rsidP="00C8474A">
            <w:pPr>
              <w:numPr>
                <w:ilvl w:val="0"/>
                <w:numId w:val="32"/>
              </w:numPr>
              <w:spacing w:before="60" w:after="60" w:line="240" w:lineRule="auto"/>
              <w:ind w:left="527" w:hanging="357"/>
              <w:rPr>
                <w:rFonts w:ascii="Arial" w:hAnsi="Arial" w:cs="Arial"/>
                <w:sz w:val="16"/>
                <w:szCs w:val="16"/>
              </w:rPr>
            </w:pPr>
            <w:r w:rsidRPr="00A81A48">
              <w:rPr>
                <w:rFonts w:ascii="Arial" w:hAnsi="Arial" w:cs="Arial"/>
                <w:sz w:val="16"/>
                <w:szCs w:val="16"/>
              </w:rPr>
              <w:t xml:space="preserve">The </w:t>
            </w:r>
            <w:r>
              <w:rPr>
                <w:rFonts w:ascii="Arial" w:hAnsi="Arial" w:cs="Arial"/>
                <w:sz w:val="16"/>
                <w:szCs w:val="16"/>
              </w:rPr>
              <w:t>risk objective</w:t>
            </w:r>
            <w:r w:rsidRPr="00A81A48">
              <w:rPr>
                <w:rFonts w:ascii="Arial" w:hAnsi="Arial" w:cs="Arial"/>
                <w:sz w:val="16"/>
                <w:szCs w:val="16"/>
              </w:rPr>
              <w:t xml:space="preserve"> of </w:t>
            </w:r>
            <w:r>
              <w:rPr>
                <w:rFonts w:ascii="Arial" w:hAnsi="Arial" w:cs="Arial"/>
                <w:sz w:val="16"/>
                <w:szCs w:val="16"/>
              </w:rPr>
              <w:t>delivering</w:t>
            </w:r>
            <w:r w:rsidRPr="00A81A48">
              <w:rPr>
                <w:rFonts w:ascii="Arial" w:hAnsi="Arial" w:cs="Arial"/>
                <w:sz w:val="16"/>
                <w:szCs w:val="16"/>
              </w:rPr>
              <w:t xml:space="preserve"> no more than 4 </w:t>
            </w:r>
            <w:r>
              <w:rPr>
                <w:rFonts w:ascii="Arial" w:hAnsi="Arial" w:cs="Arial"/>
                <w:sz w:val="16"/>
                <w:szCs w:val="16"/>
              </w:rPr>
              <w:t xml:space="preserve">negative-return years </w:t>
            </w:r>
            <w:r w:rsidRPr="00A81A48">
              <w:rPr>
                <w:rFonts w:ascii="Arial" w:hAnsi="Arial" w:cs="Arial"/>
                <w:sz w:val="16"/>
                <w:szCs w:val="16"/>
              </w:rPr>
              <w:t>out of every 20 years</w:t>
            </w:r>
            <w:r>
              <w:rPr>
                <w:rFonts w:ascii="Arial" w:hAnsi="Arial" w:cs="Arial"/>
                <w:sz w:val="16"/>
                <w:szCs w:val="16"/>
              </w:rPr>
              <w:t>,</w:t>
            </w:r>
            <w:r w:rsidRPr="00A81A48">
              <w:rPr>
                <w:rFonts w:ascii="Arial" w:hAnsi="Arial" w:cs="Arial"/>
                <w:sz w:val="16"/>
                <w:szCs w:val="16"/>
              </w:rPr>
              <w:t xml:space="preserve"> for the default accumulation option</w:t>
            </w:r>
            <w:r>
              <w:rPr>
                <w:rFonts w:ascii="Arial" w:hAnsi="Arial" w:cs="Arial"/>
                <w:sz w:val="16"/>
                <w:szCs w:val="16"/>
              </w:rPr>
              <w:t>,</w:t>
            </w:r>
            <w:r w:rsidRPr="00A81A48">
              <w:rPr>
                <w:rFonts w:ascii="Arial" w:hAnsi="Arial" w:cs="Arial"/>
                <w:sz w:val="16"/>
                <w:szCs w:val="16"/>
              </w:rPr>
              <w:t xml:space="preserve"> was met.</w:t>
            </w:r>
          </w:p>
          <w:p w14:paraId="2239E5A6" w14:textId="47B3CA2C" w:rsidR="003D754B" w:rsidRPr="00A81A48" w:rsidRDefault="003D754B" w:rsidP="005C0509">
            <w:pPr>
              <w:spacing w:before="60" w:after="60" w:line="240" w:lineRule="auto"/>
              <w:ind w:left="527" w:hanging="357"/>
              <w:rPr>
                <w:rFonts w:ascii="Arial" w:hAnsi="Arial" w:cs="Arial"/>
                <w:sz w:val="16"/>
                <w:szCs w:val="16"/>
              </w:rPr>
            </w:pPr>
          </w:p>
          <w:p w14:paraId="2239E5A7" w14:textId="77777777" w:rsidR="003D754B" w:rsidRPr="00057BF5" w:rsidRDefault="003D754B" w:rsidP="00C8474A">
            <w:pPr>
              <w:numPr>
                <w:ilvl w:val="0"/>
                <w:numId w:val="32"/>
              </w:numPr>
              <w:spacing w:before="60" w:after="60" w:line="240" w:lineRule="auto"/>
              <w:ind w:left="527" w:hanging="357"/>
              <w:rPr>
                <w:rFonts w:ascii="Arial" w:hAnsi="Arial" w:cs="Arial"/>
                <w:sz w:val="16"/>
                <w:szCs w:val="16"/>
              </w:rPr>
            </w:pPr>
            <w:r w:rsidRPr="00057BF5">
              <w:rPr>
                <w:rFonts w:ascii="Arial" w:hAnsi="Arial" w:cs="Arial"/>
                <w:sz w:val="16"/>
                <w:szCs w:val="16"/>
              </w:rPr>
              <w:t>The target of achieving 90% of each operational objective was met.</w:t>
            </w:r>
          </w:p>
          <w:p w14:paraId="2239E5A9" w14:textId="39C796FC" w:rsidR="003D754B" w:rsidRPr="00057BF5" w:rsidRDefault="003D754B" w:rsidP="005C0509">
            <w:pPr>
              <w:spacing w:before="60" w:after="60" w:line="240" w:lineRule="auto"/>
              <w:ind w:left="527" w:hanging="357"/>
              <w:rPr>
                <w:rFonts w:ascii="Arial" w:hAnsi="Arial" w:cs="Arial"/>
                <w:sz w:val="16"/>
                <w:szCs w:val="16"/>
              </w:rPr>
            </w:pPr>
          </w:p>
          <w:p w14:paraId="2239E5AA" w14:textId="77777777" w:rsidR="003D754B" w:rsidRPr="00057BF5" w:rsidRDefault="003D754B" w:rsidP="00C8474A">
            <w:pPr>
              <w:numPr>
                <w:ilvl w:val="0"/>
                <w:numId w:val="32"/>
              </w:numPr>
              <w:spacing w:before="60" w:after="60" w:line="240" w:lineRule="auto"/>
              <w:ind w:left="527" w:hanging="357"/>
              <w:rPr>
                <w:rFonts w:ascii="Arial" w:hAnsi="Arial" w:cs="Arial"/>
                <w:sz w:val="16"/>
                <w:szCs w:val="16"/>
              </w:rPr>
            </w:pPr>
            <w:r w:rsidRPr="00057BF5">
              <w:rPr>
                <w:rFonts w:ascii="Arial" w:hAnsi="Arial" w:cs="Arial"/>
                <w:sz w:val="16"/>
                <w:szCs w:val="16"/>
              </w:rPr>
              <w:t>The target of increasing the Net Promoter Score (industry standard satisfaction measure) survey result of +10 for employers was met.</w:t>
            </w:r>
          </w:p>
          <w:p w14:paraId="2239E5AB" w14:textId="77777777" w:rsidR="003D754B" w:rsidRPr="00057BF5" w:rsidRDefault="003D754B" w:rsidP="004F1672">
            <w:pPr>
              <w:spacing w:before="60" w:after="60" w:line="240" w:lineRule="auto"/>
              <w:rPr>
                <w:rFonts w:ascii="Arial" w:hAnsi="Arial" w:cs="Arial"/>
                <w:sz w:val="16"/>
                <w:szCs w:val="16"/>
              </w:rPr>
            </w:pPr>
          </w:p>
          <w:p w14:paraId="2239E5AF" w14:textId="05EFF9E3" w:rsidR="003D754B" w:rsidRPr="00AF3DA8" w:rsidRDefault="003D754B" w:rsidP="00C8474A">
            <w:pPr>
              <w:numPr>
                <w:ilvl w:val="0"/>
                <w:numId w:val="32"/>
              </w:numPr>
              <w:spacing w:before="60" w:after="60" w:line="240" w:lineRule="auto"/>
              <w:ind w:left="527" w:hanging="357"/>
              <w:rPr>
                <w:rFonts w:ascii="Arial" w:hAnsi="Arial" w:cs="Arial"/>
                <w:sz w:val="16"/>
                <w:szCs w:val="16"/>
              </w:rPr>
            </w:pPr>
            <w:r w:rsidRPr="00057BF5">
              <w:rPr>
                <w:rFonts w:ascii="Arial" w:hAnsi="Arial" w:cs="Arial"/>
                <w:sz w:val="16"/>
                <w:szCs w:val="16"/>
              </w:rPr>
              <w:t xml:space="preserve">The target of increasing the Net Promoter Score survey result for Australian Defence Force customers by </w:t>
            </w:r>
            <w:r>
              <w:rPr>
                <w:rFonts w:ascii="Arial" w:hAnsi="Arial" w:cs="Arial"/>
                <w:sz w:val="16"/>
                <w:szCs w:val="16"/>
              </w:rPr>
              <w:t>two</w:t>
            </w:r>
            <w:r w:rsidRPr="00057BF5">
              <w:rPr>
                <w:rFonts w:ascii="Arial" w:hAnsi="Arial" w:cs="Arial"/>
                <w:sz w:val="16"/>
                <w:szCs w:val="16"/>
              </w:rPr>
              <w:t xml:space="preserve"> points per annum was met.</w:t>
            </w:r>
          </w:p>
        </w:tc>
      </w:tr>
    </w:tbl>
    <w:p w14:paraId="101392E5" w14:textId="19ADB674" w:rsidR="00AA0EC5" w:rsidRPr="00AA0EC5" w:rsidRDefault="00AA0EC5" w:rsidP="00EB32A1">
      <w:pPr>
        <w:pStyle w:val="TableGraphic"/>
        <w:spacing w:before="30"/>
        <w:ind w:right="0"/>
        <w:rPr>
          <w:b/>
          <w:sz w:val="16"/>
          <w:szCs w:val="16"/>
        </w:rPr>
      </w:pPr>
      <w:r w:rsidRPr="00AA0EC5">
        <w:rPr>
          <w:rFonts w:ascii="Arial" w:hAnsi="Arial" w:cs="Arial"/>
          <w:sz w:val="16"/>
          <w:szCs w:val="16"/>
          <w:lang w:eastAsia="x-none"/>
        </w:rPr>
        <w:t>Table continues on next page</w:t>
      </w:r>
      <w:r w:rsidRPr="00AA0EC5">
        <w:rPr>
          <w:b/>
          <w:sz w:val="16"/>
          <w:szCs w:val="16"/>
        </w:rPr>
        <w:br w:type="page"/>
      </w:r>
    </w:p>
    <w:p w14:paraId="3804BE8E" w14:textId="77777777" w:rsidR="00034B81" w:rsidRPr="00034B81" w:rsidRDefault="003D754B" w:rsidP="00570D58">
      <w:pPr>
        <w:pStyle w:val="TableHeading"/>
      </w:pPr>
      <w:r w:rsidRPr="00F71634">
        <w:lastRenderedPageBreak/>
        <w:t>Table 2.</w:t>
      </w:r>
      <w:r>
        <w:t>1</w:t>
      </w:r>
      <w:r w:rsidRPr="00F71634">
        <w:t>.</w:t>
      </w:r>
      <w:r>
        <w:t>2</w:t>
      </w:r>
      <w:r w:rsidRPr="00F71634">
        <w:t xml:space="preserve">: Performance </w:t>
      </w:r>
      <w:r>
        <w:t>measure</w:t>
      </w:r>
      <w:r w:rsidRPr="00F71634">
        <w:t xml:space="preserve"> for Outcome </w:t>
      </w:r>
      <w:r>
        <w:t>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34B81" w:rsidRPr="00446AD7" w14:paraId="38A19C38" w14:textId="77777777" w:rsidTr="0053714C">
        <w:trPr>
          <w:trHeight w:val="522"/>
          <w:tblHeader/>
        </w:trPr>
        <w:tc>
          <w:tcPr>
            <w:tcW w:w="7796" w:type="dxa"/>
            <w:gridSpan w:val="3"/>
            <w:shd w:val="clear" w:color="auto" w:fill="F2F2F2"/>
          </w:tcPr>
          <w:p w14:paraId="290F221B" w14:textId="77777777" w:rsidR="00034B81" w:rsidRPr="00446AD7" w:rsidRDefault="00034B81" w:rsidP="0053714C">
            <w:pPr>
              <w:pStyle w:val="TableTextLeft"/>
              <w:spacing w:before="60" w:after="60"/>
              <w:rPr>
                <w:rFonts w:cs="Arial"/>
              </w:rPr>
            </w:pPr>
            <w:r w:rsidRPr="00446AD7">
              <w:rPr>
                <w:rFonts w:cs="Arial"/>
                <w:b/>
              </w:rPr>
              <w:t>Program 1.1- Superannuation Scheme Governance</w:t>
            </w:r>
          </w:p>
          <w:p w14:paraId="449C3B74" w14:textId="77777777" w:rsidR="00034B81" w:rsidRPr="00446AD7" w:rsidRDefault="00034B81" w:rsidP="0053714C">
            <w:pPr>
              <w:pStyle w:val="TableTextLeft"/>
              <w:spacing w:before="60" w:after="60"/>
              <w:rPr>
                <w:rFonts w:cs="Arial"/>
              </w:rPr>
            </w:pPr>
            <w:r w:rsidRPr="00446AD7">
              <w:rPr>
                <w:rFonts w:cs="Arial"/>
              </w:rPr>
              <w:t>Build, support and protect better retirement outcomes for all our customers (being current and former Australian Government employees and members of the Australian Defence Force) and their families.</w:t>
            </w:r>
          </w:p>
        </w:tc>
      </w:tr>
      <w:tr w:rsidR="00034B81" w:rsidRPr="00446AD7" w14:paraId="333626ED" w14:textId="77777777" w:rsidTr="0053714C">
        <w:trPr>
          <w:trHeight w:val="100"/>
        </w:trPr>
        <w:tc>
          <w:tcPr>
            <w:tcW w:w="1560" w:type="dxa"/>
            <w:tcBorders>
              <w:top w:val="single" w:sz="4" w:space="0" w:color="auto"/>
              <w:bottom w:val="dotted" w:sz="4" w:space="0" w:color="auto"/>
              <w:right w:val="single" w:sz="4" w:space="0" w:color="auto"/>
            </w:tcBorders>
          </w:tcPr>
          <w:p w14:paraId="2AF2EA56" w14:textId="77777777" w:rsidR="00034B81" w:rsidRPr="00446AD7" w:rsidRDefault="00034B81" w:rsidP="0053714C">
            <w:pPr>
              <w:pStyle w:val="TableColumnHeadingLeft"/>
              <w:spacing w:before="60" w:after="60"/>
              <w:rPr>
                <w:rFonts w:ascii="Arial" w:hAnsi="Arial" w:cs="Arial"/>
              </w:rPr>
            </w:pPr>
            <w:r w:rsidRPr="00446AD7">
              <w:rPr>
                <w:rFonts w:ascii="Arial" w:hAnsi="Arial" w:cs="Arial"/>
              </w:rPr>
              <w:t>Year</w:t>
            </w:r>
          </w:p>
        </w:tc>
        <w:tc>
          <w:tcPr>
            <w:tcW w:w="3118" w:type="dxa"/>
            <w:tcBorders>
              <w:top w:val="single" w:sz="4" w:space="0" w:color="auto"/>
              <w:left w:val="single" w:sz="4" w:space="0" w:color="auto"/>
              <w:bottom w:val="dotted" w:sz="4" w:space="0" w:color="auto"/>
              <w:right w:val="single" w:sz="4" w:space="0" w:color="auto"/>
            </w:tcBorders>
          </w:tcPr>
          <w:p w14:paraId="44149E7D" w14:textId="77777777" w:rsidR="00034B81" w:rsidRPr="00446AD7" w:rsidRDefault="00034B81" w:rsidP="0053714C">
            <w:pPr>
              <w:pStyle w:val="TableColumnHeadingLeft"/>
              <w:spacing w:before="60" w:after="60"/>
              <w:rPr>
                <w:rFonts w:ascii="Arial" w:hAnsi="Arial" w:cs="Arial"/>
              </w:rPr>
            </w:pPr>
            <w:r w:rsidRPr="00446AD7">
              <w:rPr>
                <w:rFonts w:ascii="Arial" w:hAnsi="Arial" w:cs="Arial"/>
              </w:rPr>
              <w:t>Performance measures</w:t>
            </w:r>
          </w:p>
        </w:tc>
        <w:tc>
          <w:tcPr>
            <w:tcW w:w="3118" w:type="dxa"/>
            <w:tcBorders>
              <w:top w:val="single" w:sz="4" w:space="0" w:color="auto"/>
              <w:left w:val="single" w:sz="4" w:space="0" w:color="auto"/>
              <w:bottom w:val="dotted" w:sz="4" w:space="0" w:color="auto"/>
            </w:tcBorders>
          </w:tcPr>
          <w:p w14:paraId="6610F28E" w14:textId="77777777" w:rsidR="00034B81" w:rsidRPr="00446AD7" w:rsidRDefault="00034B81" w:rsidP="0053714C">
            <w:pPr>
              <w:pStyle w:val="TableColumnHeadingLeft"/>
              <w:spacing w:before="60" w:after="60"/>
              <w:rPr>
                <w:rFonts w:ascii="Arial" w:hAnsi="Arial" w:cs="Arial"/>
              </w:rPr>
            </w:pPr>
            <w:r w:rsidRPr="00446AD7">
              <w:rPr>
                <w:rFonts w:ascii="Arial" w:hAnsi="Arial" w:cs="Arial"/>
              </w:rPr>
              <w:t>Planned Performance Results</w:t>
            </w:r>
          </w:p>
        </w:tc>
      </w:tr>
      <w:tr w:rsidR="00034B81" w:rsidRPr="00446AD7" w14:paraId="01DEA721" w14:textId="77777777" w:rsidTr="0053714C">
        <w:trPr>
          <w:trHeight w:val="100"/>
        </w:trPr>
        <w:tc>
          <w:tcPr>
            <w:tcW w:w="1560" w:type="dxa"/>
            <w:tcBorders>
              <w:top w:val="single" w:sz="4" w:space="0" w:color="auto"/>
              <w:bottom w:val="dotted" w:sz="4" w:space="0" w:color="auto"/>
              <w:right w:val="single" w:sz="4" w:space="0" w:color="auto"/>
            </w:tcBorders>
          </w:tcPr>
          <w:p w14:paraId="3F8016CF" w14:textId="77777777" w:rsidR="00034B81" w:rsidRPr="00446AD7" w:rsidRDefault="00034B81" w:rsidP="0053714C">
            <w:pPr>
              <w:pStyle w:val="TableTextLeft"/>
              <w:spacing w:before="60" w:after="60"/>
              <w:rPr>
                <w:rFonts w:cs="Arial"/>
              </w:rPr>
            </w:pPr>
            <w:r w:rsidRPr="00446AD7">
              <w:rPr>
                <w:rFonts w:cs="Arial"/>
              </w:rPr>
              <w:t xml:space="preserve">Prior year </w:t>
            </w:r>
          </w:p>
          <w:p w14:paraId="2FF7CC55" w14:textId="77777777" w:rsidR="00034B81" w:rsidRPr="00446AD7" w:rsidRDefault="00034B81" w:rsidP="0053714C">
            <w:pPr>
              <w:pStyle w:val="TableTextLeft"/>
              <w:spacing w:before="60" w:after="60"/>
              <w:rPr>
                <w:rFonts w:cs="Arial"/>
              </w:rPr>
            </w:pPr>
          </w:p>
          <w:p w14:paraId="50669725" w14:textId="77777777" w:rsidR="00034B81" w:rsidRPr="00446AD7" w:rsidRDefault="00034B81" w:rsidP="0053714C">
            <w:pPr>
              <w:pStyle w:val="TableColumnHeadingLeft"/>
              <w:spacing w:before="60" w:after="60"/>
              <w:rPr>
                <w:rFonts w:ascii="Arial" w:hAnsi="Arial" w:cs="Arial"/>
                <w:b w:val="0"/>
              </w:rPr>
            </w:pPr>
            <w:r w:rsidRPr="00446AD7">
              <w:rPr>
                <w:rFonts w:ascii="Arial" w:hAnsi="Arial" w:cs="Arial"/>
                <w:b w:val="0"/>
              </w:rPr>
              <w:t>2021-22 (continued)</w:t>
            </w:r>
          </w:p>
        </w:tc>
        <w:tc>
          <w:tcPr>
            <w:tcW w:w="3118" w:type="dxa"/>
            <w:tcBorders>
              <w:top w:val="single" w:sz="4" w:space="0" w:color="auto"/>
              <w:left w:val="single" w:sz="4" w:space="0" w:color="auto"/>
              <w:bottom w:val="dotted" w:sz="4" w:space="0" w:color="auto"/>
              <w:right w:val="single" w:sz="4" w:space="0" w:color="auto"/>
            </w:tcBorders>
          </w:tcPr>
          <w:p w14:paraId="0AC13E1C" w14:textId="77777777" w:rsidR="00034B81" w:rsidRPr="00446AD7" w:rsidRDefault="00034B81" w:rsidP="0053714C">
            <w:pPr>
              <w:pStyle w:val="TableColumnHeadingLeft"/>
              <w:spacing w:before="60" w:after="60"/>
              <w:rPr>
                <w:rFonts w:ascii="Arial" w:hAnsi="Arial" w:cs="Arial"/>
                <w:b w:val="0"/>
              </w:rPr>
            </w:pPr>
          </w:p>
        </w:tc>
        <w:tc>
          <w:tcPr>
            <w:tcW w:w="3118" w:type="dxa"/>
            <w:tcBorders>
              <w:top w:val="single" w:sz="4" w:space="0" w:color="auto"/>
              <w:left w:val="single" w:sz="4" w:space="0" w:color="auto"/>
              <w:bottom w:val="dotted" w:sz="4" w:space="0" w:color="auto"/>
            </w:tcBorders>
          </w:tcPr>
          <w:p w14:paraId="53C32E93" w14:textId="44ACE750" w:rsidR="00034B81" w:rsidRPr="00313092" w:rsidRDefault="00034B81" w:rsidP="00C8474A">
            <w:pPr>
              <w:pStyle w:val="TableTextBase"/>
              <w:numPr>
                <w:ilvl w:val="0"/>
                <w:numId w:val="71"/>
              </w:numPr>
              <w:spacing w:before="60" w:after="60"/>
              <w:ind w:left="374" w:hanging="357"/>
              <w:rPr>
                <w:rFonts w:cs="Arial"/>
                <w:szCs w:val="16"/>
              </w:rPr>
            </w:pPr>
            <w:r w:rsidRPr="00446AD7">
              <w:rPr>
                <w:rFonts w:cs="Arial"/>
                <w:szCs w:val="16"/>
              </w:rPr>
              <w:t>The target of increasing the Net Promoter Score survey result for other customers by two points per annum was not met.</w:t>
            </w:r>
          </w:p>
        </w:tc>
      </w:tr>
      <w:tr w:rsidR="00034B81" w:rsidRPr="00446AD7" w14:paraId="0D4C8CD8" w14:textId="77777777" w:rsidTr="0053714C">
        <w:trPr>
          <w:trHeight w:val="100"/>
        </w:trPr>
        <w:tc>
          <w:tcPr>
            <w:tcW w:w="1560" w:type="dxa"/>
            <w:tcBorders>
              <w:top w:val="single" w:sz="4" w:space="0" w:color="auto"/>
              <w:bottom w:val="dotted" w:sz="4" w:space="0" w:color="auto"/>
              <w:right w:val="single" w:sz="4" w:space="0" w:color="auto"/>
            </w:tcBorders>
          </w:tcPr>
          <w:p w14:paraId="55BE5BC7" w14:textId="77777777" w:rsidR="00034B81" w:rsidRPr="00446AD7" w:rsidRDefault="00034B81" w:rsidP="0053714C">
            <w:pPr>
              <w:pStyle w:val="TableColumnHeadingLeft"/>
              <w:spacing w:before="60" w:after="60"/>
              <w:rPr>
                <w:rFonts w:ascii="Arial" w:hAnsi="Arial" w:cs="Arial"/>
              </w:rPr>
            </w:pPr>
            <w:r w:rsidRPr="00446AD7">
              <w:rPr>
                <w:rFonts w:ascii="Arial" w:hAnsi="Arial" w:cs="Arial"/>
              </w:rPr>
              <w:t>Year</w:t>
            </w:r>
          </w:p>
        </w:tc>
        <w:tc>
          <w:tcPr>
            <w:tcW w:w="3118" w:type="dxa"/>
            <w:tcBorders>
              <w:top w:val="single" w:sz="4" w:space="0" w:color="auto"/>
              <w:left w:val="single" w:sz="4" w:space="0" w:color="auto"/>
              <w:bottom w:val="dotted" w:sz="4" w:space="0" w:color="auto"/>
              <w:right w:val="single" w:sz="4" w:space="0" w:color="auto"/>
            </w:tcBorders>
          </w:tcPr>
          <w:p w14:paraId="02D3C361" w14:textId="77777777" w:rsidR="00034B81" w:rsidRPr="00446AD7" w:rsidRDefault="00034B81" w:rsidP="0053714C">
            <w:pPr>
              <w:pStyle w:val="TableColumnHeadingLeft"/>
              <w:spacing w:before="60" w:after="60"/>
              <w:rPr>
                <w:rFonts w:ascii="Arial" w:hAnsi="Arial" w:cs="Arial"/>
              </w:rPr>
            </w:pPr>
            <w:r w:rsidRPr="00446AD7">
              <w:rPr>
                <w:rFonts w:ascii="Arial" w:hAnsi="Arial" w:cs="Arial"/>
              </w:rPr>
              <w:t>Performance measures</w:t>
            </w:r>
          </w:p>
        </w:tc>
        <w:tc>
          <w:tcPr>
            <w:tcW w:w="3118" w:type="dxa"/>
            <w:tcBorders>
              <w:top w:val="single" w:sz="4" w:space="0" w:color="auto"/>
              <w:left w:val="single" w:sz="4" w:space="0" w:color="auto"/>
              <w:bottom w:val="dotted" w:sz="4" w:space="0" w:color="auto"/>
            </w:tcBorders>
          </w:tcPr>
          <w:p w14:paraId="10FB21CE" w14:textId="77777777" w:rsidR="00034B81" w:rsidRPr="00446AD7" w:rsidRDefault="00034B81" w:rsidP="0053714C">
            <w:pPr>
              <w:pStyle w:val="TableColumnHeadingLeft"/>
              <w:spacing w:before="60" w:after="60"/>
              <w:rPr>
                <w:rFonts w:ascii="Arial" w:hAnsi="Arial" w:cs="Arial"/>
              </w:rPr>
            </w:pPr>
            <w:r w:rsidRPr="00446AD7">
              <w:rPr>
                <w:rFonts w:ascii="Arial" w:hAnsi="Arial" w:cs="Arial"/>
              </w:rPr>
              <w:t>Planned Performance Results</w:t>
            </w:r>
          </w:p>
        </w:tc>
      </w:tr>
      <w:tr w:rsidR="00034B81" w:rsidRPr="00446AD7" w14:paraId="25F05F49" w14:textId="77777777" w:rsidTr="0053714C">
        <w:trPr>
          <w:trHeight w:val="100"/>
        </w:trPr>
        <w:tc>
          <w:tcPr>
            <w:tcW w:w="1560" w:type="dxa"/>
            <w:tcBorders>
              <w:top w:val="single" w:sz="4" w:space="0" w:color="auto"/>
              <w:bottom w:val="dotted" w:sz="4" w:space="0" w:color="auto"/>
              <w:right w:val="single" w:sz="4" w:space="0" w:color="auto"/>
            </w:tcBorders>
          </w:tcPr>
          <w:p w14:paraId="4CC3FD01" w14:textId="77777777" w:rsidR="00034B81" w:rsidRPr="00446AD7" w:rsidRDefault="00034B81" w:rsidP="0053714C">
            <w:pPr>
              <w:pStyle w:val="TableTextLeft"/>
              <w:spacing w:before="60" w:after="60"/>
              <w:rPr>
                <w:rFonts w:cs="Arial"/>
              </w:rPr>
            </w:pPr>
            <w:r w:rsidRPr="00446AD7">
              <w:rPr>
                <w:rFonts w:cs="Arial"/>
              </w:rPr>
              <w:t xml:space="preserve">Budget Year </w:t>
            </w:r>
          </w:p>
          <w:p w14:paraId="15CDF498" w14:textId="77777777" w:rsidR="00034B81" w:rsidRPr="00446AD7" w:rsidRDefault="00034B81" w:rsidP="0053714C">
            <w:pPr>
              <w:pStyle w:val="TableTextLeft"/>
              <w:spacing w:before="60" w:after="60"/>
              <w:rPr>
                <w:rFonts w:cs="Arial"/>
              </w:rPr>
            </w:pPr>
            <w:r w:rsidRPr="00446AD7">
              <w:rPr>
                <w:rFonts w:cs="Arial"/>
              </w:rPr>
              <w:t>2022-23</w:t>
            </w:r>
          </w:p>
        </w:tc>
        <w:tc>
          <w:tcPr>
            <w:tcW w:w="3118" w:type="dxa"/>
            <w:tcBorders>
              <w:top w:val="single" w:sz="4" w:space="0" w:color="auto"/>
              <w:left w:val="single" w:sz="4" w:space="0" w:color="auto"/>
              <w:bottom w:val="dotted" w:sz="4" w:space="0" w:color="auto"/>
              <w:right w:val="single" w:sz="4" w:space="0" w:color="auto"/>
            </w:tcBorders>
          </w:tcPr>
          <w:p w14:paraId="192D2DE8" w14:textId="77777777" w:rsidR="00034B81" w:rsidRPr="00446AD7" w:rsidRDefault="00034B81" w:rsidP="00C8474A">
            <w:pPr>
              <w:numPr>
                <w:ilvl w:val="0"/>
                <w:numId w:val="32"/>
              </w:numPr>
              <w:spacing w:before="60" w:after="60" w:line="240" w:lineRule="auto"/>
              <w:ind w:left="527" w:hanging="357"/>
              <w:rPr>
                <w:rFonts w:ascii="Arial" w:hAnsi="Arial" w:cs="Arial"/>
                <w:sz w:val="16"/>
                <w:szCs w:val="16"/>
              </w:rPr>
            </w:pPr>
            <w:r w:rsidRPr="00446AD7">
              <w:rPr>
                <w:rFonts w:ascii="Arial" w:hAnsi="Arial" w:cs="Arial"/>
                <w:sz w:val="16"/>
                <w:szCs w:val="16"/>
              </w:rPr>
              <w:t>CSC’s investment performance for its default accumulation options over a rolling three-year period.</w:t>
            </w:r>
          </w:p>
          <w:p w14:paraId="7546EA14" w14:textId="77777777" w:rsidR="00034B81" w:rsidRPr="00446AD7" w:rsidRDefault="00034B81" w:rsidP="0053714C">
            <w:pPr>
              <w:spacing w:before="60" w:after="60" w:line="240" w:lineRule="auto"/>
              <w:ind w:left="527" w:hanging="357"/>
              <w:rPr>
                <w:rFonts w:ascii="Arial" w:hAnsi="Arial" w:cs="Arial"/>
                <w:sz w:val="16"/>
                <w:szCs w:val="16"/>
              </w:rPr>
            </w:pPr>
          </w:p>
          <w:p w14:paraId="3C8F0870" w14:textId="77777777" w:rsidR="00034B81" w:rsidRPr="00446AD7" w:rsidRDefault="00034B81" w:rsidP="00C8474A">
            <w:pPr>
              <w:numPr>
                <w:ilvl w:val="0"/>
                <w:numId w:val="32"/>
              </w:numPr>
              <w:spacing w:before="60" w:after="60" w:line="240" w:lineRule="auto"/>
              <w:ind w:left="527" w:hanging="357"/>
              <w:rPr>
                <w:rFonts w:ascii="Arial" w:hAnsi="Arial" w:cs="Arial"/>
                <w:sz w:val="16"/>
                <w:szCs w:val="16"/>
              </w:rPr>
            </w:pPr>
            <w:r w:rsidRPr="00446AD7">
              <w:rPr>
                <w:rFonts w:ascii="Arial" w:hAnsi="Arial" w:cs="Arial"/>
                <w:sz w:val="16"/>
                <w:szCs w:val="16"/>
              </w:rPr>
              <w:t>CSC’s investment portfolio is maintained within Board approved risk parameters, such that negative returns are expected in no more than five out of every 20 years for the default accumulation options.</w:t>
            </w:r>
          </w:p>
          <w:p w14:paraId="56437E3D" w14:textId="77777777" w:rsidR="00034B81" w:rsidRPr="00446AD7" w:rsidRDefault="00034B81" w:rsidP="0053714C">
            <w:pPr>
              <w:spacing w:before="60" w:after="60" w:line="240" w:lineRule="auto"/>
              <w:ind w:left="527" w:hanging="357"/>
              <w:rPr>
                <w:rFonts w:ascii="Arial" w:hAnsi="Arial" w:cs="Arial"/>
                <w:sz w:val="16"/>
                <w:szCs w:val="16"/>
              </w:rPr>
            </w:pPr>
          </w:p>
          <w:p w14:paraId="764EC3EC" w14:textId="77777777" w:rsidR="00034B81" w:rsidRPr="00446AD7" w:rsidRDefault="00034B81" w:rsidP="00C8474A">
            <w:pPr>
              <w:numPr>
                <w:ilvl w:val="0"/>
                <w:numId w:val="32"/>
              </w:numPr>
              <w:spacing w:before="60" w:after="60" w:line="240" w:lineRule="auto"/>
              <w:ind w:left="527" w:hanging="357"/>
              <w:rPr>
                <w:rFonts w:ascii="Arial" w:hAnsi="Arial" w:cs="Arial"/>
                <w:sz w:val="16"/>
                <w:szCs w:val="16"/>
              </w:rPr>
            </w:pPr>
            <w:r w:rsidRPr="00446AD7">
              <w:rPr>
                <w:rFonts w:ascii="Arial" w:hAnsi="Arial" w:cs="Arial"/>
                <w:sz w:val="16"/>
                <w:szCs w:val="16"/>
              </w:rPr>
              <w:t>Achievement of operational objectives for contributions processing and benefits/pension payments.</w:t>
            </w:r>
            <w:r w:rsidRPr="00446AD7">
              <w:rPr>
                <w:rFonts w:ascii="Arial" w:hAnsi="Arial" w:cs="Arial"/>
                <w:sz w:val="16"/>
                <w:szCs w:val="16"/>
              </w:rPr>
              <w:br/>
            </w:r>
          </w:p>
          <w:p w14:paraId="46BF25CD" w14:textId="77777777" w:rsidR="00034B81" w:rsidRPr="00446AD7" w:rsidRDefault="00034B81" w:rsidP="00C8474A">
            <w:pPr>
              <w:numPr>
                <w:ilvl w:val="0"/>
                <w:numId w:val="32"/>
              </w:numPr>
              <w:spacing w:before="60" w:after="60" w:line="240" w:lineRule="auto"/>
              <w:ind w:left="527" w:hanging="357"/>
              <w:rPr>
                <w:rFonts w:ascii="Arial" w:hAnsi="Arial" w:cs="Arial"/>
                <w:sz w:val="16"/>
                <w:szCs w:val="16"/>
              </w:rPr>
            </w:pPr>
            <w:r w:rsidRPr="00446AD7">
              <w:rPr>
                <w:rFonts w:ascii="Arial" w:hAnsi="Arial" w:cs="Arial"/>
                <w:sz w:val="16"/>
                <w:szCs w:val="16"/>
              </w:rPr>
              <w:t>Adequate satisfaction levels of customers and employers with the service provided.</w:t>
            </w:r>
          </w:p>
          <w:p w14:paraId="2E1A070F" w14:textId="77777777" w:rsidR="00034B81" w:rsidRPr="00446AD7" w:rsidRDefault="00034B81" w:rsidP="0053714C">
            <w:pPr>
              <w:pStyle w:val="TableColumnHeadingLeft"/>
              <w:spacing w:before="60" w:after="60"/>
              <w:rPr>
                <w:rFonts w:ascii="Arial" w:hAnsi="Arial" w:cs="Arial"/>
                <w:b w:val="0"/>
              </w:rPr>
            </w:pPr>
          </w:p>
        </w:tc>
        <w:tc>
          <w:tcPr>
            <w:tcW w:w="3118" w:type="dxa"/>
            <w:tcBorders>
              <w:top w:val="single" w:sz="4" w:space="0" w:color="auto"/>
              <w:left w:val="single" w:sz="4" w:space="0" w:color="auto"/>
              <w:bottom w:val="dotted" w:sz="4" w:space="0" w:color="auto"/>
            </w:tcBorders>
          </w:tcPr>
          <w:p w14:paraId="378D9F45" w14:textId="77777777" w:rsidR="00034B81" w:rsidRPr="00446AD7" w:rsidRDefault="00034B81" w:rsidP="00C8474A">
            <w:pPr>
              <w:numPr>
                <w:ilvl w:val="0"/>
                <w:numId w:val="32"/>
              </w:numPr>
              <w:spacing w:before="60" w:after="60" w:line="240" w:lineRule="auto"/>
              <w:ind w:left="527" w:hanging="357"/>
              <w:rPr>
                <w:rFonts w:ascii="Arial" w:hAnsi="Arial" w:cs="Arial"/>
                <w:sz w:val="16"/>
                <w:szCs w:val="16"/>
              </w:rPr>
            </w:pPr>
            <w:r w:rsidRPr="00446AD7">
              <w:rPr>
                <w:rFonts w:ascii="Arial" w:hAnsi="Arial" w:cs="Arial"/>
                <w:sz w:val="16"/>
                <w:szCs w:val="16"/>
              </w:rPr>
              <w:t>Default accumulation options annual real return of 3.5% over a rolling three year period.</w:t>
            </w:r>
          </w:p>
          <w:p w14:paraId="4F23E538" w14:textId="77777777" w:rsidR="00034B81" w:rsidRPr="00446AD7" w:rsidRDefault="00034B81" w:rsidP="004F1672">
            <w:pPr>
              <w:spacing w:before="60" w:after="60" w:line="240" w:lineRule="auto"/>
              <w:ind w:left="527" w:hanging="357"/>
              <w:rPr>
                <w:rFonts w:ascii="Arial" w:hAnsi="Arial" w:cs="Arial"/>
                <w:sz w:val="16"/>
                <w:szCs w:val="16"/>
              </w:rPr>
            </w:pPr>
          </w:p>
          <w:p w14:paraId="2F1D764D" w14:textId="77777777" w:rsidR="00034B81" w:rsidRPr="00446AD7" w:rsidRDefault="00034B81" w:rsidP="004F1672">
            <w:pPr>
              <w:spacing w:before="60" w:after="60" w:line="240" w:lineRule="auto"/>
              <w:ind w:left="527" w:hanging="357"/>
              <w:rPr>
                <w:rFonts w:ascii="Arial" w:hAnsi="Arial" w:cs="Arial"/>
                <w:sz w:val="16"/>
                <w:szCs w:val="16"/>
              </w:rPr>
            </w:pPr>
          </w:p>
          <w:p w14:paraId="18504376" w14:textId="77777777" w:rsidR="00034B81" w:rsidRPr="00446AD7" w:rsidRDefault="00034B81" w:rsidP="00C8474A">
            <w:pPr>
              <w:numPr>
                <w:ilvl w:val="0"/>
                <w:numId w:val="32"/>
              </w:numPr>
              <w:spacing w:before="60" w:after="60" w:line="240" w:lineRule="auto"/>
              <w:ind w:left="527" w:hanging="357"/>
              <w:rPr>
                <w:rFonts w:ascii="Arial" w:hAnsi="Arial" w:cs="Arial"/>
                <w:sz w:val="16"/>
                <w:szCs w:val="16"/>
              </w:rPr>
            </w:pPr>
            <w:r w:rsidRPr="00446AD7">
              <w:rPr>
                <w:rFonts w:ascii="Arial" w:hAnsi="Arial" w:cs="Arial"/>
                <w:sz w:val="16"/>
                <w:szCs w:val="16"/>
              </w:rPr>
              <w:t>Negative returns in no more than five out of every 20 years for the default accumulation option.</w:t>
            </w:r>
          </w:p>
          <w:p w14:paraId="5A38D763" w14:textId="77777777" w:rsidR="00034B81" w:rsidRPr="00446AD7" w:rsidRDefault="00034B81" w:rsidP="004F1672">
            <w:pPr>
              <w:spacing w:before="60" w:after="60" w:line="240" w:lineRule="auto"/>
              <w:ind w:left="527" w:hanging="357"/>
              <w:rPr>
                <w:rFonts w:ascii="Arial" w:hAnsi="Arial" w:cs="Arial"/>
                <w:sz w:val="16"/>
                <w:szCs w:val="16"/>
              </w:rPr>
            </w:pPr>
          </w:p>
          <w:p w14:paraId="51ABE2C8" w14:textId="77777777" w:rsidR="00034B81" w:rsidRPr="00446AD7" w:rsidRDefault="00034B81" w:rsidP="004F1672">
            <w:pPr>
              <w:spacing w:before="60" w:after="60" w:line="240" w:lineRule="auto"/>
              <w:ind w:left="527" w:hanging="357"/>
              <w:rPr>
                <w:rFonts w:ascii="Arial" w:hAnsi="Arial" w:cs="Arial"/>
                <w:sz w:val="16"/>
                <w:szCs w:val="16"/>
              </w:rPr>
            </w:pPr>
          </w:p>
          <w:p w14:paraId="4A27E920" w14:textId="49C70605" w:rsidR="00034B81" w:rsidRDefault="00034B81" w:rsidP="004F1672">
            <w:pPr>
              <w:spacing w:before="60" w:after="60" w:line="240" w:lineRule="auto"/>
              <w:ind w:left="527" w:hanging="357"/>
              <w:rPr>
                <w:rFonts w:ascii="Arial" w:hAnsi="Arial" w:cs="Arial"/>
                <w:sz w:val="16"/>
                <w:szCs w:val="16"/>
              </w:rPr>
            </w:pPr>
          </w:p>
          <w:p w14:paraId="733ED764" w14:textId="77777777" w:rsidR="004A5520" w:rsidRPr="00446AD7" w:rsidRDefault="004A5520" w:rsidP="004F1672">
            <w:pPr>
              <w:spacing w:before="60" w:after="60" w:line="240" w:lineRule="auto"/>
              <w:ind w:left="527" w:hanging="357"/>
              <w:rPr>
                <w:rFonts w:ascii="Arial" w:hAnsi="Arial" w:cs="Arial"/>
                <w:sz w:val="16"/>
                <w:szCs w:val="16"/>
              </w:rPr>
            </w:pPr>
          </w:p>
          <w:p w14:paraId="78273BA0" w14:textId="77777777" w:rsidR="00034B81" w:rsidRPr="00446AD7" w:rsidRDefault="00034B81" w:rsidP="00C8474A">
            <w:pPr>
              <w:numPr>
                <w:ilvl w:val="0"/>
                <w:numId w:val="32"/>
              </w:numPr>
              <w:spacing w:before="60" w:after="60" w:line="240" w:lineRule="auto"/>
              <w:ind w:left="527" w:hanging="357"/>
              <w:rPr>
                <w:rFonts w:ascii="Arial" w:hAnsi="Arial" w:cs="Arial"/>
                <w:sz w:val="16"/>
                <w:szCs w:val="16"/>
              </w:rPr>
            </w:pPr>
            <w:r w:rsidRPr="00446AD7">
              <w:rPr>
                <w:rFonts w:ascii="Arial" w:hAnsi="Arial" w:cs="Arial"/>
                <w:sz w:val="16"/>
                <w:szCs w:val="16"/>
              </w:rPr>
              <w:t>90% of each operational objective achieved.</w:t>
            </w:r>
          </w:p>
          <w:p w14:paraId="3D8A1B5C" w14:textId="6259B2EE" w:rsidR="00DD36F4" w:rsidRPr="00446AD7" w:rsidRDefault="00034B81" w:rsidP="004A5520">
            <w:pPr>
              <w:spacing w:before="60" w:after="60" w:line="240" w:lineRule="auto"/>
              <w:ind w:left="527" w:hanging="357"/>
              <w:rPr>
                <w:rFonts w:ascii="Arial" w:hAnsi="Arial" w:cs="Arial"/>
                <w:sz w:val="16"/>
                <w:szCs w:val="16"/>
              </w:rPr>
            </w:pPr>
            <w:r w:rsidRPr="00446AD7">
              <w:rPr>
                <w:rFonts w:ascii="Arial" w:hAnsi="Arial" w:cs="Arial"/>
                <w:sz w:val="16"/>
                <w:szCs w:val="16"/>
              </w:rPr>
              <w:br/>
            </w:r>
          </w:p>
          <w:p w14:paraId="195767CB" w14:textId="4E3FF6DC" w:rsidR="00034B81" w:rsidRPr="00DD36F4" w:rsidRDefault="00034B81" w:rsidP="00DD36F4">
            <w:pPr>
              <w:numPr>
                <w:ilvl w:val="0"/>
                <w:numId w:val="32"/>
              </w:numPr>
              <w:spacing w:before="60" w:after="60" w:line="240" w:lineRule="auto"/>
              <w:ind w:left="527" w:hanging="357"/>
              <w:rPr>
                <w:rFonts w:ascii="Arial" w:eastAsia="Cambria" w:hAnsi="Arial" w:cs="Arial"/>
                <w:i/>
                <w:color w:val="0070C0"/>
                <w:sz w:val="22"/>
                <w:szCs w:val="22"/>
                <w:lang w:val="x-none" w:eastAsia="en-US"/>
              </w:rPr>
            </w:pPr>
            <w:r w:rsidRPr="00446AD7">
              <w:rPr>
                <w:rFonts w:ascii="Arial" w:hAnsi="Arial" w:cs="Arial"/>
                <w:sz w:val="16"/>
                <w:szCs w:val="16"/>
              </w:rPr>
              <w:t>Net Promoter Score (industry standard satisfaction measure) survey result of +10 for employers.</w:t>
            </w:r>
          </w:p>
          <w:p w14:paraId="493589B2" w14:textId="77777777" w:rsidR="00034B81" w:rsidRPr="00446AD7" w:rsidRDefault="00034B81" w:rsidP="00C8474A">
            <w:pPr>
              <w:numPr>
                <w:ilvl w:val="0"/>
                <w:numId w:val="32"/>
              </w:numPr>
              <w:spacing w:before="60" w:after="60" w:line="240" w:lineRule="auto"/>
              <w:ind w:left="527" w:hanging="357"/>
              <w:rPr>
                <w:rFonts w:ascii="Arial" w:eastAsia="Cambria" w:hAnsi="Arial" w:cs="Arial"/>
                <w:i/>
                <w:color w:val="0070C0"/>
                <w:sz w:val="16"/>
                <w:szCs w:val="16"/>
                <w:lang w:val="x-none" w:eastAsia="en-US"/>
              </w:rPr>
            </w:pPr>
            <w:r w:rsidRPr="00446AD7">
              <w:rPr>
                <w:rFonts w:ascii="Arial" w:hAnsi="Arial" w:cs="Arial"/>
                <w:sz w:val="16"/>
                <w:szCs w:val="16"/>
              </w:rPr>
              <w:t>Annual increases in Net Promoter Score survey results for both ADF customers and other customers of two points each.</w:t>
            </w:r>
          </w:p>
        </w:tc>
      </w:tr>
      <w:tr w:rsidR="00034B81" w:rsidRPr="00446AD7" w14:paraId="306796CF" w14:textId="77777777" w:rsidTr="0053714C">
        <w:trPr>
          <w:trHeight w:val="100"/>
        </w:trPr>
        <w:tc>
          <w:tcPr>
            <w:tcW w:w="1560" w:type="dxa"/>
            <w:tcBorders>
              <w:top w:val="dotted" w:sz="4" w:space="0" w:color="auto"/>
              <w:bottom w:val="dotted" w:sz="4" w:space="0" w:color="auto"/>
              <w:right w:val="single" w:sz="4" w:space="0" w:color="auto"/>
            </w:tcBorders>
          </w:tcPr>
          <w:p w14:paraId="11844365" w14:textId="77777777" w:rsidR="00034B81" w:rsidRPr="00446AD7" w:rsidRDefault="00034B81" w:rsidP="0053714C">
            <w:pPr>
              <w:pStyle w:val="TableTextLeft"/>
              <w:spacing w:before="60" w:after="60"/>
              <w:rPr>
                <w:rFonts w:cs="Arial"/>
              </w:rPr>
            </w:pPr>
            <w:r w:rsidRPr="00446AD7">
              <w:rPr>
                <w:rFonts w:cs="Arial"/>
              </w:rPr>
              <w:t xml:space="preserve">Forward Estimates </w:t>
            </w:r>
          </w:p>
          <w:p w14:paraId="1A1A454C" w14:textId="77777777" w:rsidR="00034B81" w:rsidRPr="00446AD7" w:rsidRDefault="00034B81" w:rsidP="0053714C">
            <w:pPr>
              <w:pStyle w:val="TableTextLeft"/>
              <w:spacing w:before="60" w:after="60"/>
              <w:rPr>
                <w:rFonts w:cs="Arial"/>
              </w:rPr>
            </w:pPr>
            <w:r w:rsidRPr="00446AD7">
              <w:rPr>
                <w:rFonts w:cs="Arial"/>
              </w:rPr>
              <w:t>2023-26</w:t>
            </w:r>
          </w:p>
        </w:tc>
        <w:tc>
          <w:tcPr>
            <w:tcW w:w="3118" w:type="dxa"/>
            <w:tcBorders>
              <w:top w:val="dotted" w:sz="4" w:space="0" w:color="auto"/>
              <w:left w:val="single" w:sz="4" w:space="0" w:color="auto"/>
              <w:bottom w:val="dotted" w:sz="4" w:space="0" w:color="auto"/>
              <w:right w:val="single" w:sz="4" w:space="0" w:color="auto"/>
            </w:tcBorders>
          </w:tcPr>
          <w:p w14:paraId="7CE132A6" w14:textId="77777777" w:rsidR="00034B81" w:rsidRPr="00446AD7" w:rsidRDefault="00034B81" w:rsidP="0053714C">
            <w:pPr>
              <w:pStyle w:val="TableTextBase"/>
              <w:spacing w:before="60" w:after="60"/>
              <w:rPr>
                <w:rFonts w:cs="Arial"/>
                <w:i/>
                <w:color w:val="0070C0"/>
                <w:szCs w:val="16"/>
              </w:rPr>
            </w:pPr>
            <w:r w:rsidRPr="00446AD7">
              <w:rPr>
                <w:rFonts w:cs="Arial"/>
                <w:szCs w:val="16"/>
              </w:rPr>
              <w:t>As per 2022-23</w:t>
            </w:r>
          </w:p>
        </w:tc>
        <w:tc>
          <w:tcPr>
            <w:tcW w:w="3118" w:type="dxa"/>
            <w:tcBorders>
              <w:top w:val="dotted" w:sz="4" w:space="0" w:color="auto"/>
              <w:left w:val="single" w:sz="4" w:space="0" w:color="auto"/>
              <w:bottom w:val="dotted" w:sz="4" w:space="0" w:color="auto"/>
            </w:tcBorders>
          </w:tcPr>
          <w:p w14:paraId="6660F36D" w14:textId="77777777" w:rsidR="00034B81" w:rsidRPr="00446AD7" w:rsidRDefault="00034B81" w:rsidP="0053714C">
            <w:pPr>
              <w:spacing w:before="60" w:after="60" w:line="240" w:lineRule="auto"/>
              <w:ind w:left="284" w:hanging="284"/>
              <w:rPr>
                <w:rFonts w:ascii="Arial" w:eastAsia="Cambria" w:hAnsi="Arial" w:cs="Arial"/>
                <w:i/>
                <w:color w:val="0070C0"/>
                <w:sz w:val="16"/>
                <w:szCs w:val="16"/>
                <w:lang w:val="x-none" w:eastAsia="en-US"/>
              </w:rPr>
            </w:pPr>
            <w:r w:rsidRPr="00446AD7">
              <w:rPr>
                <w:rFonts w:ascii="Arial" w:hAnsi="Arial" w:cs="Arial"/>
                <w:sz w:val="16"/>
                <w:szCs w:val="16"/>
              </w:rPr>
              <w:t>As per 2022-23</w:t>
            </w:r>
          </w:p>
        </w:tc>
      </w:tr>
      <w:tr w:rsidR="00034B81" w:rsidRPr="00446AD7" w14:paraId="5DE3EB94" w14:textId="77777777" w:rsidTr="0053714C">
        <w:trPr>
          <w:trHeight w:val="291"/>
        </w:trPr>
        <w:tc>
          <w:tcPr>
            <w:tcW w:w="7796" w:type="dxa"/>
            <w:gridSpan w:val="3"/>
          </w:tcPr>
          <w:p w14:paraId="1111407E" w14:textId="77777777" w:rsidR="00034B81" w:rsidRPr="00446AD7" w:rsidRDefault="00034B81" w:rsidP="0053714C">
            <w:pPr>
              <w:pStyle w:val="TableTextLeft"/>
              <w:spacing w:before="60" w:after="60"/>
              <w:rPr>
                <w:rFonts w:eastAsia="Cambria" w:cs="Arial"/>
                <w:bCs/>
                <w:iCs/>
                <w:color w:val="0070C0"/>
                <w:spacing w:val="-6"/>
                <w:lang w:val="x-none"/>
              </w:rPr>
            </w:pPr>
            <w:r w:rsidRPr="00446AD7">
              <w:rPr>
                <w:rFonts w:cs="Arial"/>
              </w:rPr>
              <w:t>Material changes to Program 1.1 resulting from October 2022-23 Budget Measures:</w:t>
            </w:r>
            <w:r w:rsidRPr="00446AD7">
              <w:rPr>
                <w:rFonts w:cs="Arial"/>
                <w:bCs/>
                <w:iCs/>
                <w:color w:val="2E74B5"/>
                <w:spacing w:val="-6"/>
              </w:rPr>
              <w:t xml:space="preserve"> </w:t>
            </w:r>
            <w:r w:rsidRPr="00446AD7">
              <w:rPr>
                <w:rFonts w:cs="Arial"/>
                <w:bCs/>
                <w:iCs/>
                <w:spacing w:val="-6"/>
              </w:rPr>
              <w:t>Nil</w:t>
            </w:r>
          </w:p>
        </w:tc>
      </w:tr>
    </w:tbl>
    <w:p w14:paraId="65181890" w14:textId="77777777" w:rsidR="00034B81" w:rsidRDefault="00034B81" w:rsidP="004D5C6C">
      <w:pPr>
        <w:pStyle w:val="Heading2"/>
        <w:rPr>
          <w:rFonts w:ascii="Arial" w:hAnsi="Arial"/>
          <w:sz w:val="20"/>
        </w:rPr>
      </w:pPr>
      <w:bookmarkStart w:id="166" w:name="_Toc116742515"/>
      <w:r>
        <w:rPr>
          <w:rFonts w:ascii="Arial" w:hAnsi="Arial"/>
          <w:sz w:val="20"/>
        </w:rPr>
        <w:br w:type="page"/>
      </w:r>
    </w:p>
    <w:p w14:paraId="2239E5DF" w14:textId="3C8212CD" w:rsidR="00BF0558" w:rsidRPr="006913EB" w:rsidRDefault="00BF0558" w:rsidP="004D5C6C">
      <w:pPr>
        <w:pStyle w:val="Heading2"/>
      </w:pPr>
      <w:bookmarkStart w:id="167" w:name="_Toc117070807"/>
      <w:bookmarkStart w:id="168" w:name="_Toc117071061"/>
      <w:bookmarkStart w:id="169" w:name="_Toc117078095"/>
      <w:r w:rsidRPr="006913EB">
        <w:lastRenderedPageBreak/>
        <w:t>Section 3: Budgeted financial statements</w:t>
      </w:r>
      <w:bookmarkEnd w:id="166"/>
      <w:bookmarkEnd w:id="167"/>
      <w:bookmarkEnd w:id="168"/>
      <w:bookmarkEnd w:id="169"/>
    </w:p>
    <w:p w14:paraId="2239E5E0" w14:textId="77777777" w:rsidR="00BF0558" w:rsidRPr="000D198C" w:rsidRDefault="00BF0558" w:rsidP="00BC5153">
      <w:pPr>
        <w:rPr>
          <w:szCs w:val="19"/>
        </w:rPr>
      </w:pPr>
      <w:r w:rsidRPr="000D198C">
        <w:rPr>
          <w:szCs w:val="19"/>
        </w:rPr>
        <w:t>Section 3 presents budgeted financial statements which provide a comprehensive snapshot of entity finances for the 2022-23</w:t>
      </w:r>
      <w:r w:rsidRPr="000D198C">
        <w:rPr>
          <w:color w:val="00B050"/>
          <w:szCs w:val="19"/>
        </w:rPr>
        <w:t xml:space="preserve"> </w:t>
      </w:r>
      <w:r w:rsidRPr="000D198C">
        <w:rPr>
          <w:szCs w:val="19"/>
        </w:rPr>
        <w:t>budget year, including the impact of budget measures and resourcing on financial statements.</w:t>
      </w:r>
    </w:p>
    <w:p w14:paraId="2239E5E1" w14:textId="77777777" w:rsidR="00BF0558" w:rsidRPr="005328A9" w:rsidRDefault="00BF0558" w:rsidP="004D5C6C">
      <w:pPr>
        <w:pStyle w:val="Heading3"/>
      </w:pPr>
      <w:bookmarkStart w:id="170" w:name="_Toc116742516"/>
      <w:bookmarkStart w:id="171" w:name="_Toc117070808"/>
      <w:bookmarkStart w:id="172" w:name="_Toc117071062"/>
      <w:bookmarkStart w:id="173" w:name="_Toc117078096"/>
      <w:r w:rsidRPr="005328A9">
        <w:t>3.1</w:t>
      </w:r>
      <w:r w:rsidRPr="005328A9">
        <w:tab/>
        <w:t>Budgeted financial statements</w:t>
      </w:r>
      <w:bookmarkEnd w:id="170"/>
      <w:bookmarkEnd w:id="171"/>
      <w:bookmarkEnd w:id="172"/>
      <w:bookmarkEnd w:id="173"/>
    </w:p>
    <w:p w14:paraId="2239E5E2" w14:textId="77777777" w:rsidR="00BF0558" w:rsidRDefault="00BF0558" w:rsidP="004D5C6C">
      <w:pPr>
        <w:pStyle w:val="Heading4"/>
      </w:pPr>
      <w:r>
        <w:t>3.1.1</w:t>
      </w:r>
      <w:r>
        <w:tab/>
        <w:t>Differences between entity resourcing and financial statements</w:t>
      </w:r>
    </w:p>
    <w:p w14:paraId="2239E5E3" w14:textId="77777777" w:rsidR="00BF0558" w:rsidRPr="000D198C" w:rsidRDefault="00BF0558" w:rsidP="004D5C6C">
      <w:pPr>
        <w:pStyle w:val="ExampleText0"/>
        <w:rPr>
          <w:rFonts w:eastAsiaTheme="minorHAnsi" w:cstheme="minorBidi"/>
          <w:i w:val="0"/>
          <w:color w:val="auto"/>
          <w:szCs w:val="19"/>
          <w:lang w:eastAsia="en-US"/>
        </w:rPr>
      </w:pPr>
      <w:r w:rsidRPr="000D198C">
        <w:rPr>
          <w:rFonts w:eastAsiaTheme="minorHAnsi" w:cstheme="minorBidi"/>
          <w:i w:val="0"/>
          <w:color w:val="auto"/>
          <w:szCs w:val="19"/>
          <w:lang w:eastAsia="en-US"/>
        </w:rPr>
        <w:t>No material differences exist between entity resourcing and the financial statements.</w:t>
      </w:r>
    </w:p>
    <w:p w14:paraId="2239E5E4" w14:textId="77777777" w:rsidR="00BF0558" w:rsidRDefault="00BF0558" w:rsidP="004D5C6C">
      <w:pPr>
        <w:pStyle w:val="Heading4"/>
      </w:pPr>
      <w:r>
        <w:t>3.1.2</w:t>
      </w:r>
      <w:r>
        <w:tab/>
        <w:t>Explanatory notes and analysis of budgeted financial statements</w:t>
      </w:r>
    </w:p>
    <w:p w14:paraId="2239E5E5" w14:textId="77777777" w:rsidR="00BF0558" w:rsidRPr="000D198C" w:rsidRDefault="00BF0558" w:rsidP="00BC5153">
      <w:pPr>
        <w:pStyle w:val="ExampleText0"/>
        <w:rPr>
          <w:i w:val="0"/>
          <w:color w:val="auto"/>
          <w:szCs w:val="19"/>
        </w:rPr>
      </w:pPr>
      <w:r w:rsidRPr="000D198C">
        <w:rPr>
          <w:i w:val="0"/>
          <w:color w:val="auto"/>
          <w:szCs w:val="19"/>
        </w:rPr>
        <w:t xml:space="preserve">CSC is the trustee for the PSSap, PSS, CSS, MSBS and ADF Super regulated superannuation schemes and six ‘unfunded’ superannuation schemes. The governance arrangements of these schemes are set out in the Governance of Australian Government Superannuation Schemes Act 2011 and various scheme specific Acts, Trust Deeds, legislation, rules and determinations. These requirements prescribe which costs are to be paid from scheme funds, and which costs are to be borne by the fees levied upon Commonwealth entities </w:t>
      </w:r>
    </w:p>
    <w:p w14:paraId="2239E5E6" w14:textId="77777777" w:rsidR="00BF0558" w:rsidRPr="000D198C" w:rsidRDefault="00BF0558" w:rsidP="00BC5153">
      <w:pPr>
        <w:pStyle w:val="ExampleText0"/>
        <w:rPr>
          <w:i w:val="0"/>
          <w:color w:val="auto"/>
          <w:szCs w:val="19"/>
        </w:rPr>
      </w:pPr>
      <w:r w:rsidRPr="000D198C">
        <w:rPr>
          <w:i w:val="0"/>
          <w:color w:val="auto"/>
          <w:szCs w:val="19"/>
        </w:rPr>
        <w:t>CSC receives revenue through fees paid by Commonwealth entities and some entities with residual membership in the schemes, such as the Northern Territory and Australian Capital Territory governments. All CSC fee revenue from Commonwealth entities is managed through a Special Account.</w:t>
      </w:r>
    </w:p>
    <w:p w14:paraId="2239E5E7" w14:textId="77777777" w:rsidR="00BF0558" w:rsidRPr="000D198C" w:rsidRDefault="00BF0558" w:rsidP="00BC5153">
      <w:pPr>
        <w:pStyle w:val="ExampleText0"/>
        <w:rPr>
          <w:i w:val="0"/>
          <w:color w:val="auto"/>
          <w:szCs w:val="19"/>
        </w:rPr>
      </w:pPr>
      <w:r w:rsidRPr="000D198C">
        <w:rPr>
          <w:i w:val="0"/>
          <w:color w:val="auto"/>
          <w:szCs w:val="19"/>
        </w:rPr>
        <w:t>CSC’s budgeted departmental expenses shown in this document reflect only the costs paid, and income received, by CSC into its Special Account and does not reflect the total cost involved in the investment of funds and administration of the schemes.</w:t>
      </w:r>
    </w:p>
    <w:p w14:paraId="2239E5E8" w14:textId="77777777" w:rsidR="00BF0558" w:rsidRPr="000D198C" w:rsidRDefault="00BF0558" w:rsidP="00BC5153">
      <w:pPr>
        <w:autoSpaceDE w:val="0"/>
        <w:autoSpaceDN w:val="0"/>
        <w:rPr>
          <w:szCs w:val="19"/>
        </w:rPr>
      </w:pPr>
      <w:r w:rsidRPr="000D198C">
        <w:rPr>
          <w:szCs w:val="19"/>
        </w:rPr>
        <w:t>The projected operating losses reflect the estimated accounting losses associated with the cost of replacing CSC’s scheme administration systems for its defined benefit schemes. CSC has sufficient cash reserves to fund the operating losses without impacting on the financial viability of CSC in the future.</w:t>
      </w:r>
    </w:p>
    <w:p w14:paraId="2239E5E9" w14:textId="3389C861" w:rsidR="00BF0558" w:rsidRPr="005808E2" w:rsidRDefault="005808E2" w:rsidP="005808E2">
      <w:pPr>
        <w:pStyle w:val="Heading3"/>
      </w:pPr>
      <w:bookmarkStart w:id="174" w:name="_Toc117071063"/>
      <w:bookmarkStart w:id="175" w:name="_Toc117078097"/>
      <w:r w:rsidRPr="005808E2">
        <w:lastRenderedPageBreak/>
        <w:t>3.2</w:t>
      </w:r>
      <w:r w:rsidR="00BF0558" w:rsidRPr="005808E2">
        <w:tab/>
        <w:t>Budgeted financial statements tables</w:t>
      </w:r>
      <w:bookmarkEnd w:id="174"/>
      <w:bookmarkEnd w:id="175"/>
    </w:p>
    <w:p w14:paraId="2239E5EA" w14:textId="77777777" w:rsidR="00BF0558" w:rsidRDefault="00BF0558" w:rsidP="004D5C6C">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14:paraId="2239E5EB" w14:textId="77777777" w:rsidR="00BF0558" w:rsidRDefault="00BF0558" w:rsidP="004D5C6C">
      <w:pPr>
        <w:pStyle w:val="TableGraphic"/>
        <w:rPr>
          <w:noProof/>
        </w:rPr>
      </w:pPr>
      <w:r w:rsidRPr="00D52088">
        <w:rPr>
          <w:noProof/>
        </w:rPr>
        <w:t xml:space="preserve"> </w:t>
      </w:r>
      <w:r w:rsidRPr="00C55825">
        <w:rPr>
          <w:noProof/>
        </w:rPr>
        <w:t xml:space="preserve"> </w:t>
      </w:r>
      <w:r w:rsidRPr="00AF7CB1">
        <w:rPr>
          <w:noProof/>
          <w:lang w:eastAsia="zh-CN"/>
        </w:rPr>
        <w:drawing>
          <wp:inline distT="0" distB="0" distL="0" distR="0" wp14:anchorId="2239EB59" wp14:editId="2239EB5A">
            <wp:extent cx="4895850" cy="34734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895850" cy="3473450"/>
                    </a:xfrm>
                    <a:prstGeom prst="rect">
                      <a:avLst/>
                    </a:prstGeom>
                    <a:noFill/>
                    <a:ln>
                      <a:noFill/>
                    </a:ln>
                  </pic:spPr>
                </pic:pic>
              </a:graphicData>
            </a:graphic>
          </wp:inline>
        </w:drawing>
      </w:r>
    </w:p>
    <w:p w14:paraId="478C63CF" w14:textId="77777777" w:rsidR="00C84DB3" w:rsidRDefault="00BF0558" w:rsidP="00EB32A1">
      <w:pPr>
        <w:pStyle w:val="Source"/>
        <w:spacing w:after="0"/>
        <w:ind w:left="0" w:firstLine="0"/>
        <w:rPr>
          <w:rFonts w:cs="Arial"/>
        </w:rPr>
      </w:pPr>
      <w:r w:rsidRPr="009D54F3">
        <w:rPr>
          <w:rFonts w:cs="Arial"/>
        </w:rPr>
        <w:t>Prepared on Australian Accounting Standards basis.</w:t>
      </w:r>
    </w:p>
    <w:p w14:paraId="26460EAF" w14:textId="38A58026" w:rsidR="00A71136" w:rsidRPr="00667F67" w:rsidRDefault="00C84DB3" w:rsidP="00C8474A">
      <w:pPr>
        <w:pStyle w:val="ChartandTableFootnoteAlpha"/>
        <w:numPr>
          <w:ilvl w:val="0"/>
          <w:numId w:val="46"/>
        </w:numPr>
        <w:spacing w:before="60"/>
        <w:ind w:left="284"/>
      </w:pPr>
      <w:r>
        <w:t>Expenses reflect only the cost paid by CSC and do not reflect the total cost involved in the investment of funds and administration of the schemes.</w:t>
      </w:r>
      <w:r w:rsidR="00A71136" w:rsidRPr="00667F67">
        <w:rPr>
          <w:rFonts w:cs="Arial"/>
        </w:rPr>
        <w:br w:type="page"/>
      </w:r>
    </w:p>
    <w:p w14:paraId="2239E5EE" w14:textId="33E2FE64" w:rsidR="00BF0558" w:rsidRPr="00A71136" w:rsidRDefault="00BF0558" w:rsidP="00A71136">
      <w:pPr>
        <w:pStyle w:val="TableHeading"/>
      </w:pPr>
      <w:r w:rsidRPr="00A71136">
        <w:lastRenderedPageBreak/>
        <w:t>Table 3.1: Comprehensive income statement (showing net cost of services) for the period ended 30 June (continued)</w:t>
      </w:r>
    </w:p>
    <w:p w14:paraId="2239E5EF" w14:textId="77777777" w:rsidR="00BF0558" w:rsidRPr="003819E1" w:rsidRDefault="00BF0558" w:rsidP="004D5C6C">
      <w:pPr>
        <w:pStyle w:val="SingleParagraph"/>
      </w:pPr>
    </w:p>
    <w:p w14:paraId="2239E5F0" w14:textId="77777777" w:rsidR="00BF0558" w:rsidRPr="003819E1" w:rsidRDefault="00BF0558" w:rsidP="004D5C6C">
      <w:pPr>
        <w:pStyle w:val="TableHeadingNoTable"/>
        <w:spacing w:after="0"/>
      </w:pPr>
      <w:r w:rsidRPr="003819E1">
        <w:t>Note: Impact of net cash appropriation arrangements</w:t>
      </w:r>
    </w:p>
    <w:p w14:paraId="2239E5F1" w14:textId="77777777" w:rsidR="00BF0558" w:rsidRPr="009D54F3" w:rsidRDefault="00BF0558" w:rsidP="004D5C6C">
      <w:pPr>
        <w:pStyle w:val="TableGraphic"/>
        <w:rPr>
          <w:rFonts w:ascii="Arial" w:hAnsi="Arial" w:cs="Arial"/>
        </w:rPr>
      </w:pPr>
      <w:r w:rsidRPr="00D52088">
        <w:rPr>
          <w:noProof/>
        </w:rPr>
        <w:t xml:space="preserve"> </w:t>
      </w:r>
      <w:r w:rsidRPr="00C55825">
        <w:rPr>
          <w:noProof/>
        </w:rPr>
        <w:t xml:space="preserve"> </w:t>
      </w:r>
      <w:r w:rsidRPr="00AF7CB1">
        <w:rPr>
          <w:noProof/>
          <w:lang w:eastAsia="zh-CN"/>
        </w:rPr>
        <w:drawing>
          <wp:inline distT="0" distB="0" distL="0" distR="0" wp14:anchorId="2239EB5B" wp14:editId="2239EB5C">
            <wp:extent cx="4895850" cy="13589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95850" cy="1358900"/>
                    </a:xfrm>
                    <a:prstGeom prst="rect">
                      <a:avLst/>
                    </a:prstGeom>
                    <a:noFill/>
                    <a:ln>
                      <a:noFill/>
                    </a:ln>
                  </pic:spPr>
                </pic:pic>
              </a:graphicData>
            </a:graphic>
          </wp:inline>
        </w:drawing>
      </w:r>
    </w:p>
    <w:p w14:paraId="2239E5F3" w14:textId="3BA2F7A9" w:rsidR="00BF0558" w:rsidRDefault="00BF0558" w:rsidP="00EB32A1">
      <w:pPr>
        <w:pStyle w:val="Source"/>
        <w:spacing w:after="0"/>
        <w:ind w:left="0" w:firstLine="0"/>
        <w:rPr>
          <w:rFonts w:cs="Arial"/>
        </w:rPr>
      </w:pPr>
      <w:r w:rsidRPr="009D54F3">
        <w:rPr>
          <w:rFonts w:cs="Arial"/>
        </w:rPr>
        <w:t>Prepared on Australian Accounting Standards basis.</w:t>
      </w:r>
    </w:p>
    <w:p w14:paraId="79167387" w14:textId="77777777" w:rsidR="00FE2CF1" w:rsidRPr="002A0F2E" w:rsidRDefault="00FE2CF1" w:rsidP="00C8474A">
      <w:pPr>
        <w:pStyle w:val="ChartandTableFootnoteAlpha"/>
        <w:numPr>
          <w:ilvl w:val="1"/>
          <w:numId w:val="46"/>
        </w:numPr>
        <w:spacing w:before="60"/>
        <w:ind w:left="284" w:hanging="284"/>
      </w:pPr>
      <w:r>
        <w:t>Applies leases under AASB 16 Leases.</w:t>
      </w:r>
    </w:p>
    <w:p w14:paraId="7603F26C" w14:textId="77777777" w:rsidR="00FE2CF1" w:rsidRDefault="00FE2CF1" w:rsidP="00EB32A1">
      <w:pPr>
        <w:pStyle w:val="Source"/>
        <w:spacing w:after="0"/>
        <w:ind w:left="0" w:firstLine="0"/>
      </w:pPr>
    </w:p>
    <w:p w14:paraId="644623A8" w14:textId="5E85E713" w:rsidR="00EB32A1" w:rsidRPr="00EB32A1" w:rsidRDefault="00BF0558" w:rsidP="00EB32A1">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p w14:paraId="2239E5F5" w14:textId="5CE8A253" w:rsidR="00BF0558" w:rsidRPr="00F626C2" w:rsidRDefault="00BF0558" w:rsidP="004D5C6C">
      <w:pPr>
        <w:pStyle w:val="TableGraphic"/>
      </w:pPr>
      <w:r w:rsidRPr="00DE7B37">
        <w:rPr>
          <w:noProof/>
        </w:rPr>
        <w:t xml:space="preserve"> </w:t>
      </w:r>
      <w:r w:rsidR="00A51915" w:rsidRPr="00A51915">
        <w:rPr>
          <w:noProof/>
          <w:lang w:eastAsia="zh-CN"/>
        </w:rPr>
        <w:drawing>
          <wp:inline distT="0" distB="0" distL="0" distR="0" wp14:anchorId="1C82B0AD" wp14:editId="7220CA8B">
            <wp:extent cx="4895850" cy="4851283"/>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895850" cy="4851283"/>
                    </a:xfrm>
                    <a:prstGeom prst="rect">
                      <a:avLst/>
                    </a:prstGeom>
                    <a:noFill/>
                    <a:ln>
                      <a:noFill/>
                    </a:ln>
                  </pic:spPr>
                </pic:pic>
              </a:graphicData>
            </a:graphic>
          </wp:inline>
        </w:drawing>
      </w:r>
    </w:p>
    <w:p w14:paraId="2239E5F6" w14:textId="77777777" w:rsidR="00BF0558" w:rsidRPr="00502C2F" w:rsidRDefault="00BF0558" w:rsidP="00EB32A1">
      <w:pPr>
        <w:pStyle w:val="TableGraphic"/>
        <w:spacing w:before="30"/>
        <w:ind w:right="0"/>
        <w:rPr>
          <w:rFonts w:ascii="Arial" w:hAnsi="Arial" w:cs="Arial"/>
          <w:sz w:val="16"/>
          <w:szCs w:val="16"/>
        </w:rPr>
      </w:pPr>
      <w:r w:rsidRPr="00502C2F">
        <w:rPr>
          <w:rFonts w:ascii="Arial" w:hAnsi="Arial" w:cs="Arial"/>
          <w:sz w:val="16"/>
          <w:szCs w:val="16"/>
        </w:rPr>
        <w:t xml:space="preserve">Prepared on </w:t>
      </w:r>
      <w:r w:rsidRPr="00D4191A">
        <w:rPr>
          <w:rStyle w:val="ChartandTableFootnoteChar"/>
          <w:rFonts w:cs="Arial"/>
          <w:szCs w:val="16"/>
        </w:rPr>
        <w:t>Australian</w:t>
      </w:r>
      <w:r w:rsidRPr="00502C2F">
        <w:rPr>
          <w:rFonts w:ascii="Arial" w:hAnsi="Arial" w:cs="Arial"/>
          <w:sz w:val="16"/>
          <w:szCs w:val="16"/>
        </w:rPr>
        <w:t xml:space="preserve"> Accounting Standards basis.</w:t>
      </w:r>
    </w:p>
    <w:p w14:paraId="2239E5F7" w14:textId="77777777" w:rsidR="00BF0558" w:rsidRPr="00152B2B" w:rsidRDefault="00BF0558" w:rsidP="00EB32A1">
      <w:pPr>
        <w:pStyle w:val="ChartandTableFootnote"/>
      </w:pPr>
      <w:r w:rsidRPr="00132F9E">
        <w:rPr>
          <w:rFonts w:cs="Arial"/>
        </w:rPr>
        <w:t>*‘Equity’ is the residual interest in assets after deduction of liabilities.</w:t>
      </w:r>
    </w:p>
    <w:p w14:paraId="2239E5F8" w14:textId="77777777" w:rsidR="00BF0558" w:rsidRDefault="00BF0558" w:rsidP="004D5C6C">
      <w:pPr>
        <w:pStyle w:val="TableHeading"/>
        <w:rPr>
          <w:rFonts w:ascii="Times New Roman" w:hAnsi="Times New Roman"/>
        </w:rPr>
      </w:pPr>
      <w:r>
        <w:br w:type="page"/>
      </w:r>
      <w:r w:rsidRPr="00AD42E2">
        <w:lastRenderedPageBreak/>
        <w:t>Table 3.3: Departmental statement of changes in equity — summary of</w:t>
      </w:r>
      <w:r>
        <w:t xml:space="preserve"> movement (Budget year 2022-23</w:t>
      </w:r>
      <w:r w:rsidRPr="00D30CBA">
        <w:t>)</w:t>
      </w:r>
      <w:r>
        <w:rPr>
          <w:color w:val="000000"/>
          <w:lang w:val="x-none" w:eastAsia="x-none"/>
        </w:rPr>
        <w:fldChar w:fldCharType="begin" w:fldLock="1"/>
      </w:r>
      <w:r>
        <w:instrText xml:space="preserve"> LINK Excel.Sheet.12 "\\\\romulus\\csg_h$\\MCD\\Publishing\\Graphic Design Services Team\\Projects\\2021\\Budget 2021\\03 PBS\\PBS templates\\Attachment B - 2021-22 PBS Excel Tables.xlsx" "Table 3.3!R3C1:R34C6" \a \f 4 \h </w:instrText>
      </w:r>
      <w:r>
        <w:rPr>
          <w:color w:val="000000"/>
          <w:lang w:val="x-none" w:eastAsia="x-none"/>
        </w:rPr>
        <w:fldChar w:fldCharType="separate"/>
      </w:r>
    </w:p>
    <w:p w14:paraId="2239E5F9" w14:textId="77777777" w:rsidR="00BF0558" w:rsidRDefault="00BF0558" w:rsidP="004D5C6C">
      <w:pPr>
        <w:pStyle w:val="TableGraphic"/>
      </w:pPr>
      <w:r>
        <w:fldChar w:fldCharType="end"/>
      </w:r>
      <w:r w:rsidRPr="002376AD">
        <w:t xml:space="preserve"> </w:t>
      </w:r>
      <w:r w:rsidRPr="00DE7B37">
        <w:rPr>
          <w:noProof/>
        </w:rPr>
        <w:t xml:space="preserve"> </w:t>
      </w:r>
      <w:r w:rsidRPr="00DE7B37">
        <w:rPr>
          <w:noProof/>
          <w:lang w:eastAsia="zh-CN"/>
        </w:rPr>
        <w:drawing>
          <wp:inline distT="0" distB="0" distL="0" distR="0" wp14:anchorId="2239EB5F" wp14:editId="2239EB60">
            <wp:extent cx="4895850" cy="2451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95850" cy="2451100"/>
                    </a:xfrm>
                    <a:prstGeom prst="rect">
                      <a:avLst/>
                    </a:prstGeom>
                    <a:noFill/>
                    <a:ln>
                      <a:noFill/>
                    </a:ln>
                  </pic:spPr>
                </pic:pic>
              </a:graphicData>
            </a:graphic>
          </wp:inline>
        </w:drawing>
      </w:r>
    </w:p>
    <w:p w14:paraId="2239E5FA" w14:textId="77777777" w:rsidR="00BF0558" w:rsidRPr="00132F9E" w:rsidRDefault="00BF0558" w:rsidP="00EB32A1">
      <w:pPr>
        <w:pStyle w:val="ChartandTableFootnote"/>
        <w:rPr>
          <w:szCs w:val="16"/>
        </w:rPr>
      </w:pPr>
      <w:r w:rsidRPr="00D606C2">
        <w:t>Prepared on Australian Accounting Standards basis</w:t>
      </w:r>
      <w:r w:rsidR="000A314F">
        <w:t>.</w:t>
      </w:r>
    </w:p>
    <w:p w14:paraId="2239E5FB" w14:textId="77777777" w:rsidR="00BF0558" w:rsidRPr="00152B2B" w:rsidRDefault="00BF0558" w:rsidP="00EB32A1">
      <w:pPr>
        <w:pStyle w:val="ChartandTableFootnote"/>
      </w:pPr>
    </w:p>
    <w:p w14:paraId="2239E5FC" w14:textId="77777777" w:rsidR="00BF0558" w:rsidRPr="00A00283" w:rsidRDefault="00BF0558">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14:paraId="2239E5FD" w14:textId="7B4E1B14" w:rsidR="00BF0558" w:rsidRPr="00F10305" w:rsidRDefault="00BF0558" w:rsidP="004D5C6C">
      <w:pPr>
        <w:pStyle w:val="TableGraphic"/>
        <w:tabs>
          <w:tab w:val="left" w:pos="6237"/>
        </w:tabs>
      </w:pPr>
      <w:r w:rsidRPr="00DE7B37">
        <w:rPr>
          <w:noProof/>
        </w:rPr>
        <w:t xml:space="preserve"> </w:t>
      </w:r>
      <w:r w:rsidR="00763EA8" w:rsidRPr="00763EA8">
        <w:rPr>
          <w:noProof/>
          <w:lang w:eastAsia="zh-CN"/>
        </w:rPr>
        <w:drawing>
          <wp:inline distT="0" distB="0" distL="0" distR="0" wp14:anchorId="05FA7531" wp14:editId="66F47CC8">
            <wp:extent cx="4895850" cy="52425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895850" cy="5242585"/>
                    </a:xfrm>
                    <a:prstGeom prst="rect">
                      <a:avLst/>
                    </a:prstGeom>
                    <a:noFill/>
                    <a:ln>
                      <a:noFill/>
                    </a:ln>
                  </pic:spPr>
                </pic:pic>
              </a:graphicData>
            </a:graphic>
          </wp:inline>
        </w:drawing>
      </w:r>
    </w:p>
    <w:p w14:paraId="7673FA1E" w14:textId="77777777" w:rsidR="00285275" w:rsidRDefault="00BF0558" w:rsidP="00EB32A1">
      <w:pPr>
        <w:pStyle w:val="TableGraphic"/>
        <w:spacing w:before="30"/>
        <w:ind w:right="0"/>
        <w:rPr>
          <w:rFonts w:ascii="Arial" w:hAnsi="Arial" w:cs="Arial"/>
          <w:sz w:val="16"/>
          <w:szCs w:val="16"/>
        </w:rPr>
      </w:pPr>
      <w:r w:rsidRPr="00502C2F">
        <w:rPr>
          <w:rFonts w:ascii="Arial" w:hAnsi="Arial" w:cs="Arial"/>
          <w:sz w:val="16"/>
          <w:szCs w:val="16"/>
        </w:rPr>
        <w:t>Prepared on Australian Accounting Standards basis.</w:t>
      </w:r>
    </w:p>
    <w:p w14:paraId="7BE280C8" w14:textId="77777777" w:rsidR="00285275" w:rsidRDefault="00285275" w:rsidP="006A612F">
      <w:pPr>
        <w:pStyle w:val="TableGraphic"/>
        <w:rPr>
          <w:rFonts w:ascii="Arial" w:hAnsi="Arial" w:cs="Arial"/>
          <w:sz w:val="16"/>
          <w:szCs w:val="16"/>
        </w:rPr>
      </w:pPr>
    </w:p>
    <w:p w14:paraId="0305D15C" w14:textId="77777777" w:rsidR="00285275" w:rsidRDefault="00285275" w:rsidP="006A612F">
      <w:pPr>
        <w:pStyle w:val="TableGraphic"/>
      </w:pPr>
    </w:p>
    <w:p w14:paraId="32BA9BB0" w14:textId="77777777" w:rsidR="00285275" w:rsidRDefault="00285275" w:rsidP="006A612F">
      <w:pPr>
        <w:pStyle w:val="TableGraphic"/>
      </w:pPr>
    </w:p>
    <w:p w14:paraId="6629B1F0" w14:textId="77777777" w:rsidR="00285275" w:rsidRDefault="00285275" w:rsidP="006A612F">
      <w:pPr>
        <w:pStyle w:val="TableGraphic"/>
      </w:pPr>
    </w:p>
    <w:p w14:paraId="3874F34F" w14:textId="77777777" w:rsidR="00285275" w:rsidRDefault="00285275" w:rsidP="006A612F">
      <w:pPr>
        <w:pStyle w:val="TableGraphic"/>
      </w:pPr>
    </w:p>
    <w:p w14:paraId="409D4501" w14:textId="77777777" w:rsidR="00285275" w:rsidRDefault="00285275" w:rsidP="006A612F">
      <w:pPr>
        <w:pStyle w:val="TableGraphic"/>
      </w:pPr>
    </w:p>
    <w:p w14:paraId="775656E1" w14:textId="77777777" w:rsidR="00285275" w:rsidRDefault="00285275" w:rsidP="006A612F">
      <w:pPr>
        <w:pStyle w:val="TableGraphic"/>
      </w:pPr>
    </w:p>
    <w:p w14:paraId="51039898" w14:textId="77777777" w:rsidR="00285275" w:rsidRDefault="00285275" w:rsidP="006A612F">
      <w:pPr>
        <w:pStyle w:val="TableGraphic"/>
      </w:pPr>
    </w:p>
    <w:p w14:paraId="0C7F250D" w14:textId="77777777" w:rsidR="00285275" w:rsidRDefault="00285275" w:rsidP="006A612F">
      <w:pPr>
        <w:pStyle w:val="TableGraphic"/>
      </w:pPr>
    </w:p>
    <w:p w14:paraId="2E5508B3" w14:textId="77777777" w:rsidR="00285275" w:rsidRDefault="00285275" w:rsidP="006A612F">
      <w:pPr>
        <w:pStyle w:val="TableGraphic"/>
      </w:pPr>
    </w:p>
    <w:p w14:paraId="76A4BFB3" w14:textId="77777777" w:rsidR="00285275" w:rsidRDefault="00285275" w:rsidP="006A612F">
      <w:pPr>
        <w:pStyle w:val="TableGraphic"/>
      </w:pPr>
    </w:p>
    <w:p w14:paraId="5A4B29D4" w14:textId="77777777" w:rsidR="00285275" w:rsidRDefault="00285275" w:rsidP="006A612F">
      <w:pPr>
        <w:pStyle w:val="TableGraphic"/>
      </w:pPr>
    </w:p>
    <w:p w14:paraId="2239E600" w14:textId="1A917BE8" w:rsidR="00BF0558" w:rsidRPr="00285275" w:rsidRDefault="00BF0558" w:rsidP="00285275">
      <w:pPr>
        <w:pStyle w:val="TableHeading"/>
      </w:pPr>
      <w:r w:rsidRPr="00D30CBA">
        <w:t>Table</w:t>
      </w:r>
      <w:r>
        <w:t xml:space="preserve"> 3.5</w:t>
      </w:r>
      <w:r w:rsidRPr="00D30CBA">
        <w:t xml:space="preserve">: </w:t>
      </w:r>
      <w:r>
        <w:t>Departmental capital budget statement (for the period ended 30 June)</w:t>
      </w:r>
    </w:p>
    <w:p w14:paraId="2239E601" w14:textId="08AF87AA" w:rsidR="00BF0558" w:rsidRDefault="002E0491" w:rsidP="004D5C6C">
      <w:pPr>
        <w:pStyle w:val="TableGraphic"/>
      </w:pPr>
      <w:r w:rsidRPr="002E0491">
        <w:rPr>
          <w:noProof/>
          <w:lang w:eastAsia="zh-CN"/>
        </w:rPr>
        <w:drawing>
          <wp:inline distT="0" distB="0" distL="0" distR="0" wp14:anchorId="2CF00E3B" wp14:editId="4DA08AB5">
            <wp:extent cx="4895850" cy="1972565"/>
            <wp:effectExtent l="0" t="0" r="0" b="889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895850" cy="1972565"/>
                    </a:xfrm>
                    <a:prstGeom prst="rect">
                      <a:avLst/>
                    </a:prstGeom>
                    <a:noFill/>
                    <a:ln>
                      <a:noFill/>
                    </a:ln>
                  </pic:spPr>
                </pic:pic>
              </a:graphicData>
            </a:graphic>
          </wp:inline>
        </w:drawing>
      </w:r>
    </w:p>
    <w:p w14:paraId="2239E604" w14:textId="08C1DD4C" w:rsidR="00EF1D53" w:rsidRDefault="00BF0558" w:rsidP="00EB32A1">
      <w:pPr>
        <w:pStyle w:val="ChartandTableFootnote"/>
      </w:pPr>
      <w:r w:rsidRPr="00132F9E">
        <w:t>Prepared on Austral</w:t>
      </w:r>
      <w:r w:rsidR="0023262C">
        <w:t>ian Accounting Standards basis.</w:t>
      </w:r>
    </w:p>
    <w:p w14:paraId="224641F3" w14:textId="77777777" w:rsidR="00EF1D53" w:rsidRPr="00EF1D53" w:rsidRDefault="00EF1D53" w:rsidP="00EF1D53"/>
    <w:p w14:paraId="0EEDB356" w14:textId="77777777" w:rsidR="00EF1D53" w:rsidRPr="00EF1D53" w:rsidRDefault="00EF1D53" w:rsidP="00EF1D53"/>
    <w:p w14:paraId="049155B9" w14:textId="77777777" w:rsidR="00EF1D53" w:rsidRPr="00EF1D53" w:rsidRDefault="00EF1D53" w:rsidP="00EF1D53"/>
    <w:p w14:paraId="4702B581" w14:textId="77777777" w:rsidR="00EF1D53" w:rsidRPr="00EF1D53" w:rsidRDefault="00EF1D53" w:rsidP="00EF1D53"/>
    <w:p w14:paraId="06F22F23" w14:textId="77777777" w:rsidR="00EF1D53" w:rsidRPr="00EF1D53" w:rsidRDefault="00EF1D53" w:rsidP="00EF1D53"/>
    <w:p w14:paraId="6D562F59" w14:textId="77777777" w:rsidR="00EF1D53" w:rsidRPr="00EF1D53" w:rsidRDefault="00EF1D53" w:rsidP="00EF1D53"/>
    <w:p w14:paraId="65648F11" w14:textId="77777777" w:rsidR="00EF1D53" w:rsidRPr="00EF1D53" w:rsidRDefault="00EF1D53" w:rsidP="00EF1D53"/>
    <w:p w14:paraId="489AA336" w14:textId="77777777" w:rsidR="00EF1D53" w:rsidRPr="00EF1D53" w:rsidRDefault="00EF1D53" w:rsidP="00EF1D53"/>
    <w:p w14:paraId="5882A82E" w14:textId="77777777" w:rsidR="00EF1D53" w:rsidRPr="00EF1D53" w:rsidRDefault="00EF1D53" w:rsidP="00EF1D53"/>
    <w:p w14:paraId="6C730E49" w14:textId="77777777" w:rsidR="00EF1D53" w:rsidRDefault="00EF1D53" w:rsidP="00A37A32">
      <w:pPr>
        <w:pStyle w:val="TableHeading"/>
      </w:pPr>
      <w:r>
        <w:br w:type="page"/>
      </w:r>
    </w:p>
    <w:p w14:paraId="2239E605" w14:textId="469C1233" w:rsidR="0079233F" w:rsidRDefault="00BF0558" w:rsidP="00A37A32">
      <w:pPr>
        <w:pStyle w:val="TableHeading"/>
      </w:pPr>
      <w:r w:rsidRPr="00D30CBA">
        <w:lastRenderedPageBreak/>
        <w:t>Table</w:t>
      </w:r>
      <w:r>
        <w:t xml:space="preserve"> 3.6</w:t>
      </w:r>
      <w:r w:rsidRPr="00D30CBA">
        <w:t xml:space="preserve">: </w:t>
      </w:r>
      <w:r>
        <w:t>Statement of departmental asset movements (Budget year 2022-23)</w:t>
      </w:r>
    </w:p>
    <w:p w14:paraId="27F45A4F" w14:textId="002EDFA3" w:rsidR="00436535" w:rsidRDefault="00C77403" w:rsidP="00EB32A1">
      <w:pPr>
        <w:pStyle w:val="ChartandTableFootnote"/>
      </w:pPr>
      <w:r w:rsidRPr="00C77403">
        <w:rPr>
          <w:noProof/>
          <w:lang w:eastAsia="zh-CN"/>
        </w:rPr>
        <w:drawing>
          <wp:inline distT="0" distB="0" distL="0" distR="0" wp14:anchorId="4C4651C7" wp14:editId="623E0411">
            <wp:extent cx="4802505" cy="44208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802505" cy="4420870"/>
                    </a:xfrm>
                    <a:prstGeom prst="rect">
                      <a:avLst/>
                    </a:prstGeom>
                    <a:noFill/>
                    <a:ln>
                      <a:noFill/>
                    </a:ln>
                  </pic:spPr>
                </pic:pic>
              </a:graphicData>
            </a:graphic>
          </wp:inline>
        </w:drawing>
      </w:r>
      <w:r w:rsidR="00BF0558" w:rsidRPr="00132F9E">
        <w:t>Prepared on Austra</w:t>
      </w:r>
      <w:r w:rsidR="00436535">
        <w:t>lian Accounting Standards basis.</w:t>
      </w:r>
      <w:r w:rsidR="00436535">
        <w:br w:type="page"/>
      </w:r>
    </w:p>
    <w:p w14:paraId="2239E693" w14:textId="00967ADE" w:rsidR="00BF0558" w:rsidRDefault="00BF0558" w:rsidP="00436535">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14:paraId="2239E695" w14:textId="4975D6B2" w:rsidR="00BF0558" w:rsidRPr="00B7521F" w:rsidRDefault="00BF0558" w:rsidP="000A314F">
      <w:pPr>
        <w:pStyle w:val="TableGraphic"/>
        <w:spacing w:before="240" w:after="240" w:line="240" w:lineRule="exact"/>
        <w:ind w:right="0"/>
        <w:rPr>
          <w:rFonts w:ascii="Arial" w:hAnsi="Arial" w:cs="Arial"/>
          <w:sz w:val="16"/>
          <w:szCs w:val="16"/>
        </w:rPr>
      </w:pPr>
      <w:r>
        <w:rPr>
          <w:noProof/>
        </w:rPr>
        <w:t>CSC has no budgeted income and expenses administered on behalf of the Government.</w:t>
      </w:r>
      <w:r w:rsidRPr="00DE7B37">
        <w:rPr>
          <w:rFonts w:ascii="Arial" w:hAnsi="Arial" w:cs="Arial"/>
          <w:sz w:val="16"/>
          <w:szCs w:val="16"/>
        </w:rPr>
        <w:t xml:space="preserve"> </w:t>
      </w:r>
    </w:p>
    <w:p w14:paraId="2239E696" w14:textId="77777777" w:rsidR="00BF0558" w:rsidRPr="00502C2F" w:rsidRDefault="00BF0558" w:rsidP="004D5C6C">
      <w:pPr>
        <w:pStyle w:val="TableGraphic"/>
        <w:rPr>
          <w:noProof/>
        </w:rPr>
      </w:pPr>
    </w:p>
    <w:p w14:paraId="2239E697" w14:textId="77777777" w:rsidR="00BF0558" w:rsidRDefault="00BF0558" w:rsidP="004D5C6C">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2239E699" w14:textId="081426A0" w:rsidR="00BF0558" w:rsidRDefault="00BF0558" w:rsidP="004D5C6C">
      <w:pPr>
        <w:pStyle w:val="TableGraphic"/>
        <w:spacing w:before="240" w:after="240" w:line="240" w:lineRule="exact"/>
        <w:ind w:right="0"/>
        <w:rPr>
          <w:noProof/>
        </w:rPr>
      </w:pPr>
      <w:r>
        <w:rPr>
          <w:noProof/>
        </w:rPr>
        <w:t>CSC has no budgeted assets and liabilities administered on behalf of the Government.</w:t>
      </w:r>
    </w:p>
    <w:p w14:paraId="2239E69A" w14:textId="77777777" w:rsidR="00BF0558" w:rsidRPr="00B7521F" w:rsidRDefault="00BF0558" w:rsidP="004D5C6C">
      <w:pPr>
        <w:pStyle w:val="TableGraphic"/>
        <w:rPr>
          <w:rFonts w:ascii="Arial" w:hAnsi="Arial" w:cs="Arial"/>
          <w:sz w:val="16"/>
          <w:szCs w:val="16"/>
        </w:rPr>
      </w:pPr>
    </w:p>
    <w:p w14:paraId="2239E69B" w14:textId="77777777" w:rsidR="00BF0558" w:rsidRDefault="00BF0558" w:rsidP="004D5C6C">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p w14:paraId="2239E69D" w14:textId="37445B68" w:rsidR="00BF0558" w:rsidRPr="00134ACA" w:rsidRDefault="00BF0558" w:rsidP="004D5C6C">
      <w:pPr>
        <w:pStyle w:val="TableGraphic"/>
        <w:spacing w:before="240" w:after="240" w:line="240" w:lineRule="exact"/>
        <w:ind w:right="0"/>
        <w:rPr>
          <w:noProof/>
        </w:rPr>
      </w:pPr>
      <w:r>
        <w:rPr>
          <w:noProof/>
        </w:rPr>
        <w:t>CSC has no budgetd cash flows administered on behalf of the Government.</w:t>
      </w:r>
      <w:r w:rsidRPr="00134ACA">
        <w:rPr>
          <w:noProof/>
        </w:rPr>
        <w:t xml:space="preserve"> </w:t>
      </w:r>
    </w:p>
    <w:p w14:paraId="2239E69E" w14:textId="77777777" w:rsidR="00BF0558" w:rsidRPr="0044552A" w:rsidRDefault="00BF0558" w:rsidP="004D5C6C">
      <w:pPr>
        <w:pStyle w:val="TableGraphic"/>
      </w:pPr>
    </w:p>
    <w:p w14:paraId="2239E69F" w14:textId="77777777" w:rsidR="00BF0558" w:rsidRDefault="00BF0558" w:rsidP="004D5C6C">
      <w:pPr>
        <w:pStyle w:val="TableHeading"/>
      </w:pPr>
      <w:r w:rsidRPr="00D30CBA">
        <w:t>Table</w:t>
      </w:r>
      <w:r>
        <w:t xml:space="preserve"> 3.10</w:t>
      </w:r>
      <w:r w:rsidRPr="00D30CBA">
        <w:t xml:space="preserve">: </w:t>
      </w:r>
      <w:r>
        <w:t>Schedule of administered capital budget statement (for the period ended 30 June)</w:t>
      </w:r>
    </w:p>
    <w:p w14:paraId="2239E6A1" w14:textId="357984CE" w:rsidR="00BF0558" w:rsidRPr="00134ACA" w:rsidRDefault="00BF0558" w:rsidP="004D5C6C">
      <w:pPr>
        <w:pStyle w:val="TableGraphic"/>
        <w:spacing w:before="240" w:after="240" w:line="240" w:lineRule="exact"/>
        <w:ind w:right="0"/>
        <w:rPr>
          <w:noProof/>
        </w:rPr>
      </w:pPr>
      <w:r>
        <w:rPr>
          <w:noProof/>
        </w:rPr>
        <w:t>CSC has no budgeted capital administered on behalf of the Government.</w:t>
      </w:r>
      <w:r w:rsidRPr="00134ACA">
        <w:rPr>
          <w:noProof/>
        </w:rPr>
        <w:t xml:space="preserve"> </w:t>
      </w:r>
    </w:p>
    <w:p w14:paraId="2239E6A2" w14:textId="77777777" w:rsidR="00BF0558" w:rsidRDefault="00BF0558" w:rsidP="004D5C6C">
      <w:pPr>
        <w:pStyle w:val="TableGraphic"/>
        <w:rPr>
          <w:noProof/>
        </w:rPr>
      </w:pPr>
    </w:p>
    <w:p w14:paraId="2239E6A3" w14:textId="77777777" w:rsidR="00BF0558" w:rsidRPr="00C17B32" w:rsidRDefault="00BF0558" w:rsidP="004D5C6C">
      <w:pPr>
        <w:pStyle w:val="TableHeading"/>
        <w:keepNext w:val="0"/>
        <w:spacing w:after="0" w:line="260" w:lineRule="exact"/>
        <w:jc w:val="both"/>
      </w:pPr>
      <w:r>
        <w:t>Table 3.11: Statement of administered asset movements (Budget year 2022-23)</w:t>
      </w:r>
    </w:p>
    <w:p w14:paraId="252690C0" w14:textId="4D4035A8" w:rsidR="003D4AAF" w:rsidRDefault="00BF0558" w:rsidP="003E5669">
      <w:pPr>
        <w:pStyle w:val="TableGraphic"/>
        <w:spacing w:before="240" w:after="240" w:line="240" w:lineRule="exact"/>
        <w:ind w:right="0"/>
        <w:rPr>
          <w:noProof/>
        </w:rPr>
      </w:pPr>
      <w:r>
        <w:rPr>
          <w:noProof/>
        </w:rPr>
        <w:t>CSC has no budgeted non-financial assets administered on behalf of the Governme</w:t>
      </w:r>
      <w:r w:rsidR="003E5669">
        <w:rPr>
          <w:noProof/>
        </w:rPr>
        <w:t>nt.</w:t>
      </w:r>
    </w:p>
    <w:p w14:paraId="43A0F001" w14:textId="4FBBBCCC" w:rsidR="003D4AAF" w:rsidRDefault="003D4AAF" w:rsidP="003D4AAF">
      <w:pPr>
        <w:spacing w:before="0" w:after="0" w:line="240" w:lineRule="auto"/>
      </w:pPr>
    </w:p>
    <w:p w14:paraId="7046BFBD" w14:textId="6ED3A9F0" w:rsidR="003D4AAF" w:rsidRDefault="003D4AAF" w:rsidP="003D4AAF">
      <w:pPr>
        <w:spacing w:before="0" w:after="0" w:line="240" w:lineRule="auto"/>
      </w:pPr>
    </w:p>
    <w:p w14:paraId="492B57F9" w14:textId="39B6DEFD" w:rsidR="003D4AAF" w:rsidRDefault="003D4AAF" w:rsidP="003D4AAF">
      <w:pPr>
        <w:spacing w:before="0" w:after="0" w:line="240" w:lineRule="auto"/>
      </w:pPr>
    </w:p>
    <w:p w14:paraId="379563C1" w14:textId="52E25032" w:rsidR="003D4AAF" w:rsidRDefault="003D4AAF" w:rsidP="003D4AAF">
      <w:pPr>
        <w:spacing w:before="0" w:after="0" w:line="240" w:lineRule="auto"/>
      </w:pPr>
    </w:p>
    <w:p w14:paraId="4F2B75CA" w14:textId="5D530299" w:rsidR="003D4AAF" w:rsidRDefault="003D4AAF" w:rsidP="003D4AAF">
      <w:pPr>
        <w:spacing w:before="0" w:after="0" w:line="240" w:lineRule="auto"/>
      </w:pPr>
    </w:p>
    <w:p w14:paraId="54978C36" w14:textId="57889094" w:rsidR="003D4AAF" w:rsidRDefault="003D4AAF" w:rsidP="003D4AAF">
      <w:pPr>
        <w:spacing w:before="0" w:after="0" w:line="240" w:lineRule="auto"/>
      </w:pPr>
    </w:p>
    <w:p w14:paraId="2AE04D55" w14:textId="77777777" w:rsidR="003E5669" w:rsidRDefault="003E5669" w:rsidP="005A7C0B">
      <w:pPr>
        <w:pStyle w:val="PartHeading"/>
        <w:sectPr w:rsidR="003E5669" w:rsidSect="001853D7">
          <w:headerReference w:type="even" r:id="rId119"/>
          <w:headerReference w:type="default" r:id="rId120"/>
          <w:footerReference w:type="even" r:id="rId121"/>
          <w:footerReference w:type="default" r:id="rId122"/>
          <w:headerReference w:type="first" r:id="rId123"/>
          <w:footerReference w:type="first" r:id="rId124"/>
          <w:type w:val="oddPage"/>
          <w:pgSz w:w="11906" w:h="16838" w:code="9"/>
          <w:pgMar w:top="2693" w:right="2098" w:bottom="2466" w:left="2098" w:header="1814" w:footer="1814" w:gutter="0"/>
          <w:cols w:space="708"/>
          <w:titlePg/>
          <w:docGrid w:linePitch="360"/>
        </w:sectPr>
      </w:pPr>
    </w:p>
    <w:p w14:paraId="2239E6B0" w14:textId="3790036D" w:rsidR="00BF0558" w:rsidRPr="005A7C0B" w:rsidRDefault="00BF0558" w:rsidP="005A7C0B">
      <w:pPr>
        <w:pStyle w:val="PartHeading"/>
      </w:pPr>
      <w:r>
        <w:lastRenderedPageBreak/>
        <w:t>Digital Transformation Agency</w:t>
      </w:r>
    </w:p>
    <w:p w14:paraId="2239E6B1" w14:textId="77777777" w:rsidR="00BF0558" w:rsidRDefault="00BF0558" w:rsidP="005A7C0B">
      <w:pPr>
        <w:pStyle w:val="PartHeading"/>
      </w:pPr>
    </w:p>
    <w:p w14:paraId="2239E6B2" w14:textId="77777777" w:rsidR="00BF0558" w:rsidRDefault="00BF0558" w:rsidP="00CD0244">
      <w:pPr>
        <w:pStyle w:val="PartHeading"/>
      </w:pPr>
      <w:r>
        <w:t>Entity resources and planned performance</w:t>
      </w:r>
    </w:p>
    <w:p w14:paraId="2239E6B3" w14:textId="77777777" w:rsidR="00BF0558" w:rsidRDefault="00BF0558" w:rsidP="005A7C0B">
      <w:pPr>
        <w:pStyle w:val="PartHeading"/>
        <w:sectPr w:rsidR="00BF0558" w:rsidSect="003D4AAF">
          <w:headerReference w:type="first" r:id="rId125"/>
          <w:footerReference w:type="first" r:id="rId126"/>
          <w:type w:val="oddPage"/>
          <w:pgSz w:w="11906" w:h="16838" w:code="9"/>
          <w:pgMar w:top="2693" w:right="2098" w:bottom="2466" w:left="2098" w:header="1814" w:footer="1814" w:gutter="0"/>
          <w:cols w:space="708"/>
          <w:vAlign w:val="center"/>
          <w:titlePg/>
          <w:docGrid w:linePitch="360"/>
        </w:sectPr>
      </w:pPr>
    </w:p>
    <w:p w14:paraId="2239E6B4" w14:textId="77777777" w:rsidR="00BF0558" w:rsidRPr="00E36F77" w:rsidRDefault="00BF0558" w:rsidP="00E36F77">
      <w:pPr>
        <w:pStyle w:val="ContentsHeading"/>
      </w:pPr>
      <w:r>
        <w:lastRenderedPageBreak/>
        <w:t>Digital Transformation Agency</w:t>
      </w:r>
    </w:p>
    <w:p w14:paraId="341DFBEF" w14:textId="0B639FAA" w:rsidR="00DD7FBC" w:rsidRDefault="00BF0558" w:rsidP="00DD7FBC">
      <w:pPr>
        <w:pStyle w:val="TOC1"/>
        <w:rPr>
          <w:rFonts w:asciiTheme="minorHAnsi" w:eastAsiaTheme="minorEastAsia" w:hAnsiTheme="minorHAnsi" w:cstheme="minorBidi"/>
          <w:noProof/>
          <w:sz w:val="22"/>
          <w:szCs w:val="22"/>
        </w:rPr>
      </w:pPr>
      <w:r>
        <w:fldChar w:fldCharType="begin"/>
      </w:r>
      <w:r>
        <w:instrText xml:space="preserve"> TOC \h \z \t "Heading 2,1,Heading 3,2" </w:instrText>
      </w:r>
      <w:r>
        <w:fldChar w:fldCharType="separate"/>
      </w:r>
    </w:p>
    <w:p w14:paraId="513EF23B" w14:textId="66E81A5F" w:rsidR="00DD7FBC" w:rsidRDefault="00DD7FBC">
      <w:pPr>
        <w:pStyle w:val="TOC2"/>
        <w:rPr>
          <w:rFonts w:asciiTheme="minorHAnsi" w:eastAsiaTheme="minorEastAsia" w:hAnsiTheme="minorHAnsi" w:cstheme="minorBidi"/>
          <w:noProof/>
          <w:sz w:val="22"/>
          <w:szCs w:val="22"/>
        </w:rPr>
      </w:pPr>
    </w:p>
    <w:p w14:paraId="76DF8FE1" w14:textId="735B44B0" w:rsidR="00DD7FBC" w:rsidRDefault="00F5323E">
      <w:pPr>
        <w:pStyle w:val="TOC1"/>
        <w:rPr>
          <w:rFonts w:asciiTheme="minorHAnsi" w:eastAsiaTheme="minorEastAsia" w:hAnsiTheme="minorHAnsi" w:cstheme="minorBidi"/>
          <w:b w:val="0"/>
          <w:noProof/>
          <w:sz w:val="22"/>
          <w:szCs w:val="22"/>
        </w:rPr>
      </w:pPr>
      <w:hyperlink w:anchor="_Toc117078098" w:history="1">
        <w:r w:rsidR="00DD7FBC" w:rsidRPr="00B009E6">
          <w:rPr>
            <w:rStyle w:val="Hyperlink"/>
            <w:noProof/>
          </w:rPr>
          <w:t>Section 1: Entity overview and resources</w:t>
        </w:r>
        <w:r w:rsidR="00DD7FBC">
          <w:rPr>
            <w:noProof/>
            <w:webHidden/>
          </w:rPr>
          <w:tab/>
        </w:r>
        <w:r w:rsidR="00DD7FBC">
          <w:rPr>
            <w:noProof/>
            <w:webHidden/>
          </w:rPr>
          <w:fldChar w:fldCharType="begin"/>
        </w:r>
        <w:r w:rsidR="00DD7FBC">
          <w:rPr>
            <w:noProof/>
            <w:webHidden/>
          </w:rPr>
          <w:instrText xml:space="preserve"> PAGEREF _Toc117078098 \h </w:instrText>
        </w:r>
        <w:r w:rsidR="00DD7FBC">
          <w:rPr>
            <w:noProof/>
            <w:webHidden/>
          </w:rPr>
        </w:r>
        <w:r w:rsidR="00DD7FBC">
          <w:rPr>
            <w:noProof/>
            <w:webHidden/>
          </w:rPr>
          <w:fldChar w:fldCharType="separate"/>
        </w:r>
        <w:r w:rsidR="00E5337D">
          <w:rPr>
            <w:noProof/>
            <w:webHidden/>
          </w:rPr>
          <w:t>129</w:t>
        </w:r>
        <w:r w:rsidR="00DD7FBC">
          <w:rPr>
            <w:noProof/>
            <w:webHidden/>
          </w:rPr>
          <w:fldChar w:fldCharType="end"/>
        </w:r>
      </w:hyperlink>
    </w:p>
    <w:p w14:paraId="799FB1C2" w14:textId="7C0A2E09" w:rsidR="00DD7FBC" w:rsidRDefault="00F5323E">
      <w:pPr>
        <w:pStyle w:val="TOC2"/>
        <w:rPr>
          <w:rFonts w:asciiTheme="minorHAnsi" w:eastAsiaTheme="minorEastAsia" w:hAnsiTheme="minorHAnsi" w:cstheme="minorBidi"/>
          <w:noProof/>
          <w:sz w:val="22"/>
          <w:szCs w:val="22"/>
        </w:rPr>
      </w:pPr>
      <w:hyperlink w:anchor="_Toc117078099" w:history="1">
        <w:r w:rsidR="00DD7FBC" w:rsidRPr="00B009E6">
          <w:rPr>
            <w:rStyle w:val="Hyperlink"/>
            <w:noProof/>
          </w:rPr>
          <w:t>1.1</w:t>
        </w:r>
        <w:r w:rsidR="00DD7FBC">
          <w:rPr>
            <w:rFonts w:asciiTheme="minorHAnsi" w:eastAsiaTheme="minorEastAsia" w:hAnsiTheme="minorHAnsi" w:cstheme="minorBidi"/>
            <w:noProof/>
            <w:sz w:val="22"/>
            <w:szCs w:val="22"/>
          </w:rPr>
          <w:tab/>
        </w:r>
        <w:r w:rsidR="00DD7FBC" w:rsidRPr="00B009E6">
          <w:rPr>
            <w:rStyle w:val="Hyperlink"/>
            <w:noProof/>
          </w:rPr>
          <w:t>Strategic direction statement</w:t>
        </w:r>
        <w:r w:rsidR="00DD7FBC">
          <w:rPr>
            <w:noProof/>
            <w:webHidden/>
          </w:rPr>
          <w:tab/>
        </w:r>
        <w:r w:rsidR="00DD7FBC">
          <w:rPr>
            <w:noProof/>
            <w:webHidden/>
          </w:rPr>
          <w:fldChar w:fldCharType="begin"/>
        </w:r>
        <w:r w:rsidR="00DD7FBC">
          <w:rPr>
            <w:noProof/>
            <w:webHidden/>
          </w:rPr>
          <w:instrText xml:space="preserve"> PAGEREF _Toc117078099 \h </w:instrText>
        </w:r>
        <w:r w:rsidR="00DD7FBC">
          <w:rPr>
            <w:noProof/>
            <w:webHidden/>
          </w:rPr>
        </w:r>
        <w:r w:rsidR="00DD7FBC">
          <w:rPr>
            <w:noProof/>
            <w:webHidden/>
          </w:rPr>
          <w:fldChar w:fldCharType="separate"/>
        </w:r>
        <w:r w:rsidR="00E5337D">
          <w:rPr>
            <w:noProof/>
            <w:webHidden/>
          </w:rPr>
          <w:t>129</w:t>
        </w:r>
        <w:r w:rsidR="00DD7FBC">
          <w:rPr>
            <w:noProof/>
            <w:webHidden/>
          </w:rPr>
          <w:fldChar w:fldCharType="end"/>
        </w:r>
      </w:hyperlink>
    </w:p>
    <w:p w14:paraId="7E73459A" w14:textId="48D31A0C" w:rsidR="00DD7FBC" w:rsidRDefault="00F5323E">
      <w:pPr>
        <w:pStyle w:val="TOC2"/>
        <w:rPr>
          <w:rFonts w:asciiTheme="minorHAnsi" w:eastAsiaTheme="minorEastAsia" w:hAnsiTheme="minorHAnsi" w:cstheme="minorBidi"/>
          <w:noProof/>
          <w:sz w:val="22"/>
          <w:szCs w:val="22"/>
        </w:rPr>
      </w:pPr>
      <w:hyperlink w:anchor="_Toc117078100" w:history="1">
        <w:r w:rsidR="00DD7FBC" w:rsidRPr="00B009E6">
          <w:rPr>
            <w:rStyle w:val="Hyperlink"/>
            <w:noProof/>
          </w:rPr>
          <w:t>1.2</w:t>
        </w:r>
        <w:r w:rsidR="00DD7FBC">
          <w:rPr>
            <w:rFonts w:asciiTheme="minorHAnsi" w:eastAsiaTheme="minorEastAsia" w:hAnsiTheme="minorHAnsi" w:cstheme="minorBidi"/>
            <w:noProof/>
            <w:sz w:val="22"/>
            <w:szCs w:val="22"/>
          </w:rPr>
          <w:tab/>
        </w:r>
        <w:r w:rsidR="00DD7FBC" w:rsidRPr="00B009E6">
          <w:rPr>
            <w:rStyle w:val="Hyperlink"/>
            <w:noProof/>
          </w:rPr>
          <w:t>Entity resource statement</w:t>
        </w:r>
        <w:r w:rsidR="00DD7FBC">
          <w:rPr>
            <w:noProof/>
            <w:webHidden/>
          </w:rPr>
          <w:tab/>
        </w:r>
        <w:r w:rsidR="00DD7FBC">
          <w:rPr>
            <w:noProof/>
            <w:webHidden/>
          </w:rPr>
          <w:fldChar w:fldCharType="begin"/>
        </w:r>
        <w:r w:rsidR="00DD7FBC">
          <w:rPr>
            <w:noProof/>
            <w:webHidden/>
          </w:rPr>
          <w:instrText xml:space="preserve"> PAGEREF _Toc117078100 \h </w:instrText>
        </w:r>
        <w:r w:rsidR="00DD7FBC">
          <w:rPr>
            <w:noProof/>
            <w:webHidden/>
          </w:rPr>
        </w:r>
        <w:r w:rsidR="00DD7FBC">
          <w:rPr>
            <w:noProof/>
            <w:webHidden/>
          </w:rPr>
          <w:fldChar w:fldCharType="separate"/>
        </w:r>
        <w:r w:rsidR="00E5337D">
          <w:rPr>
            <w:noProof/>
            <w:webHidden/>
          </w:rPr>
          <w:t>130</w:t>
        </w:r>
        <w:r w:rsidR="00DD7FBC">
          <w:rPr>
            <w:noProof/>
            <w:webHidden/>
          </w:rPr>
          <w:fldChar w:fldCharType="end"/>
        </w:r>
      </w:hyperlink>
    </w:p>
    <w:p w14:paraId="274214F7" w14:textId="0C0A3689" w:rsidR="00DD7FBC" w:rsidRDefault="00F5323E">
      <w:pPr>
        <w:pStyle w:val="TOC2"/>
        <w:rPr>
          <w:rFonts w:asciiTheme="minorHAnsi" w:eastAsiaTheme="minorEastAsia" w:hAnsiTheme="minorHAnsi" w:cstheme="minorBidi"/>
          <w:noProof/>
          <w:sz w:val="22"/>
          <w:szCs w:val="22"/>
        </w:rPr>
      </w:pPr>
      <w:hyperlink w:anchor="_Toc117078101" w:history="1">
        <w:r w:rsidR="00DD7FBC" w:rsidRPr="00B009E6">
          <w:rPr>
            <w:rStyle w:val="Hyperlink"/>
            <w:noProof/>
          </w:rPr>
          <w:t>1.3</w:t>
        </w:r>
        <w:r w:rsidR="00DD7FBC">
          <w:rPr>
            <w:rFonts w:asciiTheme="minorHAnsi" w:eastAsiaTheme="minorEastAsia" w:hAnsiTheme="minorHAnsi" w:cstheme="minorBidi"/>
            <w:noProof/>
            <w:sz w:val="22"/>
            <w:szCs w:val="22"/>
          </w:rPr>
          <w:tab/>
        </w:r>
        <w:r w:rsidR="00DD7FBC" w:rsidRPr="00B009E6">
          <w:rPr>
            <w:rStyle w:val="Hyperlink"/>
            <w:noProof/>
          </w:rPr>
          <w:t>Budget measures</w:t>
        </w:r>
        <w:r w:rsidR="00DD7FBC">
          <w:rPr>
            <w:noProof/>
            <w:webHidden/>
          </w:rPr>
          <w:tab/>
        </w:r>
        <w:r w:rsidR="00DD7FBC">
          <w:rPr>
            <w:noProof/>
            <w:webHidden/>
          </w:rPr>
          <w:fldChar w:fldCharType="begin"/>
        </w:r>
        <w:r w:rsidR="00DD7FBC">
          <w:rPr>
            <w:noProof/>
            <w:webHidden/>
          </w:rPr>
          <w:instrText xml:space="preserve"> PAGEREF _Toc117078101 \h </w:instrText>
        </w:r>
        <w:r w:rsidR="00DD7FBC">
          <w:rPr>
            <w:noProof/>
            <w:webHidden/>
          </w:rPr>
        </w:r>
        <w:r w:rsidR="00DD7FBC">
          <w:rPr>
            <w:noProof/>
            <w:webHidden/>
          </w:rPr>
          <w:fldChar w:fldCharType="separate"/>
        </w:r>
        <w:r w:rsidR="00E5337D">
          <w:rPr>
            <w:noProof/>
            <w:webHidden/>
          </w:rPr>
          <w:t>132</w:t>
        </w:r>
        <w:r w:rsidR="00DD7FBC">
          <w:rPr>
            <w:noProof/>
            <w:webHidden/>
          </w:rPr>
          <w:fldChar w:fldCharType="end"/>
        </w:r>
      </w:hyperlink>
    </w:p>
    <w:p w14:paraId="2D2B107D" w14:textId="2EB2E1B4" w:rsidR="00DD7FBC" w:rsidRDefault="00F5323E">
      <w:pPr>
        <w:pStyle w:val="TOC1"/>
        <w:rPr>
          <w:rFonts w:asciiTheme="minorHAnsi" w:eastAsiaTheme="minorEastAsia" w:hAnsiTheme="minorHAnsi" w:cstheme="minorBidi"/>
          <w:b w:val="0"/>
          <w:noProof/>
          <w:sz w:val="22"/>
          <w:szCs w:val="22"/>
        </w:rPr>
      </w:pPr>
      <w:hyperlink w:anchor="_Toc117078102" w:history="1">
        <w:r w:rsidR="00DD7FBC" w:rsidRPr="00B009E6">
          <w:rPr>
            <w:rStyle w:val="Hyperlink"/>
            <w:noProof/>
          </w:rPr>
          <w:t>Section 2: Outcomes and planned performance</w:t>
        </w:r>
        <w:r w:rsidR="00DD7FBC">
          <w:rPr>
            <w:noProof/>
            <w:webHidden/>
          </w:rPr>
          <w:tab/>
        </w:r>
        <w:r w:rsidR="00DD7FBC">
          <w:rPr>
            <w:noProof/>
            <w:webHidden/>
          </w:rPr>
          <w:fldChar w:fldCharType="begin"/>
        </w:r>
        <w:r w:rsidR="00DD7FBC">
          <w:rPr>
            <w:noProof/>
            <w:webHidden/>
          </w:rPr>
          <w:instrText xml:space="preserve"> PAGEREF _Toc117078102 \h </w:instrText>
        </w:r>
        <w:r w:rsidR="00DD7FBC">
          <w:rPr>
            <w:noProof/>
            <w:webHidden/>
          </w:rPr>
        </w:r>
        <w:r w:rsidR="00DD7FBC">
          <w:rPr>
            <w:noProof/>
            <w:webHidden/>
          </w:rPr>
          <w:fldChar w:fldCharType="separate"/>
        </w:r>
        <w:r w:rsidR="00E5337D">
          <w:rPr>
            <w:noProof/>
            <w:webHidden/>
          </w:rPr>
          <w:t>133</w:t>
        </w:r>
        <w:r w:rsidR="00DD7FBC">
          <w:rPr>
            <w:noProof/>
            <w:webHidden/>
          </w:rPr>
          <w:fldChar w:fldCharType="end"/>
        </w:r>
      </w:hyperlink>
    </w:p>
    <w:p w14:paraId="68244D32" w14:textId="7A7D83F7" w:rsidR="00DD7FBC" w:rsidRDefault="00F5323E">
      <w:pPr>
        <w:pStyle w:val="TOC2"/>
        <w:rPr>
          <w:rFonts w:asciiTheme="minorHAnsi" w:eastAsiaTheme="minorEastAsia" w:hAnsiTheme="minorHAnsi" w:cstheme="minorBidi"/>
          <w:noProof/>
          <w:sz w:val="22"/>
          <w:szCs w:val="22"/>
        </w:rPr>
      </w:pPr>
      <w:hyperlink w:anchor="_Toc117078103" w:history="1">
        <w:r w:rsidR="00DD7FBC" w:rsidRPr="00B009E6">
          <w:rPr>
            <w:rStyle w:val="Hyperlink"/>
            <w:noProof/>
          </w:rPr>
          <w:t xml:space="preserve">2.1 </w:t>
        </w:r>
        <w:r w:rsidR="00DD7FBC">
          <w:rPr>
            <w:rFonts w:asciiTheme="minorHAnsi" w:eastAsiaTheme="minorEastAsia" w:hAnsiTheme="minorHAnsi" w:cstheme="minorBidi"/>
            <w:noProof/>
            <w:sz w:val="22"/>
            <w:szCs w:val="22"/>
          </w:rPr>
          <w:tab/>
        </w:r>
        <w:r w:rsidR="00DD7FBC" w:rsidRPr="00B009E6">
          <w:rPr>
            <w:rStyle w:val="Hyperlink"/>
            <w:noProof/>
          </w:rPr>
          <w:t>Budgeted expenses and performance for Outcome 1</w:t>
        </w:r>
        <w:r w:rsidR="00DD7FBC">
          <w:rPr>
            <w:noProof/>
            <w:webHidden/>
          </w:rPr>
          <w:tab/>
        </w:r>
        <w:r w:rsidR="00DD7FBC">
          <w:rPr>
            <w:noProof/>
            <w:webHidden/>
          </w:rPr>
          <w:fldChar w:fldCharType="begin"/>
        </w:r>
        <w:r w:rsidR="00DD7FBC">
          <w:rPr>
            <w:noProof/>
            <w:webHidden/>
          </w:rPr>
          <w:instrText xml:space="preserve"> PAGEREF _Toc117078103 \h </w:instrText>
        </w:r>
        <w:r w:rsidR="00DD7FBC">
          <w:rPr>
            <w:noProof/>
            <w:webHidden/>
          </w:rPr>
        </w:r>
        <w:r w:rsidR="00DD7FBC">
          <w:rPr>
            <w:noProof/>
            <w:webHidden/>
          </w:rPr>
          <w:fldChar w:fldCharType="separate"/>
        </w:r>
        <w:r w:rsidR="00E5337D">
          <w:rPr>
            <w:noProof/>
            <w:webHidden/>
          </w:rPr>
          <w:t>134</w:t>
        </w:r>
        <w:r w:rsidR="00DD7FBC">
          <w:rPr>
            <w:noProof/>
            <w:webHidden/>
          </w:rPr>
          <w:fldChar w:fldCharType="end"/>
        </w:r>
      </w:hyperlink>
    </w:p>
    <w:p w14:paraId="53B2636F" w14:textId="7C21D3CB" w:rsidR="00DD7FBC" w:rsidRDefault="00F5323E">
      <w:pPr>
        <w:pStyle w:val="TOC1"/>
        <w:rPr>
          <w:rFonts w:asciiTheme="minorHAnsi" w:eastAsiaTheme="minorEastAsia" w:hAnsiTheme="minorHAnsi" w:cstheme="minorBidi"/>
          <w:b w:val="0"/>
          <w:noProof/>
          <w:sz w:val="22"/>
          <w:szCs w:val="22"/>
        </w:rPr>
      </w:pPr>
      <w:hyperlink w:anchor="_Toc117078104" w:history="1">
        <w:r w:rsidR="00DD7FBC" w:rsidRPr="00B009E6">
          <w:rPr>
            <w:rStyle w:val="Hyperlink"/>
            <w:noProof/>
          </w:rPr>
          <w:t>Section 3: Budgeted financial statements</w:t>
        </w:r>
        <w:r w:rsidR="00DD7FBC">
          <w:rPr>
            <w:noProof/>
            <w:webHidden/>
          </w:rPr>
          <w:tab/>
        </w:r>
        <w:r w:rsidR="00DD7FBC">
          <w:rPr>
            <w:noProof/>
            <w:webHidden/>
          </w:rPr>
          <w:fldChar w:fldCharType="begin"/>
        </w:r>
        <w:r w:rsidR="00DD7FBC">
          <w:rPr>
            <w:noProof/>
            <w:webHidden/>
          </w:rPr>
          <w:instrText xml:space="preserve"> PAGEREF _Toc117078104 \h </w:instrText>
        </w:r>
        <w:r w:rsidR="00DD7FBC">
          <w:rPr>
            <w:noProof/>
            <w:webHidden/>
          </w:rPr>
        </w:r>
        <w:r w:rsidR="00DD7FBC">
          <w:rPr>
            <w:noProof/>
            <w:webHidden/>
          </w:rPr>
          <w:fldChar w:fldCharType="separate"/>
        </w:r>
        <w:r w:rsidR="00E5337D">
          <w:rPr>
            <w:noProof/>
            <w:webHidden/>
          </w:rPr>
          <w:t>140</w:t>
        </w:r>
        <w:r w:rsidR="00DD7FBC">
          <w:rPr>
            <w:noProof/>
            <w:webHidden/>
          </w:rPr>
          <w:fldChar w:fldCharType="end"/>
        </w:r>
      </w:hyperlink>
    </w:p>
    <w:p w14:paraId="7D9D8538" w14:textId="45744560" w:rsidR="00DD7FBC" w:rsidRDefault="00F5323E">
      <w:pPr>
        <w:pStyle w:val="TOC2"/>
        <w:rPr>
          <w:rFonts w:asciiTheme="minorHAnsi" w:eastAsiaTheme="minorEastAsia" w:hAnsiTheme="minorHAnsi" w:cstheme="minorBidi"/>
          <w:noProof/>
          <w:sz w:val="22"/>
          <w:szCs w:val="22"/>
        </w:rPr>
      </w:pPr>
      <w:hyperlink w:anchor="_Toc117078105" w:history="1">
        <w:r w:rsidR="00DD7FBC" w:rsidRPr="00B009E6">
          <w:rPr>
            <w:rStyle w:val="Hyperlink"/>
            <w:noProof/>
          </w:rPr>
          <w:t>3.1</w:t>
        </w:r>
        <w:r w:rsidR="00DD7FBC">
          <w:rPr>
            <w:rFonts w:asciiTheme="minorHAnsi" w:eastAsiaTheme="minorEastAsia" w:hAnsiTheme="minorHAnsi" w:cstheme="minorBidi"/>
            <w:noProof/>
            <w:sz w:val="22"/>
            <w:szCs w:val="22"/>
          </w:rPr>
          <w:tab/>
        </w:r>
        <w:r w:rsidR="00DD7FBC" w:rsidRPr="00B009E6">
          <w:rPr>
            <w:rStyle w:val="Hyperlink"/>
            <w:noProof/>
          </w:rPr>
          <w:t>Budgeted financial statements</w:t>
        </w:r>
        <w:r w:rsidR="00DD7FBC">
          <w:rPr>
            <w:noProof/>
            <w:webHidden/>
          </w:rPr>
          <w:tab/>
        </w:r>
        <w:r w:rsidR="00DD7FBC">
          <w:rPr>
            <w:noProof/>
            <w:webHidden/>
          </w:rPr>
          <w:fldChar w:fldCharType="begin"/>
        </w:r>
        <w:r w:rsidR="00DD7FBC">
          <w:rPr>
            <w:noProof/>
            <w:webHidden/>
          </w:rPr>
          <w:instrText xml:space="preserve"> PAGEREF _Toc117078105 \h </w:instrText>
        </w:r>
        <w:r w:rsidR="00DD7FBC">
          <w:rPr>
            <w:noProof/>
            <w:webHidden/>
          </w:rPr>
        </w:r>
        <w:r w:rsidR="00DD7FBC">
          <w:rPr>
            <w:noProof/>
            <w:webHidden/>
          </w:rPr>
          <w:fldChar w:fldCharType="separate"/>
        </w:r>
        <w:r w:rsidR="00E5337D">
          <w:rPr>
            <w:noProof/>
            <w:webHidden/>
          </w:rPr>
          <w:t>140</w:t>
        </w:r>
        <w:r w:rsidR="00DD7FBC">
          <w:rPr>
            <w:noProof/>
            <w:webHidden/>
          </w:rPr>
          <w:fldChar w:fldCharType="end"/>
        </w:r>
      </w:hyperlink>
    </w:p>
    <w:p w14:paraId="1F0CA4C4" w14:textId="59B75113" w:rsidR="00DD7FBC" w:rsidRDefault="00F5323E">
      <w:pPr>
        <w:pStyle w:val="TOC2"/>
        <w:rPr>
          <w:rFonts w:asciiTheme="minorHAnsi" w:eastAsiaTheme="minorEastAsia" w:hAnsiTheme="minorHAnsi" w:cstheme="minorBidi"/>
          <w:noProof/>
          <w:sz w:val="22"/>
          <w:szCs w:val="22"/>
        </w:rPr>
      </w:pPr>
      <w:hyperlink w:anchor="_Toc117078106" w:history="1">
        <w:r w:rsidR="00DD7FBC" w:rsidRPr="00B009E6">
          <w:rPr>
            <w:rStyle w:val="Hyperlink"/>
            <w:noProof/>
          </w:rPr>
          <w:t>3.2</w:t>
        </w:r>
        <w:r w:rsidR="00DD7FBC">
          <w:rPr>
            <w:rFonts w:asciiTheme="minorHAnsi" w:eastAsiaTheme="minorEastAsia" w:hAnsiTheme="minorHAnsi" w:cstheme="minorBidi"/>
            <w:noProof/>
            <w:sz w:val="22"/>
            <w:szCs w:val="22"/>
          </w:rPr>
          <w:tab/>
        </w:r>
        <w:r w:rsidR="00DD7FBC" w:rsidRPr="00B009E6">
          <w:rPr>
            <w:rStyle w:val="Hyperlink"/>
            <w:noProof/>
          </w:rPr>
          <w:t>Budgeted financial statements tables</w:t>
        </w:r>
        <w:r w:rsidR="00DD7FBC">
          <w:rPr>
            <w:noProof/>
            <w:webHidden/>
          </w:rPr>
          <w:tab/>
        </w:r>
        <w:r w:rsidR="00DD7FBC">
          <w:rPr>
            <w:noProof/>
            <w:webHidden/>
          </w:rPr>
          <w:fldChar w:fldCharType="begin"/>
        </w:r>
        <w:r w:rsidR="00DD7FBC">
          <w:rPr>
            <w:noProof/>
            <w:webHidden/>
          </w:rPr>
          <w:instrText xml:space="preserve"> PAGEREF _Toc117078106 \h </w:instrText>
        </w:r>
        <w:r w:rsidR="00DD7FBC">
          <w:rPr>
            <w:noProof/>
            <w:webHidden/>
          </w:rPr>
        </w:r>
        <w:r w:rsidR="00DD7FBC">
          <w:rPr>
            <w:noProof/>
            <w:webHidden/>
          </w:rPr>
          <w:fldChar w:fldCharType="separate"/>
        </w:r>
        <w:r w:rsidR="00E5337D">
          <w:rPr>
            <w:noProof/>
            <w:webHidden/>
          </w:rPr>
          <w:t>141</w:t>
        </w:r>
        <w:r w:rsidR="00DD7FBC">
          <w:rPr>
            <w:noProof/>
            <w:webHidden/>
          </w:rPr>
          <w:fldChar w:fldCharType="end"/>
        </w:r>
      </w:hyperlink>
    </w:p>
    <w:p w14:paraId="570B5EF6" w14:textId="39D1790F" w:rsidR="00AC5A30" w:rsidRDefault="00BF0558" w:rsidP="004A3731">
      <w:pPr>
        <w:pStyle w:val="TOC2"/>
      </w:pPr>
      <w:r>
        <w:fldChar w:fldCharType="end"/>
      </w:r>
    </w:p>
    <w:p w14:paraId="6F04FC80" w14:textId="77777777" w:rsidR="00AC5A30" w:rsidRPr="00AC5A30" w:rsidRDefault="00AC5A30" w:rsidP="00AC5A30"/>
    <w:p w14:paraId="17C252AA" w14:textId="77777777" w:rsidR="00AC5A30" w:rsidRPr="00AC5A30" w:rsidRDefault="00AC5A30" w:rsidP="00AC5A30"/>
    <w:p w14:paraId="6E542F40" w14:textId="77777777" w:rsidR="00AC5A30" w:rsidRPr="00AC5A30" w:rsidRDefault="00AC5A30" w:rsidP="00AC5A30"/>
    <w:p w14:paraId="24525846" w14:textId="77777777" w:rsidR="00AC5A30" w:rsidRPr="00AC5A30" w:rsidRDefault="00AC5A30" w:rsidP="00AC5A30"/>
    <w:p w14:paraId="5B863C03" w14:textId="77777777" w:rsidR="00AC5A30" w:rsidRPr="00AC5A30" w:rsidRDefault="00AC5A30" w:rsidP="00AC5A30"/>
    <w:p w14:paraId="2528FB2D" w14:textId="77777777" w:rsidR="00AC5A30" w:rsidRPr="00AC5A30" w:rsidRDefault="00AC5A30" w:rsidP="00AC5A30"/>
    <w:p w14:paraId="677C8D8D" w14:textId="1143812A" w:rsidR="00AC5A30" w:rsidRDefault="00AC5A30" w:rsidP="00AC5A30"/>
    <w:p w14:paraId="65BED882" w14:textId="574CC399" w:rsidR="00AC5A30" w:rsidRDefault="00AC5A30" w:rsidP="00AC5A30">
      <w:pPr>
        <w:tabs>
          <w:tab w:val="left" w:pos="1141"/>
        </w:tabs>
      </w:pPr>
      <w:r>
        <w:tab/>
      </w:r>
    </w:p>
    <w:p w14:paraId="79B71AF8" w14:textId="41F85918" w:rsidR="00BF0558" w:rsidRPr="00AC5A30" w:rsidRDefault="00AC5A30" w:rsidP="00AC5A30">
      <w:pPr>
        <w:tabs>
          <w:tab w:val="left" w:pos="1141"/>
        </w:tabs>
        <w:sectPr w:rsidR="00BF0558" w:rsidRPr="00AC5A30" w:rsidSect="0078188C">
          <w:footerReference w:type="default" r:id="rId127"/>
          <w:headerReference w:type="first" r:id="rId128"/>
          <w:footerReference w:type="first" r:id="rId129"/>
          <w:type w:val="oddPage"/>
          <w:pgSz w:w="11906" w:h="16838" w:code="9"/>
          <w:pgMar w:top="2835" w:right="2098" w:bottom="2466" w:left="2098" w:header="1814" w:footer="1814" w:gutter="0"/>
          <w:cols w:space="708"/>
          <w:titlePg/>
          <w:docGrid w:linePitch="360"/>
        </w:sectPr>
      </w:pPr>
      <w:r>
        <w:tab/>
      </w:r>
    </w:p>
    <w:p w14:paraId="2239E6C0" w14:textId="40E58887" w:rsidR="00BF0558" w:rsidRDefault="00BF0558" w:rsidP="00834F9A">
      <w:pPr>
        <w:pStyle w:val="Heading1"/>
      </w:pPr>
      <w:bookmarkStart w:id="177" w:name="_Toc116465548"/>
      <w:bookmarkStart w:id="178" w:name="DTA"/>
      <w:r>
        <w:lastRenderedPageBreak/>
        <w:t>Digital Transformation Agency</w:t>
      </w:r>
      <w:bookmarkEnd w:id="177"/>
    </w:p>
    <w:p w14:paraId="2239E6C1" w14:textId="77777777" w:rsidR="00BF0558" w:rsidRPr="002C4D41" w:rsidRDefault="00BF0558" w:rsidP="00257FF4">
      <w:pPr>
        <w:pStyle w:val="Heading2"/>
      </w:pPr>
      <w:bookmarkStart w:id="179" w:name="_Toc116742517"/>
      <w:bookmarkStart w:id="180" w:name="_Toc117070809"/>
      <w:bookmarkStart w:id="181" w:name="_Toc117071064"/>
      <w:bookmarkStart w:id="182" w:name="_Toc117078098"/>
      <w:r w:rsidRPr="002C4D41">
        <w:t xml:space="preserve">Section 1: Entity overview and </w:t>
      </w:r>
      <w:r>
        <w:t>reso</w:t>
      </w:r>
      <w:r w:rsidRPr="002C4D41">
        <w:t>urces</w:t>
      </w:r>
      <w:bookmarkEnd w:id="179"/>
      <w:bookmarkEnd w:id="180"/>
      <w:bookmarkEnd w:id="181"/>
      <w:bookmarkEnd w:id="182"/>
    </w:p>
    <w:p w14:paraId="2239E6C2" w14:textId="77777777" w:rsidR="00BF0558" w:rsidRDefault="00BF0558" w:rsidP="00257FF4">
      <w:pPr>
        <w:pStyle w:val="Heading3"/>
      </w:pPr>
      <w:bookmarkStart w:id="183" w:name="_Toc116742518"/>
      <w:bookmarkStart w:id="184" w:name="_Toc117070810"/>
      <w:bookmarkStart w:id="185" w:name="_Toc117071065"/>
      <w:bookmarkStart w:id="186" w:name="_Toc117078099"/>
      <w:r>
        <w:t>1.1</w:t>
      </w:r>
      <w:r>
        <w:tab/>
        <w:t>Strategic direction statement</w:t>
      </w:r>
      <w:bookmarkEnd w:id="183"/>
      <w:bookmarkEnd w:id="184"/>
      <w:bookmarkEnd w:id="185"/>
      <w:bookmarkEnd w:id="186"/>
    </w:p>
    <w:p w14:paraId="0C3DAAB1" w14:textId="77777777" w:rsidR="00A7110C" w:rsidRDefault="00A7110C" w:rsidP="004D5C6C">
      <w:pPr>
        <w:rPr>
          <w:szCs w:val="19"/>
          <w:lang w:val="en-US"/>
        </w:rPr>
      </w:pPr>
      <w:r w:rsidRPr="00A7110C">
        <w:rPr>
          <w:szCs w:val="19"/>
          <w:lang w:val="en-US"/>
        </w:rPr>
        <w:t xml:space="preserve">The purpose of the Digital Transformation Agency (DTA) is to provide digital and ICT strategy and policy leadership, investment advice, strategic sourcing and delivery oversight to drive the government’s digital transformation and deliver benefits to all Australians. </w:t>
      </w:r>
    </w:p>
    <w:p w14:paraId="2239E6C4" w14:textId="68B1E8D2" w:rsidR="00BF0558" w:rsidRPr="00A44C37" w:rsidRDefault="00BF0558" w:rsidP="004D5C6C">
      <w:pPr>
        <w:rPr>
          <w:szCs w:val="19"/>
        </w:rPr>
      </w:pPr>
      <w:r w:rsidRPr="00A44C37">
        <w:rPr>
          <w:szCs w:val="19"/>
        </w:rPr>
        <w:t>The DTA:</w:t>
      </w:r>
    </w:p>
    <w:p w14:paraId="7BE470D9" w14:textId="77777777" w:rsidR="00A7110C" w:rsidRPr="0030165B" w:rsidRDefault="00A7110C" w:rsidP="00C8474A">
      <w:pPr>
        <w:pStyle w:val="Exampletextbullet"/>
        <w:numPr>
          <w:ilvl w:val="0"/>
          <w:numId w:val="36"/>
        </w:numPr>
        <w:tabs>
          <w:tab w:val="clear" w:pos="720"/>
          <w:tab w:val="num" w:pos="284"/>
        </w:tabs>
        <w:ind w:left="284" w:hanging="284"/>
        <w:rPr>
          <w:i w:val="0"/>
          <w:color w:val="auto"/>
        </w:rPr>
      </w:pPr>
      <w:r w:rsidRPr="0030165B">
        <w:rPr>
          <w:i w:val="0"/>
          <w:color w:val="auto"/>
        </w:rPr>
        <w:t>provides strategic and policy leadership on whole-of-government and shared ICT investments and digital service delivery, including sourcing and capability development</w:t>
      </w:r>
    </w:p>
    <w:p w14:paraId="05CA2EAB" w14:textId="77777777" w:rsidR="00A7110C" w:rsidRPr="0030165B" w:rsidRDefault="00A7110C" w:rsidP="00C8474A">
      <w:pPr>
        <w:pStyle w:val="Exampletextbullet"/>
        <w:numPr>
          <w:ilvl w:val="0"/>
          <w:numId w:val="36"/>
        </w:numPr>
        <w:tabs>
          <w:tab w:val="clear" w:pos="720"/>
          <w:tab w:val="num" w:pos="284"/>
        </w:tabs>
        <w:ind w:left="284" w:hanging="284"/>
        <w:rPr>
          <w:i w:val="0"/>
          <w:color w:val="auto"/>
        </w:rPr>
      </w:pPr>
      <w:r w:rsidRPr="0030165B">
        <w:rPr>
          <w:i w:val="0"/>
          <w:color w:val="auto"/>
        </w:rPr>
        <w:t>delivers architectural policies, standards, and platforms for whole-of-government and shared digital and ICT service delivery</w:t>
      </w:r>
    </w:p>
    <w:p w14:paraId="386D1716" w14:textId="70B5B0F6" w:rsidR="00A7110C" w:rsidRPr="0030165B" w:rsidRDefault="00A7110C" w:rsidP="00C8474A">
      <w:pPr>
        <w:pStyle w:val="Exampletextbullet"/>
        <w:numPr>
          <w:ilvl w:val="0"/>
          <w:numId w:val="36"/>
        </w:numPr>
        <w:tabs>
          <w:tab w:val="clear" w:pos="720"/>
          <w:tab w:val="num" w:pos="284"/>
        </w:tabs>
        <w:ind w:left="284" w:hanging="284"/>
        <w:rPr>
          <w:i w:val="0"/>
          <w:color w:val="auto"/>
        </w:rPr>
      </w:pPr>
      <w:r w:rsidRPr="0030165B">
        <w:rPr>
          <w:i w:val="0"/>
          <w:color w:val="auto"/>
        </w:rPr>
        <w:t>provides advice to agencies and the</w:t>
      </w:r>
      <w:r w:rsidR="00E906DF" w:rsidRPr="0030165B">
        <w:rPr>
          <w:i w:val="0"/>
          <w:color w:val="auto"/>
        </w:rPr>
        <w:t xml:space="preserve"> Australian </w:t>
      </w:r>
      <w:r w:rsidRPr="0030165B">
        <w:rPr>
          <w:i w:val="0"/>
          <w:color w:val="auto"/>
        </w:rPr>
        <w:t>Government on digital and ICT investment proposals</w:t>
      </w:r>
    </w:p>
    <w:p w14:paraId="4C1B6CFA" w14:textId="77777777" w:rsidR="00A7110C" w:rsidRPr="0030165B" w:rsidRDefault="00A7110C" w:rsidP="00C8474A">
      <w:pPr>
        <w:pStyle w:val="Exampletextbullet"/>
        <w:numPr>
          <w:ilvl w:val="0"/>
          <w:numId w:val="36"/>
        </w:numPr>
        <w:tabs>
          <w:tab w:val="clear" w:pos="720"/>
          <w:tab w:val="num" w:pos="284"/>
        </w:tabs>
        <w:ind w:left="284" w:hanging="284"/>
        <w:rPr>
          <w:i w:val="0"/>
          <w:color w:val="auto"/>
        </w:rPr>
      </w:pPr>
      <w:r w:rsidRPr="0030165B">
        <w:rPr>
          <w:i w:val="0"/>
          <w:color w:val="auto"/>
        </w:rPr>
        <w:t>assure significant digital and ICT investments through the digital oversight framework and monitor and advise of the effectiveness of the whole-of-government digital portfolio.</w:t>
      </w:r>
    </w:p>
    <w:p w14:paraId="2239E6C9" w14:textId="77777777" w:rsidR="00BF0558" w:rsidRPr="00A44C37" w:rsidRDefault="00BF0558" w:rsidP="004D5C6C">
      <w:pPr>
        <w:rPr>
          <w:szCs w:val="19"/>
          <w:lang w:val="en-US"/>
        </w:rPr>
      </w:pPr>
      <w:r w:rsidRPr="00A44C37">
        <w:rPr>
          <w:szCs w:val="19"/>
          <w:lang w:val="en-US"/>
        </w:rPr>
        <w:t>In 2022-23, the DTA will focus on the following strategic objectives:</w:t>
      </w:r>
    </w:p>
    <w:p w14:paraId="1682620B" w14:textId="77777777" w:rsidR="00D27531" w:rsidRPr="0030165B" w:rsidRDefault="00D27531" w:rsidP="00C8474A">
      <w:pPr>
        <w:pStyle w:val="Exampletextbullet"/>
        <w:numPr>
          <w:ilvl w:val="0"/>
          <w:numId w:val="36"/>
        </w:numPr>
        <w:tabs>
          <w:tab w:val="clear" w:pos="720"/>
          <w:tab w:val="num" w:pos="284"/>
        </w:tabs>
        <w:ind w:left="284" w:hanging="284"/>
        <w:rPr>
          <w:i w:val="0"/>
          <w:color w:val="auto"/>
        </w:rPr>
      </w:pPr>
      <w:r w:rsidRPr="0030165B">
        <w:rPr>
          <w:i w:val="0"/>
          <w:color w:val="auto"/>
        </w:rPr>
        <w:t>Lead government’s digital transformation strategy.</w:t>
      </w:r>
    </w:p>
    <w:p w14:paraId="22F7F80B" w14:textId="77777777" w:rsidR="00D27531" w:rsidRPr="0030165B" w:rsidRDefault="00D27531" w:rsidP="00C8474A">
      <w:pPr>
        <w:pStyle w:val="Exampletextbullet"/>
        <w:numPr>
          <w:ilvl w:val="0"/>
          <w:numId w:val="36"/>
        </w:numPr>
        <w:tabs>
          <w:tab w:val="clear" w:pos="720"/>
          <w:tab w:val="num" w:pos="284"/>
        </w:tabs>
        <w:ind w:left="284" w:hanging="284"/>
        <w:rPr>
          <w:i w:val="0"/>
          <w:color w:val="auto"/>
        </w:rPr>
      </w:pPr>
      <w:r w:rsidRPr="0030165B">
        <w:rPr>
          <w:i w:val="0"/>
          <w:color w:val="auto"/>
        </w:rPr>
        <w:t>Oversee the short, medium and long-term whole-of-government digital and ICT investment portfolio.</w:t>
      </w:r>
    </w:p>
    <w:p w14:paraId="1DF392BE" w14:textId="77777777" w:rsidR="00D27531" w:rsidRPr="0030165B" w:rsidRDefault="00D27531" w:rsidP="00C8474A">
      <w:pPr>
        <w:pStyle w:val="Exampletextbullet"/>
        <w:numPr>
          <w:ilvl w:val="0"/>
          <w:numId w:val="36"/>
        </w:numPr>
        <w:tabs>
          <w:tab w:val="clear" w:pos="720"/>
          <w:tab w:val="num" w:pos="284"/>
        </w:tabs>
        <w:ind w:left="284" w:hanging="284"/>
        <w:rPr>
          <w:i w:val="0"/>
          <w:color w:val="auto"/>
        </w:rPr>
      </w:pPr>
      <w:r w:rsidRPr="0030165B">
        <w:rPr>
          <w:i w:val="0"/>
          <w:color w:val="auto"/>
        </w:rPr>
        <w:t>Manage whole-of-government digital and ICT strategic sourcing and contracts.</w:t>
      </w:r>
    </w:p>
    <w:p w14:paraId="24514736" w14:textId="77777777" w:rsidR="00D27531" w:rsidRPr="0030165B" w:rsidRDefault="00D27531" w:rsidP="00C8474A">
      <w:pPr>
        <w:pStyle w:val="Exampletextbullet"/>
        <w:numPr>
          <w:ilvl w:val="0"/>
          <w:numId w:val="36"/>
        </w:numPr>
        <w:tabs>
          <w:tab w:val="clear" w:pos="720"/>
          <w:tab w:val="num" w:pos="284"/>
        </w:tabs>
        <w:ind w:left="284" w:hanging="284"/>
        <w:rPr>
          <w:i w:val="0"/>
          <w:color w:val="auto"/>
        </w:rPr>
      </w:pPr>
      <w:r w:rsidRPr="0030165B">
        <w:rPr>
          <w:i w:val="0"/>
          <w:color w:val="auto"/>
        </w:rPr>
        <w:t>Be a valued employer with the expertise to achieve our purpose.</w:t>
      </w:r>
    </w:p>
    <w:p w14:paraId="6C6AEB9D" w14:textId="77777777" w:rsidR="00D27531" w:rsidRPr="00D27531" w:rsidRDefault="00D27531" w:rsidP="00DD7FBC">
      <w:pPr>
        <w:rPr>
          <w:b/>
        </w:rPr>
      </w:pPr>
      <w:bookmarkStart w:id="187" w:name="_Toc116742519"/>
      <w:bookmarkStart w:id="188" w:name="_Toc117070811"/>
      <w:bookmarkStart w:id="189" w:name="_Toc117071066"/>
      <w:r w:rsidRPr="00D27531">
        <w:t xml:space="preserve">Further details on how we will deliver these priorities can be found in our Corporate Plan located at: </w:t>
      </w:r>
      <w:r w:rsidRPr="00D27531">
        <w:rPr>
          <w:u w:val="single"/>
        </w:rPr>
        <w:t>www.dta.gov.au/about-us/reporting-and-plans/corporate-plans</w:t>
      </w:r>
      <w:r w:rsidRPr="00D27531">
        <w:t>.</w:t>
      </w:r>
      <w:bookmarkEnd w:id="187"/>
      <w:bookmarkEnd w:id="188"/>
      <w:bookmarkEnd w:id="189"/>
    </w:p>
    <w:p w14:paraId="6FE3393D" w14:textId="77777777" w:rsidR="00DD7FBC" w:rsidRDefault="00D27531" w:rsidP="00DD7FBC">
      <w:bookmarkStart w:id="190" w:name="_Toc116742520"/>
      <w:bookmarkStart w:id="191" w:name="_Toc117070812"/>
      <w:bookmarkStart w:id="192" w:name="_Toc117071067"/>
      <w:r w:rsidRPr="00DD7FBC">
        <w:t>Effective 1 July 2022, the DTA moved to the Finance portfolio from the Prime Minister and Cabinet portfolio as a result of Administrative Arrangements Order made on 23 June 2022.</w:t>
      </w:r>
      <w:r w:rsidR="00DD7FBC">
        <w:br w:type="page"/>
      </w:r>
    </w:p>
    <w:p w14:paraId="2239E6D0" w14:textId="0E0EFBEC" w:rsidR="00BF0558" w:rsidRDefault="00BF0558" w:rsidP="00DD7FBC">
      <w:pPr>
        <w:pStyle w:val="Heading3"/>
      </w:pPr>
      <w:bookmarkStart w:id="193" w:name="_Toc117078100"/>
      <w:r w:rsidRPr="00DD7FBC">
        <w:lastRenderedPageBreak/>
        <w:t>1.2</w:t>
      </w:r>
      <w:r w:rsidRPr="00DD7FBC">
        <w:tab/>
        <w:t>Entity resource statement</w:t>
      </w:r>
      <w:bookmarkEnd w:id="190"/>
      <w:bookmarkEnd w:id="191"/>
      <w:bookmarkEnd w:id="192"/>
      <w:bookmarkEnd w:id="193"/>
    </w:p>
    <w:p w14:paraId="10904535" w14:textId="77777777" w:rsidR="00120CE8" w:rsidRPr="00120CE8" w:rsidRDefault="00120CE8" w:rsidP="00120CE8">
      <w:pPr>
        <w:pStyle w:val="TableHeading"/>
        <w:spacing w:before="240" w:after="240" w:line="240" w:lineRule="exact"/>
        <w:rPr>
          <w:rFonts w:ascii="Book Antiqua" w:hAnsi="Book Antiqua"/>
          <w:b w:val="0"/>
          <w:sz w:val="19"/>
        </w:rPr>
      </w:pPr>
      <w:r w:rsidRPr="00120CE8">
        <w:rPr>
          <w:rFonts w:ascii="Book Antiqua" w:hAnsi="Book Antiqua"/>
          <w:b w:val="0"/>
          <w:sz w:val="19"/>
        </w:rPr>
        <w:t>Table 1.1 shows the total funding from all sources available to the DTA for its operations and to deliver programs and services on behalf of the Government.</w:t>
      </w:r>
    </w:p>
    <w:p w14:paraId="09BBC146" w14:textId="77777777" w:rsidR="00120CE8" w:rsidRPr="00120CE8" w:rsidRDefault="00120CE8" w:rsidP="00120CE8">
      <w:pPr>
        <w:pStyle w:val="TableHeading"/>
        <w:spacing w:before="240" w:after="240" w:line="240" w:lineRule="exact"/>
        <w:rPr>
          <w:rFonts w:ascii="Book Antiqua" w:hAnsi="Book Antiqua"/>
          <w:b w:val="0"/>
          <w:sz w:val="19"/>
        </w:rPr>
      </w:pPr>
      <w:r w:rsidRPr="00120CE8">
        <w:rPr>
          <w:rFonts w:ascii="Book Antiqua" w:hAnsi="Book Antiqua"/>
          <w:b w:val="0"/>
          <w:sz w:val="19"/>
        </w:rPr>
        <w:t>The table summarises how resources will be applied by outcome (government strategic policy objectives) and by administered (on behalf of the Government or the public) and departmental (for the entity’s operations) classification.</w:t>
      </w:r>
    </w:p>
    <w:p w14:paraId="02F244B1" w14:textId="77777777" w:rsidR="00120CE8" w:rsidRPr="00120CE8" w:rsidRDefault="00120CE8" w:rsidP="00120CE8">
      <w:pPr>
        <w:pStyle w:val="TableHeading"/>
        <w:spacing w:before="240" w:after="240" w:line="240" w:lineRule="exact"/>
        <w:rPr>
          <w:rFonts w:ascii="Book Antiqua" w:hAnsi="Book Antiqua"/>
          <w:b w:val="0"/>
          <w:sz w:val="19"/>
        </w:rPr>
      </w:pPr>
      <w:r w:rsidRPr="00120CE8">
        <w:rPr>
          <w:rFonts w:ascii="Book Antiqua" w:hAnsi="Book Antiqua"/>
          <w:b w:val="0"/>
          <w:sz w:val="19"/>
        </w:rPr>
        <w:t>For more detailed information on special accounts and special appropriations, please refer to the October Budget Paper No. 4 – Agency Resourcing.</w:t>
      </w:r>
    </w:p>
    <w:p w14:paraId="33079597" w14:textId="2341FEDD" w:rsidR="00A7110C" w:rsidRDefault="00120CE8" w:rsidP="00120CE8">
      <w:pPr>
        <w:pStyle w:val="TableHeading"/>
        <w:spacing w:before="240" w:after="240" w:line="240" w:lineRule="exact"/>
      </w:pPr>
      <w:r w:rsidRPr="00120CE8">
        <w:rPr>
          <w:rFonts w:ascii="Book Antiqua" w:hAnsi="Book Antiqua"/>
          <w:b w:val="0"/>
          <w:sz w:val="19"/>
        </w:rPr>
        <w:t>Information in this table is presented on a resourcing (that is, appropriations/cash available) basis, whilst the ‘Budgeted expenses by Outcome 1’ tables in Section 2 and the financial statements in Section 3 are presented on an accrual basis.</w:t>
      </w:r>
      <w:r w:rsidR="00A7110C">
        <w:br w:type="page"/>
      </w:r>
    </w:p>
    <w:p w14:paraId="47972FA0" w14:textId="4D3347FA" w:rsidR="00583B0E" w:rsidRPr="00B411B3" w:rsidRDefault="00BF0558" w:rsidP="00B411B3">
      <w:pPr>
        <w:pStyle w:val="TableHeading"/>
      </w:pPr>
      <w:r w:rsidRPr="00D44150">
        <w:lastRenderedPageBreak/>
        <w:t xml:space="preserve">Table 1.1: </w:t>
      </w:r>
      <w:r w:rsidR="00EF34C2">
        <w:t>Digital Transformation Agency</w:t>
      </w:r>
      <w:r w:rsidRPr="00D44150">
        <w:t xml:space="preserve"> resource statement</w:t>
      </w:r>
      <w:r>
        <w:t xml:space="preserve"> — Budget estimates for 2022-23 </w:t>
      </w:r>
      <w:r w:rsidRPr="00D44150">
        <w:t xml:space="preserve">as at </w:t>
      </w:r>
      <w:r>
        <w:t>October</w:t>
      </w:r>
      <w:r w:rsidRPr="00D44150">
        <w:t xml:space="preserve"> Budget </w:t>
      </w:r>
      <w:r>
        <w:t>2022</w:t>
      </w:r>
      <w:r w:rsidR="00583B0E" w:rsidRPr="00583B0E">
        <w:rPr>
          <w:noProof/>
          <w:lang w:eastAsia="zh-CN"/>
        </w:rPr>
        <w:drawing>
          <wp:inline distT="0" distB="0" distL="0" distR="0" wp14:anchorId="00D85361" wp14:editId="49D1C0EC">
            <wp:extent cx="4895850" cy="230652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895850" cy="2306529"/>
                    </a:xfrm>
                    <a:prstGeom prst="rect">
                      <a:avLst/>
                    </a:prstGeom>
                    <a:noFill/>
                    <a:ln>
                      <a:noFill/>
                    </a:ln>
                  </pic:spPr>
                </pic:pic>
              </a:graphicData>
            </a:graphic>
          </wp:inline>
        </w:drawing>
      </w:r>
    </w:p>
    <w:p w14:paraId="2239E6D6" w14:textId="226BD2BA" w:rsidR="00BF0558" w:rsidRDefault="00BF0558" w:rsidP="00B411B3">
      <w:pPr>
        <w:pStyle w:val="TableHeading"/>
      </w:pPr>
    </w:p>
    <w:p w14:paraId="1D7FDDB9" w14:textId="77777777" w:rsidR="00A438E6" w:rsidRPr="00A438E6" w:rsidRDefault="00A438E6" w:rsidP="00A438E6">
      <w:pPr>
        <w:pStyle w:val="TableGraphic"/>
      </w:pPr>
    </w:p>
    <w:p w14:paraId="74EC41F9" w14:textId="6CF5DCE8" w:rsidR="00B411B3" w:rsidRDefault="00BF0558" w:rsidP="00B411B3">
      <w:pPr>
        <w:pStyle w:val="TableHeading"/>
      </w:pPr>
      <w:r w:rsidRPr="005C4BEE">
        <w:t xml:space="preserve">Third party payments from and on behalf of other </w:t>
      </w:r>
      <w:r>
        <w:t>entities</w:t>
      </w:r>
      <w:r w:rsidR="00583B0E" w:rsidRPr="00583B0E">
        <w:rPr>
          <w:noProof/>
          <w:lang w:eastAsia="zh-CN"/>
        </w:rPr>
        <w:drawing>
          <wp:inline distT="0" distB="0" distL="0" distR="0" wp14:anchorId="499A8BDB" wp14:editId="45AC2881">
            <wp:extent cx="4895850" cy="77768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895850" cy="777680"/>
                    </a:xfrm>
                    <a:prstGeom prst="rect">
                      <a:avLst/>
                    </a:prstGeom>
                    <a:noFill/>
                    <a:ln>
                      <a:noFill/>
                    </a:ln>
                  </pic:spPr>
                </pic:pic>
              </a:graphicData>
            </a:graphic>
          </wp:inline>
        </w:drawing>
      </w:r>
    </w:p>
    <w:p w14:paraId="2239E6D9" w14:textId="631190BD" w:rsidR="00BF0558" w:rsidRPr="00CB2844" w:rsidRDefault="00BF0558" w:rsidP="001E73DA">
      <w:pPr>
        <w:pStyle w:val="ChartandTableFootnote"/>
      </w:pPr>
      <w:r w:rsidRPr="00696AA8">
        <w:t>All figures shown above are GST exclusive - these may not match figures in the cash flow statement.</w:t>
      </w:r>
    </w:p>
    <w:p w14:paraId="2239E6DA" w14:textId="7B069371" w:rsidR="00BF0558" w:rsidRDefault="00BF0558" w:rsidP="001E73DA">
      <w:pPr>
        <w:pStyle w:val="ChartandTableFootnote"/>
      </w:pPr>
      <w:r>
        <w:t>Prepared on a resourcing (that is, appropriations available) basis.</w:t>
      </w:r>
    </w:p>
    <w:p w14:paraId="675FE953" w14:textId="233DA38A" w:rsidR="00B411B3" w:rsidRPr="00B411B3" w:rsidRDefault="00B411B3" w:rsidP="00667F67">
      <w:pPr>
        <w:spacing w:before="60" w:after="0" w:line="240" w:lineRule="auto"/>
        <w:ind w:left="284" w:hanging="284"/>
        <w:rPr>
          <w:rFonts w:ascii="Arial" w:hAnsi="Arial" w:cs="Arial"/>
          <w:sz w:val="16"/>
          <w:szCs w:val="16"/>
        </w:rPr>
      </w:pPr>
      <w:r w:rsidRPr="00B411B3">
        <w:rPr>
          <w:rFonts w:ascii="Arial" w:hAnsi="Arial" w:cs="Arial"/>
          <w:sz w:val="16"/>
          <w:szCs w:val="16"/>
        </w:rPr>
        <w:t>a)</w:t>
      </w:r>
      <w:r w:rsidRPr="00B411B3">
        <w:rPr>
          <w:rFonts w:ascii="Arial" w:hAnsi="Arial" w:cs="Arial"/>
          <w:sz w:val="16"/>
          <w:szCs w:val="16"/>
        </w:rPr>
        <w:tab/>
        <w:t>Appropriation Bill (No. 1) 2022-23, Supply Bill (No.</w:t>
      </w:r>
      <w:r w:rsidR="006E0FD3">
        <w:rPr>
          <w:rFonts w:ascii="Arial" w:hAnsi="Arial" w:cs="Arial"/>
          <w:sz w:val="16"/>
          <w:szCs w:val="16"/>
        </w:rPr>
        <w:t xml:space="preserve"> </w:t>
      </w:r>
      <w:r w:rsidRPr="00B411B3">
        <w:rPr>
          <w:rFonts w:ascii="Arial" w:hAnsi="Arial" w:cs="Arial"/>
          <w:sz w:val="16"/>
          <w:szCs w:val="16"/>
        </w:rPr>
        <w:t>3) 2022-23 and Supply Act (No.</w:t>
      </w:r>
      <w:r w:rsidR="00324590">
        <w:rPr>
          <w:rFonts w:ascii="Arial" w:hAnsi="Arial" w:cs="Arial"/>
          <w:sz w:val="16"/>
          <w:szCs w:val="16"/>
        </w:rPr>
        <w:t xml:space="preserve"> </w:t>
      </w:r>
      <w:r w:rsidRPr="00B411B3">
        <w:rPr>
          <w:rFonts w:ascii="Arial" w:hAnsi="Arial" w:cs="Arial"/>
          <w:sz w:val="16"/>
          <w:szCs w:val="16"/>
        </w:rPr>
        <w:t>1) 2022-23.</w:t>
      </w:r>
    </w:p>
    <w:p w14:paraId="65870D56" w14:textId="77777777" w:rsidR="00B411B3" w:rsidRPr="00B411B3" w:rsidRDefault="00B411B3" w:rsidP="00667F67">
      <w:pPr>
        <w:spacing w:before="60" w:after="0" w:line="240" w:lineRule="auto"/>
        <w:ind w:left="284" w:hanging="284"/>
        <w:rPr>
          <w:rFonts w:ascii="Arial" w:hAnsi="Arial" w:cs="Arial"/>
          <w:sz w:val="16"/>
          <w:szCs w:val="16"/>
        </w:rPr>
      </w:pPr>
      <w:r w:rsidRPr="00B411B3">
        <w:rPr>
          <w:rFonts w:ascii="Arial" w:hAnsi="Arial" w:cs="Arial"/>
          <w:sz w:val="16"/>
          <w:szCs w:val="16"/>
        </w:rPr>
        <w:t>b)</w:t>
      </w:r>
      <w:r w:rsidRPr="00B411B3">
        <w:rPr>
          <w:rFonts w:ascii="Arial" w:hAnsi="Arial" w:cs="Arial"/>
          <w:sz w:val="16"/>
          <w:szCs w:val="16"/>
        </w:rPr>
        <w:tab/>
        <w:t>Excludes departmental capital budget (DCB).</w:t>
      </w:r>
    </w:p>
    <w:p w14:paraId="09178392" w14:textId="77777777" w:rsidR="00B411B3" w:rsidRPr="00B411B3" w:rsidRDefault="00B411B3" w:rsidP="00667F67">
      <w:pPr>
        <w:spacing w:before="60" w:after="0" w:line="240" w:lineRule="auto"/>
        <w:ind w:left="284" w:hanging="284"/>
        <w:rPr>
          <w:rFonts w:ascii="Arial" w:hAnsi="Arial" w:cs="Arial"/>
          <w:sz w:val="16"/>
          <w:szCs w:val="16"/>
        </w:rPr>
      </w:pPr>
      <w:r w:rsidRPr="00B411B3">
        <w:rPr>
          <w:rFonts w:ascii="Arial" w:hAnsi="Arial" w:cs="Arial"/>
          <w:sz w:val="16"/>
          <w:szCs w:val="16"/>
        </w:rPr>
        <w:t>c)</w:t>
      </w:r>
      <w:r w:rsidRPr="00B411B3">
        <w:rPr>
          <w:rFonts w:ascii="Arial" w:hAnsi="Arial" w:cs="Arial"/>
          <w:sz w:val="16"/>
          <w:szCs w:val="16"/>
        </w:rPr>
        <w:tab/>
        <w:t>Estimated External Revenue receipts under section 74 of the PGPA Act.</w:t>
      </w:r>
    </w:p>
    <w:p w14:paraId="4DAA7C50" w14:textId="77777777" w:rsidR="00DD7FBC" w:rsidRDefault="00B411B3" w:rsidP="00667F67">
      <w:pPr>
        <w:spacing w:before="60" w:after="0" w:line="240" w:lineRule="auto"/>
        <w:ind w:left="284" w:hanging="284"/>
      </w:pPr>
      <w:r w:rsidRPr="00B411B3">
        <w:rPr>
          <w:rFonts w:ascii="Arial" w:hAnsi="Arial" w:cs="Arial"/>
          <w:sz w:val="16"/>
          <w:szCs w:val="16"/>
        </w:rPr>
        <w:t>d)</w:t>
      </w:r>
      <w:r w:rsidRPr="00B411B3">
        <w:rPr>
          <w:rFonts w:ascii="Arial" w:hAnsi="Arial" w:cs="Arial"/>
          <w:sz w:val="16"/>
          <w:szCs w:val="16"/>
        </w:rPr>
        <w:tab/>
        <w:t>2021-22 Estimated actual includes cash received by related entities for pass through costs. 2022-23 Estimate is presented on a net basis.</w:t>
      </w:r>
      <w:r w:rsidR="00DD7FBC">
        <w:br w:type="page"/>
      </w:r>
    </w:p>
    <w:p w14:paraId="2239E6DF" w14:textId="7F5DD467" w:rsidR="00BF0558" w:rsidRPr="00DD7FBC" w:rsidRDefault="00BF0558" w:rsidP="00DD7FBC">
      <w:pPr>
        <w:pStyle w:val="Heading3"/>
      </w:pPr>
      <w:bookmarkStart w:id="194" w:name="_Toc117078101"/>
      <w:r w:rsidRPr="00B411B3">
        <w:lastRenderedPageBreak/>
        <w:t>1.3</w:t>
      </w:r>
      <w:r w:rsidRPr="00B411B3">
        <w:tab/>
        <w:t>Budget measures</w:t>
      </w:r>
      <w:bookmarkEnd w:id="194"/>
    </w:p>
    <w:p w14:paraId="6C7F7022" w14:textId="77777777" w:rsidR="00B411B3" w:rsidRDefault="00B411B3" w:rsidP="002502C2">
      <w:pPr>
        <w:pStyle w:val="TableHeading"/>
        <w:spacing w:before="240" w:after="240" w:line="240" w:lineRule="exact"/>
        <w:rPr>
          <w:rFonts w:ascii="Book Antiqua" w:hAnsi="Book Antiqua"/>
          <w:b w:val="0"/>
          <w:sz w:val="19"/>
        </w:rPr>
      </w:pPr>
      <w:r w:rsidRPr="00B411B3">
        <w:rPr>
          <w:rFonts w:ascii="Book Antiqua" w:hAnsi="Book Antiqua"/>
          <w:b w:val="0"/>
          <w:sz w:val="19"/>
        </w:rPr>
        <w:t>Budget measures in Part 1 relating to Digital Transformation Agency are detailed in the October Budget Paper No. 2 and are summarised below.</w:t>
      </w:r>
    </w:p>
    <w:p w14:paraId="2239E6E1" w14:textId="6A37748F" w:rsidR="00BF0558" w:rsidRPr="009A40DD" w:rsidRDefault="00BF0558" w:rsidP="00E5444F">
      <w:pPr>
        <w:pStyle w:val="TableHeading"/>
      </w:pPr>
      <w:r w:rsidRPr="009A40DD">
        <w:t xml:space="preserve">Table 1.2: Entity </w:t>
      </w:r>
      <w:r>
        <w:t xml:space="preserve">October 2022-23 </w:t>
      </w:r>
      <w:r w:rsidRPr="009A40DD">
        <w:t>Budget measures</w:t>
      </w:r>
    </w:p>
    <w:p w14:paraId="6E67AAC6" w14:textId="20D101AA" w:rsidR="00F030DB" w:rsidRDefault="00BF0558" w:rsidP="00F030DB">
      <w:pPr>
        <w:pStyle w:val="TableGraphic"/>
        <w:rPr>
          <w:rFonts w:ascii="Arial" w:hAnsi="Arial" w:cs="Arial"/>
          <w:sz w:val="16"/>
          <w:szCs w:val="16"/>
        </w:rPr>
      </w:pPr>
      <w:r>
        <w:rPr>
          <w:rFonts w:ascii="Arial Bold" w:hAnsi="Arial Bold"/>
          <w:b/>
        </w:rPr>
        <w:t xml:space="preserve">Part 1: </w:t>
      </w:r>
      <w:r w:rsidRPr="007F6CAD">
        <w:rPr>
          <w:rFonts w:ascii="Arial Bold" w:hAnsi="Arial Bold"/>
          <w:b/>
        </w:rPr>
        <w:t xml:space="preserve">Measures announced </w:t>
      </w:r>
      <w:r>
        <w:rPr>
          <w:rFonts w:ascii="Arial Bold" w:hAnsi="Arial Bold"/>
          <w:b/>
        </w:rPr>
        <w:t>since</w:t>
      </w:r>
      <w:r w:rsidRPr="007F6CAD">
        <w:rPr>
          <w:rFonts w:ascii="Arial Bold" w:hAnsi="Arial Bold"/>
          <w:b/>
        </w:rPr>
        <w:t xml:space="preserve"> the</w:t>
      </w:r>
      <w:r>
        <w:rPr>
          <w:rFonts w:ascii="Arial Bold" w:hAnsi="Arial Bold"/>
          <w:b/>
        </w:rPr>
        <w:t xml:space="preserve"> 2022-23 March Budget</w:t>
      </w:r>
      <w:r w:rsidR="004639D7" w:rsidRPr="004639D7">
        <w:rPr>
          <w:rFonts w:ascii="Arial Bold" w:hAnsi="Arial Bold"/>
          <w:b/>
          <w:noProof/>
          <w:lang w:eastAsia="zh-CN"/>
        </w:rPr>
        <w:drawing>
          <wp:inline distT="0" distB="0" distL="0" distR="0" wp14:anchorId="11525227" wp14:editId="6556DFD2">
            <wp:extent cx="4895850" cy="2059691"/>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895850" cy="2059691"/>
                    </a:xfrm>
                    <a:prstGeom prst="rect">
                      <a:avLst/>
                    </a:prstGeom>
                    <a:noFill/>
                    <a:ln>
                      <a:noFill/>
                    </a:ln>
                  </pic:spPr>
                </pic:pic>
              </a:graphicData>
            </a:graphic>
          </wp:inline>
        </w:drawing>
      </w:r>
      <w:r w:rsidR="00F030DB" w:rsidRPr="00F030DB">
        <w:rPr>
          <w:rFonts w:ascii="Arial" w:hAnsi="Arial"/>
          <w:color w:val="000000"/>
          <w:sz w:val="16"/>
        </w:rPr>
        <w:t>Prepared on a Government Finance Statistics (Underlying Cash) basis. Figures displayed as a negative (-) represent a decrease in funds and a positive (+) represent an increase in funds.</w:t>
      </w:r>
    </w:p>
    <w:p w14:paraId="3CC61724" w14:textId="2D2ECE54" w:rsidR="00F030DB" w:rsidRPr="00EE003D" w:rsidRDefault="00F030DB" w:rsidP="00C8474A">
      <w:pPr>
        <w:pStyle w:val="ListParagraph"/>
        <w:numPr>
          <w:ilvl w:val="0"/>
          <w:numId w:val="77"/>
        </w:numPr>
        <w:spacing w:before="60" w:after="0" w:line="240" w:lineRule="auto"/>
        <w:ind w:left="284" w:hanging="284"/>
        <w:rPr>
          <w:rFonts w:ascii="Arial" w:hAnsi="Arial" w:cs="Arial"/>
          <w:sz w:val="16"/>
          <w:szCs w:val="16"/>
        </w:rPr>
      </w:pPr>
      <w:r w:rsidRPr="00EE003D">
        <w:rPr>
          <w:rFonts w:ascii="Arial" w:hAnsi="Arial" w:cs="Arial"/>
          <w:sz w:val="16"/>
          <w:szCs w:val="16"/>
        </w:rPr>
        <w:t xml:space="preserve">The lead entity for measure titled </w:t>
      </w:r>
      <w:r w:rsidRPr="006A445E">
        <w:rPr>
          <w:rFonts w:ascii="Arial" w:hAnsi="Arial" w:cs="Arial"/>
          <w:i/>
          <w:sz w:val="16"/>
          <w:szCs w:val="16"/>
        </w:rPr>
        <w:t>An Ambitious and Enduring APS Reform Plan</w:t>
      </w:r>
      <w:r w:rsidR="00EE003D" w:rsidRPr="00EE003D">
        <w:rPr>
          <w:rFonts w:ascii="Arial" w:hAnsi="Arial" w:cs="Arial"/>
          <w:sz w:val="16"/>
          <w:szCs w:val="16"/>
        </w:rPr>
        <w:t xml:space="preserve"> is the Department of </w:t>
      </w:r>
      <w:r w:rsidR="001401F1">
        <w:rPr>
          <w:rFonts w:ascii="Arial" w:hAnsi="Arial" w:cs="Arial"/>
          <w:sz w:val="16"/>
          <w:szCs w:val="16"/>
        </w:rPr>
        <w:t xml:space="preserve">the </w:t>
      </w:r>
      <w:r w:rsidRPr="00EE003D">
        <w:rPr>
          <w:rFonts w:ascii="Arial" w:hAnsi="Arial" w:cs="Arial"/>
          <w:sz w:val="16"/>
          <w:szCs w:val="16"/>
        </w:rPr>
        <w:t>Prime Minister and Cabinet. The full measure description and package details appear in the October Budget Paper No. 2 under the Prime Minister and Cabinet portfolio.</w:t>
      </w:r>
    </w:p>
    <w:p w14:paraId="2696D0CE" w14:textId="46BBC3AB" w:rsidR="00F030DB" w:rsidRPr="00EE003D" w:rsidRDefault="00F030DB" w:rsidP="00D308C9">
      <w:pPr>
        <w:pStyle w:val="ListParagraph"/>
        <w:numPr>
          <w:ilvl w:val="0"/>
          <w:numId w:val="77"/>
        </w:numPr>
        <w:spacing w:before="60" w:after="0" w:line="240" w:lineRule="auto"/>
        <w:ind w:left="284" w:hanging="284"/>
        <w:rPr>
          <w:rFonts w:ascii="Arial" w:hAnsi="Arial" w:cs="Arial"/>
          <w:sz w:val="16"/>
          <w:szCs w:val="16"/>
        </w:rPr>
      </w:pPr>
      <w:r w:rsidRPr="00EE003D">
        <w:rPr>
          <w:rFonts w:ascii="Arial" w:hAnsi="Arial" w:cs="Arial"/>
          <w:sz w:val="16"/>
          <w:szCs w:val="16"/>
        </w:rPr>
        <w:t xml:space="preserve">The lead entity for measure titled </w:t>
      </w:r>
      <w:r w:rsidR="004639D7" w:rsidRPr="00D308C9">
        <w:rPr>
          <w:rFonts w:ascii="Arial" w:hAnsi="Arial" w:cs="Arial"/>
          <w:sz w:val="16"/>
          <w:szCs w:val="16"/>
        </w:rPr>
        <w:t>Cyber Hubs pilot –</w:t>
      </w:r>
      <w:r w:rsidR="001401F1" w:rsidRPr="00D308C9">
        <w:rPr>
          <w:rFonts w:ascii="Arial" w:hAnsi="Arial" w:cs="Arial"/>
          <w:sz w:val="16"/>
          <w:szCs w:val="16"/>
        </w:rPr>
        <w:t xml:space="preserve"> e</w:t>
      </w:r>
      <w:r w:rsidRPr="00D308C9">
        <w:rPr>
          <w:rFonts w:ascii="Arial" w:hAnsi="Arial" w:cs="Arial"/>
          <w:sz w:val="16"/>
          <w:szCs w:val="16"/>
        </w:rPr>
        <w:t>xtension</w:t>
      </w:r>
      <w:r w:rsidRPr="00EE003D">
        <w:rPr>
          <w:rFonts w:ascii="Arial" w:hAnsi="Arial" w:cs="Arial"/>
          <w:sz w:val="16"/>
          <w:szCs w:val="16"/>
        </w:rPr>
        <w:t xml:space="preserve"> is the Department of Finance. The full measure description and package details appear in the October Budget Paper No. 2 under the Finance portfolio.</w:t>
      </w:r>
    </w:p>
    <w:p w14:paraId="1D86A245" w14:textId="51BD0C20" w:rsidR="00F030DB" w:rsidRPr="00EE003D" w:rsidRDefault="00F030DB" w:rsidP="00C8474A">
      <w:pPr>
        <w:pStyle w:val="ListParagraph"/>
        <w:numPr>
          <w:ilvl w:val="0"/>
          <w:numId w:val="77"/>
        </w:numPr>
        <w:spacing w:before="60" w:after="0" w:line="240" w:lineRule="auto"/>
        <w:ind w:left="284" w:hanging="284"/>
        <w:rPr>
          <w:rFonts w:ascii="Arial" w:hAnsi="Arial" w:cs="Arial"/>
          <w:sz w:val="16"/>
          <w:szCs w:val="16"/>
        </w:rPr>
      </w:pPr>
      <w:r w:rsidRPr="00EE003D">
        <w:rPr>
          <w:rFonts w:ascii="Arial" w:hAnsi="Arial" w:cs="Arial"/>
          <w:sz w:val="16"/>
          <w:szCs w:val="16"/>
        </w:rPr>
        <w:t xml:space="preserve">The lead entity for measure titled </w:t>
      </w:r>
      <w:r w:rsidRPr="006A445E">
        <w:rPr>
          <w:rFonts w:ascii="Arial" w:hAnsi="Arial" w:cs="Arial"/>
          <w:i/>
          <w:sz w:val="16"/>
          <w:szCs w:val="16"/>
        </w:rPr>
        <w:t>myGov User Audit</w:t>
      </w:r>
      <w:r w:rsidRPr="00EE003D">
        <w:rPr>
          <w:rFonts w:ascii="Arial" w:hAnsi="Arial" w:cs="Arial"/>
          <w:sz w:val="16"/>
          <w:szCs w:val="16"/>
        </w:rPr>
        <w:t xml:space="preserve"> is the Department of Social Services. The full measure description and package details appear in the October Budget Paper No. 2 under the Social Services portfolio.</w:t>
      </w:r>
    </w:p>
    <w:p w14:paraId="0293C0BB" w14:textId="582CD203" w:rsidR="001D15C4" w:rsidRPr="00EE003D" w:rsidRDefault="00F030DB" w:rsidP="00C8474A">
      <w:pPr>
        <w:pStyle w:val="ListParagraph"/>
        <w:numPr>
          <w:ilvl w:val="0"/>
          <w:numId w:val="77"/>
        </w:numPr>
        <w:spacing w:before="60" w:after="0" w:line="240" w:lineRule="auto"/>
        <w:ind w:left="284" w:hanging="284"/>
        <w:rPr>
          <w:rFonts w:ascii="Arial" w:hAnsi="Arial" w:cs="Arial"/>
          <w:sz w:val="16"/>
          <w:szCs w:val="16"/>
        </w:rPr>
      </w:pPr>
      <w:r w:rsidRPr="00EE003D">
        <w:rPr>
          <w:rFonts w:ascii="Arial" w:hAnsi="Arial" w:cs="Arial"/>
          <w:sz w:val="16"/>
          <w:szCs w:val="16"/>
        </w:rPr>
        <w:t xml:space="preserve">The lead entity for measure titled </w:t>
      </w:r>
      <w:r w:rsidRPr="006A445E">
        <w:rPr>
          <w:rFonts w:ascii="Arial" w:hAnsi="Arial" w:cs="Arial"/>
          <w:i/>
          <w:sz w:val="16"/>
          <w:szCs w:val="16"/>
        </w:rPr>
        <w:t>Savings from External Labour, and Savings from Advertising, Travel and Legal Expenses</w:t>
      </w:r>
      <w:r w:rsidRPr="00EE003D">
        <w:rPr>
          <w:rFonts w:ascii="Arial" w:hAnsi="Arial" w:cs="Arial"/>
          <w:sz w:val="16"/>
          <w:szCs w:val="16"/>
        </w:rPr>
        <w:t xml:space="preserve"> is the Department of </w:t>
      </w:r>
      <w:r w:rsidR="001401F1">
        <w:rPr>
          <w:rFonts w:ascii="Arial" w:hAnsi="Arial" w:cs="Arial"/>
          <w:sz w:val="16"/>
          <w:szCs w:val="16"/>
        </w:rPr>
        <w:t xml:space="preserve">the </w:t>
      </w:r>
      <w:r w:rsidRPr="00EE003D">
        <w:rPr>
          <w:rFonts w:ascii="Arial" w:hAnsi="Arial" w:cs="Arial"/>
          <w:sz w:val="16"/>
          <w:szCs w:val="16"/>
        </w:rPr>
        <w:t>Prime Minister and Cabinet. The full measure description and package details appear in the October Budget Paper No. 2 under the Prime Minister and Cabinet portfolio.</w:t>
      </w:r>
    </w:p>
    <w:p w14:paraId="2239E6E6" w14:textId="0C179940" w:rsidR="00BF0558" w:rsidRPr="00810C6A" w:rsidRDefault="00BF0558" w:rsidP="00810C6A">
      <w:pPr>
        <w:pStyle w:val="Heading2"/>
      </w:pPr>
      <w:r>
        <w:br w:type="page"/>
      </w:r>
      <w:bookmarkStart w:id="195" w:name="_Toc116742521"/>
      <w:bookmarkStart w:id="196" w:name="_Toc117070813"/>
      <w:bookmarkStart w:id="197" w:name="_Toc117071068"/>
      <w:bookmarkStart w:id="198" w:name="_Toc117078102"/>
      <w:r w:rsidRPr="00810C6A">
        <w:lastRenderedPageBreak/>
        <w:t>Section 2: Outcomes and planned performance</w:t>
      </w:r>
      <w:bookmarkEnd w:id="195"/>
      <w:bookmarkEnd w:id="196"/>
      <w:bookmarkEnd w:id="197"/>
      <w:bookmarkEnd w:id="198"/>
    </w:p>
    <w:p w14:paraId="647FD635" w14:textId="77777777" w:rsidR="00C772E8" w:rsidRDefault="00C772E8" w:rsidP="00C772E8">
      <w: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239E6E8" w14:textId="1749954F" w:rsidR="00BF0558" w:rsidRDefault="00C772E8" w:rsidP="00C772E8">
      <w:pPr>
        <w:rPr>
          <w:i/>
          <w:color w:val="FF0000"/>
        </w:rPr>
      </w:pPr>
      <w:r>
        <w:t>Each outcome is described below together with its related programs. The following provides detailed information on expenses for each outcome and program, further broken down by funding source.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BF0558" w:rsidRPr="001C6402" w14:paraId="2239E6ED" w14:textId="77777777" w:rsidTr="00C772E8">
        <w:trPr>
          <w:trHeight w:val="3577"/>
        </w:trPr>
        <w:tc>
          <w:tcPr>
            <w:tcW w:w="7700" w:type="dxa"/>
            <w:shd w:val="clear" w:color="auto" w:fill="auto"/>
          </w:tcPr>
          <w:p w14:paraId="5747E5F3" w14:textId="77777777" w:rsidR="00C772E8" w:rsidRPr="001C6402" w:rsidRDefault="00C772E8" w:rsidP="00C772E8">
            <w:pPr>
              <w:spacing w:before="120" w:after="120" w:line="240" w:lineRule="auto"/>
              <w:jc w:val="both"/>
              <w:rPr>
                <w:b/>
              </w:rPr>
            </w:pPr>
            <w:r w:rsidRPr="001C6402">
              <w:rPr>
                <w:b/>
              </w:rPr>
              <w:t>Note:</w:t>
            </w:r>
          </w:p>
          <w:p w14:paraId="7C4D7184" w14:textId="77777777" w:rsidR="00C772E8" w:rsidRPr="001C6402" w:rsidRDefault="00C772E8" w:rsidP="00C772E8">
            <w:pPr>
              <w:jc w:val="both"/>
            </w:pPr>
            <w:r w:rsidRPr="001C6402">
              <w:t xml:space="preserve">Performance reporting requirements in the Portfolio Budget Statements are part of the Commonwealth performance framework established by the </w:t>
            </w:r>
            <w:r w:rsidRPr="001C6402">
              <w:rPr>
                <w:i/>
              </w:rPr>
              <w:t>Public Governance, Performance and Accountability Act 2013</w:t>
            </w:r>
            <w:r w:rsidRPr="001C6402">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4208D7C7" w14:textId="77777777" w:rsidR="00C772E8" w:rsidRPr="001C6402" w:rsidRDefault="00C772E8" w:rsidP="00C772E8">
            <w:pPr>
              <w:jc w:val="both"/>
            </w:pPr>
            <w:r w:rsidRPr="001C6402">
              <w:t xml:space="preserve">The most recent corporate plan for </w:t>
            </w:r>
            <w:r>
              <w:t>Digital Transformation Agency</w:t>
            </w:r>
            <w:r w:rsidRPr="001C6402">
              <w:t xml:space="preserve">) can be found at: </w:t>
            </w:r>
            <w:hyperlink r:id="rId133" w:history="1">
              <w:r w:rsidRPr="00CA3D45">
                <w:rPr>
                  <w:rStyle w:val="Hyperlink"/>
                  <w:szCs w:val="19"/>
                </w:rPr>
                <w:t>www.dta.gov.au/about-us/reporting-and-plans/corporate-plans</w:t>
              </w:r>
            </w:hyperlink>
            <w:r w:rsidRPr="001C6402">
              <w:t>.</w:t>
            </w:r>
          </w:p>
          <w:p w14:paraId="2239E6EC" w14:textId="18A0AB33" w:rsidR="00BF0558" w:rsidRPr="00C772E8" w:rsidRDefault="00C772E8" w:rsidP="00C772E8">
            <w:pPr>
              <w:jc w:val="both"/>
              <w:rPr>
                <w:b/>
              </w:rPr>
            </w:pPr>
            <w:r w:rsidRPr="001C6402">
              <w:t xml:space="preserve">The most recent annual performance statement can be found at: </w:t>
            </w:r>
            <w:hyperlink r:id="rId134" w:history="1">
              <w:r w:rsidRPr="00CA3D45">
                <w:rPr>
                  <w:rStyle w:val="Hyperlink"/>
                </w:rPr>
                <w:t>www.dta.gov.au/about-us/reporting-and-plans/annual-reports</w:t>
              </w:r>
            </w:hyperlink>
            <w:r w:rsidRPr="001C6402">
              <w:t>.</w:t>
            </w:r>
          </w:p>
        </w:tc>
      </w:tr>
    </w:tbl>
    <w:p w14:paraId="55F0B21D" w14:textId="77777777" w:rsidR="00E92126" w:rsidRDefault="00E92126" w:rsidP="003876AB">
      <w:pPr>
        <w:pStyle w:val="Heading3"/>
      </w:pPr>
      <w:r>
        <w:br w:type="page"/>
      </w:r>
    </w:p>
    <w:p w14:paraId="2239E6F0" w14:textId="7B285924" w:rsidR="00BF0558" w:rsidRPr="006E1CE4" w:rsidRDefault="00BF0558" w:rsidP="003876AB">
      <w:pPr>
        <w:pStyle w:val="Heading3"/>
      </w:pPr>
      <w:bookmarkStart w:id="199" w:name="_Toc116742522"/>
      <w:bookmarkStart w:id="200" w:name="_Toc117070814"/>
      <w:bookmarkStart w:id="201" w:name="_Toc117071069"/>
      <w:bookmarkStart w:id="202" w:name="_Toc117078103"/>
      <w:r w:rsidRPr="006E1CE4">
        <w:lastRenderedPageBreak/>
        <w:t xml:space="preserve">2.1 </w:t>
      </w:r>
      <w:r w:rsidRPr="006E1CE4">
        <w:tab/>
        <w:t>Budgeted expenses and performance for Outcome 1</w:t>
      </w:r>
      <w:bookmarkEnd w:id="199"/>
      <w:bookmarkEnd w:id="200"/>
      <w:bookmarkEnd w:id="201"/>
      <w:bookmarkEnd w:id="20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F0558" w:rsidRPr="006E1CE4" w14:paraId="2239E6F2" w14:textId="77777777" w:rsidTr="009763C1">
        <w:tc>
          <w:tcPr>
            <w:tcW w:w="7713" w:type="dxa"/>
            <w:shd w:val="clear" w:color="auto" w:fill="E6E6E6"/>
          </w:tcPr>
          <w:p w14:paraId="2239E6F1" w14:textId="77A999F8" w:rsidR="00BF0558" w:rsidRPr="006E1CE4" w:rsidRDefault="00C772E8" w:rsidP="003876AB">
            <w:pPr>
              <w:pStyle w:val="TableColumnHeadingLeft"/>
            </w:pPr>
            <w:r w:rsidRPr="00C772E8">
              <w:t xml:space="preserve">Outcome 1: Support the </w:t>
            </w:r>
            <w:r w:rsidR="00E906DF">
              <w:t>Australian G</w:t>
            </w:r>
            <w:r w:rsidRPr="00C772E8">
              <w:t>overnment's digital transformation, and simplify processes, reduce costs and generate reuse opportunities, through strategic and policy leadership, advice, strategic coordination and oversight of digital and ICT investment, and management of whole-of-government digital and ICT procurement</w:t>
            </w:r>
          </w:p>
        </w:tc>
      </w:tr>
    </w:tbl>
    <w:p w14:paraId="2239E6F3" w14:textId="77777777" w:rsidR="00BF0558" w:rsidRPr="006E1CE4" w:rsidRDefault="00BF0558" w:rsidP="00451501">
      <w:pPr>
        <w:pStyle w:val="NoSpacing"/>
      </w:pPr>
    </w:p>
    <w:p w14:paraId="2239E6F4" w14:textId="77777777" w:rsidR="00BF0558" w:rsidRPr="006E1CE4" w:rsidRDefault="00BF0558" w:rsidP="00F00984">
      <w:pPr>
        <w:pStyle w:val="Heading5"/>
      </w:pPr>
      <w:r w:rsidRPr="006E1CE4">
        <w:t>Budgeted expenses for Outcome 1</w:t>
      </w:r>
    </w:p>
    <w:p w14:paraId="2239E6F5" w14:textId="77777777" w:rsidR="00BF0558" w:rsidRPr="006E1CE4" w:rsidRDefault="00BF0558" w:rsidP="00212FAC">
      <w:r w:rsidRPr="006E1CE4">
        <w:t>This table shows how much the DTA intends to spend (on an accrual basis) on achieving the outcome, broken down by program, as well as by Administered and Departmental funding sources.</w:t>
      </w:r>
    </w:p>
    <w:p w14:paraId="3A16AF68" w14:textId="77777777" w:rsidR="00F75C5E" w:rsidRDefault="00BF0558" w:rsidP="00C723E3">
      <w:pPr>
        <w:pStyle w:val="TableHeading"/>
      </w:pPr>
      <w:r w:rsidRPr="006E1CE4">
        <w:t>Table 2.1.1: Budgeted expenses for Outcome 1</w:t>
      </w:r>
    </w:p>
    <w:p w14:paraId="2239E6F7" w14:textId="70149D4D" w:rsidR="00BF0558" w:rsidRDefault="00F75C5E" w:rsidP="00C723E3">
      <w:pPr>
        <w:pStyle w:val="TableHeading"/>
      </w:pPr>
      <w:r w:rsidRPr="00F75C5E">
        <w:rPr>
          <w:noProof/>
          <w:lang w:eastAsia="zh-CN"/>
        </w:rPr>
        <w:drawing>
          <wp:inline distT="0" distB="0" distL="0" distR="0" wp14:anchorId="6135822C" wp14:editId="0AEDB253">
            <wp:extent cx="4895850" cy="2423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895850" cy="2423380"/>
                    </a:xfrm>
                    <a:prstGeom prst="rect">
                      <a:avLst/>
                    </a:prstGeom>
                    <a:noFill/>
                    <a:ln>
                      <a:noFill/>
                    </a:ln>
                  </pic:spPr>
                </pic:pic>
              </a:graphicData>
            </a:graphic>
          </wp:inline>
        </w:drawing>
      </w:r>
    </w:p>
    <w:p w14:paraId="70E44C18" w14:textId="77777777" w:rsidR="00C772E8" w:rsidRDefault="00C772E8" w:rsidP="00C8474A">
      <w:pPr>
        <w:pStyle w:val="ChartandTableFootnote"/>
        <w:numPr>
          <w:ilvl w:val="0"/>
          <w:numId w:val="51"/>
        </w:numPr>
        <w:spacing w:before="60"/>
        <w:ind w:left="284" w:hanging="284"/>
      </w:pPr>
      <w:r>
        <w:t>Estimated expenses incurred in relation to receipts retained under section 74 of the PGPA Act.</w:t>
      </w:r>
    </w:p>
    <w:p w14:paraId="0148171B" w14:textId="77777777" w:rsidR="00C772E8" w:rsidRDefault="00C772E8" w:rsidP="00C8474A">
      <w:pPr>
        <w:pStyle w:val="ChartandTableFootnote"/>
        <w:numPr>
          <w:ilvl w:val="0"/>
          <w:numId w:val="51"/>
        </w:numPr>
        <w:spacing w:before="60"/>
        <w:ind w:left="284" w:hanging="284"/>
      </w:pPr>
      <w:r>
        <w:t>Expenses not requiring appropriation in the Budget year are made up of depreciation expenses, amortisation expenses, make good expenses, audit fees, and expenses where funding has been previously provided in a prior year.</w:t>
      </w:r>
    </w:p>
    <w:p w14:paraId="4B5A132B" w14:textId="77777777" w:rsidR="009B76AF" w:rsidRDefault="00C772E8" w:rsidP="009B76AF">
      <w:pPr>
        <w:pStyle w:val="ChartandTableFootnote"/>
      </w:pPr>
      <w:r w:rsidRPr="00C772E8">
        <w:t xml:space="preserve">Note: Departmental appropriation splits and totals are indicative estimates and may change in the course of the budget year </w:t>
      </w:r>
      <w:r w:rsidR="007846FE">
        <w:t>as government priorities change.</w:t>
      </w:r>
      <w:bookmarkStart w:id="203" w:name="_Toc116742523"/>
      <w:r w:rsidR="009B76AF">
        <w:br w:type="page"/>
      </w:r>
    </w:p>
    <w:p w14:paraId="2239E6FC" w14:textId="35EFCB61" w:rsidR="00BF0558" w:rsidRPr="009B76AF" w:rsidRDefault="00BF0558" w:rsidP="009B76AF">
      <w:pPr>
        <w:pStyle w:val="ChartandTableFootnote"/>
        <w:rPr>
          <w:b/>
          <w:sz w:val="20"/>
        </w:rPr>
      </w:pPr>
      <w:r w:rsidRPr="009B76AF">
        <w:rPr>
          <w:b/>
          <w:sz w:val="20"/>
        </w:rPr>
        <w:lastRenderedPageBreak/>
        <w:t>Table 2.1.2: Performance measure for Outcome 1</w:t>
      </w:r>
      <w:bookmarkEnd w:id="203"/>
    </w:p>
    <w:p w14:paraId="2239E6FD" w14:textId="542A917B" w:rsidR="00BF0558" w:rsidRPr="00F71634" w:rsidRDefault="009B23AE" w:rsidP="007827A8">
      <w:r w:rsidRPr="009B23AE">
        <w:t>Table 2.1.2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60"/>
        <w:gridCol w:w="3118"/>
        <w:gridCol w:w="3118"/>
      </w:tblGrid>
      <w:tr w:rsidR="00114432" w:rsidRPr="00DF15EE" w14:paraId="5902DB33" w14:textId="77777777" w:rsidTr="005C0509">
        <w:trPr>
          <w:trHeight w:val="569"/>
        </w:trPr>
        <w:tc>
          <w:tcPr>
            <w:tcW w:w="7796" w:type="dxa"/>
            <w:gridSpan w:val="3"/>
            <w:shd w:val="clear" w:color="auto" w:fill="F2F2F2"/>
          </w:tcPr>
          <w:p w14:paraId="3999B6B4" w14:textId="77777777" w:rsidR="00114432" w:rsidRPr="00DF15EE" w:rsidRDefault="00114432" w:rsidP="005C0509">
            <w:pPr>
              <w:pStyle w:val="TableColumnHeadingLeft"/>
              <w:spacing w:before="60" w:after="60"/>
              <w:rPr>
                <w:rFonts w:ascii="Arial" w:hAnsi="Arial" w:cs="Arial"/>
              </w:rPr>
            </w:pPr>
            <w:r w:rsidRPr="009B23AE">
              <w:rPr>
                <w:rStyle w:val="TableHeadingChar"/>
                <w:rFonts w:cs="Arial"/>
                <w:b/>
              </w:rPr>
              <w:t>Outcome 1 – Support the Government's digital transformation, and simplify processes, reduce costs and generate reuse opportunities, through strategic and policy leadership, advice, strategic coordination and oversight of digital and ICT investment, and management of whole-of-government digital and ICT procurement</w:t>
            </w:r>
            <w:r>
              <w:rPr>
                <w:rStyle w:val="TableHeadingChar"/>
                <w:rFonts w:cs="Arial"/>
                <w:b/>
              </w:rPr>
              <w:t>.</w:t>
            </w:r>
          </w:p>
        </w:tc>
      </w:tr>
      <w:tr w:rsidR="00114432" w:rsidRPr="006E1CE4" w14:paraId="6263E757" w14:textId="77777777" w:rsidTr="005C0509">
        <w:trPr>
          <w:trHeight w:val="522"/>
        </w:trPr>
        <w:tc>
          <w:tcPr>
            <w:tcW w:w="7796" w:type="dxa"/>
            <w:gridSpan w:val="3"/>
            <w:shd w:val="clear" w:color="auto" w:fill="F2F2F2"/>
          </w:tcPr>
          <w:p w14:paraId="5DA01C20" w14:textId="77777777" w:rsidR="00114432" w:rsidRPr="006E1CE4" w:rsidRDefault="00114432" w:rsidP="005C0509">
            <w:pPr>
              <w:pStyle w:val="TableTextLeft"/>
              <w:spacing w:before="60" w:after="60"/>
            </w:pPr>
            <w:r w:rsidRPr="009B23AE">
              <w:rPr>
                <w:b/>
              </w:rPr>
              <w:t>Program 1.1</w:t>
            </w:r>
            <w:r>
              <w:rPr>
                <w:b/>
              </w:rPr>
              <w:t xml:space="preserve"> </w:t>
            </w:r>
            <w:r w:rsidRPr="009B23AE">
              <w:rPr>
                <w:b/>
              </w:rPr>
              <w:t xml:space="preserve">- </w:t>
            </w:r>
            <w:r w:rsidRPr="009B23AE">
              <w:t>The objective of this program is to provide strategic and policy leadership and investment advice as a trusted advisor on digital and ICT investment decisions through oversight to drive government digital transformation that delivers benefits to all Australians</w:t>
            </w:r>
            <w:r w:rsidRPr="009B23AE">
              <w:rPr>
                <w:b/>
              </w:rPr>
              <w:t>.</w:t>
            </w:r>
          </w:p>
        </w:tc>
      </w:tr>
      <w:tr w:rsidR="00114432" w:rsidRPr="006E1CE4" w14:paraId="39E5C622" w14:textId="77777777" w:rsidTr="005C0509">
        <w:trPr>
          <w:trHeight w:val="694"/>
        </w:trPr>
        <w:tc>
          <w:tcPr>
            <w:tcW w:w="1560" w:type="dxa"/>
            <w:tcBorders>
              <w:bottom w:val="double" w:sz="4" w:space="0" w:color="auto"/>
            </w:tcBorders>
          </w:tcPr>
          <w:p w14:paraId="2DAEEE24" w14:textId="77777777" w:rsidR="00114432" w:rsidRPr="006E1CE4" w:rsidRDefault="00114432" w:rsidP="005C0509">
            <w:pPr>
              <w:pStyle w:val="TableColumnHeadingLeft"/>
              <w:spacing w:before="60" w:after="60"/>
            </w:pPr>
            <w:r w:rsidRPr="006E1CE4">
              <w:t>Key Activities (a)</w:t>
            </w:r>
          </w:p>
        </w:tc>
        <w:tc>
          <w:tcPr>
            <w:tcW w:w="6236" w:type="dxa"/>
            <w:gridSpan w:val="2"/>
            <w:tcBorders>
              <w:bottom w:val="double" w:sz="4" w:space="0" w:color="auto"/>
            </w:tcBorders>
          </w:tcPr>
          <w:p w14:paraId="2AF2A662" w14:textId="77777777" w:rsidR="00114432" w:rsidRPr="006E1CE4" w:rsidRDefault="00114432" w:rsidP="005C0509">
            <w:pPr>
              <w:pStyle w:val="TableTextLeft"/>
              <w:spacing w:before="60" w:after="60"/>
              <w:rPr>
                <w:i/>
              </w:rPr>
            </w:pPr>
            <w:r w:rsidRPr="006E1CE4">
              <w:t>Key activities reported in the current corporate plan that relate to this program.</w:t>
            </w:r>
          </w:p>
        </w:tc>
      </w:tr>
      <w:tr w:rsidR="00114432" w:rsidRPr="006E1CE4" w14:paraId="222552CA" w14:textId="77777777" w:rsidTr="005C0509">
        <w:tblPrEx>
          <w:tblLook w:val="04A0" w:firstRow="1" w:lastRow="0" w:firstColumn="1" w:lastColumn="0" w:noHBand="0" w:noVBand="1"/>
        </w:tblPrEx>
        <w:trPr>
          <w:trHeight w:val="258"/>
          <w:tblHeader/>
        </w:trPr>
        <w:tc>
          <w:tcPr>
            <w:tcW w:w="1560" w:type="dxa"/>
            <w:tcBorders>
              <w:top w:val="double" w:sz="4" w:space="0" w:color="auto"/>
              <w:bottom w:val="single" w:sz="4" w:space="0" w:color="auto"/>
              <w:right w:val="single" w:sz="4" w:space="0" w:color="auto"/>
            </w:tcBorders>
          </w:tcPr>
          <w:p w14:paraId="3EEED999" w14:textId="77777777" w:rsidR="00114432" w:rsidRPr="006E1CE4" w:rsidRDefault="00114432" w:rsidP="005C0509">
            <w:pPr>
              <w:pStyle w:val="TableColumnHeadingLeft"/>
              <w:spacing w:before="60" w:after="60"/>
            </w:pPr>
            <w:r w:rsidRPr="006E1CE4">
              <w:t>Year</w:t>
            </w:r>
          </w:p>
        </w:tc>
        <w:tc>
          <w:tcPr>
            <w:tcW w:w="3118" w:type="dxa"/>
            <w:tcBorders>
              <w:top w:val="double" w:sz="4" w:space="0" w:color="auto"/>
              <w:left w:val="single" w:sz="4" w:space="0" w:color="auto"/>
              <w:bottom w:val="single" w:sz="4" w:space="0" w:color="auto"/>
              <w:right w:val="single" w:sz="4" w:space="0" w:color="auto"/>
            </w:tcBorders>
          </w:tcPr>
          <w:p w14:paraId="6C1E94DA" w14:textId="77777777" w:rsidR="00114432" w:rsidRPr="006E1CE4" w:rsidRDefault="00114432" w:rsidP="005C0509">
            <w:pPr>
              <w:pStyle w:val="TableColumnHeadingLeft"/>
              <w:spacing w:before="60" w:after="60"/>
              <w:rPr>
                <w:rFonts w:cs="Arial"/>
              </w:rPr>
            </w:pPr>
            <w:r w:rsidRPr="006E1CE4">
              <w:rPr>
                <w:rFonts w:cs="Arial"/>
              </w:rPr>
              <w:t>Performance measures</w:t>
            </w:r>
          </w:p>
        </w:tc>
        <w:tc>
          <w:tcPr>
            <w:tcW w:w="3118" w:type="dxa"/>
            <w:tcBorders>
              <w:top w:val="double" w:sz="4" w:space="0" w:color="auto"/>
              <w:left w:val="single" w:sz="4" w:space="0" w:color="auto"/>
              <w:bottom w:val="single" w:sz="4" w:space="0" w:color="auto"/>
            </w:tcBorders>
          </w:tcPr>
          <w:p w14:paraId="6C4159F7" w14:textId="77777777" w:rsidR="00114432" w:rsidRPr="006E1CE4" w:rsidRDefault="00114432" w:rsidP="005C0509">
            <w:pPr>
              <w:pStyle w:val="TableColumnHeadingLeft"/>
              <w:spacing w:before="60" w:after="60"/>
              <w:rPr>
                <w:rFonts w:cs="Arial"/>
              </w:rPr>
            </w:pPr>
            <w:r w:rsidRPr="006E1CE4">
              <w:rPr>
                <w:rFonts w:cs="Arial"/>
              </w:rPr>
              <w:t>Expected Performance Results</w:t>
            </w:r>
          </w:p>
        </w:tc>
      </w:tr>
      <w:tr w:rsidR="00114432" w:rsidRPr="006E1CE4" w14:paraId="5C019678" w14:textId="77777777" w:rsidTr="005C0509">
        <w:tblPrEx>
          <w:tblLook w:val="04A0" w:firstRow="1" w:lastRow="0" w:firstColumn="1" w:lastColumn="0" w:noHBand="0" w:noVBand="1"/>
        </w:tblPrEx>
        <w:trPr>
          <w:trHeight w:val="642"/>
        </w:trPr>
        <w:tc>
          <w:tcPr>
            <w:tcW w:w="1560" w:type="dxa"/>
            <w:vMerge w:val="restart"/>
            <w:tcBorders>
              <w:top w:val="single" w:sz="4" w:space="0" w:color="auto"/>
              <w:left w:val="single" w:sz="4" w:space="0" w:color="auto"/>
              <w:bottom w:val="single" w:sz="4" w:space="0" w:color="auto"/>
              <w:right w:val="single" w:sz="4" w:space="0" w:color="auto"/>
            </w:tcBorders>
          </w:tcPr>
          <w:p w14:paraId="0CE5E52E" w14:textId="77777777" w:rsidR="00114432" w:rsidRPr="006E1CE4" w:rsidRDefault="00114432" w:rsidP="005C0509">
            <w:pPr>
              <w:pStyle w:val="TableTextLeft"/>
              <w:spacing w:before="60" w:after="60"/>
            </w:pPr>
            <w:r w:rsidRPr="006E1CE4">
              <w:t xml:space="preserve">Prior year </w:t>
            </w:r>
          </w:p>
          <w:p w14:paraId="6A95C85C" w14:textId="77777777" w:rsidR="00114432" w:rsidRPr="006E1CE4" w:rsidRDefault="00114432" w:rsidP="005C0509">
            <w:pPr>
              <w:pStyle w:val="TableTextLeft"/>
              <w:spacing w:before="60" w:after="60"/>
            </w:pPr>
          </w:p>
          <w:p w14:paraId="0F346989" w14:textId="77777777" w:rsidR="00114432" w:rsidRPr="006E1CE4" w:rsidRDefault="00114432" w:rsidP="005C0509">
            <w:pPr>
              <w:pStyle w:val="TableTextLeft"/>
              <w:spacing w:before="60" w:after="60"/>
            </w:pPr>
            <w:r w:rsidRPr="006E1CE4">
              <w:t>2021-22</w:t>
            </w:r>
          </w:p>
        </w:tc>
        <w:tc>
          <w:tcPr>
            <w:tcW w:w="3118" w:type="dxa"/>
            <w:tcBorders>
              <w:top w:val="single" w:sz="4" w:space="0" w:color="auto"/>
              <w:left w:val="single" w:sz="4" w:space="0" w:color="auto"/>
              <w:bottom w:val="nil"/>
              <w:right w:val="single" w:sz="4" w:space="0" w:color="auto"/>
            </w:tcBorders>
          </w:tcPr>
          <w:p w14:paraId="68C166C3" w14:textId="77777777" w:rsidR="00114432" w:rsidRPr="006E1CE4" w:rsidRDefault="00114432" w:rsidP="005C0509">
            <w:pPr>
              <w:pStyle w:val="TableTextBase"/>
              <w:spacing w:before="60" w:after="60"/>
              <w:rPr>
                <w:i/>
                <w:color w:val="0070C0"/>
                <w:szCs w:val="16"/>
              </w:rPr>
            </w:pPr>
            <w:r w:rsidRPr="009B23AE">
              <w:rPr>
                <w:rFonts w:cs="Arial"/>
                <w:szCs w:val="16"/>
                <w:bdr w:val="none" w:sz="0" w:space="0" w:color="auto" w:frame="1"/>
              </w:rPr>
              <w:t>Stakeholders and partners receive high quality and timely advice on strategies and policies to facilitate modern, efficient, and joined-up government services.</w:t>
            </w:r>
          </w:p>
        </w:tc>
        <w:tc>
          <w:tcPr>
            <w:tcW w:w="3118" w:type="dxa"/>
            <w:tcBorders>
              <w:top w:val="single" w:sz="4" w:space="0" w:color="auto"/>
              <w:left w:val="single" w:sz="4" w:space="0" w:color="auto"/>
              <w:bottom w:val="nil"/>
              <w:right w:val="single" w:sz="4" w:space="0" w:color="auto"/>
            </w:tcBorders>
          </w:tcPr>
          <w:p w14:paraId="5E90374E" w14:textId="77777777" w:rsidR="00114432" w:rsidRPr="006E1CE4" w:rsidRDefault="00114432" w:rsidP="005C0509">
            <w:pPr>
              <w:pStyle w:val="TableTextBase"/>
              <w:spacing w:before="60" w:after="60"/>
              <w:rPr>
                <w:rFonts w:cs="Arial"/>
                <w:szCs w:val="16"/>
                <w:bdr w:val="none" w:sz="0" w:space="0" w:color="auto" w:frame="1"/>
              </w:rPr>
            </w:pPr>
            <w:r w:rsidRPr="006E1CE4">
              <w:rPr>
                <w:rFonts w:cs="Arial"/>
                <w:szCs w:val="16"/>
                <w:bdr w:val="none" w:sz="0" w:space="0" w:color="auto" w:frame="1"/>
              </w:rPr>
              <w:t>All targets are expected to be achieved.</w:t>
            </w:r>
          </w:p>
          <w:p w14:paraId="5DA69DD3" w14:textId="77777777" w:rsidR="00114432" w:rsidRPr="006E1CE4" w:rsidRDefault="00114432" w:rsidP="00C8474A">
            <w:pPr>
              <w:pStyle w:val="TableTextBase"/>
              <w:numPr>
                <w:ilvl w:val="0"/>
                <w:numId w:val="37"/>
              </w:numPr>
              <w:spacing w:before="60" w:after="60"/>
              <w:ind w:left="527" w:hanging="357"/>
              <w:rPr>
                <w:i/>
                <w:szCs w:val="16"/>
              </w:rPr>
            </w:pPr>
            <w:r w:rsidRPr="009B23AE">
              <w:rPr>
                <w:rFonts w:cs="Arial"/>
                <w:szCs w:val="16"/>
                <w:bdr w:val="none" w:sz="0" w:space="0" w:color="auto" w:frame="1"/>
              </w:rPr>
              <w:t>Our leadership drives digital transformation in government and increased user-focus in digital government service delivery.</w:t>
            </w:r>
          </w:p>
        </w:tc>
      </w:tr>
      <w:tr w:rsidR="00114432" w:rsidRPr="006E1CE4" w14:paraId="575447E2" w14:textId="77777777" w:rsidTr="005C0509">
        <w:tblPrEx>
          <w:tblLook w:val="04A0" w:firstRow="1" w:lastRow="0" w:firstColumn="1" w:lastColumn="0" w:noHBand="0" w:noVBand="1"/>
        </w:tblPrEx>
        <w:trPr>
          <w:trHeight w:val="642"/>
        </w:trPr>
        <w:tc>
          <w:tcPr>
            <w:tcW w:w="1560" w:type="dxa"/>
            <w:vMerge/>
            <w:tcBorders>
              <w:top w:val="nil"/>
              <w:left w:val="single" w:sz="4" w:space="0" w:color="auto"/>
              <w:bottom w:val="single" w:sz="4" w:space="0" w:color="auto"/>
              <w:right w:val="single" w:sz="4" w:space="0" w:color="auto"/>
            </w:tcBorders>
          </w:tcPr>
          <w:p w14:paraId="43F66C3C" w14:textId="77777777" w:rsidR="00114432" w:rsidRPr="006E1CE4" w:rsidRDefault="00114432" w:rsidP="005C0509">
            <w:pPr>
              <w:pStyle w:val="TableTextLeft"/>
              <w:spacing w:before="60" w:after="60"/>
            </w:pPr>
          </w:p>
        </w:tc>
        <w:tc>
          <w:tcPr>
            <w:tcW w:w="3118" w:type="dxa"/>
            <w:tcBorders>
              <w:top w:val="nil"/>
              <w:left w:val="single" w:sz="4" w:space="0" w:color="auto"/>
              <w:bottom w:val="nil"/>
              <w:right w:val="single" w:sz="4" w:space="0" w:color="auto"/>
            </w:tcBorders>
          </w:tcPr>
          <w:p w14:paraId="5FA31030" w14:textId="77777777" w:rsidR="00114432" w:rsidRPr="006E1CE4" w:rsidRDefault="00114432" w:rsidP="005C0509">
            <w:pPr>
              <w:pStyle w:val="TableTextBase"/>
              <w:spacing w:before="60" w:after="60"/>
              <w:rPr>
                <w:rFonts w:cs="Arial"/>
                <w:szCs w:val="16"/>
                <w:bdr w:val="none" w:sz="0" w:space="0" w:color="auto" w:frame="1"/>
              </w:rPr>
            </w:pPr>
            <w:r w:rsidRPr="009B23AE">
              <w:rPr>
                <w:rFonts w:cs="Arial"/>
                <w:szCs w:val="16"/>
                <w:bdr w:val="none" w:sz="0" w:space="0" w:color="auto" w:frame="1"/>
              </w:rPr>
              <w:t>Whole-of-government digital platforms, technologies and services reduce costs and duplication, provide better infrastructure for Commonwealth entities, and enhance the user experience</w:t>
            </w:r>
          </w:p>
        </w:tc>
        <w:tc>
          <w:tcPr>
            <w:tcW w:w="3118" w:type="dxa"/>
            <w:tcBorders>
              <w:top w:val="nil"/>
              <w:left w:val="single" w:sz="4" w:space="0" w:color="auto"/>
              <w:bottom w:val="nil"/>
              <w:right w:val="single" w:sz="4" w:space="0" w:color="auto"/>
            </w:tcBorders>
          </w:tcPr>
          <w:p w14:paraId="0DB0EBD7" w14:textId="77777777" w:rsidR="00114432" w:rsidRPr="006E1CE4" w:rsidRDefault="00114432" w:rsidP="00C8474A">
            <w:pPr>
              <w:pStyle w:val="TableTextBase"/>
              <w:numPr>
                <w:ilvl w:val="0"/>
                <w:numId w:val="37"/>
              </w:numPr>
              <w:spacing w:before="60" w:after="60"/>
              <w:ind w:left="527" w:hanging="357"/>
              <w:rPr>
                <w:rFonts w:cs="Arial"/>
                <w:szCs w:val="16"/>
                <w:bdr w:val="none" w:sz="0" w:space="0" w:color="auto" w:frame="1"/>
              </w:rPr>
            </w:pPr>
            <w:r w:rsidRPr="009B23AE">
              <w:rPr>
                <w:rFonts w:cs="Arial"/>
                <w:szCs w:val="16"/>
                <w:bdr w:val="none" w:sz="0" w:space="0" w:color="auto" w:frame="1"/>
              </w:rPr>
              <w:t>Increase in, or enhancement of, digital platforms, technologies and services that make government simple, clear and fast.</w:t>
            </w:r>
          </w:p>
        </w:tc>
      </w:tr>
      <w:tr w:rsidR="00114432" w:rsidRPr="006E1CE4" w14:paraId="7CA8DC0E" w14:textId="77777777" w:rsidTr="005C0509">
        <w:tblPrEx>
          <w:tblLook w:val="04A0" w:firstRow="1" w:lastRow="0" w:firstColumn="1" w:lastColumn="0" w:noHBand="0" w:noVBand="1"/>
        </w:tblPrEx>
        <w:trPr>
          <w:trHeight w:val="642"/>
        </w:trPr>
        <w:tc>
          <w:tcPr>
            <w:tcW w:w="1560" w:type="dxa"/>
            <w:vMerge/>
            <w:tcBorders>
              <w:top w:val="nil"/>
              <w:left w:val="single" w:sz="4" w:space="0" w:color="auto"/>
              <w:bottom w:val="single" w:sz="4" w:space="0" w:color="auto"/>
              <w:right w:val="single" w:sz="4" w:space="0" w:color="auto"/>
            </w:tcBorders>
          </w:tcPr>
          <w:p w14:paraId="57568C75" w14:textId="77777777" w:rsidR="00114432" w:rsidRPr="006E1CE4" w:rsidRDefault="00114432" w:rsidP="005C0509">
            <w:pPr>
              <w:pStyle w:val="TableTextLeft"/>
              <w:spacing w:before="60" w:after="60"/>
            </w:pPr>
          </w:p>
        </w:tc>
        <w:tc>
          <w:tcPr>
            <w:tcW w:w="3118" w:type="dxa"/>
            <w:tcBorders>
              <w:top w:val="nil"/>
              <w:left w:val="single" w:sz="4" w:space="0" w:color="auto"/>
              <w:bottom w:val="nil"/>
              <w:right w:val="single" w:sz="4" w:space="0" w:color="auto"/>
            </w:tcBorders>
          </w:tcPr>
          <w:p w14:paraId="2E5738CD" w14:textId="77777777" w:rsidR="00114432" w:rsidRPr="006E1CE4" w:rsidRDefault="00114432" w:rsidP="005C0509">
            <w:pPr>
              <w:pStyle w:val="TableTextBase"/>
              <w:spacing w:before="60" w:after="60"/>
              <w:rPr>
                <w:rFonts w:cs="Arial"/>
                <w:szCs w:val="16"/>
                <w:bdr w:val="none" w:sz="0" w:space="0" w:color="auto" w:frame="1"/>
              </w:rPr>
            </w:pPr>
            <w:r w:rsidRPr="009B23AE">
              <w:rPr>
                <w:rFonts w:cs="Arial"/>
                <w:szCs w:val="16"/>
                <w:bdr w:val="none" w:sz="0" w:space="0" w:color="auto" w:frame="1"/>
              </w:rPr>
              <w:t>Sourcing improvements enhance the experience for buyers and sellers of government digital products and services.</w:t>
            </w:r>
          </w:p>
        </w:tc>
        <w:tc>
          <w:tcPr>
            <w:tcW w:w="3118" w:type="dxa"/>
            <w:tcBorders>
              <w:top w:val="nil"/>
              <w:left w:val="single" w:sz="4" w:space="0" w:color="auto"/>
              <w:bottom w:val="nil"/>
              <w:right w:val="single" w:sz="4" w:space="0" w:color="auto"/>
            </w:tcBorders>
          </w:tcPr>
          <w:p w14:paraId="632AD135" w14:textId="77777777" w:rsidR="00114432" w:rsidRPr="006E1CE4" w:rsidRDefault="00114432" w:rsidP="00C8474A">
            <w:pPr>
              <w:pStyle w:val="TableTextBase"/>
              <w:numPr>
                <w:ilvl w:val="0"/>
                <w:numId w:val="37"/>
              </w:numPr>
              <w:spacing w:before="60" w:after="60"/>
              <w:ind w:left="527" w:hanging="357"/>
              <w:rPr>
                <w:rFonts w:cs="Arial"/>
                <w:szCs w:val="16"/>
                <w:bdr w:val="none" w:sz="0" w:space="0" w:color="auto" w:frame="1"/>
              </w:rPr>
            </w:pPr>
            <w:r w:rsidRPr="009B23AE">
              <w:rPr>
                <w:rFonts w:cs="Arial"/>
                <w:szCs w:val="16"/>
                <w:bdr w:val="none" w:sz="0" w:space="0" w:color="auto" w:frame="1"/>
              </w:rPr>
              <w:t>Improvements to sourcing of digital products and services drive greater value for money for the APS and more opportunities for Australian businesses, including Small and Medium-sized Enterprises.</w:t>
            </w:r>
          </w:p>
        </w:tc>
      </w:tr>
      <w:tr w:rsidR="00114432" w:rsidRPr="006E1CE4" w14:paraId="6147C70F" w14:textId="77777777" w:rsidTr="005C0509">
        <w:tblPrEx>
          <w:tblLook w:val="04A0" w:firstRow="1" w:lastRow="0" w:firstColumn="1" w:lastColumn="0" w:noHBand="0" w:noVBand="1"/>
        </w:tblPrEx>
        <w:trPr>
          <w:trHeight w:val="642"/>
        </w:trPr>
        <w:tc>
          <w:tcPr>
            <w:tcW w:w="1560" w:type="dxa"/>
            <w:vMerge/>
            <w:tcBorders>
              <w:top w:val="nil"/>
              <w:left w:val="single" w:sz="4" w:space="0" w:color="auto"/>
              <w:bottom w:val="single" w:sz="4" w:space="0" w:color="auto"/>
              <w:right w:val="single" w:sz="4" w:space="0" w:color="auto"/>
            </w:tcBorders>
          </w:tcPr>
          <w:p w14:paraId="750F0450" w14:textId="77777777" w:rsidR="00114432" w:rsidRPr="006E1CE4" w:rsidRDefault="00114432" w:rsidP="005C0509">
            <w:pPr>
              <w:pStyle w:val="TableTextLeft"/>
              <w:spacing w:before="60" w:after="60"/>
            </w:pPr>
          </w:p>
        </w:tc>
        <w:tc>
          <w:tcPr>
            <w:tcW w:w="3118" w:type="dxa"/>
            <w:tcBorders>
              <w:top w:val="nil"/>
              <w:left w:val="single" w:sz="4" w:space="0" w:color="auto"/>
              <w:bottom w:val="single" w:sz="4" w:space="0" w:color="auto"/>
              <w:right w:val="single" w:sz="4" w:space="0" w:color="auto"/>
            </w:tcBorders>
          </w:tcPr>
          <w:p w14:paraId="5C255B62" w14:textId="77777777" w:rsidR="00114432" w:rsidRPr="006E1CE4" w:rsidRDefault="00114432" w:rsidP="005C0509">
            <w:pPr>
              <w:tabs>
                <w:tab w:val="left" w:pos="709"/>
              </w:tabs>
              <w:spacing w:before="60" w:after="60" w:line="240" w:lineRule="auto"/>
              <w:rPr>
                <w:rFonts w:ascii="Arial" w:hAnsi="Arial" w:cs="Arial"/>
                <w:sz w:val="16"/>
                <w:szCs w:val="16"/>
                <w:bdr w:val="none" w:sz="0" w:space="0" w:color="auto" w:frame="1"/>
              </w:rPr>
            </w:pPr>
            <w:r w:rsidRPr="009B23AE">
              <w:rPr>
                <w:rFonts w:ascii="Arial" w:hAnsi="Arial" w:cs="Arial"/>
                <w:sz w:val="16"/>
                <w:szCs w:val="16"/>
                <w:bdr w:val="none" w:sz="0" w:space="0" w:color="auto" w:frame="1"/>
              </w:rPr>
              <w:t>Collaboration and partnerships nationally and internationally promote digital transformation to improve government services.</w:t>
            </w:r>
          </w:p>
        </w:tc>
        <w:tc>
          <w:tcPr>
            <w:tcW w:w="3118" w:type="dxa"/>
            <w:tcBorders>
              <w:top w:val="nil"/>
              <w:left w:val="single" w:sz="4" w:space="0" w:color="auto"/>
              <w:bottom w:val="single" w:sz="4" w:space="0" w:color="auto"/>
              <w:right w:val="single" w:sz="4" w:space="0" w:color="auto"/>
            </w:tcBorders>
          </w:tcPr>
          <w:p w14:paraId="202FB537" w14:textId="77777777" w:rsidR="00114432" w:rsidRPr="006E1CE4" w:rsidRDefault="00114432" w:rsidP="00C8474A">
            <w:pPr>
              <w:pStyle w:val="TableTextBase"/>
              <w:numPr>
                <w:ilvl w:val="0"/>
                <w:numId w:val="37"/>
              </w:numPr>
              <w:spacing w:before="60" w:after="60"/>
              <w:ind w:left="527" w:hanging="357"/>
              <w:rPr>
                <w:rFonts w:cs="Arial"/>
                <w:szCs w:val="16"/>
                <w:bdr w:val="none" w:sz="0" w:space="0" w:color="auto" w:frame="1"/>
              </w:rPr>
            </w:pPr>
            <w:r w:rsidRPr="009B23AE">
              <w:rPr>
                <w:rFonts w:cs="Arial"/>
                <w:szCs w:val="16"/>
                <w:bdr w:val="none" w:sz="0" w:space="0" w:color="auto" w:frame="1"/>
              </w:rPr>
              <w:t>Our work increases cooperation and consistent approaches across all levels of government, and increases collaboration nationally and internationally, as well as with industry and other stakeholder groups.</w:t>
            </w:r>
          </w:p>
        </w:tc>
      </w:tr>
    </w:tbl>
    <w:p w14:paraId="07A373EF" w14:textId="77777777" w:rsidR="00A023F6" w:rsidRDefault="009068B1" w:rsidP="00C723E3">
      <w:pPr>
        <w:spacing w:before="30" w:after="0" w:line="240" w:lineRule="auto"/>
        <w:rPr>
          <w:rFonts w:ascii="Arial" w:hAnsi="Arial" w:cs="Arial"/>
          <w:sz w:val="16"/>
          <w:szCs w:val="16"/>
        </w:rPr>
      </w:pPr>
      <w:r w:rsidRPr="009068B1">
        <w:rPr>
          <w:rFonts w:ascii="Arial" w:hAnsi="Arial" w:cs="Arial"/>
          <w:sz w:val="16"/>
          <w:szCs w:val="16"/>
        </w:rPr>
        <w:t>Table continues on next page</w:t>
      </w:r>
      <w:r w:rsidR="00A023F6">
        <w:rPr>
          <w:rFonts w:ascii="Arial" w:hAnsi="Arial" w:cs="Arial"/>
          <w:sz w:val="16"/>
          <w:szCs w:val="16"/>
        </w:rPr>
        <w:br w:type="page"/>
      </w:r>
    </w:p>
    <w:p w14:paraId="24BE6387" w14:textId="3A23BA00" w:rsidR="008567E9" w:rsidRPr="009B7530" w:rsidRDefault="00E5279F" w:rsidP="009B7530">
      <w:pPr>
        <w:spacing w:before="0" w:after="0" w:line="240" w:lineRule="auto"/>
        <w:rPr>
          <w:rFonts w:ascii="Arial" w:hAnsi="Arial" w:cs="Arial"/>
          <w:sz w:val="16"/>
          <w:szCs w:val="16"/>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60"/>
        <w:gridCol w:w="3118"/>
        <w:gridCol w:w="3118"/>
      </w:tblGrid>
      <w:tr w:rsidR="008567E9" w:rsidRPr="006E1CE4" w14:paraId="204B61FD" w14:textId="77777777" w:rsidTr="008567E9">
        <w:trPr>
          <w:trHeight w:val="522"/>
        </w:trPr>
        <w:tc>
          <w:tcPr>
            <w:tcW w:w="7796" w:type="dxa"/>
            <w:gridSpan w:val="3"/>
            <w:shd w:val="clear" w:color="auto" w:fill="F2F2F2"/>
          </w:tcPr>
          <w:p w14:paraId="36FCEE36" w14:textId="34AE8232" w:rsidR="008567E9" w:rsidRPr="006E1CE4" w:rsidRDefault="00DA1F6E" w:rsidP="008567E9">
            <w:pPr>
              <w:pStyle w:val="TableTextLeft"/>
            </w:pPr>
            <w:r>
              <w:rPr>
                <w:b/>
              </w:rPr>
              <w:t xml:space="preserve">Program 1.1 </w:t>
            </w:r>
            <w:r w:rsidRPr="00DA1F6E">
              <w:rPr>
                <w:b/>
              </w:rPr>
              <w:t xml:space="preserve">- </w:t>
            </w:r>
            <w:r w:rsidRPr="00DA1F6E">
              <w:t>The objective of this program is to provide strategic and policy leadership and investment advice as a trusted advisor on digital and ICT investment decisions through oversight to drive government digital transformation that delivers benefits to all Australians.</w:t>
            </w:r>
          </w:p>
        </w:tc>
      </w:tr>
      <w:tr w:rsidR="00E5279F" w:rsidRPr="006E1CE4" w14:paraId="2239E729" w14:textId="77777777" w:rsidTr="00C6675C">
        <w:tblPrEx>
          <w:tblLook w:val="04A0" w:firstRow="1" w:lastRow="0" w:firstColumn="1" w:lastColumn="0" w:noHBand="0" w:noVBand="1"/>
        </w:tblPrEx>
        <w:trPr>
          <w:trHeight w:val="261"/>
          <w:tblHeader/>
        </w:trPr>
        <w:tc>
          <w:tcPr>
            <w:tcW w:w="1560" w:type="dxa"/>
            <w:tcBorders>
              <w:top w:val="single" w:sz="4" w:space="0" w:color="auto"/>
              <w:bottom w:val="single" w:sz="4" w:space="0" w:color="auto"/>
              <w:right w:val="single" w:sz="4" w:space="0" w:color="auto"/>
            </w:tcBorders>
          </w:tcPr>
          <w:p w14:paraId="2239E726" w14:textId="77777777" w:rsidR="00E5279F" w:rsidRPr="006E1CE4" w:rsidRDefault="00E5279F" w:rsidP="00C6675C">
            <w:pPr>
              <w:pStyle w:val="TableColumnHeadingLeft"/>
            </w:pPr>
            <w:r w:rsidRPr="006E1CE4">
              <w:t>Year</w:t>
            </w:r>
          </w:p>
        </w:tc>
        <w:tc>
          <w:tcPr>
            <w:tcW w:w="3118" w:type="dxa"/>
            <w:tcBorders>
              <w:top w:val="single" w:sz="4" w:space="0" w:color="auto"/>
              <w:left w:val="single" w:sz="4" w:space="0" w:color="auto"/>
              <w:bottom w:val="single" w:sz="4" w:space="0" w:color="auto"/>
              <w:right w:val="single" w:sz="4" w:space="0" w:color="auto"/>
            </w:tcBorders>
          </w:tcPr>
          <w:p w14:paraId="2239E727" w14:textId="77777777" w:rsidR="00E5279F" w:rsidRPr="006E1CE4" w:rsidRDefault="00E5279F" w:rsidP="00C6675C">
            <w:pPr>
              <w:pStyle w:val="TableColumnHeadingLeft"/>
            </w:pPr>
            <w:r w:rsidRPr="006E1CE4">
              <w:t>Performance measures</w:t>
            </w:r>
          </w:p>
        </w:tc>
        <w:tc>
          <w:tcPr>
            <w:tcW w:w="3118" w:type="dxa"/>
            <w:tcBorders>
              <w:top w:val="single" w:sz="4" w:space="0" w:color="auto"/>
              <w:left w:val="single" w:sz="4" w:space="0" w:color="auto"/>
              <w:bottom w:val="single" w:sz="4" w:space="0" w:color="auto"/>
            </w:tcBorders>
          </w:tcPr>
          <w:p w14:paraId="2239E728" w14:textId="77777777" w:rsidR="00E5279F" w:rsidRPr="006E1CE4" w:rsidRDefault="00E5279F" w:rsidP="00C6675C">
            <w:pPr>
              <w:pStyle w:val="TableColumnHeadingLeft"/>
            </w:pPr>
            <w:r w:rsidRPr="006E1CE4">
              <w:t>Planned Performance Results</w:t>
            </w:r>
          </w:p>
        </w:tc>
      </w:tr>
      <w:tr w:rsidR="00E5279F" w:rsidRPr="006E1CE4" w14:paraId="2239E72E" w14:textId="77777777" w:rsidTr="00C6675C">
        <w:tblPrEx>
          <w:tblLook w:val="04A0" w:firstRow="1" w:lastRow="0" w:firstColumn="1" w:lastColumn="0" w:noHBand="0" w:noVBand="1"/>
        </w:tblPrEx>
        <w:trPr>
          <w:trHeight w:val="100"/>
        </w:trPr>
        <w:tc>
          <w:tcPr>
            <w:tcW w:w="1560" w:type="dxa"/>
            <w:tcBorders>
              <w:top w:val="single" w:sz="4" w:space="0" w:color="auto"/>
              <w:left w:val="single" w:sz="4" w:space="0" w:color="auto"/>
              <w:bottom w:val="nil"/>
              <w:right w:val="single" w:sz="4" w:space="0" w:color="auto"/>
            </w:tcBorders>
          </w:tcPr>
          <w:p w14:paraId="2239E72A" w14:textId="77777777" w:rsidR="00E5279F" w:rsidRPr="006E1CE4" w:rsidRDefault="00E5279F" w:rsidP="00C6675C">
            <w:pPr>
              <w:pStyle w:val="TableTextLeft"/>
            </w:pPr>
            <w:r w:rsidRPr="006E1CE4">
              <w:t xml:space="preserve">Budget Year </w:t>
            </w:r>
          </w:p>
          <w:p w14:paraId="2239E72B" w14:textId="77777777" w:rsidR="00E5279F" w:rsidRPr="006E1CE4" w:rsidRDefault="00E5279F" w:rsidP="00C6675C">
            <w:pPr>
              <w:pStyle w:val="TableTextLeft"/>
            </w:pPr>
            <w:r w:rsidRPr="006E1CE4">
              <w:t>2022-23</w:t>
            </w:r>
          </w:p>
        </w:tc>
        <w:tc>
          <w:tcPr>
            <w:tcW w:w="3118" w:type="dxa"/>
            <w:tcBorders>
              <w:top w:val="single" w:sz="4" w:space="0" w:color="auto"/>
              <w:left w:val="single" w:sz="4" w:space="0" w:color="auto"/>
              <w:bottom w:val="dotted" w:sz="4" w:space="0" w:color="auto"/>
              <w:right w:val="single" w:sz="4" w:space="0" w:color="auto"/>
            </w:tcBorders>
          </w:tcPr>
          <w:p w14:paraId="2239E72C" w14:textId="77777777" w:rsidR="00E5279F" w:rsidRPr="006E1CE4" w:rsidRDefault="00E5279F" w:rsidP="00C8474A">
            <w:pPr>
              <w:numPr>
                <w:ilvl w:val="1"/>
                <w:numId w:val="38"/>
              </w:numPr>
              <w:tabs>
                <w:tab w:val="left" w:pos="426"/>
              </w:tabs>
              <w:spacing w:before="20" w:after="20" w:line="240" w:lineRule="auto"/>
              <w:ind w:left="425" w:hanging="425"/>
              <w:rPr>
                <w:rFonts w:ascii="Arial" w:hAnsi="Arial" w:cs="Arial"/>
                <w:sz w:val="16"/>
                <w:szCs w:val="16"/>
                <w:bdr w:val="none" w:sz="0" w:space="0" w:color="auto" w:frame="1"/>
              </w:rPr>
            </w:pPr>
            <w:r w:rsidRPr="006E1CE4">
              <w:rPr>
                <w:rFonts w:ascii="Arial" w:hAnsi="Arial" w:cs="Arial"/>
                <w:sz w:val="16"/>
                <w:szCs w:val="16"/>
                <w:bdr w:val="none" w:sz="0" w:space="0" w:color="auto" w:frame="1"/>
              </w:rPr>
              <w:t>The Australian Government Architecture is a decision-making and policy construct that helps agencies develop scalable, secure and resilient digital capabilities.</w:t>
            </w:r>
          </w:p>
        </w:tc>
        <w:tc>
          <w:tcPr>
            <w:tcW w:w="3118" w:type="dxa"/>
            <w:tcBorders>
              <w:top w:val="single" w:sz="4" w:space="0" w:color="auto"/>
              <w:left w:val="single" w:sz="4" w:space="0" w:color="auto"/>
              <w:bottom w:val="dotted" w:sz="4" w:space="0" w:color="auto"/>
            </w:tcBorders>
          </w:tcPr>
          <w:p w14:paraId="2239E72D"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Set benchmark for use of/alignment with Australian Government Architecture.</w:t>
            </w:r>
          </w:p>
        </w:tc>
      </w:tr>
      <w:tr w:rsidR="00E5279F" w:rsidRPr="006E1CE4" w14:paraId="2239E733" w14:textId="77777777" w:rsidTr="00C6675C">
        <w:tblPrEx>
          <w:tblLook w:val="04A0" w:firstRow="1" w:lastRow="0" w:firstColumn="1" w:lastColumn="0" w:noHBand="0" w:noVBand="1"/>
        </w:tblPrEx>
        <w:trPr>
          <w:trHeight w:val="491"/>
        </w:trPr>
        <w:tc>
          <w:tcPr>
            <w:tcW w:w="1560" w:type="dxa"/>
            <w:tcBorders>
              <w:top w:val="nil"/>
              <w:left w:val="single" w:sz="4" w:space="0" w:color="auto"/>
              <w:bottom w:val="nil"/>
              <w:right w:val="single" w:sz="4" w:space="0" w:color="auto"/>
            </w:tcBorders>
          </w:tcPr>
          <w:p w14:paraId="2239E72F" w14:textId="77777777" w:rsidR="00E5279F" w:rsidRPr="006E1CE4" w:rsidRDefault="00E5279F" w:rsidP="00C6675C">
            <w:pPr>
              <w:pStyle w:val="TableTextLeft"/>
            </w:pPr>
          </w:p>
        </w:tc>
        <w:tc>
          <w:tcPr>
            <w:tcW w:w="3118" w:type="dxa"/>
            <w:tcBorders>
              <w:top w:val="dotted" w:sz="4" w:space="0" w:color="auto"/>
              <w:left w:val="single" w:sz="4" w:space="0" w:color="auto"/>
              <w:bottom w:val="dotted" w:sz="4" w:space="0" w:color="auto"/>
              <w:right w:val="single" w:sz="4" w:space="0" w:color="auto"/>
            </w:tcBorders>
          </w:tcPr>
          <w:p w14:paraId="2239E730" w14:textId="77777777" w:rsidR="00E5279F" w:rsidRPr="006E1CE4" w:rsidRDefault="00E5279F" w:rsidP="00C8474A">
            <w:pPr>
              <w:numPr>
                <w:ilvl w:val="1"/>
                <w:numId w:val="38"/>
              </w:numPr>
              <w:tabs>
                <w:tab w:val="left" w:pos="426"/>
              </w:tabs>
              <w:spacing w:before="20" w:after="20" w:line="240" w:lineRule="auto"/>
              <w:ind w:left="425" w:hanging="425"/>
              <w:rPr>
                <w:rFonts w:ascii="Arial" w:hAnsi="Arial" w:cs="Arial"/>
                <w:sz w:val="16"/>
                <w:szCs w:val="16"/>
                <w:bdr w:val="none" w:sz="0" w:space="0" w:color="auto" w:frame="1"/>
              </w:rPr>
            </w:pPr>
            <w:r w:rsidRPr="006E1CE4">
              <w:rPr>
                <w:rFonts w:ascii="Arial" w:hAnsi="Arial" w:cs="Arial"/>
                <w:sz w:val="16"/>
                <w:szCs w:val="16"/>
                <w:bdr w:val="none" w:sz="0" w:space="0" w:color="auto" w:frame="1"/>
              </w:rPr>
              <w:t>Stakeholders and partners receive high quality and timely advice on whole-of-government strategies, policies and standards for digital and ICT investments.</w:t>
            </w:r>
          </w:p>
        </w:tc>
        <w:tc>
          <w:tcPr>
            <w:tcW w:w="3118" w:type="dxa"/>
            <w:tcBorders>
              <w:top w:val="dotted" w:sz="4" w:space="0" w:color="auto"/>
              <w:left w:val="single" w:sz="4" w:space="0" w:color="auto"/>
              <w:bottom w:val="dotted" w:sz="4" w:space="0" w:color="auto"/>
            </w:tcBorders>
          </w:tcPr>
          <w:p w14:paraId="2239E731"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Set benchmark for stakeholder feedback on DTA advice.</w:t>
            </w:r>
          </w:p>
          <w:p w14:paraId="2239E732" w14:textId="77777777" w:rsidR="00E5279F" w:rsidRPr="006E1CE4" w:rsidRDefault="00E5279F" w:rsidP="00C6675C">
            <w:pPr>
              <w:pStyle w:val="TableTextBase"/>
              <w:rPr>
                <w:i/>
                <w:color w:val="0070C0"/>
              </w:rPr>
            </w:pPr>
            <w:r w:rsidRPr="006E1CE4">
              <w:rPr>
                <w:rFonts w:cs="Arial"/>
                <w:szCs w:val="16"/>
                <w:bdr w:val="none" w:sz="0" w:space="0" w:color="auto" w:frame="1"/>
              </w:rPr>
              <w:t>Set benchmark for use of/alignment with DTA advice.</w:t>
            </w:r>
          </w:p>
        </w:tc>
      </w:tr>
      <w:tr w:rsidR="00E5279F" w:rsidRPr="006E1CE4" w14:paraId="2239E737" w14:textId="77777777" w:rsidTr="00C6675C">
        <w:tblPrEx>
          <w:tblLook w:val="04A0" w:firstRow="1" w:lastRow="0" w:firstColumn="1" w:lastColumn="0" w:noHBand="0" w:noVBand="1"/>
        </w:tblPrEx>
        <w:trPr>
          <w:trHeight w:val="491"/>
        </w:trPr>
        <w:tc>
          <w:tcPr>
            <w:tcW w:w="1560" w:type="dxa"/>
            <w:tcBorders>
              <w:top w:val="nil"/>
              <w:left w:val="single" w:sz="4" w:space="0" w:color="auto"/>
              <w:bottom w:val="nil"/>
              <w:right w:val="single" w:sz="4" w:space="0" w:color="auto"/>
            </w:tcBorders>
          </w:tcPr>
          <w:p w14:paraId="2239E734" w14:textId="77777777" w:rsidR="00E5279F" w:rsidRPr="006E1CE4" w:rsidRDefault="00E5279F" w:rsidP="00C6675C">
            <w:pPr>
              <w:pStyle w:val="TableTextLeft"/>
            </w:pPr>
          </w:p>
        </w:tc>
        <w:tc>
          <w:tcPr>
            <w:tcW w:w="3118" w:type="dxa"/>
            <w:tcBorders>
              <w:top w:val="dotted" w:sz="4" w:space="0" w:color="auto"/>
              <w:left w:val="single" w:sz="4" w:space="0" w:color="auto"/>
              <w:bottom w:val="dotted" w:sz="4" w:space="0" w:color="auto"/>
              <w:right w:val="single" w:sz="4" w:space="0" w:color="auto"/>
            </w:tcBorders>
          </w:tcPr>
          <w:p w14:paraId="2239E735" w14:textId="77777777" w:rsidR="00E5279F" w:rsidRPr="006E1CE4" w:rsidRDefault="00E5279F" w:rsidP="00C8474A">
            <w:pPr>
              <w:numPr>
                <w:ilvl w:val="1"/>
                <w:numId w:val="38"/>
              </w:numPr>
              <w:tabs>
                <w:tab w:val="left" w:pos="426"/>
              </w:tabs>
              <w:spacing w:before="20" w:after="20" w:line="240" w:lineRule="auto"/>
              <w:ind w:left="425" w:hanging="425"/>
              <w:rPr>
                <w:i/>
                <w:color w:val="0070C0"/>
              </w:rPr>
            </w:pPr>
            <w:r w:rsidRPr="006E1CE4">
              <w:rPr>
                <w:rFonts w:ascii="Arial" w:hAnsi="Arial" w:cs="Arial"/>
                <w:sz w:val="16"/>
                <w:szCs w:val="16"/>
                <w:bdr w:val="none" w:sz="0" w:space="0" w:color="auto" w:frame="1"/>
              </w:rPr>
              <w:t>Local and international digital government maturity and performance rankings.</w:t>
            </w:r>
          </w:p>
        </w:tc>
        <w:tc>
          <w:tcPr>
            <w:tcW w:w="3118" w:type="dxa"/>
            <w:tcBorders>
              <w:top w:val="dotted" w:sz="4" w:space="0" w:color="auto"/>
              <w:left w:val="single" w:sz="4" w:space="0" w:color="auto"/>
              <w:bottom w:val="dotted" w:sz="4" w:space="0" w:color="auto"/>
            </w:tcBorders>
          </w:tcPr>
          <w:p w14:paraId="2239E736" w14:textId="77777777" w:rsidR="00E5279F" w:rsidRPr="006E1CE4" w:rsidRDefault="00E5279F" w:rsidP="00C6675C">
            <w:pPr>
              <w:pStyle w:val="TableTextBase"/>
              <w:rPr>
                <w:i/>
                <w:color w:val="0070C0"/>
              </w:rPr>
            </w:pPr>
            <w:r w:rsidRPr="006E1CE4">
              <w:rPr>
                <w:rFonts w:cs="Arial"/>
                <w:szCs w:val="16"/>
                <w:bdr w:val="none" w:sz="0" w:space="0" w:color="auto" w:frame="1"/>
              </w:rPr>
              <w:t>Set benchmark for Australian Government rankings.</w:t>
            </w:r>
          </w:p>
        </w:tc>
      </w:tr>
      <w:tr w:rsidR="00E5279F" w:rsidRPr="006E1CE4" w14:paraId="2239E73B" w14:textId="77777777" w:rsidTr="00C6675C">
        <w:tblPrEx>
          <w:tblLook w:val="04A0" w:firstRow="1" w:lastRow="0" w:firstColumn="1" w:lastColumn="0" w:noHBand="0" w:noVBand="1"/>
        </w:tblPrEx>
        <w:trPr>
          <w:trHeight w:val="491"/>
        </w:trPr>
        <w:tc>
          <w:tcPr>
            <w:tcW w:w="1560" w:type="dxa"/>
            <w:tcBorders>
              <w:top w:val="nil"/>
              <w:left w:val="single" w:sz="4" w:space="0" w:color="auto"/>
              <w:bottom w:val="nil"/>
              <w:right w:val="single" w:sz="4" w:space="0" w:color="auto"/>
            </w:tcBorders>
          </w:tcPr>
          <w:p w14:paraId="2239E738" w14:textId="77777777" w:rsidR="00E5279F" w:rsidRPr="006E1CE4" w:rsidRDefault="00E5279F" w:rsidP="00C6675C">
            <w:pPr>
              <w:pStyle w:val="TableTextLeft"/>
            </w:pPr>
          </w:p>
        </w:tc>
        <w:tc>
          <w:tcPr>
            <w:tcW w:w="3118" w:type="dxa"/>
            <w:tcBorders>
              <w:top w:val="dotted" w:sz="4" w:space="0" w:color="auto"/>
              <w:left w:val="single" w:sz="4" w:space="0" w:color="auto"/>
              <w:bottom w:val="dotted" w:sz="4" w:space="0" w:color="auto"/>
              <w:right w:val="single" w:sz="4" w:space="0" w:color="auto"/>
            </w:tcBorders>
          </w:tcPr>
          <w:p w14:paraId="2239E739" w14:textId="77777777" w:rsidR="00E5279F" w:rsidRPr="006E1CE4" w:rsidRDefault="00E5279F" w:rsidP="00C8474A">
            <w:pPr>
              <w:numPr>
                <w:ilvl w:val="1"/>
                <w:numId w:val="39"/>
              </w:numPr>
              <w:tabs>
                <w:tab w:val="left" w:pos="426"/>
              </w:tabs>
              <w:spacing w:before="20" w:after="20" w:line="240" w:lineRule="auto"/>
              <w:ind w:left="426" w:hanging="426"/>
              <w:rPr>
                <w:rFonts w:ascii="Arial" w:hAnsi="Arial" w:cs="Arial"/>
                <w:sz w:val="16"/>
                <w:szCs w:val="16"/>
                <w:bdr w:val="none" w:sz="0" w:space="0" w:color="auto" w:frame="1"/>
              </w:rPr>
            </w:pPr>
            <w:r w:rsidRPr="006E1CE4">
              <w:rPr>
                <w:rFonts w:ascii="Arial" w:hAnsi="Arial" w:cs="Arial"/>
                <w:sz w:val="16"/>
                <w:szCs w:val="16"/>
                <w:bdr w:val="none" w:sz="0" w:space="0" w:color="auto" w:frame="1"/>
              </w:rPr>
              <w:t>Quality and timeliness of strategic planning advice to define digital and ICT investment portfolio, its future objectives and capability gaps.</w:t>
            </w:r>
          </w:p>
        </w:tc>
        <w:tc>
          <w:tcPr>
            <w:tcW w:w="3118" w:type="dxa"/>
            <w:tcBorders>
              <w:top w:val="dotted" w:sz="4" w:space="0" w:color="auto"/>
              <w:left w:val="single" w:sz="4" w:space="0" w:color="auto"/>
              <w:bottom w:val="dotted" w:sz="4" w:space="0" w:color="auto"/>
            </w:tcBorders>
          </w:tcPr>
          <w:p w14:paraId="2239E73A"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Set stakeholder satisfaction benchmark %.</w:t>
            </w:r>
          </w:p>
        </w:tc>
      </w:tr>
      <w:tr w:rsidR="00E5279F" w:rsidRPr="006E1CE4" w14:paraId="2239E73F" w14:textId="77777777" w:rsidTr="00C6675C">
        <w:tblPrEx>
          <w:tblLook w:val="04A0" w:firstRow="1" w:lastRow="0" w:firstColumn="1" w:lastColumn="0" w:noHBand="0" w:noVBand="1"/>
        </w:tblPrEx>
        <w:trPr>
          <w:trHeight w:val="491"/>
        </w:trPr>
        <w:tc>
          <w:tcPr>
            <w:tcW w:w="1560" w:type="dxa"/>
            <w:tcBorders>
              <w:top w:val="nil"/>
              <w:left w:val="single" w:sz="4" w:space="0" w:color="auto"/>
              <w:bottom w:val="nil"/>
              <w:right w:val="single" w:sz="4" w:space="0" w:color="auto"/>
            </w:tcBorders>
          </w:tcPr>
          <w:p w14:paraId="2239E73C" w14:textId="77777777" w:rsidR="00E5279F" w:rsidRPr="006E1CE4" w:rsidRDefault="00E5279F" w:rsidP="00C6675C">
            <w:pPr>
              <w:pStyle w:val="TableTextLeft"/>
            </w:pPr>
          </w:p>
        </w:tc>
        <w:tc>
          <w:tcPr>
            <w:tcW w:w="3118" w:type="dxa"/>
            <w:tcBorders>
              <w:top w:val="dotted" w:sz="4" w:space="0" w:color="auto"/>
              <w:left w:val="single" w:sz="4" w:space="0" w:color="auto"/>
              <w:bottom w:val="dotted" w:sz="4" w:space="0" w:color="auto"/>
              <w:right w:val="single" w:sz="4" w:space="0" w:color="auto"/>
            </w:tcBorders>
          </w:tcPr>
          <w:p w14:paraId="2239E73D" w14:textId="77777777" w:rsidR="00E5279F" w:rsidRPr="006E1CE4" w:rsidRDefault="00E5279F" w:rsidP="00C8474A">
            <w:pPr>
              <w:numPr>
                <w:ilvl w:val="1"/>
                <w:numId w:val="39"/>
              </w:numPr>
              <w:tabs>
                <w:tab w:val="left" w:pos="426"/>
              </w:tabs>
              <w:spacing w:before="20" w:after="20" w:line="240" w:lineRule="auto"/>
              <w:ind w:left="426" w:hanging="426"/>
              <w:rPr>
                <w:rFonts w:ascii="Arial" w:hAnsi="Arial" w:cs="Arial"/>
                <w:sz w:val="16"/>
                <w:szCs w:val="16"/>
                <w:bdr w:val="none" w:sz="0" w:space="0" w:color="auto" w:frame="1"/>
              </w:rPr>
            </w:pPr>
            <w:r w:rsidRPr="006E1CE4">
              <w:rPr>
                <w:rFonts w:ascii="Arial" w:hAnsi="Arial" w:cs="Arial"/>
                <w:sz w:val="16"/>
                <w:szCs w:val="16"/>
                <w:bdr w:val="none" w:sz="0" w:space="0" w:color="auto" w:frame="1"/>
              </w:rPr>
              <w:t>Quality and timeliness of prioritisation advice on investments to deliver on government’s digital and ICT objectives.</w:t>
            </w:r>
          </w:p>
        </w:tc>
        <w:tc>
          <w:tcPr>
            <w:tcW w:w="3118" w:type="dxa"/>
            <w:tcBorders>
              <w:top w:val="dotted" w:sz="4" w:space="0" w:color="auto"/>
              <w:left w:val="single" w:sz="4" w:space="0" w:color="auto"/>
              <w:bottom w:val="dotted" w:sz="4" w:space="0" w:color="auto"/>
            </w:tcBorders>
          </w:tcPr>
          <w:p w14:paraId="2239E73E"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Set stakeholder satisfaction benchmark %.</w:t>
            </w:r>
          </w:p>
        </w:tc>
      </w:tr>
      <w:tr w:rsidR="00E5279F" w:rsidRPr="006E1CE4" w14:paraId="2239E745" w14:textId="77777777" w:rsidTr="00C6675C">
        <w:tblPrEx>
          <w:tblLook w:val="04A0" w:firstRow="1" w:lastRow="0" w:firstColumn="1" w:lastColumn="0" w:noHBand="0" w:noVBand="1"/>
        </w:tblPrEx>
        <w:trPr>
          <w:trHeight w:val="491"/>
        </w:trPr>
        <w:tc>
          <w:tcPr>
            <w:tcW w:w="1560" w:type="dxa"/>
            <w:tcBorders>
              <w:top w:val="nil"/>
              <w:left w:val="single" w:sz="4" w:space="0" w:color="auto"/>
              <w:bottom w:val="nil"/>
              <w:right w:val="single" w:sz="4" w:space="0" w:color="auto"/>
            </w:tcBorders>
          </w:tcPr>
          <w:p w14:paraId="2239E740" w14:textId="77777777" w:rsidR="00E5279F" w:rsidRPr="006E1CE4" w:rsidRDefault="00E5279F" w:rsidP="00C6675C">
            <w:pPr>
              <w:pStyle w:val="TableTextLeft"/>
            </w:pPr>
          </w:p>
        </w:tc>
        <w:tc>
          <w:tcPr>
            <w:tcW w:w="3118" w:type="dxa"/>
            <w:tcBorders>
              <w:top w:val="dotted" w:sz="4" w:space="0" w:color="auto"/>
              <w:left w:val="single" w:sz="4" w:space="0" w:color="auto"/>
              <w:bottom w:val="dotted" w:sz="4" w:space="0" w:color="auto"/>
              <w:right w:val="single" w:sz="4" w:space="0" w:color="auto"/>
            </w:tcBorders>
          </w:tcPr>
          <w:p w14:paraId="2239E741" w14:textId="77777777" w:rsidR="00E5279F" w:rsidRPr="006E1CE4" w:rsidRDefault="00E5279F" w:rsidP="00C8474A">
            <w:pPr>
              <w:numPr>
                <w:ilvl w:val="1"/>
                <w:numId w:val="39"/>
              </w:numPr>
              <w:tabs>
                <w:tab w:val="left" w:pos="426"/>
              </w:tabs>
              <w:spacing w:before="20" w:after="20" w:line="240" w:lineRule="auto"/>
              <w:ind w:left="426" w:hanging="426"/>
              <w:rPr>
                <w:rFonts w:ascii="Arial" w:hAnsi="Arial" w:cs="Arial"/>
                <w:sz w:val="16"/>
                <w:szCs w:val="16"/>
                <w:bdr w:val="none" w:sz="0" w:space="0" w:color="auto" w:frame="1"/>
              </w:rPr>
            </w:pPr>
            <w:r w:rsidRPr="006E1CE4">
              <w:rPr>
                <w:rFonts w:ascii="Arial" w:hAnsi="Arial" w:cs="Arial"/>
                <w:sz w:val="16"/>
                <w:szCs w:val="16"/>
                <w:bdr w:val="none" w:sz="0" w:space="0" w:color="auto" w:frame="1"/>
              </w:rPr>
              <w:t>Quality and timeliness of contestability advice to ensure digital and ICT investment proposals are robust and meet whole-of-government digital standards prior to government consideration.</w:t>
            </w:r>
          </w:p>
        </w:tc>
        <w:tc>
          <w:tcPr>
            <w:tcW w:w="3118" w:type="dxa"/>
            <w:tcBorders>
              <w:top w:val="dotted" w:sz="4" w:space="0" w:color="auto"/>
              <w:left w:val="single" w:sz="4" w:space="0" w:color="auto"/>
              <w:bottom w:val="dotted" w:sz="4" w:space="0" w:color="auto"/>
            </w:tcBorders>
          </w:tcPr>
          <w:p w14:paraId="2239E742"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70% of digital investment proposals identified by the DTA as in-scope of the Digital and ICT Investment Oversight Framework are reviewed within Budget timelines.</w:t>
            </w:r>
          </w:p>
          <w:p w14:paraId="2239E743"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70% of digital investment proposals identified by the DTA as in-scope of the Digital and ICT Investment Oversight Framework are assessed with strong alignment to the Digital Capability Standards.</w:t>
            </w:r>
          </w:p>
          <w:p w14:paraId="2239E744"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Average rating of at least 7/10 for the DTA’s communication around the Digital Capability Standards and the requirements on Commonwealth agencies.</w:t>
            </w:r>
          </w:p>
        </w:tc>
      </w:tr>
      <w:tr w:rsidR="00E5279F" w:rsidRPr="006E1CE4" w14:paraId="2239E74B" w14:textId="77777777" w:rsidTr="00C6675C">
        <w:tblPrEx>
          <w:tblLook w:val="04A0" w:firstRow="1" w:lastRow="0" w:firstColumn="1" w:lastColumn="0" w:noHBand="0" w:noVBand="1"/>
        </w:tblPrEx>
        <w:trPr>
          <w:trHeight w:val="491"/>
        </w:trPr>
        <w:tc>
          <w:tcPr>
            <w:tcW w:w="1560" w:type="dxa"/>
            <w:tcBorders>
              <w:top w:val="nil"/>
              <w:left w:val="single" w:sz="4" w:space="0" w:color="auto"/>
              <w:bottom w:val="single" w:sz="4" w:space="0" w:color="auto"/>
              <w:right w:val="single" w:sz="4" w:space="0" w:color="auto"/>
            </w:tcBorders>
          </w:tcPr>
          <w:p w14:paraId="2239E746" w14:textId="77777777" w:rsidR="00E5279F" w:rsidRPr="006E1CE4" w:rsidRDefault="00E5279F" w:rsidP="00C6675C">
            <w:pPr>
              <w:pStyle w:val="TableTextLeft"/>
            </w:pPr>
          </w:p>
        </w:tc>
        <w:tc>
          <w:tcPr>
            <w:tcW w:w="3118" w:type="dxa"/>
            <w:tcBorders>
              <w:top w:val="dotted" w:sz="4" w:space="0" w:color="auto"/>
              <w:left w:val="single" w:sz="4" w:space="0" w:color="auto"/>
              <w:bottom w:val="single" w:sz="4" w:space="0" w:color="auto"/>
              <w:right w:val="single" w:sz="4" w:space="0" w:color="auto"/>
            </w:tcBorders>
          </w:tcPr>
          <w:p w14:paraId="2239E747" w14:textId="77777777" w:rsidR="00E5279F" w:rsidRPr="006E1CE4" w:rsidRDefault="00E5279F" w:rsidP="00C8474A">
            <w:pPr>
              <w:numPr>
                <w:ilvl w:val="1"/>
                <w:numId w:val="39"/>
              </w:numPr>
              <w:tabs>
                <w:tab w:val="left" w:pos="426"/>
              </w:tabs>
              <w:spacing w:before="20" w:after="20" w:line="240" w:lineRule="auto"/>
              <w:ind w:left="426" w:hanging="426"/>
              <w:rPr>
                <w:rFonts w:ascii="Arial" w:hAnsi="Arial" w:cs="Arial"/>
                <w:sz w:val="16"/>
                <w:szCs w:val="16"/>
                <w:bdr w:val="none" w:sz="0" w:space="0" w:color="auto" w:frame="1"/>
              </w:rPr>
            </w:pPr>
            <w:r w:rsidRPr="006E1CE4">
              <w:rPr>
                <w:rFonts w:ascii="Arial" w:hAnsi="Arial" w:cs="Arial"/>
                <w:sz w:val="16"/>
                <w:szCs w:val="16"/>
                <w:bdr w:val="none" w:sz="0" w:space="0" w:color="auto" w:frame="1"/>
              </w:rPr>
              <w:t>Quality and timeliness of delivery assurance advice that investments are on-track to deliver expected benefits.</w:t>
            </w:r>
          </w:p>
        </w:tc>
        <w:tc>
          <w:tcPr>
            <w:tcW w:w="3118" w:type="dxa"/>
            <w:tcBorders>
              <w:top w:val="dotted" w:sz="4" w:space="0" w:color="auto"/>
              <w:left w:val="single" w:sz="4" w:space="0" w:color="auto"/>
              <w:bottom w:val="single" w:sz="4" w:space="0" w:color="auto"/>
            </w:tcBorders>
          </w:tcPr>
          <w:p w14:paraId="2239E748" w14:textId="77777777" w:rsidR="00E5279F"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100% of new digital investments identified by the DTA as in-scope for the Digital and ICT Investment Oversight Framework have a formal assurance plan in place [measured by value].</w:t>
            </w:r>
          </w:p>
          <w:p w14:paraId="2239E749" w14:textId="77777777" w:rsidR="00E5279F" w:rsidRPr="006E1CE4" w:rsidRDefault="00E5279F" w:rsidP="00C6675C">
            <w:pPr>
              <w:pStyle w:val="TableTextBase"/>
              <w:rPr>
                <w:rFonts w:cs="Arial"/>
                <w:szCs w:val="16"/>
                <w:bdr w:val="none" w:sz="0" w:space="0" w:color="auto" w:frame="1"/>
              </w:rPr>
            </w:pPr>
          </w:p>
          <w:p w14:paraId="2239E74A" w14:textId="77777777" w:rsidR="001F4708" w:rsidRPr="006E1CE4" w:rsidRDefault="00E5279F" w:rsidP="00C6675C">
            <w:pPr>
              <w:pStyle w:val="TableTextBase"/>
              <w:rPr>
                <w:rFonts w:cs="Arial"/>
                <w:szCs w:val="16"/>
                <w:bdr w:val="none" w:sz="0" w:space="0" w:color="auto" w:frame="1"/>
              </w:rPr>
            </w:pPr>
            <w:r w:rsidRPr="006E1CE4">
              <w:rPr>
                <w:rFonts w:cs="Arial"/>
                <w:szCs w:val="16"/>
                <w:bdr w:val="none" w:sz="0" w:space="0" w:color="auto" w:frame="1"/>
              </w:rPr>
              <w:t>70% of in-flight digital projects in-scope for retrospective application of the assurance framework have a formal assurance plan in place [measured by value].</w:t>
            </w:r>
          </w:p>
        </w:tc>
      </w:tr>
    </w:tbl>
    <w:p w14:paraId="211AFCFD" w14:textId="77777777" w:rsidR="009B7530" w:rsidRDefault="00E5279F" w:rsidP="00C723E3">
      <w:pPr>
        <w:spacing w:before="30" w:after="0" w:line="240" w:lineRule="auto"/>
        <w:rPr>
          <w:rFonts w:ascii="Arial" w:hAnsi="Arial" w:cs="Arial"/>
          <w:sz w:val="16"/>
          <w:szCs w:val="16"/>
        </w:rPr>
      </w:pPr>
      <w:r w:rsidRPr="00E5279F">
        <w:rPr>
          <w:rFonts w:ascii="Arial" w:hAnsi="Arial" w:cs="Arial"/>
          <w:sz w:val="16"/>
          <w:szCs w:val="16"/>
        </w:rPr>
        <w:t>Table continues on next page</w:t>
      </w:r>
      <w:r w:rsidR="009B7530">
        <w:rPr>
          <w:rFonts w:ascii="Arial" w:hAnsi="Arial" w:cs="Arial"/>
          <w:sz w:val="16"/>
          <w:szCs w:val="16"/>
        </w:rPr>
        <w:br w:type="page"/>
      </w:r>
    </w:p>
    <w:p w14:paraId="68FAA88B" w14:textId="33D5834D" w:rsidR="008567E9" w:rsidRPr="009B7530" w:rsidRDefault="003276D1" w:rsidP="009B7530">
      <w:pPr>
        <w:spacing w:before="0" w:after="0" w:line="240" w:lineRule="auto"/>
        <w:rPr>
          <w:rFonts w:ascii="Arial" w:hAnsi="Arial" w:cs="Arial"/>
          <w:sz w:val="16"/>
          <w:szCs w:val="16"/>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33"/>
        <w:gridCol w:w="3083"/>
        <w:gridCol w:w="3080"/>
      </w:tblGrid>
      <w:tr w:rsidR="008567E9" w:rsidRPr="006E1CE4" w14:paraId="4B1C3A9A" w14:textId="77777777" w:rsidTr="008567E9">
        <w:trPr>
          <w:trHeight w:val="522"/>
        </w:trPr>
        <w:tc>
          <w:tcPr>
            <w:tcW w:w="7796" w:type="dxa"/>
            <w:gridSpan w:val="3"/>
            <w:shd w:val="clear" w:color="auto" w:fill="F2F2F2"/>
          </w:tcPr>
          <w:p w14:paraId="7320C46B" w14:textId="27F85A19" w:rsidR="008567E9" w:rsidRPr="006E1CE4" w:rsidRDefault="00537F49" w:rsidP="008567E9">
            <w:pPr>
              <w:pStyle w:val="TableTextLeft"/>
            </w:pPr>
            <w:r w:rsidRPr="00537F49">
              <w:rPr>
                <w:b/>
              </w:rPr>
              <w:t>Program 1.1</w:t>
            </w:r>
            <w:r>
              <w:rPr>
                <w:b/>
              </w:rPr>
              <w:t xml:space="preserve"> </w:t>
            </w:r>
            <w:r w:rsidRPr="00537F49">
              <w:rPr>
                <w:b/>
              </w:rPr>
              <w:t xml:space="preserve">- </w:t>
            </w:r>
            <w:r w:rsidRPr="00537F49">
              <w:t>The objective of this program is to provide strategic and policy leadership and investment advice as a trusted advisor on digital and ICT investment decisions through oversight to drive government digital transformation that delivers benefits to all Australians.</w:t>
            </w:r>
          </w:p>
        </w:tc>
      </w:tr>
      <w:tr w:rsidR="003276D1" w:rsidRPr="006E1CE4" w14:paraId="2239E753" w14:textId="77777777" w:rsidTr="00C6675C">
        <w:tblPrEx>
          <w:tblLook w:val="04A0" w:firstRow="1" w:lastRow="0" w:firstColumn="1" w:lastColumn="0" w:noHBand="0" w:noVBand="1"/>
        </w:tblPrEx>
        <w:trPr>
          <w:trHeight w:val="261"/>
        </w:trPr>
        <w:tc>
          <w:tcPr>
            <w:tcW w:w="1633" w:type="dxa"/>
            <w:tcBorders>
              <w:top w:val="single" w:sz="4" w:space="0" w:color="auto"/>
              <w:left w:val="single" w:sz="4" w:space="0" w:color="auto"/>
              <w:bottom w:val="single" w:sz="4" w:space="0" w:color="auto"/>
              <w:right w:val="single" w:sz="4" w:space="0" w:color="auto"/>
            </w:tcBorders>
          </w:tcPr>
          <w:p w14:paraId="2239E750" w14:textId="77777777" w:rsidR="003276D1" w:rsidRPr="006E1CE4" w:rsidRDefault="003276D1" w:rsidP="00C6675C">
            <w:pPr>
              <w:pStyle w:val="TableColumnHeadingLeft"/>
            </w:pPr>
            <w:r w:rsidRPr="006E1CE4">
              <w:t>Year</w:t>
            </w:r>
          </w:p>
        </w:tc>
        <w:tc>
          <w:tcPr>
            <w:tcW w:w="3083" w:type="dxa"/>
            <w:tcBorders>
              <w:top w:val="single" w:sz="4" w:space="0" w:color="auto"/>
              <w:left w:val="single" w:sz="4" w:space="0" w:color="auto"/>
              <w:bottom w:val="single" w:sz="4" w:space="0" w:color="auto"/>
              <w:right w:val="single" w:sz="4" w:space="0" w:color="auto"/>
            </w:tcBorders>
          </w:tcPr>
          <w:p w14:paraId="2239E751" w14:textId="77777777" w:rsidR="003276D1" w:rsidRPr="00F30BCF" w:rsidRDefault="003276D1" w:rsidP="00C6675C">
            <w:pPr>
              <w:pStyle w:val="TableColumnHeadingLeft"/>
            </w:pPr>
            <w:r w:rsidRPr="00F30BCF">
              <w:t>Performance measures</w:t>
            </w:r>
          </w:p>
        </w:tc>
        <w:tc>
          <w:tcPr>
            <w:tcW w:w="3080" w:type="dxa"/>
            <w:tcBorders>
              <w:top w:val="single" w:sz="4" w:space="0" w:color="auto"/>
              <w:left w:val="single" w:sz="4" w:space="0" w:color="auto"/>
              <w:bottom w:val="single" w:sz="4" w:space="0" w:color="auto"/>
              <w:right w:val="single" w:sz="4" w:space="0" w:color="auto"/>
            </w:tcBorders>
          </w:tcPr>
          <w:p w14:paraId="2239E752" w14:textId="77777777" w:rsidR="003276D1" w:rsidRPr="00F30BCF" w:rsidRDefault="003276D1" w:rsidP="00C6675C">
            <w:pPr>
              <w:pStyle w:val="TableColumnHeadingLeft"/>
            </w:pPr>
            <w:r w:rsidRPr="00F30BCF">
              <w:t>Planned Performance Results</w:t>
            </w:r>
          </w:p>
        </w:tc>
      </w:tr>
      <w:tr w:rsidR="003276D1" w:rsidRPr="006E1CE4" w14:paraId="2239E75B" w14:textId="77777777" w:rsidTr="00C6675C">
        <w:tblPrEx>
          <w:tblLook w:val="04A0" w:firstRow="1" w:lastRow="0" w:firstColumn="1" w:lastColumn="0" w:noHBand="0" w:noVBand="1"/>
        </w:tblPrEx>
        <w:trPr>
          <w:trHeight w:val="491"/>
        </w:trPr>
        <w:tc>
          <w:tcPr>
            <w:tcW w:w="1633" w:type="dxa"/>
            <w:tcBorders>
              <w:top w:val="single" w:sz="4" w:space="0" w:color="auto"/>
              <w:left w:val="single" w:sz="4" w:space="0" w:color="auto"/>
              <w:bottom w:val="nil"/>
              <w:right w:val="single" w:sz="4" w:space="0" w:color="auto"/>
            </w:tcBorders>
          </w:tcPr>
          <w:p w14:paraId="2239E754" w14:textId="77777777" w:rsidR="003276D1" w:rsidRPr="006E1CE4" w:rsidRDefault="003276D1" w:rsidP="00C6675C">
            <w:pPr>
              <w:pStyle w:val="TableTextLeft"/>
            </w:pPr>
            <w:r w:rsidRPr="006E1CE4">
              <w:t xml:space="preserve">Budget Year </w:t>
            </w:r>
          </w:p>
          <w:p w14:paraId="2239E755" w14:textId="77777777" w:rsidR="003276D1" w:rsidRDefault="003276D1" w:rsidP="00C6675C">
            <w:pPr>
              <w:pStyle w:val="TableTextLeft"/>
            </w:pPr>
            <w:r w:rsidRPr="006E1CE4">
              <w:t>2022-23</w:t>
            </w:r>
          </w:p>
          <w:p w14:paraId="2239E756" w14:textId="77777777" w:rsidR="003276D1" w:rsidRPr="006E1CE4" w:rsidRDefault="003276D1" w:rsidP="00C6675C">
            <w:pPr>
              <w:pStyle w:val="TableTextLeft"/>
            </w:pPr>
            <w:r>
              <w:t>(continued)</w:t>
            </w:r>
          </w:p>
        </w:tc>
        <w:tc>
          <w:tcPr>
            <w:tcW w:w="3083" w:type="dxa"/>
            <w:tcBorders>
              <w:top w:val="single" w:sz="4" w:space="0" w:color="auto"/>
              <w:left w:val="single" w:sz="4" w:space="0" w:color="auto"/>
              <w:bottom w:val="dotted" w:sz="4" w:space="0" w:color="auto"/>
              <w:right w:val="single" w:sz="4" w:space="0" w:color="auto"/>
            </w:tcBorders>
          </w:tcPr>
          <w:p w14:paraId="2239E757" w14:textId="77777777" w:rsidR="003276D1" w:rsidRPr="006E1CE4" w:rsidRDefault="003276D1" w:rsidP="00C8474A">
            <w:pPr>
              <w:numPr>
                <w:ilvl w:val="1"/>
                <w:numId w:val="39"/>
              </w:numPr>
              <w:tabs>
                <w:tab w:val="left" w:pos="426"/>
              </w:tabs>
              <w:spacing w:before="20" w:after="20" w:line="240" w:lineRule="auto"/>
              <w:ind w:left="426" w:hanging="426"/>
              <w:rPr>
                <w:rFonts w:ascii="Arial" w:hAnsi="Arial" w:cs="Arial"/>
                <w:sz w:val="16"/>
                <w:szCs w:val="16"/>
                <w:bdr w:val="none" w:sz="0" w:space="0" w:color="auto" w:frame="1"/>
              </w:rPr>
            </w:pPr>
            <w:r w:rsidRPr="006E1CE4">
              <w:rPr>
                <w:rFonts w:ascii="Arial" w:hAnsi="Arial" w:cs="Arial"/>
                <w:sz w:val="16"/>
                <w:szCs w:val="16"/>
                <w:bdr w:val="none" w:sz="0" w:space="0" w:color="auto" w:frame="1"/>
              </w:rPr>
              <w:t>Alignment of whole-of-government digital platforms, technologies and services with Australian Government Architecture.</w:t>
            </w:r>
          </w:p>
        </w:tc>
        <w:tc>
          <w:tcPr>
            <w:tcW w:w="3080" w:type="dxa"/>
            <w:tcBorders>
              <w:top w:val="single" w:sz="4" w:space="0" w:color="auto"/>
              <w:left w:val="single" w:sz="4" w:space="0" w:color="auto"/>
              <w:bottom w:val="dotted" w:sz="4" w:space="0" w:color="auto"/>
            </w:tcBorders>
          </w:tcPr>
          <w:p w14:paraId="2239E758"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Increase in, and enhancement of, digital platforms, technologies and services that are aligned to the Australian Government Architecture and make government services easy to use, accessible and connected.</w:t>
            </w:r>
          </w:p>
          <w:p w14:paraId="2239E759" w14:textId="77777777" w:rsidR="003276D1" w:rsidRPr="006E1CE4" w:rsidRDefault="003276D1" w:rsidP="00C6675C">
            <w:pPr>
              <w:pStyle w:val="TableTextBase"/>
              <w:rPr>
                <w:rFonts w:cs="Arial"/>
                <w:szCs w:val="16"/>
                <w:bdr w:val="none" w:sz="0" w:space="0" w:color="auto" w:frame="1"/>
              </w:rPr>
            </w:pPr>
          </w:p>
          <w:p w14:paraId="2239E75A"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70% of government users report a customer satisfaction measure of neutral or above.</w:t>
            </w:r>
          </w:p>
        </w:tc>
      </w:tr>
      <w:tr w:rsidR="003276D1" w:rsidRPr="006E1CE4" w14:paraId="2239E767" w14:textId="77777777" w:rsidTr="00C6675C">
        <w:tblPrEx>
          <w:tblLook w:val="04A0" w:firstRow="1" w:lastRow="0" w:firstColumn="1" w:lastColumn="0" w:noHBand="0" w:noVBand="1"/>
        </w:tblPrEx>
        <w:trPr>
          <w:trHeight w:val="491"/>
        </w:trPr>
        <w:tc>
          <w:tcPr>
            <w:tcW w:w="1633" w:type="dxa"/>
            <w:tcBorders>
              <w:top w:val="nil"/>
              <w:left w:val="single" w:sz="4" w:space="0" w:color="auto"/>
              <w:bottom w:val="nil"/>
              <w:right w:val="single" w:sz="4" w:space="0" w:color="auto"/>
            </w:tcBorders>
          </w:tcPr>
          <w:p w14:paraId="2239E75C" w14:textId="77777777" w:rsidR="003276D1" w:rsidRPr="006E1CE4" w:rsidRDefault="003276D1" w:rsidP="00C6675C">
            <w:pPr>
              <w:pStyle w:val="TableTextLeft"/>
            </w:pPr>
          </w:p>
        </w:tc>
        <w:tc>
          <w:tcPr>
            <w:tcW w:w="3083" w:type="dxa"/>
            <w:tcBorders>
              <w:top w:val="dotted" w:sz="4" w:space="0" w:color="auto"/>
              <w:left w:val="single" w:sz="4" w:space="0" w:color="auto"/>
              <w:bottom w:val="dotted" w:sz="4" w:space="0" w:color="auto"/>
              <w:right w:val="single" w:sz="4" w:space="0" w:color="auto"/>
            </w:tcBorders>
          </w:tcPr>
          <w:p w14:paraId="2239E75D" w14:textId="77777777" w:rsidR="003276D1" w:rsidRPr="006E1CE4" w:rsidRDefault="003276D1" w:rsidP="00C8474A">
            <w:pPr>
              <w:numPr>
                <w:ilvl w:val="1"/>
                <w:numId w:val="40"/>
              </w:numPr>
              <w:tabs>
                <w:tab w:val="left" w:pos="426"/>
              </w:tabs>
              <w:spacing w:before="20" w:after="20" w:line="240" w:lineRule="auto"/>
              <w:ind w:left="426" w:hanging="426"/>
              <w:rPr>
                <w:rFonts w:ascii="Arial" w:hAnsi="Arial" w:cs="Arial"/>
                <w:sz w:val="16"/>
                <w:szCs w:val="16"/>
                <w:bdr w:val="none" w:sz="0" w:space="0" w:color="auto" w:frame="1"/>
              </w:rPr>
            </w:pPr>
            <w:r w:rsidRPr="006E1CE4">
              <w:rPr>
                <w:rFonts w:ascii="Arial" w:hAnsi="Arial" w:cs="Arial"/>
                <w:sz w:val="16"/>
                <w:szCs w:val="16"/>
                <w:bdr w:val="none" w:sz="0" w:space="0" w:color="auto" w:frame="1"/>
              </w:rPr>
              <w:t>Management of whole-of-government digital strategic sourcing, contracts and purchasing arrangements and systems.</w:t>
            </w:r>
          </w:p>
        </w:tc>
        <w:tc>
          <w:tcPr>
            <w:tcW w:w="3080" w:type="dxa"/>
            <w:tcBorders>
              <w:top w:val="dotted" w:sz="4" w:space="0" w:color="auto"/>
              <w:left w:val="single" w:sz="4" w:space="0" w:color="auto"/>
              <w:bottom w:val="dotted" w:sz="4" w:space="0" w:color="auto"/>
            </w:tcBorders>
          </w:tcPr>
          <w:p w14:paraId="2239E75E"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Up-to-date digital procurement arrangements that meet government agencies needs with at least one new or renewed whole-of- government arrangement put in place that delivers improved value.</w:t>
            </w:r>
          </w:p>
          <w:p w14:paraId="2239E75F" w14:textId="77777777" w:rsidR="003276D1" w:rsidRPr="006E1CE4" w:rsidRDefault="003276D1" w:rsidP="00C6675C">
            <w:pPr>
              <w:pStyle w:val="TableTextBase"/>
              <w:rPr>
                <w:rFonts w:cs="Arial"/>
                <w:szCs w:val="16"/>
                <w:bdr w:val="none" w:sz="0" w:space="0" w:color="auto" w:frame="1"/>
              </w:rPr>
            </w:pPr>
          </w:p>
          <w:p w14:paraId="2239E760"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Whole-of-government digital procurement arrangements comply, where relevant, to the Australian Government Architecture and Reuse Policy.</w:t>
            </w:r>
          </w:p>
          <w:p w14:paraId="2239E761" w14:textId="77777777" w:rsidR="003276D1" w:rsidRPr="006E1CE4" w:rsidRDefault="003276D1" w:rsidP="00C6675C">
            <w:pPr>
              <w:pStyle w:val="TableTextBase"/>
              <w:rPr>
                <w:rFonts w:cs="Arial"/>
                <w:szCs w:val="16"/>
                <w:bdr w:val="none" w:sz="0" w:space="0" w:color="auto" w:frame="1"/>
              </w:rPr>
            </w:pPr>
          </w:p>
          <w:p w14:paraId="2239E762"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Centrally managed DTA whole-of-government contracts are reported on AusTender.</w:t>
            </w:r>
          </w:p>
          <w:p w14:paraId="2239E763" w14:textId="77777777" w:rsidR="003276D1" w:rsidRPr="006E1CE4" w:rsidRDefault="003276D1" w:rsidP="00C6675C">
            <w:pPr>
              <w:pStyle w:val="TableTextBase"/>
              <w:rPr>
                <w:rFonts w:cs="Arial"/>
                <w:szCs w:val="16"/>
                <w:bdr w:val="none" w:sz="0" w:space="0" w:color="auto" w:frame="1"/>
              </w:rPr>
            </w:pPr>
          </w:p>
          <w:p w14:paraId="2239E764"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BuyICT platform including the Reuse Catalogue is available to buyers and sellers 99.5% of the time.</w:t>
            </w:r>
          </w:p>
          <w:p w14:paraId="2239E765" w14:textId="77777777" w:rsidR="003276D1" w:rsidRPr="006E1CE4" w:rsidRDefault="003276D1" w:rsidP="00C6675C">
            <w:pPr>
              <w:pStyle w:val="TableTextBase"/>
              <w:rPr>
                <w:rFonts w:cs="Arial"/>
                <w:szCs w:val="16"/>
                <w:bdr w:val="none" w:sz="0" w:space="0" w:color="auto" w:frame="1"/>
              </w:rPr>
            </w:pPr>
          </w:p>
          <w:p w14:paraId="2239E766"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The Customer Service Desk for digital procurement is available from 8.30am to 5.00pm Australian Eastern Standard Time (Australian Capital Territory business days).</w:t>
            </w:r>
          </w:p>
        </w:tc>
      </w:tr>
      <w:tr w:rsidR="003276D1" w:rsidRPr="006E1CE4" w14:paraId="2239E76F" w14:textId="77777777" w:rsidTr="00B103E0">
        <w:tblPrEx>
          <w:tblLook w:val="04A0" w:firstRow="1" w:lastRow="0" w:firstColumn="1" w:lastColumn="0" w:noHBand="0" w:noVBand="1"/>
        </w:tblPrEx>
        <w:trPr>
          <w:trHeight w:val="491"/>
        </w:trPr>
        <w:tc>
          <w:tcPr>
            <w:tcW w:w="1633" w:type="dxa"/>
            <w:tcBorders>
              <w:top w:val="nil"/>
              <w:left w:val="single" w:sz="4" w:space="0" w:color="auto"/>
              <w:bottom w:val="single" w:sz="4" w:space="0" w:color="auto"/>
              <w:right w:val="single" w:sz="4" w:space="0" w:color="auto"/>
            </w:tcBorders>
          </w:tcPr>
          <w:p w14:paraId="2239E768" w14:textId="77777777" w:rsidR="003276D1" w:rsidRPr="006E1CE4" w:rsidRDefault="003276D1" w:rsidP="00C6675C">
            <w:pPr>
              <w:pStyle w:val="TableTextLeft"/>
            </w:pPr>
          </w:p>
        </w:tc>
        <w:tc>
          <w:tcPr>
            <w:tcW w:w="3083" w:type="dxa"/>
            <w:tcBorders>
              <w:top w:val="dotted" w:sz="4" w:space="0" w:color="auto"/>
              <w:left w:val="single" w:sz="4" w:space="0" w:color="auto"/>
              <w:bottom w:val="single" w:sz="4" w:space="0" w:color="auto"/>
              <w:right w:val="single" w:sz="4" w:space="0" w:color="auto"/>
            </w:tcBorders>
          </w:tcPr>
          <w:p w14:paraId="2239E769" w14:textId="77777777" w:rsidR="003276D1" w:rsidRPr="006E1CE4" w:rsidRDefault="003276D1" w:rsidP="00C8474A">
            <w:pPr>
              <w:numPr>
                <w:ilvl w:val="1"/>
                <w:numId w:val="40"/>
              </w:numPr>
              <w:tabs>
                <w:tab w:val="left" w:pos="426"/>
              </w:tabs>
              <w:spacing w:before="20" w:after="20" w:line="240" w:lineRule="auto"/>
              <w:ind w:left="426" w:hanging="426"/>
              <w:rPr>
                <w:rFonts w:ascii="Arial" w:hAnsi="Arial" w:cs="Arial"/>
                <w:sz w:val="16"/>
                <w:szCs w:val="16"/>
                <w:bdr w:val="none" w:sz="0" w:space="0" w:color="auto" w:frame="1"/>
              </w:rPr>
            </w:pPr>
            <w:r w:rsidRPr="006E1CE4">
              <w:rPr>
                <w:rFonts w:ascii="Arial" w:hAnsi="Arial" w:cs="Arial"/>
                <w:sz w:val="16"/>
                <w:szCs w:val="16"/>
                <w:bdr w:val="none" w:sz="0" w:space="0" w:color="auto" w:frame="1"/>
              </w:rPr>
              <w:t>Value for money digital and ICT procurements.</w:t>
            </w:r>
          </w:p>
        </w:tc>
        <w:tc>
          <w:tcPr>
            <w:tcW w:w="3080" w:type="dxa"/>
            <w:tcBorders>
              <w:top w:val="dotted" w:sz="4" w:space="0" w:color="auto"/>
              <w:left w:val="single" w:sz="4" w:space="0" w:color="auto"/>
              <w:bottom w:val="single" w:sz="4" w:space="0" w:color="auto"/>
            </w:tcBorders>
          </w:tcPr>
          <w:p w14:paraId="2239E76A"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Savings and efficiencies for whole-of- government procurement arrangements are considered when they are created or refreshed.</w:t>
            </w:r>
          </w:p>
          <w:p w14:paraId="2239E76B" w14:textId="77777777" w:rsidR="003276D1" w:rsidRPr="006E1CE4" w:rsidRDefault="003276D1" w:rsidP="00C6675C">
            <w:pPr>
              <w:pStyle w:val="TableTextBase"/>
              <w:rPr>
                <w:rFonts w:cs="Arial"/>
                <w:szCs w:val="16"/>
                <w:bdr w:val="none" w:sz="0" w:space="0" w:color="auto" w:frame="1"/>
              </w:rPr>
            </w:pPr>
          </w:p>
          <w:p w14:paraId="2239E76C"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Consistent or better usage of arrangements annually.</w:t>
            </w:r>
          </w:p>
          <w:p w14:paraId="2239E76D" w14:textId="77777777" w:rsidR="003276D1" w:rsidRPr="006E1CE4" w:rsidRDefault="003276D1" w:rsidP="00C6675C">
            <w:pPr>
              <w:pStyle w:val="TableTextBase"/>
              <w:rPr>
                <w:rFonts w:cs="Arial"/>
                <w:szCs w:val="16"/>
                <w:bdr w:val="none" w:sz="0" w:space="0" w:color="auto" w:frame="1"/>
              </w:rPr>
            </w:pPr>
          </w:p>
          <w:p w14:paraId="2239E76E" w14:textId="77777777" w:rsidR="003276D1" w:rsidRPr="006E1CE4" w:rsidRDefault="003276D1" w:rsidP="00C6675C">
            <w:pPr>
              <w:pStyle w:val="TableTextBase"/>
              <w:rPr>
                <w:rFonts w:cs="Arial"/>
                <w:szCs w:val="16"/>
                <w:bdr w:val="none" w:sz="0" w:space="0" w:color="auto" w:frame="1"/>
              </w:rPr>
            </w:pPr>
            <w:r w:rsidRPr="006E1CE4">
              <w:rPr>
                <w:rFonts w:cs="Arial"/>
                <w:szCs w:val="16"/>
                <w:bdr w:val="none" w:sz="0" w:space="0" w:color="auto" w:frame="1"/>
              </w:rPr>
              <w:t>Comparative benchmarks, where possible, on whole-of-government and panel arrangements demonstrating value for money.</w:t>
            </w:r>
          </w:p>
        </w:tc>
      </w:tr>
    </w:tbl>
    <w:p w14:paraId="1F393A8A" w14:textId="77777777" w:rsidR="009B7530" w:rsidRDefault="00B103E0" w:rsidP="00C723E3">
      <w:pPr>
        <w:pStyle w:val="TableGraphic"/>
        <w:spacing w:before="30"/>
        <w:ind w:right="0"/>
        <w:rPr>
          <w:rFonts w:ascii="Arial" w:hAnsi="Arial" w:cs="Arial"/>
          <w:sz w:val="16"/>
          <w:szCs w:val="16"/>
          <w:lang w:eastAsia="x-none"/>
        </w:rPr>
      </w:pPr>
      <w:r>
        <w:rPr>
          <w:rFonts w:ascii="Arial" w:hAnsi="Arial" w:cs="Arial"/>
          <w:sz w:val="16"/>
          <w:szCs w:val="16"/>
          <w:lang w:eastAsia="x-none"/>
        </w:rPr>
        <w:t>Table continues on next page</w:t>
      </w:r>
      <w:r w:rsidR="009B7530">
        <w:rPr>
          <w:rFonts w:ascii="Arial" w:hAnsi="Arial" w:cs="Arial"/>
          <w:sz w:val="16"/>
          <w:szCs w:val="16"/>
          <w:lang w:eastAsia="x-none"/>
        </w:rPr>
        <w:br w:type="page"/>
      </w:r>
    </w:p>
    <w:p w14:paraId="08812375" w14:textId="1277F686" w:rsidR="008567E9" w:rsidRPr="009B7530" w:rsidRDefault="00E5279F" w:rsidP="009B7530">
      <w:pPr>
        <w:pStyle w:val="TableGraphic"/>
        <w:rPr>
          <w:rFonts w:ascii="Arial" w:hAnsi="Arial" w:cs="Arial"/>
          <w:sz w:val="16"/>
          <w:szCs w:val="16"/>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60"/>
        <w:gridCol w:w="3118"/>
        <w:gridCol w:w="3118"/>
      </w:tblGrid>
      <w:tr w:rsidR="008567E9" w:rsidRPr="006E1CE4" w14:paraId="1200664F" w14:textId="77777777" w:rsidTr="008567E9">
        <w:trPr>
          <w:trHeight w:val="522"/>
        </w:trPr>
        <w:tc>
          <w:tcPr>
            <w:tcW w:w="7796" w:type="dxa"/>
            <w:gridSpan w:val="3"/>
            <w:shd w:val="clear" w:color="auto" w:fill="F2F2F2"/>
          </w:tcPr>
          <w:p w14:paraId="5D39EB30" w14:textId="05945DB1" w:rsidR="008567E9" w:rsidRPr="006E1CE4" w:rsidRDefault="00537F49" w:rsidP="008567E9">
            <w:pPr>
              <w:pStyle w:val="TableTextLeft"/>
            </w:pPr>
            <w:r w:rsidRPr="00537F49">
              <w:rPr>
                <w:b/>
              </w:rPr>
              <w:t>Program 1.1</w:t>
            </w:r>
            <w:r>
              <w:rPr>
                <w:b/>
              </w:rPr>
              <w:t xml:space="preserve"> </w:t>
            </w:r>
            <w:r w:rsidRPr="00537F49">
              <w:rPr>
                <w:b/>
              </w:rPr>
              <w:t xml:space="preserve">- </w:t>
            </w:r>
            <w:r w:rsidRPr="00537F49">
              <w:t>The objective of this program is to provide strategic and policy leadership and investment advice as a trusted advisor on digital and ICT investment decisions through oversight to drive government digital transformation that delivers benefits to all Australians.</w:t>
            </w:r>
          </w:p>
        </w:tc>
      </w:tr>
      <w:tr w:rsidR="00E5279F" w:rsidRPr="0044302D" w14:paraId="2239E77C" w14:textId="77777777" w:rsidTr="00B103E0">
        <w:tblPrEx>
          <w:tblLook w:val="04A0" w:firstRow="1" w:lastRow="0" w:firstColumn="1" w:lastColumn="0" w:noHBand="0" w:noVBand="1"/>
        </w:tblPrEx>
        <w:trPr>
          <w:trHeight w:val="261"/>
        </w:trPr>
        <w:tc>
          <w:tcPr>
            <w:tcW w:w="1560" w:type="dxa"/>
            <w:tcBorders>
              <w:top w:val="single" w:sz="4" w:space="0" w:color="auto"/>
              <w:left w:val="single" w:sz="4" w:space="0" w:color="auto"/>
              <w:bottom w:val="single" w:sz="4" w:space="0" w:color="auto"/>
              <w:right w:val="single" w:sz="4" w:space="0" w:color="auto"/>
            </w:tcBorders>
          </w:tcPr>
          <w:p w14:paraId="2239E779" w14:textId="77777777" w:rsidR="00E5279F" w:rsidRPr="006E1CE4" w:rsidRDefault="00E5279F" w:rsidP="00C6675C">
            <w:pPr>
              <w:pStyle w:val="TableColumnHeadingLeft"/>
            </w:pPr>
            <w:r w:rsidRPr="006E1CE4">
              <w:t>Year</w:t>
            </w:r>
          </w:p>
        </w:tc>
        <w:tc>
          <w:tcPr>
            <w:tcW w:w="3118" w:type="dxa"/>
            <w:tcBorders>
              <w:top w:val="single" w:sz="4" w:space="0" w:color="auto"/>
              <w:left w:val="single" w:sz="4" w:space="0" w:color="auto"/>
              <w:bottom w:val="single" w:sz="4" w:space="0" w:color="auto"/>
              <w:right w:val="single" w:sz="4" w:space="0" w:color="auto"/>
            </w:tcBorders>
          </w:tcPr>
          <w:p w14:paraId="2239E77A" w14:textId="77777777" w:rsidR="00E5279F" w:rsidRPr="0044302D" w:rsidRDefault="00E5279F" w:rsidP="00C6675C">
            <w:pPr>
              <w:pStyle w:val="TableColumnHeadingLeft"/>
            </w:pPr>
            <w:r w:rsidRPr="0044302D">
              <w:t>Performance measures</w:t>
            </w:r>
          </w:p>
        </w:tc>
        <w:tc>
          <w:tcPr>
            <w:tcW w:w="3118" w:type="dxa"/>
            <w:tcBorders>
              <w:top w:val="single" w:sz="4" w:space="0" w:color="auto"/>
              <w:left w:val="single" w:sz="4" w:space="0" w:color="auto"/>
              <w:bottom w:val="single" w:sz="4" w:space="0" w:color="auto"/>
              <w:right w:val="single" w:sz="4" w:space="0" w:color="auto"/>
            </w:tcBorders>
          </w:tcPr>
          <w:p w14:paraId="2239E77B" w14:textId="77777777" w:rsidR="00E5279F" w:rsidRPr="0044302D" w:rsidRDefault="00E5279F" w:rsidP="00C6675C">
            <w:pPr>
              <w:pStyle w:val="TableColumnHeadingLeft"/>
            </w:pPr>
            <w:r w:rsidRPr="0044302D">
              <w:t>Planned Performance Results</w:t>
            </w:r>
          </w:p>
        </w:tc>
      </w:tr>
      <w:tr w:rsidR="00B103E0" w:rsidRPr="006E1CE4" w14:paraId="1CC7BCFD" w14:textId="77777777" w:rsidTr="00B103E0">
        <w:tblPrEx>
          <w:tblLook w:val="04A0" w:firstRow="1" w:lastRow="0" w:firstColumn="1" w:lastColumn="0" w:noHBand="0" w:noVBand="1"/>
        </w:tblPrEx>
        <w:trPr>
          <w:trHeight w:val="491"/>
        </w:trPr>
        <w:tc>
          <w:tcPr>
            <w:tcW w:w="1560" w:type="dxa"/>
            <w:tcBorders>
              <w:top w:val="single" w:sz="4" w:space="0" w:color="auto"/>
              <w:left w:val="single" w:sz="4" w:space="0" w:color="auto"/>
              <w:bottom w:val="single" w:sz="4" w:space="0" w:color="auto"/>
              <w:right w:val="single" w:sz="4" w:space="0" w:color="auto"/>
            </w:tcBorders>
          </w:tcPr>
          <w:p w14:paraId="24F92FC8" w14:textId="77777777" w:rsidR="00B103E0" w:rsidRPr="006E1CE4" w:rsidRDefault="00B103E0" w:rsidP="00333377">
            <w:pPr>
              <w:pStyle w:val="TableTextLeft"/>
            </w:pPr>
            <w:r w:rsidRPr="006E1CE4">
              <w:t xml:space="preserve">Budget Year </w:t>
            </w:r>
          </w:p>
          <w:p w14:paraId="06AABFCF" w14:textId="77777777" w:rsidR="00B103E0" w:rsidRDefault="00B103E0" w:rsidP="00333377">
            <w:pPr>
              <w:pStyle w:val="TableTextLeft"/>
            </w:pPr>
            <w:r w:rsidRPr="006E1CE4">
              <w:t>2022-23</w:t>
            </w:r>
          </w:p>
          <w:p w14:paraId="5F8D2BDC" w14:textId="77777777" w:rsidR="00B103E0" w:rsidRPr="006E1CE4" w:rsidRDefault="00B103E0" w:rsidP="00333377">
            <w:pPr>
              <w:pStyle w:val="TableTextLeft"/>
            </w:pPr>
            <w:r>
              <w:t>(continued)</w:t>
            </w:r>
          </w:p>
        </w:tc>
        <w:tc>
          <w:tcPr>
            <w:tcW w:w="3118" w:type="dxa"/>
            <w:tcBorders>
              <w:top w:val="dotted" w:sz="4" w:space="0" w:color="auto"/>
              <w:left w:val="single" w:sz="4" w:space="0" w:color="auto"/>
              <w:bottom w:val="single" w:sz="4" w:space="0" w:color="auto"/>
              <w:right w:val="single" w:sz="4" w:space="0" w:color="auto"/>
            </w:tcBorders>
          </w:tcPr>
          <w:p w14:paraId="45D87196" w14:textId="77777777" w:rsidR="00B103E0" w:rsidRPr="00761D52" w:rsidRDefault="00B103E0" w:rsidP="00C8474A">
            <w:pPr>
              <w:pStyle w:val="ListParagraph"/>
              <w:numPr>
                <w:ilvl w:val="1"/>
                <w:numId w:val="50"/>
              </w:numPr>
              <w:tabs>
                <w:tab w:val="left" w:pos="426"/>
              </w:tabs>
              <w:spacing w:before="20" w:after="20" w:line="240" w:lineRule="auto"/>
              <w:rPr>
                <w:rFonts w:ascii="Arial" w:hAnsi="Arial" w:cs="Arial"/>
                <w:sz w:val="16"/>
                <w:szCs w:val="16"/>
                <w:bdr w:val="none" w:sz="0" w:space="0" w:color="auto" w:frame="1"/>
              </w:rPr>
            </w:pPr>
            <w:r w:rsidRPr="00761D52">
              <w:rPr>
                <w:rFonts w:ascii="Arial" w:hAnsi="Arial" w:cs="Arial"/>
                <w:sz w:val="16"/>
                <w:szCs w:val="16"/>
                <w:bdr w:val="none" w:sz="0" w:space="0" w:color="auto" w:frame="1"/>
              </w:rPr>
              <w:t>Ability of DTA staff to support strategic objectives.</w:t>
            </w:r>
          </w:p>
        </w:tc>
        <w:tc>
          <w:tcPr>
            <w:tcW w:w="3118" w:type="dxa"/>
            <w:tcBorders>
              <w:top w:val="dotted" w:sz="4" w:space="0" w:color="auto"/>
              <w:left w:val="single" w:sz="4" w:space="0" w:color="auto"/>
              <w:bottom w:val="single" w:sz="4" w:space="0" w:color="auto"/>
            </w:tcBorders>
          </w:tcPr>
          <w:p w14:paraId="1B8A5917" w14:textId="77777777" w:rsidR="00B103E0" w:rsidRPr="006E1CE4" w:rsidRDefault="00B103E0" w:rsidP="00333377">
            <w:pPr>
              <w:pStyle w:val="TableTextBase"/>
              <w:rPr>
                <w:rFonts w:cs="Arial"/>
                <w:szCs w:val="16"/>
                <w:bdr w:val="none" w:sz="0" w:space="0" w:color="auto" w:frame="1"/>
              </w:rPr>
            </w:pPr>
            <w:r w:rsidRPr="006E1CE4">
              <w:rPr>
                <w:rFonts w:cs="Arial"/>
                <w:szCs w:val="16"/>
                <w:bdr w:val="none" w:sz="0" w:space="0" w:color="auto" w:frame="1"/>
              </w:rPr>
              <w:t>Increase in vacancies filled.</w:t>
            </w:r>
          </w:p>
          <w:p w14:paraId="258899C7" w14:textId="77777777" w:rsidR="00B103E0" w:rsidRPr="006E1CE4" w:rsidRDefault="00B103E0" w:rsidP="00333377">
            <w:pPr>
              <w:pStyle w:val="TableTextBase"/>
              <w:rPr>
                <w:rFonts w:cs="Arial"/>
                <w:szCs w:val="16"/>
                <w:bdr w:val="none" w:sz="0" w:space="0" w:color="auto" w:frame="1"/>
              </w:rPr>
            </w:pPr>
          </w:p>
          <w:p w14:paraId="048039A5" w14:textId="77777777" w:rsidR="00B103E0" w:rsidRPr="006E1CE4" w:rsidRDefault="00B103E0" w:rsidP="00333377">
            <w:pPr>
              <w:pStyle w:val="TableTextBase"/>
              <w:rPr>
                <w:rFonts w:cs="Arial"/>
                <w:szCs w:val="16"/>
                <w:bdr w:val="none" w:sz="0" w:space="0" w:color="auto" w:frame="1"/>
              </w:rPr>
            </w:pPr>
            <w:r w:rsidRPr="006E1CE4">
              <w:rPr>
                <w:rFonts w:cs="Arial"/>
                <w:szCs w:val="16"/>
                <w:bdr w:val="none" w:sz="0" w:space="0" w:color="auto" w:frame="1"/>
              </w:rPr>
              <w:t>Reduction in lack of satisfaction/career opportunities as reason for leaving the DTA.</w:t>
            </w:r>
          </w:p>
          <w:p w14:paraId="463013F5" w14:textId="77777777" w:rsidR="00B103E0" w:rsidRPr="006E1CE4" w:rsidRDefault="00B103E0" w:rsidP="00333377">
            <w:pPr>
              <w:pStyle w:val="TableTextBase"/>
              <w:rPr>
                <w:rFonts w:cs="Arial"/>
                <w:szCs w:val="16"/>
                <w:bdr w:val="none" w:sz="0" w:space="0" w:color="auto" w:frame="1"/>
              </w:rPr>
            </w:pPr>
          </w:p>
          <w:p w14:paraId="3D7A6D81" w14:textId="77777777" w:rsidR="00B103E0" w:rsidRPr="006E1CE4" w:rsidRDefault="00B103E0" w:rsidP="00333377">
            <w:pPr>
              <w:pStyle w:val="TableTextBase"/>
              <w:rPr>
                <w:rFonts w:cs="Arial"/>
                <w:szCs w:val="16"/>
                <w:bdr w:val="none" w:sz="0" w:space="0" w:color="auto" w:frame="1"/>
              </w:rPr>
            </w:pPr>
            <w:r w:rsidRPr="006E1CE4">
              <w:rPr>
                <w:rFonts w:cs="Arial"/>
                <w:szCs w:val="16"/>
                <w:bdr w:val="none" w:sz="0" w:space="0" w:color="auto" w:frame="1"/>
              </w:rPr>
              <w:t>Increase in staff satisfaction and wellbeing.</w:t>
            </w:r>
          </w:p>
        </w:tc>
      </w:tr>
      <w:tr w:rsidR="00E5279F" w:rsidRPr="00524E3F" w14:paraId="2239E781" w14:textId="77777777" w:rsidTr="00B103E0">
        <w:tblPrEx>
          <w:tblLook w:val="04A0" w:firstRow="1" w:lastRow="0" w:firstColumn="1" w:lastColumn="0" w:noHBand="0" w:noVBand="1"/>
        </w:tblPrEx>
        <w:trPr>
          <w:trHeight w:val="255"/>
        </w:trPr>
        <w:tc>
          <w:tcPr>
            <w:tcW w:w="1560" w:type="dxa"/>
            <w:tcBorders>
              <w:top w:val="single" w:sz="4" w:space="0" w:color="auto"/>
              <w:left w:val="single" w:sz="4" w:space="0" w:color="auto"/>
              <w:bottom w:val="nil"/>
              <w:right w:val="single" w:sz="4" w:space="0" w:color="auto"/>
            </w:tcBorders>
          </w:tcPr>
          <w:p w14:paraId="2239E77D" w14:textId="77777777" w:rsidR="00E5279F" w:rsidRPr="00524E3F" w:rsidRDefault="00E5279F" w:rsidP="00C6675C">
            <w:pPr>
              <w:pStyle w:val="TableColumnHeadingLeft"/>
              <w:rPr>
                <w:rFonts w:ascii="Arial" w:hAnsi="Arial" w:cs="Arial"/>
                <w:b w:val="0"/>
              </w:rPr>
            </w:pPr>
            <w:r w:rsidRPr="00524E3F">
              <w:rPr>
                <w:rFonts w:ascii="Arial" w:hAnsi="Arial" w:cs="Arial"/>
                <w:b w:val="0"/>
              </w:rPr>
              <w:t xml:space="preserve">Forward Estimates </w:t>
            </w:r>
          </w:p>
          <w:p w14:paraId="2239E77E" w14:textId="77777777" w:rsidR="00E5279F" w:rsidRPr="00524E3F" w:rsidRDefault="00E5279F" w:rsidP="00C6675C">
            <w:pPr>
              <w:pStyle w:val="TableColumnHeadingLeft"/>
              <w:rPr>
                <w:rFonts w:ascii="Arial" w:hAnsi="Arial" w:cs="Arial"/>
                <w:b w:val="0"/>
              </w:rPr>
            </w:pPr>
            <w:r w:rsidRPr="00524E3F">
              <w:rPr>
                <w:rFonts w:ascii="Arial" w:hAnsi="Arial" w:cs="Arial"/>
                <w:b w:val="0"/>
              </w:rPr>
              <w:t>2023-26</w:t>
            </w:r>
          </w:p>
        </w:tc>
        <w:tc>
          <w:tcPr>
            <w:tcW w:w="3118" w:type="dxa"/>
            <w:tcBorders>
              <w:top w:val="single" w:sz="4" w:space="0" w:color="auto"/>
              <w:left w:val="single" w:sz="4" w:space="0" w:color="auto"/>
              <w:bottom w:val="dotted" w:sz="4" w:space="0" w:color="auto"/>
              <w:right w:val="single" w:sz="4" w:space="0" w:color="auto"/>
            </w:tcBorders>
          </w:tcPr>
          <w:p w14:paraId="2239E77F" w14:textId="77777777" w:rsidR="00E5279F" w:rsidRPr="00524E3F" w:rsidRDefault="00E5279F" w:rsidP="00C8474A">
            <w:pPr>
              <w:numPr>
                <w:ilvl w:val="1"/>
                <w:numId w:val="41"/>
              </w:numPr>
              <w:tabs>
                <w:tab w:val="left" w:pos="426"/>
              </w:tabs>
              <w:spacing w:before="20" w:after="20" w:line="240" w:lineRule="auto"/>
              <w:ind w:left="426" w:hanging="426"/>
              <w:rPr>
                <w:rFonts w:ascii="Arial" w:hAnsi="Arial" w:cs="Arial"/>
                <w:sz w:val="16"/>
              </w:rPr>
            </w:pPr>
            <w:r w:rsidRPr="00524E3F">
              <w:rPr>
                <w:rFonts w:ascii="Arial" w:hAnsi="Arial" w:cs="Arial"/>
                <w:sz w:val="16"/>
              </w:rPr>
              <w:t>The Australian Government Architecture is a decision-making and policy construct that helps agencies develop scalable, secure and resilient digital capabilities.</w:t>
            </w:r>
          </w:p>
        </w:tc>
        <w:tc>
          <w:tcPr>
            <w:tcW w:w="3118" w:type="dxa"/>
            <w:tcBorders>
              <w:top w:val="single" w:sz="4" w:space="0" w:color="auto"/>
              <w:left w:val="single" w:sz="4" w:space="0" w:color="auto"/>
              <w:bottom w:val="dotted" w:sz="4" w:space="0" w:color="auto"/>
              <w:right w:val="single" w:sz="4" w:space="0" w:color="auto"/>
            </w:tcBorders>
          </w:tcPr>
          <w:p w14:paraId="2239E780" w14:textId="77777777" w:rsidR="00E5279F" w:rsidRPr="00524E3F" w:rsidRDefault="00E5279F" w:rsidP="00C6675C">
            <w:pPr>
              <w:pStyle w:val="TableColumnHeadingLeft"/>
              <w:rPr>
                <w:rFonts w:ascii="Arial" w:hAnsi="Arial" w:cs="Arial"/>
                <w:b w:val="0"/>
              </w:rPr>
            </w:pPr>
            <w:r w:rsidRPr="00524E3F">
              <w:rPr>
                <w:rFonts w:ascii="Arial" w:hAnsi="Arial" w:cs="Arial"/>
                <w:b w:val="0"/>
              </w:rPr>
              <w:t>Maintain or improve on benchmark.</w:t>
            </w:r>
          </w:p>
        </w:tc>
      </w:tr>
      <w:tr w:rsidR="00E5279F" w:rsidRPr="00524E3F" w14:paraId="2239E785" w14:textId="77777777" w:rsidTr="00B103E0">
        <w:tblPrEx>
          <w:tblLook w:val="04A0" w:firstRow="1" w:lastRow="0" w:firstColumn="1" w:lastColumn="0" w:noHBand="0" w:noVBand="1"/>
        </w:tblPrEx>
        <w:trPr>
          <w:trHeight w:val="255"/>
        </w:trPr>
        <w:tc>
          <w:tcPr>
            <w:tcW w:w="1560" w:type="dxa"/>
            <w:tcBorders>
              <w:top w:val="nil"/>
              <w:left w:val="single" w:sz="4" w:space="0" w:color="auto"/>
              <w:bottom w:val="nil"/>
              <w:right w:val="single" w:sz="4" w:space="0" w:color="auto"/>
            </w:tcBorders>
          </w:tcPr>
          <w:p w14:paraId="2239E782" w14:textId="77777777" w:rsidR="00E5279F" w:rsidRPr="006E1CE4" w:rsidRDefault="00E5279F" w:rsidP="00C6675C">
            <w:pPr>
              <w:pStyle w:val="TableColumnHeadingLeft"/>
            </w:pPr>
          </w:p>
        </w:tc>
        <w:tc>
          <w:tcPr>
            <w:tcW w:w="3118" w:type="dxa"/>
            <w:tcBorders>
              <w:top w:val="dotted" w:sz="4" w:space="0" w:color="auto"/>
              <w:left w:val="single" w:sz="4" w:space="0" w:color="auto"/>
              <w:bottom w:val="dotted" w:sz="4" w:space="0" w:color="auto"/>
              <w:right w:val="single" w:sz="4" w:space="0" w:color="auto"/>
            </w:tcBorders>
          </w:tcPr>
          <w:p w14:paraId="2239E783" w14:textId="77777777" w:rsidR="00E5279F" w:rsidRPr="00524E3F" w:rsidRDefault="00E5279F" w:rsidP="00C8474A">
            <w:pPr>
              <w:numPr>
                <w:ilvl w:val="1"/>
                <w:numId w:val="41"/>
              </w:numPr>
              <w:tabs>
                <w:tab w:val="left" w:pos="426"/>
              </w:tabs>
              <w:spacing w:before="20" w:after="20" w:line="240" w:lineRule="auto"/>
              <w:ind w:left="426" w:hanging="426"/>
              <w:rPr>
                <w:rFonts w:ascii="Arial" w:hAnsi="Arial" w:cs="Arial"/>
                <w:sz w:val="16"/>
              </w:rPr>
            </w:pPr>
            <w:r w:rsidRPr="00524E3F">
              <w:rPr>
                <w:rFonts w:ascii="Arial" w:hAnsi="Arial" w:cs="Arial"/>
                <w:sz w:val="16"/>
              </w:rPr>
              <w:t>Stakeholders and partners receive high quality and timely advice on whole-of-government strategies, policies and standards for digital and ICT investments.</w:t>
            </w:r>
          </w:p>
        </w:tc>
        <w:tc>
          <w:tcPr>
            <w:tcW w:w="3118" w:type="dxa"/>
            <w:tcBorders>
              <w:top w:val="dotted" w:sz="4" w:space="0" w:color="auto"/>
              <w:left w:val="single" w:sz="4" w:space="0" w:color="auto"/>
              <w:bottom w:val="dotted" w:sz="4" w:space="0" w:color="auto"/>
              <w:right w:val="single" w:sz="4" w:space="0" w:color="auto"/>
            </w:tcBorders>
          </w:tcPr>
          <w:p w14:paraId="2239E784" w14:textId="77777777" w:rsidR="00E5279F" w:rsidRPr="00524E3F" w:rsidRDefault="00E5279F" w:rsidP="00C6675C">
            <w:pPr>
              <w:pStyle w:val="TableColumnHeadingLeft"/>
              <w:rPr>
                <w:rFonts w:ascii="Arial" w:hAnsi="Arial" w:cs="Arial"/>
                <w:b w:val="0"/>
              </w:rPr>
            </w:pPr>
            <w:r w:rsidRPr="00524E3F">
              <w:rPr>
                <w:rFonts w:ascii="Arial" w:hAnsi="Arial" w:cs="Arial"/>
                <w:b w:val="0"/>
              </w:rPr>
              <w:t>Maintain or improve on benchmark.</w:t>
            </w:r>
          </w:p>
        </w:tc>
      </w:tr>
      <w:tr w:rsidR="00E5279F" w:rsidRPr="00524E3F" w14:paraId="2239E789" w14:textId="77777777" w:rsidTr="00B103E0">
        <w:tblPrEx>
          <w:tblLook w:val="04A0" w:firstRow="1" w:lastRow="0" w:firstColumn="1" w:lastColumn="0" w:noHBand="0" w:noVBand="1"/>
        </w:tblPrEx>
        <w:trPr>
          <w:trHeight w:val="255"/>
        </w:trPr>
        <w:tc>
          <w:tcPr>
            <w:tcW w:w="1560" w:type="dxa"/>
            <w:tcBorders>
              <w:top w:val="nil"/>
              <w:left w:val="single" w:sz="4" w:space="0" w:color="auto"/>
              <w:bottom w:val="nil"/>
              <w:right w:val="single" w:sz="4" w:space="0" w:color="auto"/>
            </w:tcBorders>
          </w:tcPr>
          <w:p w14:paraId="2239E786" w14:textId="77777777" w:rsidR="00E5279F" w:rsidRPr="006E1CE4" w:rsidRDefault="00E5279F" w:rsidP="00C6675C">
            <w:pPr>
              <w:pStyle w:val="TableColumnHeadingLeft"/>
            </w:pPr>
          </w:p>
        </w:tc>
        <w:tc>
          <w:tcPr>
            <w:tcW w:w="3118" w:type="dxa"/>
            <w:tcBorders>
              <w:top w:val="dotted" w:sz="4" w:space="0" w:color="auto"/>
              <w:left w:val="single" w:sz="4" w:space="0" w:color="auto"/>
              <w:bottom w:val="dotted" w:sz="4" w:space="0" w:color="auto"/>
              <w:right w:val="single" w:sz="4" w:space="0" w:color="auto"/>
            </w:tcBorders>
          </w:tcPr>
          <w:p w14:paraId="2239E787" w14:textId="77777777" w:rsidR="00E5279F" w:rsidRPr="00524E3F" w:rsidRDefault="00E5279F" w:rsidP="00C8474A">
            <w:pPr>
              <w:numPr>
                <w:ilvl w:val="1"/>
                <w:numId w:val="41"/>
              </w:numPr>
              <w:tabs>
                <w:tab w:val="left" w:pos="426"/>
              </w:tabs>
              <w:spacing w:before="20" w:after="20" w:line="240" w:lineRule="auto"/>
              <w:ind w:left="426" w:hanging="426"/>
              <w:rPr>
                <w:rFonts w:ascii="Arial" w:hAnsi="Arial" w:cs="Arial"/>
                <w:sz w:val="16"/>
              </w:rPr>
            </w:pPr>
            <w:r w:rsidRPr="00524E3F">
              <w:rPr>
                <w:rFonts w:ascii="Arial" w:hAnsi="Arial" w:cs="Arial"/>
                <w:sz w:val="16"/>
              </w:rPr>
              <w:t>Local and international digital government maturity and performance rankings.</w:t>
            </w:r>
          </w:p>
        </w:tc>
        <w:tc>
          <w:tcPr>
            <w:tcW w:w="3118" w:type="dxa"/>
            <w:tcBorders>
              <w:top w:val="dotted" w:sz="4" w:space="0" w:color="auto"/>
              <w:left w:val="single" w:sz="4" w:space="0" w:color="auto"/>
              <w:bottom w:val="dotted" w:sz="4" w:space="0" w:color="auto"/>
              <w:right w:val="single" w:sz="4" w:space="0" w:color="auto"/>
            </w:tcBorders>
          </w:tcPr>
          <w:p w14:paraId="2239E788" w14:textId="77777777" w:rsidR="00E5279F" w:rsidRPr="00524E3F" w:rsidRDefault="00E5279F" w:rsidP="00C6675C">
            <w:pPr>
              <w:pStyle w:val="TableColumnHeadingLeft"/>
              <w:rPr>
                <w:rFonts w:ascii="Arial" w:hAnsi="Arial" w:cs="Arial"/>
                <w:b w:val="0"/>
              </w:rPr>
            </w:pPr>
            <w:r w:rsidRPr="00524E3F">
              <w:rPr>
                <w:rFonts w:ascii="Arial" w:hAnsi="Arial" w:cs="Arial"/>
                <w:b w:val="0"/>
              </w:rPr>
              <w:t>Maintain or improve on benchmark.</w:t>
            </w:r>
          </w:p>
        </w:tc>
      </w:tr>
      <w:tr w:rsidR="00E5279F" w:rsidRPr="00524E3F" w14:paraId="2239E78F" w14:textId="77777777" w:rsidTr="00B103E0">
        <w:tblPrEx>
          <w:tblLook w:val="04A0" w:firstRow="1" w:lastRow="0" w:firstColumn="1" w:lastColumn="0" w:noHBand="0" w:noVBand="1"/>
        </w:tblPrEx>
        <w:trPr>
          <w:trHeight w:val="255"/>
        </w:trPr>
        <w:tc>
          <w:tcPr>
            <w:tcW w:w="1560" w:type="dxa"/>
            <w:tcBorders>
              <w:top w:val="nil"/>
              <w:left w:val="single" w:sz="4" w:space="0" w:color="auto"/>
              <w:bottom w:val="nil"/>
              <w:right w:val="single" w:sz="4" w:space="0" w:color="auto"/>
            </w:tcBorders>
          </w:tcPr>
          <w:p w14:paraId="2239E78A" w14:textId="77777777" w:rsidR="00E5279F" w:rsidRPr="006E1CE4" w:rsidRDefault="00E5279F" w:rsidP="00C6675C">
            <w:pPr>
              <w:pStyle w:val="TableColumnHeadingLeft"/>
            </w:pPr>
          </w:p>
        </w:tc>
        <w:tc>
          <w:tcPr>
            <w:tcW w:w="3118" w:type="dxa"/>
            <w:tcBorders>
              <w:top w:val="dotted" w:sz="4" w:space="0" w:color="auto"/>
              <w:left w:val="single" w:sz="4" w:space="0" w:color="auto"/>
              <w:bottom w:val="dotted" w:sz="4" w:space="0" w:color="auto"/>
              <w:right w:val="single" w:sz="4" w:space="0" w:color="auto"/>
            </w:tcBorders>
          </w:tcPr>
          <w:p w14:paraId="2239E78B" w14:textId="77777777" w:rsidR="00E5279F" w:rsidRPr="00524E3F" w:rsidRDefault="00E5279F" w:rsidP="00C8474A">
            <w:pPr>
              <w:numPr>
                <w:ilvl w:val="1"/>
                <w:numId w:val="42"/>
              </w:numPr>
              <w:tabs>
                <w:tab w:val="left" w:pos="426"/>
              </w:tabs>
              <w:spacing w:before="20" w:after="20" w:line="240" w:lineRule="auto"/>
              <w:ind w:left="426" w:hanging="426"/>
              <w:rPr>
                <w:rFonts w:ascii="Arial" w:hAnsi="Arial" w:cs="Arial"/>
                <w:sz w:val="16"/>
              </w:rPr>
            </w:pPr>
            <w:r w:rsidRPr="00524E3F">
              <w:rPr>
                <w:rFonts w:ascii="Arial" w:hAnsi="Arial" w:cs="Arial"/>
                <w:sz w:val="16"/>
              </w:rPr>
              <w:t>Quality and timeliness of strategic planning advice to define digital and ICT investment portfolio, its future objectives and capability gaps.</w:t>
            </w:r>
          </w:p>
        </w:tc>
        <w:tc>
          <w:tcPr>
            <w:tcW w:w="3118" w:type="dxa"/>
            <w:tcBorders>
              <w:top w:val="dotted" w:sz="4" w:space="0" w:color="auto"/>
              <w:left w:val="single" w:sz="4" w:space="0" w:color="auto"/>
              <w:bottom w:val="dotted" w:sz="4" w:space="0" w:color="auto"/>
              <w:right w:val="single" w:sz="4" w:space="0" w:color="auto"/>
            </w:tcBorders>
          </w:tcPr>
          <w:p w14:paraId="2239E78C" w14:textId="77777777" w:rsidR="00E5279F" w:rsidRPr="00524E3F" w:rsidRDefault="00E5279F" w:rsidP="00C6675C">
            <w:pPr>
              <w:pStyle w:val="TableColumnHeadingLeft"/>
              <w:rPr>
                <w:rFonts w:ascii="Arial" w:hAnsi="Arial" w:cs="Arial"/>
                <w:b w:val="0"/>
              </w:rPr>
            </w:pPr>
            <w:r w:rsidRPr="00524E3F">
              <w:rPr>
                <w:rFonts w:ascii="Arial" w:hAnsi="Arial" w:cs="Arial"/>
                <w:b w:val="0"/>
              </w:rPr>
              <w:t>2023-24: 70%</w:t>
            </w:r>
          </w:p>
          <w:p w14:paraId="2239E78D" w14:textId="77777777" w:rsidR="00E5279F" w:rsidRPr="00524E3F" w:rsidRDefault="00E5279F" w:rsidP="00C6675C">
            <w:pPr>
              <w:pStyle w:val="TableColumnHeadingLeft"/>
              <w:rPr>
                <w:rFonts w:ascii="Arial" w:hAnsi="Arial" w:cs="Arial"/>
                <w:b w:val="0"/>
              </w:rPr>
            </w:pPr>
            <w:r w:rsidRPr="00524E3F">
              <w:rPr>
                <w:rFonts w:ascii="Arial" w:hAnsi="Arial" w:cs="Arial"/>
                <w:b w:val="0"/>
              </w:rPr>
              <w:t>2024-25: 75%</w:t>
            </w:r>
          </w:p>
          <w:p w14:paraId="2239E78E" w14:textId="77777777" w:rsidR="00E5279F" w:rsidRPr="00524E3F" w:rsidRDefault="00E5279F" w:rsidP="00C6675C">
            <w:pPr>
              <w:pStyle w:val="TableColumnHeadingLeft"/>
              <w:rPr>
                <w:rFonts w:ascii="Arial" w:hAnsi="Arial" w:cs="Arial"/>
                <w:b w:val="0"/>
              </w:rPr>
            </w:pPr>
            <w:r w:rsidRPr="00524E3F">
              <w:rPr>
                <w:rFonts w:ascii="Arial" w:hAnsi="Arial" w:cs="Arial"/>
                <w:b w:val="0"/>
              </w:rPr>
              <w:t>2025-26: 80%</w:t>
            </w:r>
          </w:p>
        </w:tc>
      </w:tr>
      <w:tr w:rsidR="00E5279F" w:rsidRPr="00524E3F" w14:paraId="2239E795" w14:textId="77777777" w:rsidTr="00B103E0">
        <w:tblPrEx>
          <w:tblLook w:val="04A0" w:firstRow="1" w:lastRow="0" w:firstColumn="1" w:lastColumn="0" w:noHBand="0" w:noVBand="1"/>
        </w:tblPrEx>
        <w:trPr>
          <w:trHeight w:val="255"/>
        </w:trPr>
        <w:tc>
          <w:tcPr>
            <w:tcW w:w="1560" w:type="dxa"/>
            <w:tcBorders>
              <w:top w:val="nil"/>
              <w:left w:val="single" w:sz="4" w:space="0" w:color="auto"/>
              <w:bottom w:val="nil"/>
              <w:right w:val="single" w:sz="4" w:space="0" w:color="auto"/>
            </w:tcBorders>
          </w:tcPr>
          <w:p w14:paraId="2239E790" w14:textId="77777777" w:rsidR="00E5279F" w:rsidRPr="006E1CE4" w:rsidRDefault="00E5279F" w:rsidP="00C6675C">
            <w:pPr>
              <w:pStyle w:val="TableColumnHeadingLeft"/>
            </w:pPr>
          </w:p>
        </w:tc>
        <w:tc>
          <w:tcPr>
            <w:tcW w:w="3118" w:type="dxa"/>
            <w:tcBorders>
              <w:top w:val="dotted" w:sz="4" w:space="0" w:color="auto"/>
              <w:left w:val="single" w:sz="4" w:space="0" w:color="auto"/>
              <w:bottom w:val="dotted" w:sz="4" w:space="0" w:color="auto"/>
              <w:right w:val="single" w:sz="4" w:space="0" w:color="auto"/>
            </w:tcBorders>
          </w:tcPr>
          <w:p w14:paraId="2239E791" w14:textId="77777777" w:rsidR="00E5279F" w:rsidRPr="00524E3F" w:rsidRDefault="00E5279F" w:rsidP="00C8474A">
            <w:pPr>
              <w:numPr>
                <w:ilvl w:val="1"/>
                <w:numId w:val="42"/>
              </w:numPr>
              <w:tabs>
                <w:tab w:val="left" w:pos="426"/>
              </w:tabs>
              <w:spacing w:before="20" w:after="20" w:line="240" w:lineRule="auto"/>
              <w:ind w:left="426" w:hanging="426"/>
              <w:rPr>
                <w:rFonts w:ascii="Arial" w:hAnsi="Arial" w:cs="Arial"/>
                <w:sz w:val="16"/>
              </w:rPr>
            </w:pPr>
            <w:r w:rsidRPr="00524E3F">
              <w:rPr>
                <w:rFonts w:ascii="Arial" w:hAnsi="Arial" w:cs="Arial"/>
                <w:sz w:val="16"/>
              </w:rPr>
              <w:t>Quality and timeliness of prioritisation advice on investments to deliver on government’s digital and ICT objectives.</w:t>
            </w:r>
          </w:p>
        </w:tc>
        <w:tc>
          <w:tcPr>
            <w:tcW w:w="3118" w:type="dxa"/>
            <w:tcBorders>
              <w:top w:val="dotted" w:sz="4" w:space="0" w:color="auto"/>
              <w:left w:val="single" w:sz="4" w:space="0" w:color="auto"/>
              <w:bottom w:val="dotted" w:sz="4" w:space="0" w:color="auto"/>
              <w:right w:val="single" w:sz="4" w:space="0" w:color="auto"/>
            </w:tcBorders>
          </w:tcPr>
          <w:p w14:paraId="2239E792" w14:textId="77777777" w:rsidR="00E5279F" w:rsidRPr="00524E3F" w:rsidRDefault="00E5279F" w:rsidP="00C6675C">
            <w:pPr>
              <w:pStyle w:val="TableColumnHeadingLeft"/>
              <w:rPr>
                <w:rFonts w:ascii="Arial" w:hAnsi="Arial" w:cs="Arial"/>
                <w:b w:val="0"/>
              </w:rPr>
            </w:pPr>
            <w:r w:rsidRPr="00524E3F">
              <w:rPr>
                <w:rFonts w:ascii="Arial" w:hAnsi="Arial" w:cs="Arial"/>
                <w:b w:val="0"/>
              </w:rPr>
              <w:t>2023-24: 70%</w:t>
            </w:r>
          </w:p>
          <w:p w14:paraId="2239E793" w14:textId="77777777" w:rsidR="00E5279F" w:rsidRPr="00524E3F" w:rsidRDefault="00E5279F" w:rsidP="00C6675C">
            <w:pPr>
              <w:pStyle w:val="TableColumnHeadingLeft"/>
              <w:rPr>
                <w:rFonts w:ascii="Arial" w:hAnsi="Arial" w:cs="Arial"/>
                <w:b w:val="0"/>
              </w:rPr>
            </w:pPr>
            <w:r w:rsidRPr="00524E3F">
              <w:rPr>
                <w:rFonts w:ascii="Arial" w:hAnsi="Arial" w:cs="Arial"/>
                <w:b w:val="0"/>
              </w:rPr>
              <w:t>2024-25: 75%</w:t>
            </w:r>
          </w:p>
          <w:p w14:paraId="2239E794" w14:textId="77777777" w:rsidR="00E5279F" w:rsidRPr="00524E3F" w:rsidRDefault="00E5279F" w:rsidP="00C6675C">
            <w:pPr>
              <w:pStyle w:val="TableColumnHeadingLeft"/>
              <w:rPr>
                <w:rFonts w:ascii="Arial" w:hAnsi="Arial" w:cs="Arial"/>
                <w:b w:val="0"/>
              </w:rPr>
            </w:pPr>
            <w:r w:rsidRPr="00524E3F">
              <w:rPr>
                <w:rFonts w:ascii="Arial" w:hAnsi="Arial" w:cs="Arial"/>
                <w:b w:val="0"/>
              </w:rPr>
              <w:t>2025-26: 80%</w:t>
            </w:r>
          </w:p>
        </w:tc>
      </w:tr>
      <w:tr w:rsidR="00E5279F" w:rsidRPr="00524E3F" w14:paraId="2239E79D" w14:textId="77777777" w:rsidTr="00B103E0">
        <w:tblPrEx>
          <w:tblLook w:val="04A0" w:firstRow="1" w:lastRow="0" w:firstColumn="1" w:lastColumn="0" w:noHBand="0" w:noVBand="1"/>
        </w:tblPrEx>
        <w:trPr>
          <w:trHeight w:val="255"/>
        </w:trPr>
        <w:tc>
          <w:tcPr>
            <w:tcW w:w="1560" w:type="dxa"/>
            <w:tcBorders>
              <w:top w:val="nil"/>
              <w:left w:val="single" w:sz="4" w:space="0" w:color="auto"/>
              <w:bottom w:val="single" w:sz="4" w:space="0" w:color="auto"/>
              <w:right w:val="single" w:sz="4" w:space="0" w:color="auto"/>
            </w:tcBorders>
          </w:tcPr>
          <w:p w14:paraId="2239E796" w14:textId="77777777" w:rsidR="00E5279F" w:rsidRPr="006E1CE4" w:rsidRDefault="00E5279F" w:rsidP="00C6675C">
            <w:pPr>
              <w:pStyle w:val="TableColumnHeadingLeft"/>
            </w:pPr>
          </w:p>
        </w:tc>
        <w:tc>
          <w:tcPr>
            <w:tcW w:w="3118" w:type="dxa"/>
            <w:tcBorders>
              <w:top w:val="dotted" w:sz="4" w:space="0" w:color="auto"/>
              <w:left w:val="single" w:sz="4" w:space="0" w:color="auto"/>
              <w:bottom w:val="single" w:sz="4" w:space="0" w:color="auto"/>
              <w:right w:val="single" w:sz="4" w:space="0" w:color="auto"/>
            </w:tcBorders>
          </w:tcPr>
          <w:p w14:paraId="2239E797" w14:textId="77777777" w:rsidR="00E5279F" w:rsidRPr="00524E3F" w:rsidRDefault="00E5279F" w:rsidP="00C8474A">
            <w:pPr>
              <w:numPr>
                <w:ilvl w:val="1"/>
                <w:numId w:val="42"/>
              </w:numPr>
              <w:tabs>
                <w:tab w:val="left" w:pos="426"/>
              </w:tabs>
              <w:spacing w:before="20" w:after="20" w:line="240" w:lineRule="auto"/>
              <w:ind w:left="426" w:hanging="426"/>
              <w:rPr>
                <w:rFonts w:ascii="Arial" w:hAnsi="Arial" w:cs="Arial"/>
                <w:sz w:val="16"/>
              </w:rPr>
            </w:pPr>
            <w:r w:rsidRPr="00524E3F">
              <w:rPr>
                <w:rFonts w:ascii="Arial" w:hAnsi="Arial" w:cs="Arial"/>
                <w:sz w:val="16"/>
              </w:rPr>
              <w:t>Quality and timeliness of contestability advice to ensure digital and ICT investment proposals are robust and meet whole-of-government digital standards prior to government consideration.</w:t>
            </w:r>
          </w:p>
        </w:tc>
        <w:tc>
          <w:tcPr>
            <w:tcW w:w="3118" w:type="dxa"/>
            <w:tcBorders>
              <w:top w:val="dotted" w:sz="4" w:space="0" w:color="auto"/>
              <w:left w:val="single" w:sz="4" w:space="0" w:color="auto"/>
              <w:bottom w:val="single" w:sz="4" w:space="0" w:color="auto"/>
              <w:right w:val="single" w:sz="4" w:space="0" w:color="auto"/>
            </w:tcBorders>
          </w:tcPr>
          <w:p w14:paraId="2239E798" w14:textId="77777777" w:rsidR="00E5279F" w:rsidRPr="00524E3F" w:rsidRDefault="00E5279F" w:rsidP="00C6675C">
            <w:pPr>
              <w:pStyle w:val="TableColumnHeadingLeft"/>
              <w:rPr>
                <w:rFonts w:ascii="Arial" w:hAnsi="Arial" w:cs="Arial"/>
                <w:b w:val="0"/>
              </w:rPr>
            </w:pPr>
            <w:r w:rsidRPr="00524E3F">
              <w:rPr>
                <w:rFonts w:ascii="Arial" w:hAnsi="Arial" w:cs="Arial"/>
                <w:b w:val="0"/>
              </w:rPr>
              <w:t>100% of digital investment proposals identified by the DTA as in-scope of the Digital and ICT Investment Oversight Framework are reviewed within Budget timelines.</w:t>
            </w:r>
          </w:p>
          <w:p w14:paraId="2239E799" w14:textId="77777777" w:rsidR="00E5279F" w:rsidRPr="00524E3F" w:rsidRDefault="00E5279F" w:rsidP="00C6675C">
            <w:pPr>
              <w:pStyle w:val="TableColumnHeadingLeft"/>
              <w:rPr>
                <w:rFonts w:ascii="Arial" w:hAnsi="Arial" w:cs="Arial"/>
                <w:b w:val="0"/>
              </w:rPr>
            </w:pPr>
          </w:p>
          <w:p w14:paraId="2239E79A" w14:textId="77777777" w:rsidR="00E5279F" w:rsidRPr="00524E3F" w:rsidRDefault="00E5279F" w:rsidP="00C6675C">
            <w:pPr>
              <w:pStyle w:val="TableColumnHeadingLeft"/>
              <w:rPr>
                <w:rFonts w:ascii="Arial" w:hAnsi="Arial" w:cs="Arial"/>
                <w:b w:val="0"/>
              </w:rPr>
            </w:pPr>
            <w:r w:rsidRPr="00524E3F">
              <w:rPr>
                <w:rFonts w:ascii="Arial" w:hAnsi="Arial" w:cs="Arial"/>
                <w:b w:val="0"/>
              </w:rPr>
              <w:t>100% of digital investment proposals identified by the DTA as in-scope of the Digital and ICT Investment Oversight Framework are assessed with strong alignment to the Digital Capability Standards.</w:t>
            </w:r>
          </w:p>
          <w:p w14:paraId="2239E79B" w14:textId="77777777" w:rsidR="00E5279F" w:rsidRPr="00524E3F" w:rsidRDefault="00E5279F" w:rsidP="00C6675C">
            <w:pPr>
              <w:pStyle w:val="TableColumnHeadingLeft"/>
              <w:rPr>
                <w:rFonts w:ascii="Arial" w:hAnsi="Arial" w:cs="Arial"/>
                <w:b w:val="0"/>
              </w:rPr>
            </w:pPr>
          </w:p>
          <w:p w14:paraId="2239E79C" w14:textId="77777777" w:rsidR="00E5279F" w:rsidRPr="00524E3F" w:rsidRDefault="00E5279F" w:rsidP="00C6675C">
            <w:pPr>
              <w:pStyle w:val="TableColumnHeadingLeft"/>
              <w:rPr>
                <w:rFonts w:ascii="Arial" w:hAnsi="Arial" w:cs="Arial"/>
                <w:b w:val="0"/>
              </w:rPr>
            </w:pPr>
            <w:r w:rsidRPr="00524E3F">
              <w:rPr>
                <w:rFonts w:ascii="Arial" w:hAnsi="Arial" w:cs="Arial"/>
                <w:b w:val="0"/>
              </w:rPr>
              <w:t>Average rating of at least 8/10 for the DTA’s communication around the Digital Capability Standards and the requirements on Commonwealth agencies.</w:t>
            </w:r>
          </w:p>
        </w:tc>
      </w:tr>
    </w:tbl>
    <w:p w14:paraId="09B48864" w14:textId="77777777" w:rsidR="009B7530" w:rsidRDefault="00046707" w:rsidP="00C723E3">
      <w:pPr>
        <w:pStyle w:val="TableGraphic"/>
        <w:spacing w:before="30"/>
        <w:ind w:right="0"/>
        <w:rPr>
          <w:rFonts w:ascii="Arial" w:hAnsi="Arial" w:cs="Arial"/>
          <w:sz w:val="16"/>
          <w:szCs w:val="16"/>
          <w:lang w:eastAsia="x-none"/>
        </w:rPr>
      </w:pPr>
      <w:r>
        <w:rPr>
          <w:rFonts w:ascii="Arial" w:hAnsi="Arial" w:cs="Arial"/>
          <w:sz w:val="16"/>
          <w:szCs w:val="16"/>
          <w:lang w:eastAsia="x-none"/>
        </w:rPr>
        <w:t>Table continues on next page</w:t>
      </w:r>
      <w:r w:rsidR="009B7530">
        <w:rPr>
          <w:rFonts w:ascii="Arial" w:hAnsi="Arial" w:cs="Arial"/>
          <w:sz w:val="16"/>
          <w:szCs w:val="16"/>
          <w:lang w:eastAsia="x-none"/>
        </w:rPr>
        <w:br w:type="page"/>
      </w:r>
    </w:p>
    <w:p w14:paraId="7F64F147" w14:textId="05077232" w:rsidR="009E6EDF" w:rsidRPr="00814358" w:rsidRDefault="00E5279F" w:rsidP="00814358">
      <w:pPr>
        <w:pStyle w:val="TableGraphic"/>
        <w:rPr>
          <w:rFonts w:ascii="Arial" w:hAnsi="Arial" w:cs="Arial"/>
          <w:sz w:val="16"/>
          <w:szCs w:val="16"/>
          <w:lang w:eastAsia="x-none"/>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60"/>
        <w:gridCol w:w="3118"/>
        <w:gridCol w:w="3118"/>
      </w:tblGrid>
      <w:tr w:rsidR="009E6EDF" w:rsidRPr="006E1CE4" w14:paraId="505A561C" w14:textId="77777777" w:rsidTr="00333377">
        <w:trPr>
          <w:trHeight w:val="522"/>
        </w:trPr>
        <w:tc>
          <w:tcPr>
            <w:tcW w:w="7796" w:type="dxa"/>
            <w:gridSpan w:val="3"/>
            <w:shd w:val="clear" w:color="auto" w:fill="F2F2F2"/>
          </w:tcPr>
          <w:p w14:paraId="5E893244" w14:textId="00AA63F5" w:rsidR="009E6EDF" w:rsidRPr="006E1CE4" w:rsidRDefault="00537F49" w:rsidP="00333377">
            <w:pPr>
              <w:pStyle w:val="TableTextLeft"/>
            </w:pPr>
            <w:r w:rsidRPr="00537F49">
              <w:rPr>
                <w:b/>
              </w:rPr>
              <w:t>Program 1.1</w:t>
            </w:r>
            <w:r>
              <w:rPr>
                <w:b/>
              </w:rPr>
              <w:t xml:space="preserve"> </w:t>
            </w:r>
            <w:r w:rsidRPr="00537F49">
              <w:rPr>
                <w:b/>
              </w:rPr>
              <w:t xml:space="preserve">- </w:t>
            </w:r>
            <w:r w:rsidRPr="00537F49">
              <w:t>The objective of this program is to provide strategic and policy leadership and investment advice as a trusted advisor on digital and ICT investment decisions through oversight to drive government digital transformation that delivers benefits to all Australians.</w:t>
            </w:r>
          </w:p>
        </w:tc>
      </w:tr>
      <w:tr w:rsidR="00E72061" w:rsidRPr="0044302D" w14:paraId="2239E7AD" w14:textId="77777777" w:rsidTr="00D86D0D">
        <w:tblPrEx>
          <w:tblLook w:val="04A0" w:firstRow="1" w:lastRow="0" w:firstColumn="1" w:lastColumn="0" w:noHBand="0" w:noVBand="1"/>
        </w:tblPrEx>
        <w:trPr>
          <w:trHeight w:val="255"/>
        </w:trPr>
        <w:tc>
          <w:tcPr>
            <w:tcW w:w="1560" w:type="dxa"/>
            <w:tcBorders>
              <w:top w:val="single" w:sz="4" w:space="0" w:color="auto"/>
              <w:left w:val="single" w:sz="4" w:space="0" w:color="auto"/>
              <w:bottom w:val="single" w:sz="4" w:space="0" w:color="auto"/>
              <w:right w:val="single" w:sz="4" w:space="0" w:color="auto"/>
            </w:tcBorders>
          </w:tcPr>
          <w:p w14:paraId="2239E7AA" w14:textId="77777777" w:rsidR="00E72061" w:rsidRPr="006E1CE4" w:rsidRDefault="00E72061" w:rsidP="00D46837">
            <w:pPr>
              <w:pStyle w:val="TableColumnHeadingLeft"/>
            </w:pPr>
            <w:r w:rsidRPr="006E1CE4">
              <w:t>Year</w:t>
            </w:r>
          </w:p>
        </w:tc>
        <w:tc>
          <w:tcPr>
            <w:tcW w:w="3118" w:type="dxa"/>
            <w:tcBorders>
              <w:top w:val="single" w:sz="4" w:space="0" w:color="auto"/>
              <w:left w:val="single" w:sz="4" w:space="0" w:color="auto"/>
              <w:bottom w:val="single" w:sz="4" w:space="0" w:color="auto"/>
              <w:right w:val="single" w:sz="4" w:space="0" w:color="auto"/>
            </w:tcBorders>
          </w:tcPr>
          <w:p w14:paraId="2239E7AB" w14:textId="77777777" w:rsidR="00E72061" w:rsidRPr="0044302D" w:rsidRDefault="00E72061" w:rsidP="00D46837">
            <w:pPr>
              <w:pStyle w:val="TableColumnHeadingLeft"/>
            </w:pPr>
            <w:r w:rsidRPr="0044302D">
              <w:t>Performance measures</w:t>
            </w:r>
          </w:p>
        </w:tc>
        <w:tc>
          <w:tcPr>
            <w:tcW w:w="3118" w:type="dxa"/>
            <w:tcBorders>
              <w:top w:val="single" w:sz="4" w:space="0" w:color="auto"/>
              <w:left w:val="single" w:sz="4" w:space="0" w:color="auto"/>
              <w:bottom w:val="single" w:sz="4" w:space="0" w:color="auto"/>
              <w:right w:val="single" w:sz="4" w:space="0" w:color="auto"/>
            </w:tcBorders>
          </w:tcPr>
          <w:p w14:paraId="2239E7AC" w14:textId="77777777" w:rsidR="00E72061" w:rsidRPr="0044302D" w:rsidRDefault="00E72061" w:rsidP="00D46837">
            <w:pPr>
              <w:pStyle w:val="TableColumnHeadingLeft"/>
            </w:pPr>
            <w:r w:rsidRPr="0044302D">
              <w:t>Planned Performance Results</w:t>
            </w:r>
          </w:p>
        </w:tc>
      </w:tr>
      <w:tr w:rsidR="00E72061" w:rsidRPr="006E1CE4" w14:paraId="2239E7BB" w14:textId="77777777" w:rsidTr="00D86D0D">
        <w:tblPrEx>
          <w:tblLook w:val="04A0" w:firstRow="1" w:lastRow="0" w:firstColumn="1" w:lastColumn="0" w:noHBand="0" w:noVBand="1"/>
        </w:tblPrEx>
        <w:trPr>
          <w:trHeight w:val="255"/>
        </w:trPr>
        <w:tc>
          <w:tcPr>
            <w:tcW w:w="1560" w:type="dxa"/>
            <w:tcBorders>
              <w:top w:val="single" w:sz="4" w:space="0" w:color="auto"/>
              <w:left w:val="single" w:sz="4" w:space="0" w:color="auto"/>
              <w:bottom w:val="nil"/>
              <w:right w:val="single" w:sz="4" w:space="0" w:color="auto"/>
            </w:tcBorders>
          </w:tcPr>
          <w:p w14:paraId="2239E7AE" w14:textId="77777777" w:rsidR="0088519A" w:rsidRPr="00524E3F" w:rsidRDefault="0088519A" w:rsidP="0088519A">
            <w:pPr>
              <w:pStyle w:val="TableColumnHeadingLeft"/>
              <w:rPr>
                <w:rFonts w:ascii="Arial" w:hAnsi="Arial" w:cs="Arial"/>
                <w:b w:val="0"/>
              </w:rPr>
            </w:pPr>
            <w:r w:rsidRPr="00524E3F">
              <w:rPr>
                <w:rFonts w:ascii="Arial" w:hAnsi="Arial" w:cs="Arial"/>
                <w:b w:val="0"/>
              </w:rPr>
              <w:t xml:space="preserve">Forward Estimates </w:t>
            </w:r>
          </w:p>
          <w:p w14:paraId="2239E7AF" w14:textId="77777777" w:rsidR="0088519A" w:rsidRPr="0088519A" w:rsidRDefault="0088519A" w:rsidP="0088519A">
            <w:pPr>
              <w:pStyle w:val="TableColumnHeadingLeft"/>
              <w:rPr>
                <w:rFonts w:ascii="Arial" w:hAnsi="Arial" w:cs="Arial"/>
                <w:b w:val="0"/>
              </w:rPr>
            </w:pPr>
            <w:r w:rsidRPr="0088519A">
              <w:rPr>
                <w:rFonts w:ascii="Arial" w:hAnsi="Arial" w:cs="Arial"/>
                <w:b w:val="0"/>
              </w:rPr>
              <w:t>2023-26</w:t>
            </w:r>
          </w:p>
          <w:p w14:paraId="2239E7B0" w14:textId="77777777" w:rsidR="0088519A" w:rsidRPr="0088519A" w:rsidRDefault="0088519A" w:rsidP="0088519A">
            <w:pPr>
              <w:pStyle w:val="TableColumnHeadingLeft"/>
              <w:rPr>
                <w:rFonts w:ascii="Arial" w:hAnsi="Arial" w:cs="Arial"/>
                <w:b w:val="0"/>
              </w:rPr>
            </w:pPr>
            <w:r w:rsidRPr="0088519A">
              <w:rPr>
                <w:rFonts w:ascii="Arial" w:hAnsi="Arial" w:cs="Arial"/>
                <w:b w:val="0"/>
              </w:rPr>
              <w:t>(continued)</w:t>
            </w:r>
          </w:p>
        </w:tc>
        <w:tc>
          <w:tcPr>
            <w:tcW w:w="3118" w:type="dxa"/>
            <w:tcBorders>
              <w:top w:val="single" w:sz="4" w:space="0" w:color="auto"/>
              <w:left w:val="single" w:sz="4" w:space="0" w:color="auto"/>
              <w:bottom w:val="dotted" w:sz="4" w:space="0" w:color="auto"/>
              <w:right w:val="single" w:sz="6" w:space="0" w:color="auto"/>
            </w:tcBorders>
          </w:tcPr>
          <w:p w14:paraId="2239E7B1" w14:textId="77777777" w:rsidR="00E72061" w:rsidRPr="00E72061" w:rsidRDefault="00E72061" w:rsidP="00C8474A">
            <w:pPr>
              <w:numPr>
                <w:ilvl w:val="1"/>
                <w:numId w:val="42"/>
              </w:numPr>
              <w:tabs>
                <w:tab w:val="left" w:pos="426"/>
              </w:tabs>
              <w:spacing w:before="20" w:after="20" w:line="240" w:lineRule="auto"/>
              <w:ind w:left="426" w:hanging="426"/>
              <w:rPr>
                <w:rFonts w:ascii="Arial" w:hAnsi="Arial" w:cs="Arial"/>
                <w:sz w:val="16"/>
              </w:rPr>
            </w:pPr>
            <w:r w:rsidRPr="00E72061">
              <w:rPr>
                <w:rFonts w:ascii="Arial" w:hAnsi="Arial" w:cs="Arial"/>
                <w:sz w:val="16"/>
              </w:rPr>
              <w:t>Quality and timeliness of delivery assurance advice that investments are on-track to deliver expected benefits.</w:t>
            </w:r>
          </w:p>
        </w:tc>
        <w:tc>
          <w:tcPr>
            <w:tcW w:w="3118" w:type="dxa"/>
            <w:tcBorders>
              <w:top w:val="single" w:sz="4" w:space="0" w:color="auto"/>
              <w:left w:val="single" w:sz="6" w:space="0" w:color="auto"/>
              <w:bottom w:val="dotted" w:sz="4" w:space="0" w:color="auto"/>
              <w:right w:val="single" w:sz="4" w:space="0" w:color="auto"/>
            </w:tcBorders>
          </w:tcPr>
          <w:p w14:paraId="2239E7B2" w14:textId="77777777" w:rsidR="00E72061" w:rsidRPr="00E72061" w:rsidRDefault="00E72061" w:rsidP="00E72061">
            <w:pPr>
              <w:pStyle w:val="TableColumnHeadingLeft"/>
              <w:rPr>
                <w:rFonts w:ascii="Arial" w:hAnsi="Arial" w:cs="Arial"/>
                <w:b w:val="0"/>
              </w:rPr>
            </w:pPr>
            <w:r w:rsidRPr="00E72061">
              <w:rPr>
                <w:rFonts w:ascii="Arial" w:hAnsi="Arial" w:cs="Arial"/>
                <w:b w:val="0"/>
              </w:rPr>
              <w:t xml:space="preserve">2023-24: </w:t>
            </w:r>
          </w:p>
          <w:p w14:paraId="2239E7B3" w14:textId="77777777" w:rsidR="00E72061" w:rsidRPr="00E72061" w:rsidRDefault="00E72061" w:rsidP="00E72061">
            <w:pPr>
              <w:pStyle w:val="TableColumnHeadingLeft"/>
              <w:rPr>
                <w:rFonts w:ascii="Arial" w:hAnsi="Arial" w:cs="Arial"/>
                <w:b w:val="0"/>
              </w:rPr>
            </w:pPr>
            <w:r w:rsidRPr="00E72061">
              <w:rPr>
                <w:rFonts w:ascii="Arial" w:hAnsi="Arial" w:cs="Arial"/>
                <w:b w:val="0"/>
              </w:rPr>
              <w:t>100% of new digital investments identified by the DTA as in-scope for the Digital and ICT Investment Oversight Framework have a formal assurance plan in place [measured by value].</w:t>
            </w:r>
          </w:p>
          <w:p w14:paraId="2239E7B4" w14:textId="77777777" w:rsidR="00E72061" w:rsidRPr="00E72061" w:rsidRDefault="00E72061" w:rsidP="00E72061">
            <w:pPr>
              <w:pStyle w:val="TableColumnHeadingLeft"/>
              <w:rPr>
                <w:rFonts w:ascii="Arial" w:hAnsi="Arial" w:cs="Arial"/>
                <w:b w:val="0"/>
              </w:rPr>
            </w:pPr>
          </w:p>
          <w:p w14:paraId="2239E7B5" w14:textId="77777777" w:rsidR="00E72061" w:rsidRPr="00E72061" w:rsidRDefault="00E72061" w:rsidP="00E72061">
            <w:pPr>
              <w:pStyle w:val="TableColumnHeadingLeft"/>
              <w:rPr>
                <w:rFonts w:ascii="Arial" w:hAnsi="Arial" w:cs="Arial"/>
                <w:b w:val="0"/>
              </w:rPr>
            </w:pPr>
            <w:r w:rsidRPr="00E72061">
              <w:rPr>
                <w:rFonts w:ascii="Arial" w:hAnsi="Arial" w:cs="Arial"/>
                <w:b w:val="0"/>
              </w:rPr>
              <w:t>100% of in-flight digital projects in scope for retrospective application of the assurance framework have a formal assurance plan in place [measured by value].</w:t>
            </w:r>
          </w:p>
          <w:p w14:paraId="2239E7B6" w14:textId="77777777" w:rsidR="00E72061" w:rsidRPr="00E72061" w:rsidRDefault="00E72061" w:rsidP="00E72061">
            <w:pPr>
              <w:pStyle w:val="TableColumnHeadingLeft"/>
              <w:rPr>
                <w:rFonts w:ascii="Arial" w:hAnsi="Arial" w:cs="Arial"/>
                <w:b w:val="0"/>
              </w:rPr>
            </w:pPr>
          </w:p>
          <w:p w14:paraId="2239E7B7" w14:textId="77777777" w:rsidR="00E72061" w:rsidRPr="00E72061" w:rsidRDefault="00E72061" w:rsidP="00E72061">
            <w:pPr>
              <w:pStyle w:val="TableColumnHeadingLeft"/>
              <w:rPr>
                <w:rFonts w:ascii="Arial" w:hAnsi="Arial" w:cs="Arial"/>
                <w:b w:val="0"/>
              </w:rPr>
            </w:pPr>
            <w:r w:rsidRPr="00E72061">
              <w:rPr>
                <w:rFonts w:ascii="Arial" w:hAnsi="Arial" w:cs="Arial"/>
                <w:b w:val="0"/>
              </w:rPr>
              <w:t>2024-2026:</w:t>
            </w:r>
          </w:p>
          <w:p w14:paraId="2239E7B8" w14:textId="77777777" w:rsidR="00E72061" w:rsidRPr="00E72061" w:rsidRDefault="00E72061" w:rsidP="00E72061">
            <w:pPr>
              <w:pStyle w:val="TableColumnHeadingLeft"/>
              <w:rPr>
                <w:rFonts w:ascii="Arial" w:hAnsi="Arial" w:cs="Arial"/>
                <w:b w:val="0"/>
              </w:rPr>
            </w:pPr>
            <w:r w:rsidRPr="00E72061">
              <w:rPr>
                <w:rFonts w:ascii="Arial" w:hAnsi="Arial" w:cs="Arial"/>
                <w:b w:val="0"/>
              </w:rPr>
              <w:t>100% of new digital investments identified by the DTA as in-scope for the Digital and ICT Investment Oversight Framework have a formal assurance plan in place [measured by value].</w:t>
            </w:r>
          </w:p>
          <w:p w14:paraId="2239E7B9" w14:textId="77777777" w:rsidR="00E72061" w:rsidRPr="00E72061" w:rsidRDefault="00E72061" w:rsidP="00E72061">
            <w:pPr>
              <w:pStyle w:val="TableColumnHeadingLeft"/>
              <w:rPr>
                <w:rFonts w:ascii="Arial" w:hAnsi="Arial" w:cs="Arial"/>
                <w:b w:val="0"/>
              </w:rPr>
            </w:pPr>
          </w:p>
          <w:p w14:paraId="2239E7BA" w14:textId="77777777" w:rsidR="00E72061" w:rsidRPr="00E72061" w:rsidRDefault="00E72061" w:rsidP="00E72061">
            <w:pPr>
              <w:pStyle w:val="TableColumnHeadingLeft"/>
              <w:rPr>
                <w:rFonts w:ascii="Arial" w:hAnsi="Arial" w:cs="Arial"/>
                <w:b w:val="0"/>
              </w:rPr>
            </w:pPr>
            <w:r w:rsidRPr="00E72061">
              <w:rPr>
                <w:rFonts w:ascii="Arial" w:hAnsi="Arial" w:cs="Arial"/>
                <w:b w:val="0"/>
              </w:rPr>
              <w:t>100% of digital projects (tier 1, 2 and 3) have a formal assurance plan in place [measured by value].</w:t>
            </w:r>
          </w:p>
        </w:tc>
      </w:tr>
      <w:tr w:rsidR="00E72061" w:rsidRPr="006E1CE4" w14:paraId="2239E7BF" w14:textId="77777777" w:rsidTr="00D86D0D">
        <w:tblPrEx>
          <w:tblLook w:val="04A0" w:firstRow="1" w:lastRow="0" w:firstColumn="1" w:lastColumn="0" w:noHBand="0" w:noVBand="1"/>
        </w:tblPrEx>
        <w:trPr>
          <w:trHeight w:val="255"/>
        </w:trPr>
        <w:tc>
          <w:tcPr>
            <w:tcW w:w="1560" w:type="dxa"/>
            <w:tcBorders>
              <w:top w:val="nil"/>
              <w:left w:val="single" w:sz="4" w:space="0" w:color="auto"/>
              <w:bottom w:val="nil"/>
              <w:right w:val="single" w:sz="4" w:space="0" w:color="auto"/>
            </w:tcBorders>
          </w:tcPr>
          <w:p w14:paraId="2239E7BC" w14:textId="77777777" w:rsidR="00E72061" w:rsidRPr="006E1CE4" w:rsidRDefault="00E72061" w:rsidP="00E72061">
            <w:pPr>
              <w:pStyle w:val="TableColumnHeadingLeft"/>
            </w:pPr>
          </w:p>
        </w:tc>
        <w:tc>
          <w:tcPr>
            <w:tcW w:w="3118" w:type="dxa"/>
            <w:tcBorders>
              <w:top w:val="dotted" w:sz="4" w:space="0" w:color="auto"/>
              <w:left w:val="single" w:sz="4" w:space="0" w:color="auto"/>
              <w:bottom w:val="dotted" w:sz="4" w:space="0" w:color="auto"/>
              <w:right w:val="single" w:sz="6" w:space="0" w:color="auto"/>
            </w:tcBorders>
          </w:tcPr>
          <w:p w14:paraId="2239E7BD" w14:textId="77777777" w:rsidR="00E72061" w:rsidRPr="00E72061" w:rsidRDefault="00E72061" w:rsidP="00C8474A">
            <w:pPr>
              <w:numPr>
                <w:ilvl w:val="1"/>
                <w:numId w:val="42"/>
              </w:numPr>
              <w:tabs>
                <w:tab w:val="left" w:pos="426"/>
              </w:tabs>
              <w:spacing w:before="20" w:after="20" w:line="240" w:lineRule="auto"/>
              <w:ind w:left="426" w:hanging="426"/>
              <w:rPr>
                <w:rFonts w:ascii="Arial" w:hAnsi="Arial" w:cs="Arial"/>
                <w:sz w:val="16"/>
              </w:rPr>
            </w:pPr>
            <w:r w:rsidRPr="00E72061">
              <w:rPr>
                <w:rFonts w:ascii="Arial" w:hAnsi="Arial" w:cs="Arial"/>
                <w:sz w:val="16"/>
              </w:rPr>
              <w:t>Alignment of whole-of-government digital platforms, technologies and services with Australian Government Architecture.</w:t>
            </w:r>
          </w:p>
        </w:tc>
        <w:tc>
          <w:tcPr>
            <w:tcW w:w="3118" w:type="dxa"/>
            <w:tcBorders>
              <w:top w:val="dotted" w:sz="4" w:space="0" w:color="auto"/>
              <w:left w:val="single" w:sz="6" w:space="0" w:color="auto"/>
              <w:bottom w:val="dotted" w:sz="4" w:space="0" w:color="auto"/>
              <w:right w:val="single" w:sz="4" w:space="0" w:color="auto"/>
            </w:tcBorders>
          </w:tcPr>
          <w:p w14:paraId="2239E7BE" w14:textId="77777777" w:rsidR="00E72061" w:rsidRPr="00E72061" w:rsidRDefault="00E72061" w:rsidP="00E72061">
            <w:pPr>
              <w:pStyle w:val="TableColumnHeadingLeft"/>
              <w:rPr>
                <w:rFonts w:ascii="Arial" w:hAnsi="Arial" w:cs="Arial"/>
                <w:b w:val="0"/>
              </w:rPr>
            </w:pPr>
            <w:r w:rsidRPr="00E72061">
              <w:rPr>
                <w:rFonts w:ascii="Arial" w:hAnsi="Arial" w:cs="Arial"/>
                <w:b w:val="0"/>
              </w:rPr>
              <w:t>As per 2022-23</w:t>
            </w:r>
          </w:p>
        </w:tc>
      </w:tr>
      <w:tr w:rsidR="00E72061" w:rsidRPr="006E1CE4" w14:paraId="2239E7C3" w14:textId="77777777" w:rsidTr="00D86D0D">
        <w:tblPrEx>
          <w:tblLook w:val="04A0" w:firstRow="1" w:lastRow="0" w:firstColumn="1" w:lastColumn="0" w:noHBand="0" w:noVBand="1"/>
        </w:tblPrEx>
        <w:trPr>
          <w:trHeight w:val="255"/>
        </w:trPr>
        <w:tc>
          <w:tcPr>
            <w:tcW w:w="1560" w:type="dxa"/>
            <w:tcBorders>
              <w:top w:val="nil"/>
              <w:left w:val="single" w:sz="4" w:space="0" w:color="auto"/>
              <w:bottom w:val="nil"/>
              <w:right w:val="single" w:sz="4" w:space="0" w:color="auto"/>
            </w:tcBorders>
          </w:tcPr>
          <w:p w14:paraId="2239E7C0" w14:textId="77777777" w:rsidR="00E72061" w:rsidRPr="006E1CE4" w:rsidRDefault="00E72061" w:rsidP="00E72061">
            <w:pPr>
              <w:pStyle w:val="TableColumnHeadingLeft"/>
            </w:pPr>
          </w:p>
        </w:tc>
        <w:tc>
          <w:tcPr>
            <w:tcW w:w="3118" w:type="dxa"/>
            <w:tcBorders>
              <w:top w:val="dotted" w:sz="4" w:space="0" w:color="auto"/>
              <w:left w:val="single" w:sz="4" w:space="0" w:color="auto"/>
              <w:bottom w:val="dotted" w:sz="4" w:space="0" w:color="auto"/>
              <w:right w:val="single" w:sz="6" w:space="0" w:color="auto"/>
            </w:tcBorders>
          </w:tcPr>
          <w:p w14:paraId="2239E7C1" w14:textId="77777777" w:rsidR="00E72061" w:rsidRPr="00E72061" w:rsidRDefault="00E72061" w:rsidP="00C8474A">
            <w:pPr>
              <w:numPr>
                <w:ilvl w:val="1"/>
                <w:numId w:val="43"/>
              </w:numPr>
              <w:tabs>
                <w:tab w:val="left" w:pos="426"/>
              </w:tabs>
              <w:spacing w:before="20" w:after="20" w:line="240" w:lineRule="auto"/>
              <w:ind w:left="426" w:hanging="426"/>
              <w:rPr>
                <w:rFonts w:ascii="Arial" w:hAnsi="Arial" w:cs="Arial"/>
                <w:sz w:val="16"/>
              </w:rPr>
            </w:pPr>
            <w:r w:rsidRPr="00E72061">
              <w:rPr>
                <w:rFonts w:ascii="Arial" w:hAnsi="Arial" w:cs="Arial"/>
                <w:sz w:val="16"/>
              </w:rPr>
              <w:t>Management of whole-of-government digital strategic sourcing, contracts and purchasing arrangements and systems.</w:t>
            </w:r>
          </w:p>
        </w:tc>
        <w:tc>
          <w:tcPr>
            <w:tcW w:w="3118" w:type="dxa"/>
            <w:tcBorders>
              <w:top w:val="dotted" w:sz="4" w:space="0" w:color="auto"/>
              <w:left w:val="single" w:sz="6" w:space="0" w:color="auto"/>
              <w:bottom w:val="dotted" w:sz="4" w:space="0" w:color="auto"/>
              <w:right w:val="single" w:sz="4" w:space="0" w:color="auto"/>
            </w:tcBorders>
          </w:tcPr>
          <w:p w14:paraId="2239E7C2" w14:textId="77777777" w:rsidR="00E72061" w:rsidRPr="00E72061" w:rsidRDefault="00E72061" w:rsidP="00E72061">
            <w:pPr>
              <w:pStyle w:val="TableColumnHeadingLeft"/>
              <w:rPr>
                <w:rFonts w:ascii="Arial" w:hAnsi="Arial" w:cs="Arial"/>
                <w:b w:val="0"/>
              </w:rPr>
            </w:pPr>
            <w:r w:rsidRPr="00E72061">
              <w:rPr>
                <w:rFonts w:ascii="Arial" w:hAnsi="Arial" w:cs="Arial"/>
                <w:b w:val="0"/>
              </w:rPr>
              <w:t>As per 2022-23</w:t>
            </w:r>
          </w:p>
        </w:tc>
      </w:tr>
      <w:tr w:rsidR="00E72061" w:rsidRPr="006E1CE4" w14:paraId="2239E7C7" w14:textId="77777777" w:rsidTr="00D86D0D">
        <w:tblPrEx>
          <w:tblLook w:val="04A0" w:firstRow="1" w:lastRow="0" w:firstColumn="1" w:lastColumn="0" w:noHBand="0" w:noVBand="1"/>
        </w:tblPrEx>
        <w:trPr>
          <w:trHeight w:val="255"/>
        </w:trPr>
        <w:tc>
          <w:tcPr>
            <w:tcW w:w="1560" w:type="dxa"/>
            <w:tcBorders>
              <w:top w:val="nil"/>
              <w:left w:val="single" w:sz="4" w:space="0" w:color="auto"/>
              <w:bottom w:val="nil"/>
              <w:right w:val="single" w:sz="4" w:space="0" w:color="auto"/>
            </w:tcBorders>
          </w:tcPr>
          <w:p w14:paraId="2239E7C4" w14:textId="77777777" w:rsidR="00E72061" w:rsidRPr="006E1CE4" w:rsidRDefault="00E72061" w:rsidP="00E72061">
            <w:pPr>
              <w:pStyle w:val="TableColumnHeadingLeft"/>
            </w:pPr>
          </w:p>
        </w:tc>
        <w:tc>
          <w:tcPr>
            <w:tcW w:w="3118" w:type="dxa"/>
            <w:tcBorders>
              <w:top w:val="dotted" w:sz="4" w:space="0" w:color="auto"/>
              <w:left w:val="single" w:sz="4" w:space="0" w:color="auto"/>
              <w:bottom w:val="dotted" w:sz="4" w:space="0" w:color="auto"/>
              <w:right w:val="single" w:sz="6" w:space="0" w:color="auto"/>
            </w:tcBorders>
          </w:tcPr>
          <w:p w14:paraId="2239E7C5" w14:textId="77777777" w:rsidR="00E72061" w:rsidRPr="00E72061" w:rsidRDefault="00E72061" w:rsidP="00C8474A">
            <w:pPr>
              <w:numPr>
                <w:ilvl w:val="1"/>
                <w:numId w:val="43"/>
              </w:numPr>
              <w:tabs>
                <w:tab w:val="left" w:pos="426"/>
              </w:tabs>
              <w:spacing w:before="20" w:after="20" w:line="240" w:lineRule="auto"/>
              <w:ind w:left="426" w:hanging="426"/>
              <w:rPr>
                <w:rFonts w:ascii="Arial" w:hAnsi="Arial" w:cs="Arial"/>
                <w:sz w:val="16"/>
              </w:rPr>
            </w:pPr>
            <w:r w:rsidRPr="00E72061">
              <w:rPr>
                <w:rFonts w:ascii="Arial" w:hAnsi="Arial" w:cs="Arial"/>
                <w:sz w:val="16"/>
              </w:rPr>
              <w:t>Value for money digital and ICT procurements.</w:t>
            </w:r>
          </w:p>
        </w:tc>
        <w:tc>
          <w:tcPr>
            <w:tcW w:w="3118" w:type="dxa"/>
            <w:tcBorders>
              <w:top w:val="dotted" w:sz="4" w:space="0" w:color="auto"/>
              <w:left w:val="single" w:sz="6" w:space="0" w:color="auto"/>
              <w:bottom w:val="dotted" w:sz="4" w:space="0" w:color="auto"/>
              <w:right w:val="single" w:sz="4" w:space="0" w:color="auto"/>
            </w:tcBorders>
          </w:tcPr>
          <w:p w14:paraId="2239E7C6" w14:textId="77777777" w:rsidR="00E72061" w:rsidRPr="00E72061" w:rsidRDefault="00E72061" w:rsidP="00E72061">
            <w:pPr>
              <w:pStyle w:val="TableColumnHeadingLeft"/>
              <w:rPr>
                <w:rFonts w:ascii="Arial" w:hAnsi="Arial" w:cs="Arial"/>
                <w:b w:val="0"/>
              </w:rPr>
            </w:pPr>
            <w:r w:rsidRPr="00E72061">
              <w:rPr>
                <w:rFonts w:ascii="Arial" w:hAnsi="Arial" w:cs="Arial"/>
                <w:b w:val="0"/>
              </w:rPr>
              <w:t>As per 2022-23</w:t>
            </w:r>
          </w:p>
        </w:tc>
      </w:tr>
      <w:tr w:rsidR="00E72061" w:rsidRPr="006E1CE4" w14:paraId="2239E7D1" w14:textId="77777777" w:rsidTr="00D86D0D">
        <w:tblPrEx>
          <w:tblLook w:val="04A0" w:firstRow="1" w:lastRow="0" w:firstColumn="1" w:lastColumn="0" w:noHBand="0" w:noVBand="1"/>
        </w:tblPrEx>
        <w:trPr>
          <w:trHeight w:val="255"/>
        </w:trPr>
        <w:tc>
          <w:tcPr>
            <w:tcW w:w="1560" w:type="dxa"/>
            <w:tcBorders>
              <w:top w:val="nil"/>
              <w:left w:val="single" w:sz="4" w:space="0" w:color="auto"/>
              <w:bottom w:val="single" w:sz="4" w:space="0" w:color="auto"/>
              <w:right w:val="single" w:sz="4" w:space="0" w:color="auto"/>
            </w:tcBorders>
          </w:tcPr>
          <w:p w14:paraId="2239E7C8" w14:textId="77777777" w:rsidR="00E72061" w:rsidRPr="006E1CE4" w:rsidRDefault="00E72061" w:rsidP="00E72061">
            <w:pPr>
              <w:pStyle w:val="TableColumnHeadingLeft"/>
            </w:pPr>
          </w:p>
        </w:tc>
        <w:tc>
          <w:tcPr>
            <w:tcW w:w="3118" w:type="dxa"/>
            <w:tcBorders>
              <w:top w:val="dotted" w:sz="4" w:space="0" w:color="auto"/>
              <w:left w:val="single" w:sz="4" w:space="0" w:color="auto"/>
              <w:bottom w:val="dotted" w:sz="4" w:space="0" w:color="auto"/>
              <w:right w:val="single" w:sz="6" w:space="0" w:color="auto"/>
            </w:tcBorders>
          </w:tcPr>
          <w:p w14:paraId="2239E7C9" w14:textId="77777777" w:rsidR="00E72061" w:rsidRPr="00E72061" w:rsidRDefault="00E72061" w:rsidP="00C8474A">
            <w:pPr>
              <w:numPr>
                <w:ilvl w:val="1"/>
                <w:numId w:val="44"/>
              </w:numPr>
              <w:tabs>
                <w:tab w:val="left" w:pos="426"/>
              </w:tabs>
              <w:spacing w:before="20" w:after="20" w:line="240" w:lineRule="auto"/>
              <w:ind w:left="426" w:hanging="426"/>
              <w:rPr>
                <w:rFonts w:ascii="Arial" w:hAnsi="Arial" w:cs="Arial"/>
                <w:sz w:val="16"/>
              </w:rPr>
            </w:pPr>
            <w:r w:rsidRPr="00E72061">
              <w:rPr>
                <w:rFonts w:ascii="Arial" w:hAnsi="Arial" w:cs="Arial"/>
                <w:sz w:val="16"/>
              </w:rPr>
              <w:t>Ability of DTA staff to support strategic objectives.</w:t>
            </w:r>
          </w:p>
        </w:tc>
        <w:tc>
          <w:tcPr>
            <w:tcW w:w="3118" w:type="dxa"/>
            <w:tcBorders>
              <w:top w:val="dotted" w:sz="4" w:space="0" w:color="auto"/>
              <w:left w:val="single" w:sz="6" w:space="0" w:color="auto"/>
              <w:bottom w:val="dotted" w:sz="4" w:space="0" w:color="auto"/>
              <w:right w:val="single" w:sz="4" w:space="0" w:color="auto"/>
            </w:tcBorders>
          </w:tcPr>
          <w:p w14:paraId="2239E7CA" w14:textId="77777777" w:rsidR="00E72061" w:rsidRPr="00E72061" w:rsidRDefault="00E72061" w:rsidP="00E72061">
            <w:pPr>
              <w:pStyle w:val="TableColumnHeadingLeft"/>
              <w:rPr>
                <w:rFonts w:ascii="Arial" w:hAnsi="Arial" w:cs="Arial"/>
                <w:b w:val="0"/>
              </w:rPr>
            </w:pPr>
            <w:r w:rsidRPr="00E72061">
              <w:rPr>
                <w:rFonts w:ascii="Arial" w:hAnsi="Arial" w:cs="Arial"/>
                <w:b w:val="0"/>
              </w:rPr>
              <w:t>Maintenance of, or increase in, staff satisfaction and wellbeing annually.</w:t>
            </w:r>
          </w:p>
          <w:p w14:paraId="2239E7CB" w14:textId="77777777" w:rsidR="00E72061" w:rsidRPr="00E72061" w:rsidRDefault="00E72061" w:rsidP="00E72061">
            <w:pPr>
              <w:pStyle w:val="TableColumnHeadingLeft"/>
              <w:rPr>
                <w:rFonts w:ascii="Arial" w:hAnsi="Arial" w:cs="Arial"/>
                <w:b w:val="0"/>
              </w:rPr>
            </w:pPr>
          </w:p>
          <w:p w14:paraId="2239E7CC" w14:textId="77777777" w:rsidR="00E72061" w:rsidRPr="00E72061" w:rsidRDefault="00E72061" w:rsidP="00E72061">
            <w:pPr>
              <w:pStyle w:val="TableColumnHeadingLeft"/>
              <w:rPr>
                <w:rFonts w:ascii="Arial" w:hAnsi="Arial" w:cs="Arial"/>
                <w:b w:val="0"/>
              </w:rPr>
            </w:pPr>
            <w:r w:rsidRPr="00E72061">
              <w:rPr>
                <w:rFonts w:ascii="Arial" w:hAnsi="Arial" w:cs="Arial"/>
                <w:b w:val="0"/>
              </w:rPr>
              <w:t>Reduction in harassment, bullying and discrimination scores.</w:t>
            </w:r>
          </w:p>
          <w:p w14:paraId="2239E7CD" w14:textId="77777777" w:rsidR="00E72061" w:rsidRPr="00E72061" w:rsidRDefault="00E72061" w:rsidP="00E72061">
            <w:pPr>
              <w:pStyle w:val="TableColumnHeadingLeft"/>
              <w:rPr>
                <w:rFonts w:ascii="Arial" w:hAnsi="Arial" w:cs="Arial"/>
                <w:b w:val="0"/>
              </w:rPr>
            </w:pPr>
          </w:p>
          <w:p w14:paraId="2239E7CE" w14:textId="77777777" w:rsidR="00E72061" w:rsidRPr="00E72061" w:rsidRDefault="00E72061" w:rsidP="00E72061">
            <w:pPr>
              <w:pStyle w:val="TableColumnHeadingLeft"/>
              <w:rPr>
                <w:rFonts w:ascii="Arial" w:hAnsi="Arial" w:cs="Arial"/>
                <w:b w:val="0"/>
              </w:rPr>
            </w:pPr>
            <w:r w:rsidRPr="00E72061">
              <w:rPr>
                <w:rFonts w:ascii="Arial" w:hAnsi="Arial" w:cs="Arial"/>
                <w:b w:val="0"/>
              </w:rPr>
              <w:t>80% APS engagement score.</w:t>
            </w:r>
          </w:p>
          <w:p w14:paraId="2239E7CF" w14:textId="77777777" w:rsidR="00E72061" w:rsidRPr="00E72061" w:rsidRDefault="00E72061" w:rsidP="00E72061">
            <w:pPr>
              <w:pStyle w:val="TableColumnHeadingLeft"/>
              <w:rPr>
                <w:rFonts w:ascii="Arial" w:hAnsi="Arial" w:cs="Arial"/>
                <w:b w:val="0"/>
              </w:rPr>
            </w:pPr>
          </w:p>
          <w:p w14:paraId="2239E7D0" w14:textId="77777777" w:rsidR="00E72061" w:rsidRPr="00E72061" w:rsidRDefault="00E72061" w:rsidP="00E72061">
            <w:pPr>
              <w:pStyle w:val="TableColumnHeadingLeft"/>
              <w:rPr>
                <w:rFonts w:ascii="Arial" w:hAnsi="Arial" w:cs="Arial"/>
                <w:b w:val="0"/>
              </w:rPr>
            </w:pPr>
            <w:r w:rsidRPr="00E72061">
              <w:rPr>
                <w:rFonts w:ascii="Arial" w:hAnsi="Arial" w:cs="Arial"/>
                <w:b w:val="0"/>
              </w:rPr>
              <w:t>100% of development plans agreed.</w:t>
            </w:r>
          </w:p>
        </w:tc>
      </w:tr>
      <w:tr w:rsidR="00E72061" w:rsidRPr="006E1CE4" w14:paraId="2239E7D3" w14:textId="77777777" w:rsidTr="00D46837">
        <w:tblPrEx>
          <w:tblLook w:val="04A0" w:firstRow="1" w:lastRow="0" w:firstColumn="1" w:lastColumn="0" w:noHBand="0" w:noVBand="1"/>
        </w:tblPrEx>
        <w:trPr>
          <w:trHeight w:val="291"/>
        </w:trPr>
        <w:tc>
          <w:tcPr>
            <w:tcW w:w="7796" w:type="dxa"/>
            <w:gridSpan w:val="3"/>
          </w:tcPr>
          <w:p w14:paraId="2239E7D2" w14:textId="77777777" w:rsidR="00E72061" w:rsidRPr="006E1CE4" w:rsidRDefault="00E72061" w:rsidP="00D46837">
            <w:pPr>
              <w:pStyle w:val="TableTextLeft"/>
              <w:rPr>
                <w:rFonts w:eastAsia="Cambria"/>
                <w:bCs/>
                <w:iCs/>
                <w:color w:val="0070C0"/>
                <w:spacing w:val="-6"/>
                <w:lang w:val="x-none"/>
              </w:rPr>
            </w:pPr>
            <w:r w:rsidRPr="006E1CE4">
              <w:t>Material changes to Program 1.1 resulting from October 2022-23 Budget Measures:</w:t>
            </w:r>
            <w:r w:rsidRPr="006E1CE4">
              <w:rPr>
                <w:bCs/>
                <w:iCs/>
                <w:color w:val="2E74B5"/>
                <w:spacing w:val="-6"/>
              </w:rPr>
              <w:t xml:space="preserve"> </w:t>
            </w:r>
            <w:r w:rsidRPr="006E1CE4">
              <w:rPr>
                <w:bCs/>
                <w:iCs/>
                <w:spacing w:val="-6"/>
              </w:rPr>
              <w:t>Nil</w:t>
            </w:r>
          </w:p>
        </w:tc>
      </w:tr>
    </w:tbl>
    <w:p w14:paraId="61DE76E6" w14:textId="67A3BE40" w:rsidR="006C2BE3" w:rsidRDefault="006C2BE3" w:rsidP="00E36F77">
      <w:pPr>
        <w:pStyle w:val="Heading2"/>
      </w:pPr>
      <w:bookmarkStart w:id="204" w:name="_Toc116742524"/>
      <w:r>
        <w:br w:type="page"/>
      </w:r>
    </w:p>
    <w:p w14:paraId="2239E7D7" w14:textId="74E720B3" w:rsidR="00BF0558" w:rsidRPr="00F154A2" w:rsidRDefault="00BF0558" w:rsidP="00F154A2">
      <w:pPr>
        <w:pStyle w:val="Heading2"/>
      </w:pPr>
      <w:bookmarkStart w:id="205" w:name="_Toc117070815"/>
      <w:bookmarkStart w:id="206" w:name="_Toc117071070"/>
      <w:bookmarkStart w:id="207" w:name="_Toc117078104"/>
      <w:r w:rsidRPr="00F154A2">
        <w:lastRenderedPageBreak/>
        <w:t>Section 3: Budgeted financial statements</w:t>
      </w:r>
      <w:bookmarkEnd w:id="204"/>
      <w:bookmarkEnd w:id="205"/>
      <w:bookmarkEnd w:id="206"/>
      <w:bookmarkEnd w:id="207"/>
    </w:p>
    <w:p w14:paraId="019C7DD4" w14:textId="77777777" w:rsidR="002619D5" w:rsidRDefault="002619D5" w:rsidP="00DD7FBC">
      <w:pPr>
        <w:rPr>
          <w:b/>
        </w:rPr>
      </w:pPr>
      <w:bookmarkStart w:id="208" w:name="_Toc116742525"/>
      <w:bookmarkStart w:id="209" w:name="_Toc117070816"/>
      <w:bookmarkStart w:id="210" w:name="_Toc117071071"/>
      <w:r w:rsidRPr="002619D5">
        <w:t>Section 3 presents budgeted financial statements which provide a comprehensive snapshot of entity finances for the 2022-23 budget year, including the impact of budget measures and resourcing on financial statements.</w:t>
      </w:r>
      <w:bookmarkEnd w:id="208"/>
      <w:bookmarkEnd w:id="209"/>
      <w:bookmarkEnd w:id="210"/>
    </w:p>
    <w:p w14:paraId="2239E7D9" w14:textId="521EC5F1" w:rsidR="00BF0558" w:rsidRPr="005328A9" w:rsidRDefault="00BF0558" w:rsidP="005328A9">
      <w:pPr>
        <w:pStyle w:val="Heading3"/>
      </w:pPr>
      <w:bookmarkStart w:id="211" w:name="_Toc116742526"/>
      <w:bookmarkStart w:id="212" w:name="_Toc117070817"/>
      <w:bookmarkStart w:id="213" w:name="_Toc117071072"/>
      <w:bookmarkStart w:id="214" w:name="_Toc117078105"/>
      <w:r w:rsidRPr="005328A9">
        <w:t>3.1</w:t>
      </w:r>
      <w:r w:rsidRPr="005328A9">
        <w:tab/>
        <w:t>Budgeted financial statements</w:t>
      </w:r>
      <w:bookmarkEnd w:id="211"/>
      <w:bookmarkEnd w:id="212"/>
      <w:bookmarkEnd w:id="213"/>
      <w:bookmarkEnd w:id="214"/>
    </w:p>
    <w:p w14:paraId="2239E7DA" w14:textId="77777777" w:rsidR="00BF0558" w:rsidRDefault="00BF0558" w:rsidP="00E4582E">
      <w:pPr>
        <w:pStyle w:val="Heading4"/>
      </w:pPr>
      <w:r>
        <w:t>3.1.1</w:t>
      </w:r>
      <w:r>
        <w:tab/>
        <w:t>Differences between entity resourcing and financial statements</w:t>
      </w:r>
    </w:p>
    <w:p w14:paraId="40BC5F20" w14:textId="77777777" w:rsidR="002619D5" w:rsidRDefault="002619D5" w:rsidP="002619D5">
      <w:pPr>
        <w:pStyle w:val="Heading4"/>
        <w:spacing w:before="240" w:after="240" w:line="240" w:lineRule="exact"/>
        <w:rPr>
          <w:rFonts w:ascii="Book Antiqua" w:hAnsi="Book Antiqua"/>
          <w:b w:val="0"/>
          <w:sz w:val="19"/>
        </w:rPr>
      </w:pPr>
      <w:r w:rsidRPr="002619D5">
        <w:rPr>
          <w:rFonts w:ascii="Book Antiqua" w:hAnsi="Book Antiqua"/>
          <w:b w:val="0"/>
          <w:sz w:val="19"/>
        </w:rPr>
        <w:t>The entity resource statement (Table 1.1) provides a consolidated view of all the resources available to the Digital Transformation Agency in 2022­23. This includes appropriation receivable that is yet to be drawn to cover payables and provisions on the balance sheet. The comprehensive income statement (Table 3.1) shows the operating appropriation provided in 2022­23.</w:t>
      </w:r>
    </w:p>
    <w:p w14:paraId="2239E7DC" w14:textId="6F6CEC91" w:rsidR="00BF0558" w:rsidRDefault="00BF0558" w:rsidP="00E4582E">
      <w:pPr>
        <w:pStyle w:val="Heading4"/>
      </w:pPr>
      <w:r>
        <w:t>3.1.2</w:t>
      </w:r>
      <w:r>
        <w:tab/>
        <w:t>Explanatory notes and analysis of budgeted financial statements</w:t>
      </w:r>
    </w:p>
    <w:p w14:paraId="01250041" w14:textId="77777777" w:rsidR="00DD7FBC" w:rsidRDefault="002619D5" w:rsidP="00DD7FBC">
      <w:pPr>
        <w:rPr>
          <w:bdr w:val="nil"/>
        </w:rPr>
      </w:pPr>
      <w:r w:rsidRPr="002619D5">
        <w:rPr>
          <w:bdr w:val="nil"/>
        </w:rPr>
        <w:t xml:space="preserve">Budgeted revenue from government in 2022­23 is estimated at $76.2 million, an increase of $11.2 million compared to the estimate for 2022­23 reported in the 2021­22 Portfolio Additional Estimates Statements. </w:t>
      </w:r>
    </w:p>
    <w:p w14:paraId="7BE31569" w14:textId="77777777" w:rsidR="00DD7FBC" w:rsidRDefault="002619D5" w:rsidP="00DD7FBC">
      <w:r w:rsidRPr="00DD7FBC">
        <w:t xml:space="preserve">Budgeted sales of goods and rendering of services in 2022­23 is estimated at $9.4 million, consistent with the estimate for 2022­23 reported in the 2021­22 Portfolio </w:t>
      </w:r>
      <w:r w:rsidR="00DD7FBC">
        <w:t>Additional Estimates Statements.</w:t>
      </w:r>
      <w:r w:rsidR="00DD7FBC">
        <w:br w:type="page"/>
      </w:r>
    </w:p>
    <w:p w14:paraId="2239E7DF" w14:textId="38CF1846" w:rsidR="00BF0558" w:rsidRPr="00DD7FBC" w:rsidRDefault="00FA74F9" w:rsidP="00DD7FBC">
      <w:pPr>
        <w:outlineLvl w:val="2"/>
        <w:rPr>
          <w:b/>
          <w:bdr w:val="nil"/>
        </w:rPr>
      </w:pPr>
      <w:bookmarkStart w:id="215" w:name="_Toc117078106"/>
      <w:r w:rsidRPr="00727A26">
        <w:rPr>
          <w:rStyle w:val="Heading3Char"/>
        </w:rPr>
        <w:lastRenderedPageBreak/>
        <w:t>3.2</w:t>
      </w:r>
      <w:r w:rsidR="00BF0558" w:rsidRPr="00727A26">
        <w:rPr>
          <w:rStyle w:val="Heading3Char"/>
        </w:rPr>
        <w:tab/>
        <w:t>Budgeted financial statements tables</w:t>
      </w:r>
      <w:bookmarkEnd w:id="215"/>
    </w:p>
    <w:p w14:paraId="2239E7E0" w14:textId="40988EF9" w:rsidR="00BF0558" w:rsidRDefault="00BF0558" w:rsidP="00146B5E">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r w:rsidR="002730FE" w:rsidRPr="002730FE">
        <w:rPr>
          <w:noProof/>
          <w:snapToGrid w:val="0"/>
          <w:lang w:eastAsia="zh-CN"/>
        </w:rPr>
        <w:drawing>
          <wp:inline distT="0" distB="0" distL="0" distR="0" wp14:anchorId="230733A1" wp14:editId="7B11302B">
            <wp:extent cx="4895850" cy="4554279"/>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895850" cy="4554279"/>
                    </a:xfrm>
                    <a:prstGeom prst="rect">
                      <a:avLst/>
                    </a:prstGeom>
                    <a:noFill/>
                    <a:ln>
                      <a:noFill/>
                    </a:ln>
                  </pic:spPr>
                </pic:pic>
              </a:graphicData>
            </a:graphic>
          </wp:inline>
        </w:drawing>
      </w:r>
    </w:p>
    <w:p w14:paraId="4346B2B2" w14:textId="77777777" w:rsidR="00ED602D" w:rsidRDefault="00BF0558" w:rsidP="00ED602D">
      <w:pPr>
        <w:pStyle w:val="Source"/>
        <w:spacing w:after="0"/>
        <w:ind w:left="0" w:firstLine="0"/>
        <w:rPr>
          <w:rFonts w:cs="Arial"/>
        </w:rPr>
      </w:pPr>
      <w:r w:rsidRPr="00D52088">
        <w:rPr>
          <w:noProof/>
        </w:rPr>
        <w:t xml:space="preserve"> </w:t>
      </w:r>
      <w:r w:rsidR="00ED602D" w:rsidRPr="009D54F3">
        <w:rPr>
          <w:rFonts w:cs="Arial"/>
        </w:rPr>
        <w:t>Prepared on Australian Accounting Standards basis.</w:t>
      </w:r>
    </w:p>
    <w:p w14:paraId="2239E7E1" w14:textId="0ECDCDDF" w:rsidR="00BF0558" w:rsidRDefault="00BF0558" w:rsidP="00392DD1">
      <w:pPr>
        <w:pStyle w:val="TableGraphic"/>
      </w:pPr>
    </w:p>
    <w:p w14:paraId="2239E7E2" w14:textId="77777777" w:rsidR="00BF0558" w:rsidRDefault="00BF0558" w:rsidP="00146B5E">
      <w:pPr>
        <w:pStyle w:val="TableHeadingcontinued"/>
        <w:rPr>
          <w:snapToGrid w:val="0"/>
        </w:rPr>
      </w:pPr>
      <w:r>
        <w:br w:type="page"/>
      </w: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p>
    <w:p w14:paraId="2239E7E3" w14:textId="77777777" w:rsidR="00BF0558" w:rsidRPr="003819E1" w:rsidRDefault="00BF0558" w:rsidP="00E36F77">
      <w:pPr>
        <w:pStyle w:val="SingleParagraph"/>
      </w:pPr>
    </w:p>
    <w:p w14:paraId="2239E7E5" w14:textId="405EF81C" w:rsidR="00BF0558" w:rsidRPr="002730FE" w:rsidRDefault="00BF0558" w:rsidP="002730FE">
      <w:pPr>
        <w:pStyle w:val="TableHeadingNoTable"/>
        <w:spacing w:after="0"/>
      </w:pPr>
      <w:r w:rsidRPr="003819E1">
        <w:t>Note: Impact of net cash appropriation arrangements</w:t>
      </w:r>
      <w:r w:rsidR="002730FE" w:rsidRPr="002730FE">
        <w:rPr>
          <w:noProof/>
          <w:lang w:eastAsia="zh-CN"/>
        </w:rPr>
        <w:drawing>
          <wp:inline distT="0" distB="0" distL="0" distR="0" wp14:anchorId="513983D9" wp14:editId="1B9948F4">
            <wp:extent cx="4895850" cy="1965531"/>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895850" cy="1965531"/>
                    </a:xfrm>
                    <a:prstGeom prst="rect">
                      <a:avLst/>
                    </a:prstGeom>
                    <a:noFill/>
                    <a:ln>
                      <a:noFill/>
                    </a:ln>
                  </pic:spPr>
                </pic:pic>
              </a:graphicData>
            </a:graphic>
          </wp:inline>
        </w:drawing>
      </w:r>
    </w:p>
    <w:p w14:paraId="2239E7E8" w14:textId="68A507E4" w:rsidR="00BF0558" w:rsidRDefault="00BF0558" w:rsidP="002730FE">
      <w:pPr>
        <w:pStyle w:val="Source"/>
        <w:spacing w:after="0"/>
        <w:ind w:left="0" w:firstLine="0"/>
        <w:rPr>
          <w:rFonts w:cs="Arial"/>
        </w:rPr>
      </w:pPr>
      <w:r w:rsidRPr="009D54F3">
        <w:rPr>
          <w:rFonts w:cs="Arial"/>
        </w:rPr>
        <w:t>Prepared on Australian Accounting Standards basis.</w:t>
      </w:r>
    </w:p>
    <w:p w14:paraId="371551DB" w14:textId="77777777" w:rsidR="00ED602D" w:rsidRPr="000B4E71" w:rsidRDefault="00ED602D" w:rsidP="00C8474A">
      <w:pPr>
        <w:pStyle w:val="Source"/>
        <w:numPr>
          <w:ilvl w:val="0"/>
          <w:numId w:val="52"/>
        </w:numPr>
        <w:spacing w:before="60" w:after="0"/>
        <w:ind w:left="284" w:hanging="284"/>
        <w:rPr>
          <w:rFonts w:cs="Arial"/>
          <w:color w:val="000000"/>
        </w:rPr>
      </w:pPr>
      <w:r w:rsidRPr="000B4E71">
        <w:rPr>
          <w:rFonts w:cs="Arial"/>
          <w:color w:val="000000"/>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47F2194C" w14:textId="77777777" w:rsidR="00ED602D" w:rsidRPr="000B4E71" w:rsidRDefault="00ED602D" w:rsidP="00C8474A">
      <w:pPr>
        <w:pStyle w:val="Source"/>
        <w:numPr>
          <w:ilvl w:val="0"/>
          <w:numId w:val="52"/>
        </w:numPr>
        <w:spacing w:before="60" w:after="0"/>
        <w:ind w:left="284" w:hanging="284"/>
        <w:rPr>
          <w:rFonts w:cs="Arial"/>
          <w:color w:val="000000"/>
        </w:rPr>
      </w:pPr>
      <w:r w:rsidRPr="000B4E71">
        <w:rPr>
          <w:rFonts w:cs="Arial"/>
          <w:color w:val="000000"/>
        </w:rPr>
        <w:t>Applies leases under AASB 16 Leases.</w:t>
      </w:r>
    </w:p>
    <w:p w14:paraId="1E2CB356" w14:textId="77777777" w:rsidR="00ED602D" w:rsidRDefault="00ED602D" w:rsidP="002730FE">
      <w:pPr>
        <w:pStyle w:val="Source"/>
        <w:spacing w:after="0"/>
        <w:ind w:left="0" w:firstLine="0"/>
        <w:rPr>
          <w:rFonts w:cs="Arial"/>
        </w:rPr>
      </w:pPr>
    </w:p>
    <w:p w14:paraId="2239E7EA" w14:textId="23AEDFE6" w:rsidR="00BF0558" w:rsidRDefault="00BF0558" w:rsidP="002730FE">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p w14:paraId="06D04410" w14:textId="74BAE8B3" w:rsidR="002730FE" w:rsidRPr="002730FE" w:rsidRDefault="002730FE" w:rsidP="002730FE">
      <w:pPr>
        <w:pStyle w:val="TableGraphic"/>
      </w:pPr>
      <w:r w:rsidRPr="002730FE">
        <w:rPr>
          <w:noProof/>
          <w:lang w:eastAsia="zh-CN"/>
        </w:rPr>
        <w:drawing>
          <wp:inline distT="0" distB="0" distL="0" distR="0" wp14:anchorId="0ACEC363" wp14:editId="4BE25863">
            <wp:extent cx="4895850" cy="4764016"/>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895850" cy="4764016"/>
                    </a:xfrm>
                    <a:prstGeom prst="rect">
                      <a:avLst/>
                    </a:prstGeom>
                    <a:noFill/>
                    <a:ln>
                      <a:noFill/>
                    </a:ln>
                  </pic:spPr>
                </pic:pic>
              </a:graphicData>
            </a:graphic>
          </wp:inline>
        </w:drawing>
      </w:r>
    </w:p>
    <w:p w14:paraId="2239E7EB" w14:textId="77777777" w:rsidR="00BF0558" w:rsidRPr="00132F9E" w:rsidRDefault="00BF0558" w:rsidP="002730FE">
      <w:pPr>
        <w:pStyle w:val="ChartandTableFootnote"/>
      </w:pPr>
      <w:r w:rsidRPr="00132F9E">
        <w:t xml:space="preserve">Prepared on </w:t>
      </w:r>
      <w:r w:rsidRPr="00446EE2">
        <w:rPr>
          <w:rStyle w:val="ChartandTableFootnoteChar"/>
        </w:rPr>
        <w:t>Australian</w:t>
      </w:r>
      <w:r w:rsidRPr="00132F9E">
        <w:t xml:space="preserve"> Accounting Standards basis.</w:t>
      </w:r>
    </w:p>
    <w:p w14:paraId="2239E7EC" w14:textId="77777777" w:rsidR="00BF0558" w:rsidRPr="00152B2B" w:rsidRDefault="00BF0558" w:rsidP="002730FE">
      <w:pPr>
        <w:pStyle w:val="ChartandTableFootnote"/>
      </w:pPr>
      <w:r w:rsidRPr="00132F9E">
        <w:rPr>
          <w:rFonts w:cs="Arial"/>
        </w:rPr>
        <w:t>*‘Equity’ is the residual interest in assets after deduction of liabilities.</w:t>
      </w:r>
    </w:p>
    <w:p w14:paraId="2239E7ED" w14:textId="77777777" w:rsidR="00BF0558" w:rsidRDefault="00BF0558" w:rsidP="009763C1">
      <w:pPr>
        <w:pStyle w:val="TableHeading"/>
        <w:rPr>
          <w:rFonts w:ascii="Times New Roman" w:hAnsi="Times New Roman"/>
        </w:rPr>
      </w:pPr>
      <w:r>
        <w:br w:type="page"/>
      </w:r>
      <w:r w:rsidRPr="00AD42E2">
        <w:lastRenderedPageBreak/>
        <w:t>Table 3.3: Departmental statement of changes in equity — summary of</w:t>
      </w:r>
      <w:r>
        <w:t xml:space="preserve"> movement (Budget year 2022-23</w:t>
      </w:r>
      <w:r w:rsidRPr="00D30CBA">
        <w:t>)</w:t>
      </w:r>
      <w:r>
        <w:rPr>
          <w:color w:val="000000"/>
          <w:lang w:val="x-none" w:eastAsia="x-none"/>
        </w:rPr>
        <w:fldChar w:fldCharType="begin" w:fldLock="1"/>
      </w:r>
      <w:r>
        <w:instrText xml:space="preserve"> LINK Excel.Sheet.12 "\\\\romulus\\csg_h$\\MCD\\Publishing\\Graphic Design Services Team\\Projects\\2021\\Budget 2021\\03 PBS\\PBS templates\\Attachment B - 2021-22 PBS Excel Tables.xlsx" "Table 3.3!R3C1:R34C6" \a \f 4 \h </w:instrText>
      </w:r>
      <w:r>
        <w:rPr>
          <w:color w:val="000000"/>
          <w:lang w:val="x-none" w:eastAsia="x-none"/>
        </w:rPr>
        <w:fldChar w:fldCharType="separate"/>
      </w:r>
    </w:p>
    <w:p w14:paraId="2239E7EF" w14:textId="32D5E973" w:rsidR="00BF0558" w:rsidRPr="00744A0B" w:rsidRDefault="00BF0558" w:rsidP="00744A0B">
      <w:pPr>
        <w:pStyle w:val="TableGraphic"/>
        <w:spacing w:before="30"/>
        <w:ind w:right="0"/>
        <w:rPr>
          <w:rFonts w:ascii="Arial" w:hAnsi="Arial" w:cs="Arial"/>
          <w:sz w:val="16"/>
          <w:szCs w:val="16"/>
        </w:rPr>
      </w:pPr>
      <w:r>
        <w:fldChar w:fldCharType="end"/>
      </w:r>
      <w:r w:rsidR="002730FE" w:rsidRPr="002730FE">
        <w:rPr>
          <w:noProof/>
          <w:lang w:eastAsia="zh-CN"/>
        </w:rPr>
        <w:drawing>
          <wp:inline distT="0" distB="0" distL="0" distR="0" wp14:anchorId="1D964D46" wp14:editId="1D62B1CF">
            <wp:extent cx="4895850" cy="2679646"/>
            <wp:effectExtent l="0" t="0" r="0" b="698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895850" cy="2679646"/>
                    </a:xfrm>
                    <a:prstGeom prst="rect">
                      <a:avLst/>
                    </a:prstGeom>
                    <a:noFill/>
                    <a:ln>
                      <a:noFill/>
                    </a:ln>
                  </pic:spPr>
                </pic:pic>
              </a:graphicData>
            </a:graphic>
          </wp:inline>
        </w:drawing>
      </w:r>
      <w:r w:rsidRPr="00744A0B">
        <w:rPr>
          <w:rFonts w:ascii="Arial" w:hAnsi="Arial" w:cs="Arial"/>
          <w:sz w:val="16"/>
          <w:szCs w:val="16"/>
        </w:rPr>
        <w:t>Prepared on Australian Accounting Standards basis</w:t>
      </w:r>
      <w:r w:rsidR="00871F92" w:rsidRPr="00744A0B">
        <w:rPr>
          <w:rFonts w:ascii="Arial" w:hAnsi="Arial" w:cs="Arial"/>
          <w:sz w:val="16"/>
          <w:szCs w:val="16"/>
        </w:rPr>
        <w:t>.</w:t>
      </w:r>
    </w:p>
    <w:p w14:paraId="2239E7F0" w14:textId="2700FC78" w:rsidR="00BF0558" w:rsidRDefault="00BF0558">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14:paraId="303B6A2D" w14:textId="75597F51" w:rsidR="002730FE" w:rsidRDefault="002730FE" w:rsidP="00744A0B">
      <w:pPr>
        <w:pStyle w:val="TableGraphic"/>
        <w:spacing w:before="30"/>
        <w:ind w:right="0"/>
      </w:pPr>
      <w:r w:rsidRPr="002730FE">
        <w:rPr>
          <w:noProof/>
          <w:lang w:eastAsia="zh-CN"/>
        </w:rPr>
        <w:drawing>
          <wp:inline distT="0" distB="0" distL="0" distR="0" wp14:anchorId="3C1E0FC3" wp14:editId="4F2CD372">
            <wp:extent cx="4895850" cy="5812698"/>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895850" cy="5812698"/>
                    </a:xfrm>
                    <a:prstGeom prst="rect">
                      <a:avLst/>
                    </a:prstGeom>
                    <a:noFill/>
                    <a:ln>
                      <a:noFill/>
                    </a:ln>
                  </pic:spPr>
                </pic:pic>
              </a:graphicData>
            </a:graphic>
          </wp:inline>
        </w:drawing>
      </w:r>
      <w:r w:rsidR="00BF0558" w:rsidRPr="00744A0B">
        <w:rPr>
          <w:rFonts w:ascii="Arial" w:hAnsi="Arial" w:cs="Arial"/>
          <w:sz w:val="16"/>
          <w:szCs w:val="16"/>
        </w:rPr>
        <w:t>Prepared on Australian Accounting Standards basis.</w:t>
      </w:r>
      <w:r>
        <w:br w:type="page"/>
      </w:r>
    </w:p>
    <w:p w14:paraId="04C2D62F" w14:textId="77777777" w:rsidR="0046283F" w:rsidRPr="00A00283" w:rsidRDefault="0046283F" w:rsidP="0046283F">
      <w:pPr>
        <w:pStyle w:val="TableHeading"/>
      </w:pPr>
      <w:r w:rsidRPr="00D30CBA">
        <w:lastRenderedPageBreak/>
        <w:t>Table</w:t>
      </w:r>
      <w:r>
        <w:t xml:space="preserve"> 3.5</w:t>
      </w:r>
      <w:r w:rsidRPr="00D30CBA">
        <w:t xml:space="preserve">: </w:t>
      </w:r>
      <w:r>
        <w:t>Departmental capital budget statement (for the period ended 30 June)</w:t>
      </w:r>
    </w:p>
    <w:p w14:paraId="419F85D7" w14:textId="77777777" w:rsidR="0046283F" w:rsidRDefault="0046283F" w:rsidP="0046283F">
      <w:pPr>
        <w:pStyle w:val="TableGraphic"/>
      </w:pPr>
    </w:p>
    <w:p w14:paraId="1FDE6EDC" w14:textId="1A0E0C30" w:rsidR="0046283F" w:rsidRPr="00744A0B" w:rsidRDefault="00744A0B" w:rsidP="00744A0B">
      <w:pPr>
        <w:pStyle w:val="TableGraphic"/>
        <w:spacing w:before="240" w:after="240" w:line="240" w:lineRule="exact"/>
        <w:ind w:right="0"/>
        <w:rPr>
          <w:noProof/>
        </w:rPr>
      </w:pPr>
      <w:r>
        <w:rPr>
          <w:noProof/>
        </w:rPr>
        <w:t xml:space="preserve">DTA has no budgeted </w:t>
      </w:r>
      <w:r w:rsidR="0046283F" w:rsidRPr="00744A0B">
        <w:rPr>
          <w:noProof/>
        </w:rPr>
        <w:t>capital expenditure.</w:t>
      </w:r>
      <w:r w:rsidRPr="00744A0B">
        <w:rPr>
          <w:noProof/>
        </w:rPr>
        <w:t xml:space="preserve"> </w:t>
      </w:r>
    </w:p>
    <w:p w14:paraId="5B9CEA49" w14:textId="77777777" w:rsidR="0046283F" w:rsidRDefault="0046283F" w:rsidP="002730FE">
      <w:pPr>
        <w:pStyle w:val="TableHeading"/>
      </w:pPr>
    </w:p>
    <w:p w14:paraId="2239E7F4" w14:textId="4BAA3415" w:rsidR="00953F3C" w:rsidRDefault="00953F3C" w:rsidP="002730FE">
      <w:pPr>
        <w:pStyle w:val="TableHeading"/>
      </w:pPr>
      <w:r>
        <w:t>Table 3.6: Statement of departmental asset movements (Budget year 2022-23)</w:t>
      </w:r>
    </w:p>
    <w:p w14:paraId="3C4EB7F7" w14:textId="77777777" w:rsidR="00744A0B" w:rsidRDefault="002730FE" w:rsidP="00744A0B">
      <w:pPr>
        <w:pStyle w:val="TableGraphic"/>
        <w:rPr>
          <w:b/>
          <w:sz w:val="16"/>
          <w:szCs w:val="16"/>
        </w:rPr>
      </w:pPr>
      <w:r w:rsidRPr="002730FE">
        <w:rPr>
          <w:noProof/>
          <w:lang w:eastAsia="zh-CN"/>
        </w:rPr>
        <w:drawing>
          <wp:inline distT="0" distB="0" distL="0" distR="0" wp14:anchorId="275AD933" wp14:editId="4CF60E8E">
            <wp:extent cx="4229100" cy="442595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229100" cy="4425950"/>
                    </a:xfrm>
                    <a:prstGeom prst="rect">
                      <a:avLst/>
                    </a:prstGeom>
                    <a:noFill/>
                    <a:ln>
                      <a:noFill/>
                    </a:ln>
                  </pic:spPr>
                </pic:pic>
              </a:graphicData>
            </a:graphic>
          </wp:inline>
        </w:drawing>
      </w:r>
    </w:p>
    <w:p w14:paraId="098EEFD3" w14:textId="4B028FAD" w:rsidR="00054B77" w:rsidRDefault="004531F2" w:rsidP="00744A0B">
      <w:pPr>
        <w:pStyle w:val="TableGraphic"/>
        <w:spacing w:before="30"/>
        <w:ind w:right="0"/>
      </w:pPr>
      <w:r w:rsidRPr="00744A0B">
        <w:rPr>
          <w:rFonts w:ascii="Arial" w:hAnsi="Arial" w:cs="Arial"/>
          <w:sz w:val="16"/>
          <w:szCs w:val="16"/>
        </w:rPr>
        <w:t>Prepared on Australian Accounting Standards basis.</w:t>
      </w:r>
      <w:bookmarkEnd w:id="178"/>
      <w:r w:rsidR="00054B77" w:rsidRPr="00744A0B">
        <w:rPr>
          <w:b/>
        </w:rPr>
        <w:br w:type="page"/>
      </w:r>
      <w:r w:rsidR="00054B77" w:rsidRPr="0047134B">
        <w:rPr>
          <w:rFonts w:ascii="Arial" w:hAnsi="Arial"/>
          <w:b/>
          <w:sz w:val="20"/>
        </w:rPr>
        <w:lastRenderedPageBreak/>
        <w:t>Table 3.7: Schedule of budgeted income and expenses administered on behalf of Government (for the period ended 30 June)</w:t>
      </w:r>
    </w:p>
    <w:p w14:paraId="4B932B6C" w14:textId="28ABA430" w:rsidR="00054B77" w:rsidRPr="00B7521F" w:rsidRDefault="00054B77" w:rsidP="00054B77">
      <w:pPr>
        <w:pStyle w:val="TableGraphic"/>
        <w:spacing w:before="240" w:after="240" w:line="240" w:lineRule="exact"/>
        <w:ind w:right="0"/>
        <w:rPr>
          <w:rFonts w:ascii="Arial" w:hAnsi="Arial" w:cs="Arial"/>
          <w:sz w:val="16"/>
          <w:szCs w:val="16"/>
        </w:rPr>
      </w:pPr>
      <w:r>
        <w:rPr>
          <w:noProof/>
        </w:rPr>
        <w:t>DTA has no budgeted income and expenses administered on behalf of the Government.</w:t>
      </w:r>
      <w:r w:rsidRPr="00DE7B37">
        <w:rPr>
          <w:rFonts w:ascii="Arial" w:hAnsi="Arial" w:cs="Arial"/>
          <w:sz w:val="16"/>
          <w:szCs w:val="16"/>
        </w:rPr>
        <w:t xml:space="preserve"> </w:t>
      </w:r>
    </w:p>
    <w:p w14:paraId="67F5A9CB" w14:textId="77777777" w:rsidR="00054B77" w:rsidRPr="00502C2F" w:rsidRDefault="00054B77" w:rsidP="00054B77">
      <w:pPr>
        <w:pStyle w:val="TableGraphic"/>
        <w:rPr>
          <w:noProof/>
        </w:rPr>
      </w:pPr>
    </w:p>
    <w:p w14:paraId="567FCF99" w14:textId="77777777" w:rsidR="00054B77" w:rsidRDefault="00054B77" w:rsidP="00054B77">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004C0E48" w14:textId="7A071410" w:rsidR="00054B77" w:rsidRDefault="00054B77" w:rsidP="00054B77">
      <w:pPr>
        <w:pStyle w:val="TableGraphic"/>
        <w:spacing w:before="240" w:after="240" w:line="240" w:lineRule="exact"/>
        <w:ind w:right="0"/>
        <w:rPr>
          <w:noProof/>
        </w:rPr>
      </w:pPr>
      <w:r>
        <w:rPr>
          <w:noProof/>
        </w:rPr>
        <w:t>DTA has no budgeted assets and liabilities administered on behalf of the Government.</w:t>
      </w:r>
    </w:p>
    <w:p w14:paraId="00CC90A4" w14:textId="77777777" w:rsidR="00054B77" w:rsidRPr="00B7521F" w:rsidRDefault="00054B77" w:rsidP="00054B77">
      <w:pPr>
        <w:pStyle w:val="TableGraphic"/>
        <w:rPr>
          <w:rFonts w:ascii="Arial" w:hAnsi="Arial" w:cs="Arial"/>
          <w:sz w:val="16"/>
          <w:szCs w:val="16"/>
        </w:rPr>
      </w:pPr>
    </w:p>
    <w:p w14:paraId="42D584B3" w14:textId="77777777" w:rsidR="00054B77" w:rsidRDefault="00054B77" w:rsidP="00054B77">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p w14:paraId="145093D2" w14:textId="5DB7505C" w:rsidR="00054B77" w:rsidRPr="00134ACA" w:rsidRDefault="00054B77" w:rsidP="00054B77">
      <w:pPr>
        <w:pStyle w:val="TableGraphic"/>
        <w:spacing w:before="240" w:after="240" w:line="240" w:lineRule="exact"/>
        <w:ind w:right="0"/>
        <w:rPr>
          <w:noProof/>
        </w:rPr>
      </w:pPr>
      <w:r>
        <w:rPr>
          <w:noProof/>
        </w:rPr>
        <w:t>DTA has no budgetd cash flows administered on behalf of the Government.</w:t>
      </w:r>
      <w:r w:rsidRPr="00134ACA">
        <w:rPr>
          <w:noProof/>
        </w:rPr>
        <w:t xml:space="preserve"> </w:t>
      </w:r>
    </w:p>
    <w:p w14:paraId="72438E57" w14:textId="77777777" w:rsidR="00054B77" w:rsidRPr="0044552A" w:rsidRDefault="00054B77" w:rsidP="00054B77">
      <w:pPr>
        <w:pStyle w:val="TableGraphic"/>
      </w:pPr>
    </w:p>
    <w:p w14:paraId="24B8A282" w14:textId="77777777" w:rsidR="00054B77" w:rsidRDefault="00054B77" w:rsidP="00054B77">
      <w:pPr>
        <w:pStyle w:val="TableHeading"/>
      </w:pPr>
      <w:r w:rsidRPr="00D30CBA">
        <w:t>Table</w:t>
      </w:r>
      <w:r>
        <w:t xml:space="preserve"> 3.10</w:t>
      </w:r>
      <w:r w:rsidRPr="00D30CBA">
        <w:t xml:space="preserve">: </w:t>
      </w:r>
      <w:r>
        <w:t>Schedule of administered capital budget statement (for the period ended 30 June)</w:t>
      </w:r>
    </w:p>
    <w:p w14:paraId="5A3F154A" w14:textId="65165FA5" w:rsidR="00054B77" w:rsidRPr="00134ACA" w:rsidRDefault="00054B77" w:rsidP="00054B77">
      <w:pPr>
        <w:pStyle w:val="TableGraphic"/>
        <w:spacing w:before="240" w:after="240" w:line="240" w:lineRule="exact"/>
        <w:ind w:right="0"/>
        <w:rPr>
          <w:noProof/>
        </w:rPr>
      </w:pPr>
      <w:r>
        <w:rPr>
          <w:noProof/>
        </w:rPr>
        <w:t>DTA has no budgeted capital administered on behalf of the Government.</w:t>
      </w:r>
      <w:r w:rsidRPr="00134ACA">
        <w:rPr>
          <w:noProof/>
        </w:rPr>
        <w:t xml:space="preserve"> </w:t>
      </w:r>
    </w:p>
    <w:p w14:paraId="41209D56" w14:textId="77777777" w:rsidR="00054B77" w:rsidRDefault="00054B77" w:rsidP="00054B77">
      <w:pPr>
        <w:pStyle w:val="TableGraphic"/>
        <w:rPr>
          <w:noProof/>
        </w:rPr>
      </w:pPr>
    </w:p>
    <w:p w14:paraId="1B40C3D6" w14:textId="77777777" w:rsidR="00054B77" w:rsidRPr="00C17B32" w:rsidRDefault="00054B77" w:rsidP="00054B77">
      <w:pPr>
        <w:pStyle w:val="TableHeading"/>
        <w:keepNext w:val="0"/>
        <w:spacing w:after="0" w:line="260" w:lineRule="exact"/>
        <w:jc w:val="both"/>
      </w:pPr>
      <w:r>
        <w:t>Table 3.11: Statement of administered asset movements (Budget year 2022-23)</w:t>
      </w:r>
    </w:p>
    <w:p w14:paraId="1EA5A92F" w14:textId="662DDAF5" w:rsidR="00054B77" w:rsidRDefault="00054B77" w:rsidP="00054B77">
      <w:pPr>
        <w:pStyle w:val="TableGraphic"/>
        <w:spacing w:before="240" w:after="240" w:line="240" w:lineRule="exact"/>
        <w:ind w:right="0"/>
        <w:rPr>
          <w:noProof/>
        </w:rPr>
      </w:pPr>
      <w:r>
        <w:rPr>
          <w:noProof/>
        </w:rPr>
        <w:t>DTA has no budgeted non-financial assets administered on behalf of the Government.</w:t>
      </w:r>
    </w:p>
    <w:p w14:paraId="2239E85E" w14:textId="6DC3A3FF" w:rsidR="00BF0558" w:rsidRPr="00054B77" w:rsidRDefault="00BF0558" w:rsidP="00DD7FBC">
      <w:r w:rsidRPr="004531F2">
        <w:br w:type="page"/>
      </w:r>
    </w:p>
    <w:p w14:paraId="2239E85F" w14:textId="77777777" w:rsidR="00953F3C" w:rsidRPr="00953F3C" w:rsidRDefault="00953F3C" w:rsidP="004531F2">
      <w:pPr>
        <w:pStyle w:val="TableGraphic"/>
        <w:jc w:val="both"/>
        <w:sectPr w:rsidR="00953F3C" w:rsidRPr="00953F3C" w:rsidSect="004A3731">
          <w:headerReference w:type="even" r:id="rId142"/>
          <w:headerReference w:type="default" r:id="rId143"/>
          <w:footerReference w:type="default" r:id="rId144"/>
          <w:headerReference w:type="first" r:id="rId145"/>
          <w:footerReference w:type="first" r:id="rId146"/>
          <w:type w:val="oddPage"/>
          <w:pgSz w:w="11906" w:h="16838" w:code="9"/>
          <w:pgMar w:top="2835" w:right="2098" w:bottom="2466" w:left="2098" w:header="1814" w:footer="1814" w:gutter="0"/>
          <w:cols w:space="708"/>
          <w:titlePg/>
          <w:docGrid w:linePitch="360"/>
        </w:sectPr>
      </w:pPr>
    </w:p>
    <w:p w14:paraId="2239E860" w14:textId="77777777" w:rsidR="00BF0558" w:rsidRPr="000C3B86" w:rsidRDefault="00BF0558" w:rsidP="003E1ED0">
      <w:pPr>
        <w:spacing w:after="480" w:line="240" w:lineRule="auto"/>
        <w:jc w:val="center"/>
      </w:pPr>
    </w:p>
    <w:p w14:paraId="2239E861" w14:textId="77777777" w:rsidR="00BF0558" w:rsidRPr="005A7C0B" w:rsidRDefault="00BF0558" w:rsidP="004D5C6C">
      <w:pPr>
        <w:pStyle w:val="PartHeading"/>
      </w:pPr>
      <w:r>
        <w:t>Future Fund Management Agency</w:t>
      </w:r>
    </w:p>
    <w:p w14:paraId="2239E862" w14:textId="77777777" w:rsidR="00BF0558" w:rsidRDefault="00BF0558" w:rsidP="004D5C6C">
      <w:pPr>
        <w:pStyle w:val="PartHeading"/>
      </w:pPr>
    </w:p>
    <w:p w14:paraId="2239E863" w14:textId="77777777" w:rsidR="00BF0558" w:rsidRDefault="00BF0558" w:rsidP="004D5C6C">
      <w:pPr>
        <w:pStyle w:val="PartHeading-TOC"/>
      </w:pPr>
      <w:bookmarkStart w:id="216" w:name="_Toc116465549"/>
      <w:r>
        <w:t>Entity resources and planned performance</w:t>
      </w:r>
      <w:bookmarkEnd w:id="216"/>
    </w:p>
    <w:p w14:paraId="2239E864" w14:textId="77777777" w:rsidR="00BF0558" w:rsidRDefault="00BF0558" w:rsidP="004D5C6C">
      <w:pPr>
        <w:pStyle w:val="PartHeading"/>
        <w:sectPr w:rsidR="00BF0558" w:rsidSect="009D5427">
          <w:headerReference w:type="first" r:id="rId147"/>
          <w:footerReference w:type="first" r:id="rId148"/>
          <w:type w:val="oddPage"/>
          <w:pgSz w:w="11906" w:h="16838" w:code="9"/>
          <w:pgMar w:top="2693" w:right="2098" w:bottom="2466" w:left="2098" w:header="1814" w:footer="1814" w:gutter="0"/>
          <w:cols w:space="708"/>
          <w:vAlign w:val="center"/>
          <w:titlePg/>
          <w:docGrid w:linePitch="360"/>
        </w:sectPr>
      </w:pPr>
    </w:p>
    <w:p w14:paraId="2239E865" w14:textId="77777777" w:rsidR="00BF0558" w:rsidRPr="00E36F77" w:rsidRDefault="00BF0558" w:rsidP="004D5C6C">
      <w:pPr>
        <w:pStyle w:val="ContentsHeading"/>
      </w:pPr>
      <w:r>
        <w:lastRenderedPageBreak/>
        <w:t>Future Fund Management Agency</w:t>
      </w:r>
    </w:p>
    <w:p w14:paraId="31952F6A" w14:textId="7AAB71B3" w:rsidR="00234DCE" w:rsidRDefault="00BF0558">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rsidR="00E71F73">
        <w:instrText xml:space="preserve">\b FFMA </w:instrText>
      </w:r>
      <w:r>
        <w:fldChar w:fldCharType="separate"/>
      </w:r>
      <w:hyperlink w:anchor="_Toc117071527" w:history="1">
        <w:r w:rsidR="00234DCE" w:rsidRPr="00C55C79">
          <w:rPr>
            <w:rStyle w:val="Hyperlink"/>
            <w:noProof/>
          </w:rPr>
          <w:t>Section 1: Entity overview and resources</w:t>
        </w:r>
        <w:r w:rsidR="00234DCE">
          <w:rPr>
            <w:noProof/>
            <w:webHidden/>
          </w:rPr>
          <w:tab/>
        </w:r>
        <w:r w:rsidR="00234DCE">
          <w:rPr>
            <w:noProof/>
            <w:webHidden/>
          </w:rPr>
          <w:fldChar w:fldCharType="begin"/>
        </w:r>
        <w:r w:rsidR="00234DCE">
          <w:rPr>
            <w:noProof/>
            <w:webHidden/>
          </w:rPr>
          <w:instrText xml:space="preserve"> PAGEREF _Toc117071527 \h </w:instrText>
        </w:r>
        <w:r w:rsidR="00234DCE">
          <w:rPr>
            <w:noProof/>
            <w:webHidden/>
          </w:rPr>
        </w:r>
        <w:r w:rsidR="00234DCE">
          <w:rPr>
            <w:noProof/>
            <w:webHidden/>
          </w:rPr>
          <w:fldChar w:fldCharType="separate"/>
        </w:r>
        <w:r w:rsidR="00E5337D">
          <w:rPr>
            <w:noProof/>
            <w:webHidden/>
          </w:rPr>
          <w:t>153</w:t>
        </w:r>
        <w:r w:rsidR="00234DCE">
          <w:rPr>
            <w:noProof/>
            <w:webHidden/>
          </w:rPr>
          <w:fldChar w:fldCharType="end"/>
        </w:r>
      </w:hyperlink>
    </w:p>
    <w:p w14:paraId="4348B63F" w14:textId="15BC942E" w:rsidR="00234DCE" w:rsidRDefault="00F5323E">
      <w:pPr>
        <w:pStyle w:val="TOC2"/>
        <w:rPr>
          <w:rFonts w:asciiTheme="minorHAnsi" w:eastAsiaTheme="minorEastAsia" w:hAnsiTheme="minorHAnsi" w:cstheme="minorBidi"/>
          <w:noProof/>
          <w:sz w:val="22"/>
          <w:szCs w:val="22"/>
        </w:rPr>
      </w:pPr>
      <w:hyperlink w:anchor="_Toc117071528" w:history="1">
        <w:r w:rsidR="00234DCE" w:rsidRPr="00C55C79">
          <w:rPr>
            <w:rStyle w:val="Hyperlink"/>
            <w:noProof/>
          </w:rPr>
          <w:t>1.1</w:t>
        </w:r>
        <w:r w:rsidR="00234DCE">
          <w:rPr>
            <w:rFonts w:asciiTheme="minorHAnsi" w:eastAsiaTheme="minorEastAsia" w:hAnsiTheme="minorHAnsi" w:cstheme="minorBidi"/>
            <w:noProof/>
            <w:sz w:val="22"/>
            <w:szCs w:val="22"/>
          </w:rPr>
          <w:tab/>
        </w:r>
        <w:r w:rsidR="00234DCE" w:rsidRPr="00C55C79">
          <w:rPr>
            <w:rStyle w:val="Hyperlink"/>
            <w:noProof/>
          </w:rPr>
          <w:t>Strategic direction statement</w:t>
        </w:r>
        <w:r w:rsidR="00234DCE">
          <w:rPr>
            <w:noProof/>
            <w:webHidden/>
          </w:rPr>
          <w:tab/>
        </w:r>
        <w:r w:rsidR="00234DCE">
          <w:rPr>
            <w:noProof/>
            <w:webHidden/>
          </w:rPr>
          <w:fldChar w:fldCharType="begin"/>
        </w:r>
        <w:r w:rsidR="00234DCE">
          <w:rPr>
            <w:noProof/>
            <w:webHidden/>
          </w:rPr>
          <w:instrText xml:space="preserve"> PAGEREF _Toc117071528 \h </w:instrText>
        </w:r>
        <w:r w:rsidR="00234DCE">
          <w:rPr>
            <w:noProof/>
            <w:webHidden/>
          </w:rPr>
        </w:r>
        <w:r w:rsidR="00234DCE">
          <w:rPr>
            <w:noProof/>
            <w:webHidden/>
          </w:rPr>
          <w:fldChar w:fldCharType="separate"/>
        </w:r>
        <w:r w:rsidR="00E5337D">
          <w:rPr>
            <w:noProof/>
            <w:webHidden/>
          </w:rPr>
          <w:t>153</w:t>
        </w:r>
        <w:r w:rsidR="00234DCE">
          <w:rPr>
            <w:noProof/>
            <w:webHidden/>
          </w:rPr>
          <w:fldChar w:fldCharType="end"/>
        </w:r>
      </w:hyperlink>
    </w:p>
    <w:p w14:paraId="57846654" w14:textId="0F2D9997" w:rsidR="00234DCE" w:rsidRDefault="00F5323E">
      <w:pPr>
        <w:pStyle w:val="TOC2"/>
        <w:rPr>
          <w:rFonts w:asciiTheme="minorHAnsi" w:eastAsiaTheme="minorEastAsia" w:hAnsiTheme="minorHAnsi" w:cstheme="minorBidi"/>
          <w:noProof/>
          <w:sz w:val="22"/>
          <w:szCs w:val="22"/>
        </w:rPr>
      </w:pPr>
      <w:hyperlink w:anchor="_Toc117071529" w:history="1">
        <w:r w:rsidR="00234DCE" w:rsidRPr="00C55C79">
          <w:rPr>
            <w:rStyle w:val="Hyperlink"/>
            <w:noProof/>
          </w:rPr>
          <w:t>1.2</w:t>
        </w:r>
        <w:r w:rsidR="00234DCE">
          <w:rPr>
            <w:rFonts w:asciiTheme="minorHAnsi" w:eastAsiaTheme="minorEastAsia" w:hAnsiTheme="minorHAnsi" w:cstheme="minorBidi"/>
            <w:noProof/>
            <w:sz w:val="22"/>
            <w:szCs w:val="22"/>
          </w:rPr>
          <w:tab/>
        </w:r>
        <w:r w:rsidR="00234DCE" w:rsidRPr="00C55C79">
          <w:rPr>
            <w:rStyle w:val="Hyperlink"/>
            <w:noProof/>
          </w:rPr>
          <w:t>Entity resource statement</w:t>
        </w:r>
        <w:r w:rsidR="00234DCE">
          <w:rPr>
            <w:noProof/>
            <w:webHidden/>
          </w:rPr>
          <w:tab/>
        </w:r>
        <w:r w:rsidR="00234DCE">
          <w:rPr>
            <w:noProof/>
            <w:webHidden/>
          </w:rPr>
          <w:fldChar w:fldCharType="begin"/>
        </w:r>
        <w:r w:rsidR="00234DCE">
          <w:rPr>
            <w:noProof/>
            <w:webHidden/>
          </w:rPr>
          <w:instrText xml:space="preserve"> PAGEREF _Toc117071529 \h </w:instrText>
        </w:r>
        <w:r w:rsidR="00234DCE">
          <w:rPr>
            <w:noProof/>
            <w:webHidden/>
          </w:rPr>
        </w:r>
        <w:r w:rsidR="00234DCE">
          <w:rPr>
            <w:noProof/>
            <w:webHidden/>
          </w:rPr>
          <w:fldChar w:fldCharType="separate"/>
        </w:r>
        <w:r w:rsidR="00E5337D">
          <w:rPr>
            <w:noProof/>
            <w:webHidden/>
          </w:rPr>
          <w:t>154</w:t>
        </w:r>
        <w:r w:rsidR="00234DCE">
          <w:rPr>
            <w:noProof/>
            <w:webHidden/>
          </w:rPr>
          <w:fldChar w:fldCharType="end"/>
        </w:r>
      </w:hyperlink>
    </w:p>
    <w:p w14:paraId="0D567D62" w14:textId="6F6307FB" w:rsidR="00234DCE" w:rsidRDefault="00F5323E">
      <w:pPr>
        <w:pStyle w:val="TOC2"/>
        <w:rPr>
          <w:rFonts w:asciiTheme="minorHAnsi" w:eastAsiaTheme="minorEastAsia" w:hAnsiTheme="minorHAnsi" w:cstheme="minorBidi"/>
          <w:noProof/>
          <w:sz w:val="22"/>
          <w:szCs w:val="22"/>
        </w:rPr>
      </w:pPr>
      <w:hyperlink w:anchor="_Toc117071530" w:history="1">
        <w:r w:rsidR="00234DCE" w:rsidRPr="00C55C79">
          <w:rPr>
            <w:rStyle w:val="Hyperlink"/>
            <w:noProof/>
          </w:rPr>
          <w:t>1.3</w:t>
        </w:r>
        <w:r w:rsidR="00234DCE">
          <w:rPr>
            <w:rFonts w:asciiTheme="minorHAnsi" w:eastAsiaTheme="minorEastAsia" w:hAnsiTheme="minorHAnsi" w:cstheme="minorBidi"/>
            <w:noProof/>
            <w:sz w:val="22"/>
            <w:szCs w:val="22"/>
          </w:rPr>
          <w:tab/>
        </w:r>
        <w:r w:rsidR="00234DCE" w:rsidRPr="00C55C79">
          <w:rPr>
            <w:rStyle w:val="Hyperlink"/>
            <w:noProof/>
          </w:rPr>
          <w:t>Budget measures</w:t>
        </w:r>
        <w:r w:rsidR="00234DCE">
          <w:rPr>
            <w:noProof/>
            <w:webHidden/>
          </w:rPr>
          <w:tab/>
        </w:r>
        <w:r w:rsidR="00234DCE">
          <w:rPr>
            <w:noProof/>
            <w:webHidden/>
          </w:rPr>
          <w:fldChar w:fldCharType="begin"/>
        </w:r>
        <w:r w:rsidR="00234DCE">
          <w:rPr>
            <w:noProof/>
            <w:webHidden/>
          </w:rPr>
          <w:instrText xml:space="preserve"> PAGEREF _Toc117071530 \h </w:instrText>
        </w:r>
        <w:r w:rsidR="00234DCE">
          <w:rPr>
            <w:noProof/>
            <w:webHidden/>
          </w:rPr>
        </w:r>
        <w:r w:rsidR="00234DCE">
          <w:rPr>
            <w:noProof/>
            <w:webHidden/>
          </w:rPr>
          <w:fldChar w:fldCharType="separate"/>
        </w:r>
        <w:r w:rsidR="00E5337D">
          <w:rPr>
            <w:noProof/>
            <w:webHidden/>
          </w:rPr>
          <w:t>155</w:t>
        </w:r>
        <w:r w:rsidR="00234DCE">
          <w:rPr>
            <w:noProof/>
            <w:webHidden/>
          </w:rPr>
          <w:fldChar w:fldCharType="end"/>
        </w:r>
      </w:hyperlink>
    </w:p>
    <w:p w14:paraId="4A14DC69" w14:textId="497EB24C" w:rsidR="00234DCE" w:rsidRDefault="00F5323E">
      <w:pPr>
        <w:pStyle w:val="TOC1"/>
        <w:rPr>
          <w:rFonts w:asciiTheme="minorHAnsi" w:eastAsiaTheme="minorEastAsia" w:hAnsiTheme="minorHAnsi" w:cstheme="minorBidi"/>
          <w:b w:val="0"/>
          <w:noProof/>
          <w:sz w:val="22"/>
          <w:szCs w:val="22"/>
        </w:rPr>
      </w:pPr>
      <w:hyperlink w:anchor="_Toc117071531" w:history="1">
        <w:r w:rsidR="00234DCE" w:rsidRPr="00C55C79">
          <w:rPr>
            <w:rStyle w:val="Hyperlink"/>
            <w:noProof/>
          </w:rPr>
          <w:t>Section 2: Outcomes and planned performance</w:t>
        </w:r>
        <w:r w:rsidR="00234DCE">
          <w:rPr>
            <w:noProof/>
            <w:webHidden/>
          </w:rPr>
          <w:tab/>
        </w:r>
        <w:r w:rsidR="00234DCE">
          <w:rPr>
            <w:noProof/>
            <w:webHidden/>
          </w:rPr>
          <w:fldChar w:fldCharType="begin"/>
        </w:r>
        <w:r w:rsidR="00234DCE">
          <w:rPr>
            <w:noProof/>
            <w:webHidden/>
          </w:rPr>
          <w:instrText xml:space="preserve"> PAGEREF _Toc117071531 \h </w:instrText>
        </w:r>
        <w:r w:rsidR="00234DCE">
          <w:rPr>
            <w:noProof/>
            <w:webHidden/>
          </w:rPr>
        </w:r>
        <w:r w:rsidR="00234DCE">
          <w:rPr>
            <w:noProof/>
            <w:webHidden/>
          </w:rPr>
          <w:fldChar w:fldCharType="separate"/>
        </w:r>
        <w:r w:rsidR="00E5337D">
          <w:rPr>
            <w:noProof/>
            <w:webHidden/>
          </w:rPr>
          <w:t>156</w:t>
        </w:r>
        <w:r w:rsidR="00234DCE">
          <w:rPr>
            <w:noProof/>
            <w:webHidden/>
          </w:rPr>
          <w:fldChar w:fldCharType="end"/>
        </w:r>
      </w:hyperlink>
    </w:p>
    <w:p w14:paraId="1D5890BF" w14:textId="19B2835F" w:rsidR="00234DCE" w:rsidRDefault="00F5323E">
      <w:pPr>
        <w:pStyle w:val="TOC2"/>
        <w:rPr>
          <w:rFonts w:asciiTheme="minorHAnsi" w:eastAsiaTheme="minorEastAsia" w:hAnsiTheme="minorHAnsi" w:cstheme="minorBidi"/>
          <w:noProof/>
          <w:sz w:val="22"/>
          <w:szCs w:val="22"/>
        </w:rPr>
      </w:pPr>
      <w:hyperlink w:anchor="_Toc117071532" w:history="1">
        <w:r w:rsidR="00234DCE" w:rsidRPr="00C55C79">
          <w:rPr>
            <w:rStyle w:val="Hyperlink"/>
            <w:noProof/>
          </w:rPr>
          <w:t xml:space="preserve">2.1 </w:t>
        </w:r>
        <w:r w:rsidR="00234DCE">
          <w:rPr>
            <w:rFonts w:asciiTheme="minorHAnsi" w:eastAsiaTheme="minorEastAsia" w:hAnsiTheme="minorHAnsi" w:cstheme="minorBidi"/>
            <w:noProof/>
            <w:sz w:val="22"/>
            <w:szCs w:val="22"/>
          </w:rPr>
          <w:tab/>
        </w:r>
        <w:r w:rsidR="00234DCE" w:rsidRPr="00C55C79">
          <w:rPr>
            <w:rStyle w:val="Hyperlink"/>
            <w:noProof/>
          </w:rPr>
          <w:t>Budgeted expenses and performance for Outcome 1</w:t>
        </w:r>
        <w:r w:rsidR="00234DCE">
          <w:rPr>
            <w:noProof/>
            <w:webHidden/>
          </w:rPr>
          <w:tab/>
        </w:r>
        <w:r w:rsidR="00234DCE">
          <w:rPr>
            <w:noProof/>
            <w:webHidden/>
          </w:rPr>
          <w:fldChar w:fldCharType="begin"/>
        </w:r>
        <w:r w:rsidR="00234DCE">
          <w:rPr>
            <w:noProof/>
            <w:webHidden/>
          </w:rPr>
          <w:instrText xml:space="preserve"> PAGEREF _Toc117071532 \h </w:instrText>
        </w:r>
        <w:r w:rsidR="00234DCE">
          <w:rPr>
            <w:noProof/>
            <w:webHidden/>
          </w:rPr>
        </w:r>
        <w:r w:rsidR="00234DCE">
          <w:rPr>
            <w:noProof/>
            <w:webHidden/>
          </w:rPr>
          <w:fldChar w:fldCharType="separate"/>
        </w:r>
        <w:r w:rsidR="00E5337D">
          <w:rPr>
            <w:noProof/>
            <w:webHidden/>
          </w:rPr>
          <w:t>157</w:t>
        </w:r>
        <w:r w:rsidR="00234DCE">
          <w:rPr>
            <w:noProof/>
            <w:webHidden/>
          </w:rPr>
          <w:fldChar w:fldCharType="end"/>
        </w:r>
      </w:hyperlink>
    </w:p>
    <w:p w14:paraId="69B5B8BD" w14:textId="2B15A9E6" w:rsidR="00234DCE" w:rsidRDefault="00F5323E">
      <w:pPr>
        <w:pStyle w:val="TOC1"/>
        <w:rPr>
          <w:rFonts w:asciiTheme="minorHAnsi" w:eastAsiaTheme="minorEastAsia" w:hAnsiTheme="minorHAnsi" w:cstheme="minorBidi"/>
          <w:b w:val="0"/>
          <w:noProof/>
          <w:sz w:val="22"/>
          <w:szCs w:val="22"/>
        </w:rPr>
      </w:pPr>
      <w:hyperlink w:anchor="_Toc117071533" w:history="1">
        <w:r w:rsidR="00234DCE" w:rsidRPr="00C55C79">
          <w:rPr>
            <w:rStyle w:val="Hyperlink"/>
            <w:noProof/>
          </w:rPr>
          <w:t>Section 3: Budgeted financial statements</w:t>
        </w:r>
        <w:r w:rsidR="00234DCE">
          <w:rPr>
            <w:noProof/>
            <w:webHidden/>
          </w:rPr>
          <w:tab/>
        </w:r>
        <w:r w:rsidR="00234DCE">
          <w:rPr>
            <w:noProof/>
            <w:webHidden/>
          </w:rPr>
          <w:fldChar w:fldCharType="begin"/>
        </w:r>
        <w:r w:rsidR="00234DCE">
          <w:rPr>
            <w:noProof/>
            <w:webHidden/>
          </w:rPr>
          <w:instrText xml:space="preserve"> PAGEREF _Toc117071533 \h </w:instrText>
        </w:r>
        <w:r w:rsidR="00234DCE">
          <w:rPr>
            <w:noProof/>
            <w:webHidden/>
          </w:rPr>
        </w:r>
        <w:r w:rsidR="00234DCE">
          <w:rPr>
            <w:noProof/>
            <w:webHidden/>
          </w:rPr>
          <w:fldChar w:fldCharType="separate"/>
        </w:r>
        <w:r w:rsidR="00E5337D">
          <w:rPr>
            <w:noProof/>
            <w:webHidden/>
          </w:rPr>
          <w:t>162</w:t>
        </w:r>
        <w:r w:rsidR="00234DCE">
          <w:rPr>
            <w:noProof/>
            <w:webHidden/>
          </w:rPr>
          <w:fldChar w:fldCharType="end"/>
        </w:r>
      </w:hyperlink>
    </w:p>
    <w:p w14:paraId="7B7D2431" w14:textId="68362816" w:rsidR="00234DCE" w:rsidRDefault="00F5323E">
      <w:pPr>
        <w:pStyle w:val="TOC2"/>
        <w:rPr>
          <w:rFonts w:asciiTheme="minorHAnsi" w:eastAsiaTheme="minorEastAsia" w:hAnsiTheme="minorHAnsi" w:cstheme="minorBidi"/>
          <w:noProof/>
          <w:sz w:val="22"/>
          <w:szCs w:val="22"/>
        </w:rPr>
      </w:pPr>
      <w:hyperlink w:anchor="_Toc117071534" w:history="1">
        <w:r w:rsidR="00234DCE" w:rsidRPr="00C55C79">
          <w:rPr>
            <w:rStyle w:val="Hyperlink"/>
            <w:noProof/>
          </w:rPr>
          <w:t>3.1</w:t>
        </w:r>
        <w:r w:rsidR="00234DCE">
          <w:rPr>
            <w:rFonts w:asciiTheme="minorHAnsi" w:eastAsiaTheme="minorEastAsia" w:hAnsiTheme="minorHAnsi" w:cstheme="minorBidi"/>
            <w:noProof/>
            <w:sz w:val="22"/>
            <w:szCs w:val="22"/>
          </w:rPr>
          <w:tab/>
        </w:r>
        <w:r w:rsidR="00234DCE" w:rsidRPr="00C55C79">
          <w:rPr>
            <w:rStyle w:val="Hyperlink"/>
            <w:noProof/>
          </w:rPr>
          <w:t>Budgeted financial statements</w:t>
        </w:r>
        <w:r w:rsidR="00234DCE">
          <w:rPr>
            <w:noProof/>
            <w:webHidden/>
          </w:rPr>
          <w:tab/>
        </w:r>
        <w:r w:rsidR="00234DCE">
          <w:rPr>
            <w:noProof/>
            <w:webHidden/>
          </w:rPr>
          <w:fldChar w:fldCharType="begin"/>
        </w:r>
        <w:r w:rsidR="00234DCE">
          <w:rPr>
            <w:noProof/>
            <w:webHidden/>
          </w:rPr>
          <w:instrText xml:space="preserve"> PAGEREF _Toc117071534 \h </w:instrText>
        </w:r>
        <w:r w:rsidR="00234DCE">
          <w:rPr>
            <w:noProof/>
            <w:webHidden/>
          </w:rPr>
        </w:r>
        <w:r w:rsidR="00234DCE">
          <w:rPr>
            <w:noProof/>
            <w:webHidden/>
          </w:rPr>
          <w:fldChar w:fldCharType="separate"/>
        </w:r>
        <w:r w:rsidR="00E5337D">
          <w:rPr>
            <w:noProof/>
            <w:webHidden/>
          </w:rPr>
          <w:t>162</w:t>
        </w:r>
        <w:r w:rsidR="00234DCE">
          <w:rPr>
            <w:noProof/>
            <w:webHidden/>
          </w:rPr>
          <w:fldChar w:fldCharType="end"/>
        </w:r>
      </w:hyperlink>
    </w:p>
    <w:p w14:paraId="0AE25D78" w14:textId="018ED141" w:rsidR="00234DCE" w:rsidRDefault="00F5323E">
      <w:pPr>
        <w:pStyle w:val="TOC2"/>
        <w:rPr>
          <w:rFonts w:asciiTheme="minorHAnsi" w:eastAsiaTheme="minorEastAsia" w:hAnsiTheme="minorHAnsi" w:cstheme="minorBidi"/>
          <w:noProof/>
          <w:sz w:val="22"/>
          <w:szCs w:val="22"/>
        </w:rPr>
      </w:pPr>
      <w:hyperlink w:anchor="_Toc117071535" w:history="1">
        <w:r w:rsidR="00234DCE" w:rsidRPr="00C55C79">
          <w:rPr>
            <w:rStyle w:val="Hyperlink"/>
            <w:noProof/>
          </w:rPr>
          <w:t>3.2</w:t>
        </w:r>
        <w:r w:rsidR="00234DCE">
          <w:rPr>
            <w:rFonts w:asciiTheme="minorHAnsi" w:eastAsiaTheme="minorEastAsia" w:hAnsiTheme="minorHAnsi" w:cstheme="minorBidi"/>
            <w:noProof/>
            <w:sz w:val="22"/>
            <w:szCs w:val="22"/>
          </w:rPr>
          <w:tab/>
        </w:r>
        <w:r w:rsidR="00234DCE" w:rsidRPr="00C55C79">
          <w:rPr>
            <w:rStyle w:val="Hyperlink"/>
            <w:noProof/>
          </w:rPr>
          <w:t>Budgeted financial statements tables</w:t>
        </w:r>
        <w:r w:rsidR="00234DCE">
          <w:rPr>
            <w:noProof/>
            <w:webHidden/>
          </w:rPr>
          <w:tab/>
        </w:r>
        <w:r w:rsidR="00234DCE">
          <w:rPr>
            <w:noProof/>
            <w:webHidden/>
          </w:rPr>
          <w:fldChar w:fldCharType="begin"/>
        </w:r>
        <w:r w:rsidR="00234DCE">
          <w:rPr>
            <w:noProof/>
            <w:webHidden/>
          </w:rPr>
          <w:instrText xml:space="preserve"> PAGEREF _Toc117071535 \h </w:instrText>
        </w:r>
        <w:r w:rsidR="00234DCE">
          <w:rPr>
            <w:noProof/>
            <w:webHidden/>
          </w:rPr>
        </w:r>
        <w:r w:rsidR="00234DCE">
          <w:rPr>
            <w:noProof/>
            <w:webHidden/>
          </w:rPr>
          <w:fldChar w:fldCharType="separate"/>
        </w:r>
        <w:r w:rsidR="00E5337D">
          <w:rPr>
            <w:noProof/>
            <w:webHidden/>
          </w:rPr>
          <w:t>163</w:t>
        </w:r>
        <w:r w:rsidR="00234DCE">
          <w:rPr>
            <w:noProof/>
            <w:webHidden/>
          </w:rPr>
          <w:fldChar w:fldCharType="end"/>
        </w:r>
      </w:hyperlink>
    </w:p>
    <w:p w14:paraId="2239E86E" w14:textId="168619B7" w:rsidR="00BF0558" w:rsidRDefault="00BF0558" w:rsidP="004D5C6C">
      <w:pPr>
        <w:pStyle w:val="TOC1"/>
      </w:pPr>
      <w:r>
        <w:fldChar w:fldCharType="end"/>
      </w:r>
    </w:p>
    <w:p w14:paraId="2239E86F" w14:textId="77777777" w:rsidR="00BF0558" w:rsidRPr="008B5AFD" w:rsidRDefault="00BF0558" w:rsidP="004D5C6C"/>
    <w:p w14:paraId="2239E870" w14:textId="77777777" w:rsidR="00BF0558" w:rsidRDefault="00BF0558" w:rsidP="004D5C6C">
      <w:pPr>
        <w:sectPr w:rsidR="00BF0558" w:rsidSect="004D5C6C">
          <w:footerReference w:type="first" r:id="rId149"/>
          <w:type w:val="oddPage"/>
          <w:pgSz w:w="11906" w:h="16838" w:code="9"/>
          <w:pgMar w:top="2835" w:right="2098" w:bottom="2466" w:left="2098" w:header="1814" w:footer="1814" w:gutter="0"/>
          <w:cols w:space="708"/>
          <w:titlePg/>
          <w:docGrid w:linePitch="360"/>
        </w:sectPr>
      </w:pPr>
    </w:p>
    <w:p w14:paraId="2239E871" w14:textId="77777777" w:rsidR="00BF0558" w:rsidRDefault="00BF0558" w:rsidP="004D5C6C">
      <w:pPr>
        <w:pStyle w:val="Heading1"/>
      </w:pPr>
      <w:bookmarkStart w:id="217" w:name="_Toc116465550"/>
      <w:bookmarkStart w:id="218" w:name="FFMA"/>
      <w:r>
        <w:lastRenderedPageBreak/>
        <w:t>Future Fund Management Agency</w:t>
      </w:r>
      <w:bookmarkEnd w:id="217"/>
    </w:p>
    <w:p w14:paraId="2239E872" w14:textId="77777777" w:rsidR="00BF0558" w:rsidRPr="002C4D41" w:rsidRDefault="00BF0558" w:rsidP="004D5C6C">
      <w:pPr>
        <w:pStyle w:val="Heading2"/>
      </w:pPr>
      <w:bookmarkStart w:id="219" w:name="_Toc116742527"/>
      <w:bookmarkStart w:id="220" w:name="_Toc117070818"/>
      <w:bookmarkStart w:id="221" w:name="_Toc117071073"/>
      <w:bookmarkStart w:id="222" w:name="_Toc117071527"/>
      <w:bookmarkStart w:id="223" w:name="_Toc117078107"/>
      <w:r w:rsidRPr="002C4D41">
        <w:t xml:space="preserve">Section 1: Entity overview and </w:t>
      </w:r>
      <w:r>
        <w:t>reso</w:t>
      </w:r>
      <w:r w:rsidRPr="002C4D41">
        <w:t>urces</w:t>
      </w:r>
      <w:bookmarkEnd w:id="219"/>
      <w:bookmarkEnd w:id="220"/>
      <w:bookmarkEnd w:id="221"/>
      <w:bookmarkEnd w:id="222"/>
      <w:bookmarkEnd w:id="223"/>
    </w:p>
    <w:p w14:paraId="2239E873" w14:textId="77777777" w:rsidR="00BF0558" w:rsidRDefault="00BF0558" w:rsidP="004D5C6C">
      <w:pPr>
        <w:pStyle w:val="Heading3"/>
      </w:pPr>
      <w:bookmarkStart w:id="224" w:name="_Toc116742528"/>
      <w:bookmarkStart w:id="225" w:name="_Toc117070819"/>
      <w:bookmarkStart w:id="226" w:name="_Toc117071074"/>
      <w:bookmarkStart w:id="227" w:name="_Toc117071528"/>
      <w:bookmarkStart w:id="228" w:name="_Toc117078108"/>
      <w:r>
        <w:t>1.1</w:t>
      </w:r>
      <w:r>
        <w:tab/>
        <w:t>Strategic direction statement</w:t>
      </w:r>
      <w:bookmarkEnd w:id="224"/>
      <w:bookmarkEnd w:id="225"/>
      <w:bookmarkEnd w:id="226"/>
      <w:bookmarkEnd w:id="227"/>
      <w:bookmarkEnd w:id="228"/>
    </w:p>
    <w:p w14:paraId="2239E874" w14:textId="77777777" w:rsidR="00BF0558" w:rsidRPr="002558CA" w:rsidRDefault="00BF0558" w:rsidP="004D5C6C">
      <w:pPr>
        <w:rPr>
          <w:szCs w:val="19"/>
        </w:rPr>
      </w:pPr>
      <w:r w:rsidRPr="002558CA">
        <w:rPr>
          <w:szCs w:val="19"/>
        </w:rPr>
        <w:t>The   Future   Fund   Management   Agency (FFMA) was   established   by    the Future Fund Act 2006 to support and advise the Future Fund Board of Guardians (the Board) in its task of investing the assets of the Future Fund.</w:t>
      </w:r>
    </w:p>
    <w:p w14:paraId="2239E875" w14:textId="77777777" w:rsidR="00BF0558" w:rsidRPr="002558CA" w:rsidRDefault="00BF0558" w:rsidP="004D5C6C">
      <w:pPr>
        <w:rPr>
          <w:szCs w:val="19"/>
        </w:rPr>
      </w:pPr>
      <w:r w:rsidRPr="002558CA">
        <w:rPr>
          <w:szCs w:val="19"/>
        </w:rPr>
        <w:t>The scope of the FFMA and the Board was extended by the DisabilityCare Australia Fund Act 2013, the Medical Research Future Fund Act 2015, the Aboriginal and Torres Strait Islander Land and Sea Future Fund Act 2018, the Future Drought Fund Act 2019 and the Emergency Response Fund Act 2019 to include the management of investments to grow other Australian Government Investment Funds as a means to provide financing sources for substantial future investments in the Australian economy. As a result the FFMA supports the Board in managing investments of the Future Fund, DisabilityCare Australia Fund (DCAF), Medical Research Future Fund (MRFF), Aboriginal and Torres Strait Islander Land and Sea Future Fund (ATSILSFF), Future Drought Fund (FDF) and the Emergency Response Fund (ERF).</w:t>
      </w:r>
    </w:p>
    <w:p w14:paraId="2239E876" w14:textId="77777777" w:rsidR="00BF0558" w:rsidRPr="002558CA" w:rsidRDefault="00BF0558" w:rsidP="004D5C6C">
      <w:pPr>
        <w:rPr>
          <w:szCs w:val="19"/>
        </w:rPr>
      </w:pPr>
      <w:r w:rsidRPr="002558CA">
        <w:rPr>
          <w:szCs w:val="19"/>
        </w:rPr>
        <w:t>The FFMA focuses on supporting and advising the Board of Guardians in developing and implementing appropriate investment strategies for the funds. Investing in global markets is a highly specialised and competitive commercial activity. Accordingly the Board and FFMA intend to continue to develop and invest in the Agency’s skills, capabilities, resources and systems in order to keep up with the fast-evolving industry and to maintain the Agency’s competitiveness within that industry in terms of finding good investments.</w:t>
      </w:r>
    </w:p>
    <w:p w14:paraId="2239E877" w14:textId="77777777" w:rsidR="00BF0558" w:rsidRPr="002558CA" w:rsidRDefault="00BF0558" w:rsidP="004D5C6C">
      <w:pPr>
        <w:rPr>
          <w:szCs w:val="19"/>
        </w:rPr>
      </w:pPr>
      <w:r w:rsidRPr="002558CA">
        <w:rPr>
          <w:szCs w:val="19"/>
        </w:rPr>
        <w:t>The Future Fund’s portfolio will continue to evolve as the Board manages the portfolio in line with its mandate and strategy. The government revised the Future Fund mandate return in May 2017 and announced its intention to delay the drawdowns from the Future Fund until at least 2027. The approach to managing the portfolio is detailed in the 2021-22 Future Fund Annual Report. Recognising the potential for continued volatility in investment markets, an important emphasis for the FFMA and the Board is maintaining a long-term investment perspective and strategy that balances risk with expected return as required.</w:t>
      </w:r>
    </w:p>
    <w:p w14:paraId="2239E878" w14:textId="77777777" w:rsidR="00BF0558" w:rsidRPr="002558CA" w:rsidRDefault="00BF0558" w:rsidP="004D5C6C">
      <w:pPr>
        <w:rPr>
          <w:szCs w:val="19"/>
        </w:rPr>
      </w:pPr>
      <w:r w:rsidRPr="002558CA">
        <w:rPr>
          <w:szCs w:val="19"/>
        </w:rPr>
        <w:t xml:space="preserve"> </w:t>
      </w:r>
    </w:p>
    <w:p w14:paraId="2239E879" w14:textId="77777777" w:rsidR="00BF0558" w:rsidRPr="002558CA" w:rsidRDefault="00BF0558" w:rsidP="004D5C6C">
      <w:pPr>
        <w:rPr>
          <w:szCs w:val="19"/>
        </w:rPr>
      </w:pPr>
      <w:r w:rsidRPr="002558CA">
        <w:rPr>
          <w:szCs w:val="19"/>
        </w:rPr>
        <w:br w:type="page"/>
      </w:r>
    </w:p>
    <w:p w14:paraId="2239E87A" w14:textId="77777777" w:rsidR="00BF0558" w:rsidRPr="002558CA" w:rsidRDefault="00BF0558" w:rsidP="004D5C6C">
      <w:pPr>
        <w:rPr>
          <w:szCs w:val="19"/>
        </w:rPr>
      </w:pPr>
      <w:r w:rsidRPr="002558CA">
        <w:rPr>
          <w:szCs w:val="19"/>
        </w:rPr>
        <w:lastRenderedPageBreak/>
        <w:t>The FFMA provides support and advice to the Board in relation to the DCAF, MRFF, ATSILSFF, FDF and ERF and is focused on developing and implementing investment strategies consistent with the legislation and mandates. The investment strategies and approach for the DisabilityCare Australia Fund, the Medical Research Future Fund, the Aboriginal and Torres Strait Islander Land and Sea Future Fund, the Future Drought Fund and the Emergency Response Fund are detailed in the 2021-22 Future Fund Annual Report.</w:t>
      </w:r>
    </w:p>
    <w:p w14:paraId="2239E87B" w14:textId="77777777" w:rsidR="00BF0558" w:rsidRPr="002558CA" w:rsidRDefault="00BF0558" w:rsidP="004D5C6C">
      <w:pPr>
        <w:rPr>
          <w:szCs w:val="19"/>
        </w:rPr>
      </w:pPr>
      <w:r w:rsidRPr="002558CA">
        <w:rPr>
          <w:szCs w:val="19"/>
        </w:rPr>
        <w:t>Investment policies for the funds managed by the Board are available at www.futurefund.gov.au/investment/how-we-invest/investment-policies.</w:t>
      </w:r>
    </w:p>
    <w:p w14:paraId="2239E87C" w14:textId="77777777" w:rsidR="00BF0558" w:rsidRDefault="00BF0558" w:rsidP="00DD7FBC"/>
    <w:p w14:paraId="2239E87D" w14:textId="77777777" w:rsidR="00BF0558" w:rsidRDefault="00BF0558" w:rsidP="00DD7FBC"/>
    <w:p w14:paraId="2239E87E" w14:textId="77777777" w:rsidR="00BF0558" w:rsidRDefault="00BF0558" w:rsidP="004D5C6C">
      <w:pPr>
        <w:pStyle w:val="Heading3"/>
      </w:pPr>
      <w:bookmarkStart w:id="229" w:name="_Toc116742529"/>
      <w:bookmarkStart w:id="230" w:name="_Toc117070820"/>
      <w:bookmarkStart w:id="231" w:name="_Toc117071075"/>
      <w:bookmarkStart w:id="232" w:name="_Toc117071529"/>
      <w:bookmarkStart w:id="233" w:name="_Toc117078109"/>
      <w:r>
        <w:t>1.2</w:t>
      </w:r>
      <w:r>
        <w:tab/>
        <w:t>Entity resource statement</w:t>
      </w:r>
      <w:bookmarkEnd w:id="229"/>
      <w:bookmarkEnd w:id="230"/>
      <w:bookmarkEnd w:id="231"/>
      <w:bookmarkEnd w:id="232"/>
      <w:bookmarkEnd w:id="233"/>
    </w:p>
    <w:p w14:paraId="2239E87F" w14:textId="77777777" w:rsidR="00BF0558" w:rsidRPr="002558CA" w:rsidRDefault="00BF0558" w:rsidP="004D5C6C">
      <w:pPr>
        <w:rPr>
          <w:szCs w:val="19"/>
        </w:rPr>
      </w:pPr>
      <w:r w:rsidRPr="002558CA">
        <w:rPr>
          <w:szCs w:val="19"/>
        </w:rPr>
        <w:t>Table 1.1 shows the total funding from all sources available to the entity for its operations and to deliver programs and services on behalf of the Government.</w:t>
      </w:r>
    </w:p>
    <w:p w14:paraId="2239E880" w14:textId="77777777" w:rsidR="00BF0558" w:rsidRPr="002558CA" w:rsidRDefault="00BF0558" w:rsidP="004D5C6C">
      <w:pPr>
        <w:rPr>
          <w:szCs w:val="19"/>
        </w:rPr>
      </w:pPr>
      <w:r w:rsidRPr="002558CA">
        <w:rPr>
          <w:szCs w:val="19"/>
        </w:rPr>
        <w:t>The table summarises how resources will be applied by outcome (government strategic policy objectives) and by administered (on behalf of the Government or the public) and departmental (for the entity’s operations) classification.</w:t>
      </w:r>
    </w:p>
    <w:p w14:paraId="2239E881" w14:textId="77777777" w:rsidR="00BF0558" w:rsidRPr="002558CA" w:rsidRDefault="00BF0558" w:rsidP="004D5C6C">
      <w:pPr>
        <w:rPr>
          <w:szCs w:val="19"/>
        </w:rPr>
      </w:pPr>
      <w:r w:rsidRPr="002558CA">
        <w:rPr>
          <w:szCs w:val="19"/>
        </w:rPr>
        <w:t xml:space="preserve">For more detailed information on special accounts and special appropriations, please refer to the October </w:t>
      </w:r>
      <w:r w:rsidRPr="002558CA">
        <w:rPr>
          <w:i/>
          <w:szCs w:val="19"/>
        </w:rPr>
        <w:t>Budget Paper No. 4 – Agency Resourcing</w:t>
      </w:r>
      <w:r w:rsidRPr="002558CA">
        <w:rPr>
          <w:szCs w:val="19"/>
        </w:rPr>
        <w:t>.</w:t>
      </w:r>
    </w:p>
    <w:p w14:paraId="2239E882" w14:textId="3548B901" w:rsidR="00BF0558" w:rsidRPr="002558CA" w:rsidRDefault="00BF0558" w:rsidP="004D5C6C">
      <w:pPr>
        <w:rPr>
          <w:szCs w:val="19"/>
        </w:rPr>
      </w:pPr>
      <w:r w:rsidRPr="002558CA">
        <w:rPr>
          <w:szCs w:val="19"/>
        </w:rPr>
        <w:t>Information in this table is presented on a resourcing (that is, appropriations/cash available) basis, whilst the</w:t>
      </w:r>
      <w:r w:rsidR="00AC0440">
        <w:rPr>
          <w:szCs w:val="19"/>
        </w:rPr>
        <w:t xml:space="preserve"> ‘Budgeted expenses by Outcome</w:t>
      </w:r>
      <w:r w:rsidR="00A91C50">
        <w:rPr>
          <w:szCs w:val="19"/>
        </w:rPr>
        <w:t xml:space="preserve"> 1</w:t>
      </w:r>
      <w:r w:rsidRPr="002558CA">
        <w:rPr>
          <w:szCs w:val="19"/>
        </w:rPr>
        <w:t>’ tables in Section 2 and the financial statements in Section 3 are presented on an accrual basis.</w:t>
      </w:r>
    </w:p>
    <w:p w14:paraId="2239E883" w14:textId="582E73BF" w:rsidR="00BF0558" w:rsidRPr="00FE1091" w:rsidRDefault="00BF0558" w:rsidP="004D5C6C">
      <w:pPr>
        <w:pStyle w:val="TableHeading"/>
        <w:rPr>
          <w:b w:val="0"/>
        </w:rPr>
      </w:pPr>
      <w:r>
        <w:br w:type="page"/>
      </w:r>
      <w:r w:rsidRPr="00D44150">
        <w:lastRenderedPageBreak/>
        <w:t xml:space="preserve">Table 1.1: </w:t>
      </w:r>
      <w:r>
        <w:t>Future Fund Management Agency</w:t>
      </w:r>
      <w:r w:rsidRPr="00D44150">
        <w:t xml:space="preserve"> resource statement</w:t>
      </w:r>
      <w:r>
        <w:t xml:space="preserve"> — Budget estimates for 2022-23 </w:t>
      </w:r>
      <w:r w:rsidRPr="00D44150">
        <w:t xml:space="preserve">as at </w:t>
      </w:r>
      <w:r>
        <w:t>October</w:t>
      </w:r>
      <w:r w:rsidRPr="00D44150">
        <w:t xml:space="preserve"> Budget </w:t>
      </w:r>
      <w:r>
        <w:t>2022</w:t>
      </w:r>
      <w:r w:rsidR="000F34BA" w:rsidRPr="000F34BA">
        <w:rPr>
          <w:noProof/>
          <w:lang w:eastAsia="zh-CN"/>
        </w:rPr>
        <w:drawing>
          <wp:inline distT="0" distB="0" distL="0" distR="0" wp14:anchorId="6DAD35AC" wp14:editId="2E62582A">
            <wp:extent cx="4895850" cy="1730653"/>
            <wp:effectExtent l="0" t="0" r="0" b="317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895850" cy="1730653"/>
                    </a:xfrm>
                    <a:prstGeom prst="rect">
                      <a:avLst/>
                    </a:prstGeom>
                    <a:noFill/>
                    <a:ln>
                      <a:noFill/>
                    </a:ln>
                  </pic:spPr>
                </pic:pic>
              </a:graphicData>
            </a:graphic>
          </wp:inline>
        </w:drawing>
      </w:r>
    </w:p>
    <w:p w14:paraId="2239E884" w14:textId="4D57C4F0" w:rsidR="00BF0558" w:rsidRDefault="00BF0558" w:rsidP="004D5C6C">
      <w:pPr>
        <w:pStyle w:val="TableGraphic"/>
        <w:rPr>
          <w:rFonts w:ascii="Arial" w:hAnsi="Arial"/>
          <w:color w:val="000000"/>
          <w:lang w:val="x-none" w:eastAsia="x-none"/>
        </w:rPr>
      </w:pPr>
    </w:p>
    <w:p w14:paraId="2239E885" w14:textId="77777777" w:rsidR="00BF0558" w:rsidRDefault="00BF0558" w:rsidP="004D5C6C">
      <w:pPr>
        <w:pStyle w:val="TableHeading"/>
      </w:pPr>
    </w:p>
    <w:p w14:paraId="2239E886" w14:textId="77777777" w:rsidR="00BF0558" w:rsidRDefault="00BF0558" w:rsidP="004D5C6C">
      <w:pPr>
        <w:pStyle w:val="TableHeading"/>
      </w:pPr>
    </w:p>
    <w:p w14:paraId="2239E887" w14:textId="77777777" w:rsidR="00BF0558" w:rsidRPr="00C25832" w:rsidRDefault="00BF0558" w:rsidP="004D5C6C">
      <w:pPr>
        <w:pStyle w:val="Heading3"/>
        <w:spacing w:before="0"/>
      </w:pPr>
      <w:bookmarkStart w:id="234" w:name="_Toc116742530"/>
      <w:bookmarkStart w:id="235" w:name="_Toc117070821"/>
      <w:bookmarkStart w:id="236" w:name="_Toc117071076"/>
      <w:bookmarkStart w:id="237" w:name="_Toc117071530"/>
      <w:bookmarkStart w:id="238" w:name="_Toc117078110"/>
      <w:r w:rsidRPr="00C25832">
        <w:t>1.3</w:t>
      </w:r>
      <w:r w:rsidRPr="00C25832">
        <w:tab/>
        <w:t>Budget measures</w:t>
      </w:r>
      <w:bookmarkEnd w:id="234"/>
      <w:bookmarkEnd w:id="235"/>
      <w:bookmarkEnd w:id="236"/>
      <w:bookmarkEnd w:id="237"/>
      <w:bookmarkEnd w:id="238"/>
    </w:p>
    <w:p w14:paraId="2239E888" w14:textId="77777777" w:rsidR="00BF0558" w:rsidRPr="00C25832" w:rsidRDefault="00BF0558" w:rsidP="004D5C6C">
      <w:r w:rsidRPr="00C25832">
        <w:t>No measures have been announced since 2022-23 March Budget.</w:t>
      </w:r>
    </w:p>
    <w:p w14:paraId="2239E889" w14:textId="77777777" w:rsidR="00BF0558" w:rsidRDefault="00BF0558">
      <w:pPr>
        <w:spacing w:after="0" w:line="240" w:lineRule="auto"/>
        <w:rPr>
          <w:rFonts w:ascii="Arial Bold" w:hAnsi="Arial Bold"/>
          <w:b/>
        </w:rPr>
      </w:pPr>
      <w:r>
        <w:br w:type="page"/>
      </w:r>
    </w:p>
    <w:p w14:paraId="2239E88A" w14:textId="77777777" w:rsidR="00BF0558" w:rsidRPr="00810C6A" w:rsidRDefault="00BF0558" w:rsidP="004D5C6C">
      <w:pPr>
        <w:pStyle w:val="Heading2"/>
      </w:pPr>
      <w:bookmarkStart w:id="239" w:name="_Toc116742531"/>
      <w:bookmarkStart w:id="240" w:name="_Toc117070822"/>
      <w:bookmarkStart w:id="241" w:name="_Toc117071077"/>
      <w:bookmarkStart w:id="242" w:name="_Toc117071531"/>
      <w:bookmarkStart w:id="243" w:name="_Toc117078111"/>
      <w:r w:rsidRPr="00810C6A">
        <w:lastRenderedPageBreak/>
        <w:t>Section 2: Outcomes and planned performance</w:t>
      </w:r>
      <w:bookmarkEnd w:id="239"/>
      <w:bookmarkEnd w:id="240"/>
      <w:bookmarkEnd w:id="241"/>
      <w:bookmarkEnd w:id="242"/>
      <w:bookmarkEnd w:id="243"/>
    </w:p>
    <w:p w14:paraId="2239E88B" w14:textId="77777777" w:rsidR="00BF0558" w:rsidRPr="001760FB" w:rsidRDefault="00BF0558" w:rsidP="004D5C6C">
      <w:pPr>
        <w:rPr>
          <w:szCs w:val="19"/>
        </w:rPr>
      </w:pPr>
      <w:r w:rsidRPr="001760FB">
        <w:rPr>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239E88C" w14:textId="77777777" w:rsidR="00BF0558" w:rsidRPr="001760FB" w:rsidRDefault="00BF0558" w:rsidP="004D5C6C">
      <w:pPr>
        <w:rPr>
          <w:i/>
          <w:color w:val="FF0000"/>
          <w:szCs w:val="19"/>
        </w:rPr>
      </w:pPr>
      <w:r w:rsidRPr="001760FB">
        <w:rPr>
          <w:szCs w:val="19"/>
        </w:rPr>
        <w:t xml:space="preserve">Each outcome is described below together with its related programs. The following provides detailed information on expenses for each outcome and program, further broken down by funding source.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BF0558" w:rsidRPr="001C6402" w14:paraId="2239E891" w14:textId="77777777" w:rsidTr="004D5C6C">
        <w:tc>
          <w:tcPr>
            <w:tcW w:w="7700" w:type="dxa"/>
            <w:shd w:val="clear" w:color="auto" w:fill="auto"/>
          </w:tcPr>
          <w:p w14:paraId="2239E88D" w14:textId="77777777" w:rsidR="00BF0558" w:rsidRPr="001760FB" w:rsidRDefault="00BF0558" w:rsidP="004D5C6C">
            <w:pPr>
              <w:spacing w:before="120" w:after="120" w:line="240" w:lineRule="auto"/>
              <w:jc w:val="both"/>
              <w:rPr>
                <w:b/>
                <w:szCs w:val="19"/>
              </w:rPr>
            </w:pPr>
            <w:r w:rsidRPr="001760FB">
              <w:rPr>
                <w:b/>
                <w:szCs w:val="19"/>
              </w:rPr>
              <w:t>Note:</w:t>
            </w:r>
          </w:p>
          <w:p w14:paraId="2239E88E" w14:textId="77777777" w:rsidR="00BF0558" w:rsidRPr="001760FB" w:rsidRDefault="00BF0558" w:rsidP="004D5C6C">
            <w:pPr>
              <w:jc w:val="both"/>
              <w:rPr>
                <w:szCs w:val="19"/>
              </w:rPr>
            </w:pPr>
            <w:r w:rsidRPr="001760FB">
              <w:rPr>
                <w:szCs w:val="19"/>
              </w:rPr>
              <w:t xml:space="preserve">Performance reporting requirements in the Portfolio Budget Statements are part of the Commonwealth performance framework established by the </w:t>
            </w:r>
            <w:r w:rsidRPr="001760FB">
              <w:rPr>
                <w:i/>
                <w:szCs w:val="19"/>
              </w:rPr>
              <w:t>Public Governance, Performance and Accountability Act 2013</w:t>
            </w:r>
            <w:r w:rsidRPr="001760FB">
              <w:rPr>
                <w:szCs w:val="19"/>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2239E88F" w14:textId="77777777" w:rsidR="00BF0558" w:rsidRPr="001760FB" w:rsidRDefault="00BF0558" w:rsidP="004D5C6C">
            <w:pPr>
              <w:jc w:val="both"/>
              <w:rPr>
                <w:szCs w:val="19"/>
              </w:rPr>
            </w:pPr>
            <w:r w:rsidRPr="001760FB">
              <w:rPr>
                <w:szCs w:val="19"/>
              </w:rPr>
              <w:t xml:space="preserve">The most recent corporate plan for FFMA can be found at: </w:t>
            </w:r>
            <w:hyperlink r:id="rId151" w:history="1">
              <w:r w:rsidRPr="001760FB">
                <w:rPr>
                  <w:rStyle w:val="Hyperlink"/>
                  <w:szCs w:val="19"/>
                </w:rPr>
                <w:t>https://www.futurefund.gov.au/about-us/access-to-information/parliamentary-and-statutory-reporting</w:t>
              </w:r>
            </w:hyperlink>
            <w:r w:rsidRPr="001760FB">
              <w:rPr>
                <w:szCs w:val="19"/>
              </w:rPr>
              <w:t>.</w:t>
            </w:r>
          </w:p>
          <w:p w14:paraId="2239E890" w14:textId="77777777" w:rsidR="00BF0558" w:rsidRPr="001C6402" w:rsidRDefault="00BF0558" w:rsidP="004D5C6C">
            <w:pPr>
              <w:jc w:val="both"/>
            </w:pPr>
            <w:r w:rsidRPr="001760FB">
              <w:rPr>
                <w:szCs w:val="19"/>
              </w:rPr>
              <w:t xml:space="preserve">The most recent annual performance statement can be found at: </w:t>
            </w:r>
            <w:hyperlink r:id="rId152" w:history="1">
              <w:r w:rsidRPr="001760FB">
                <w:rPr>
                  <w:rStyle w:val="Hyperlink"/>
                  <w:szCs w:val="19"/>
                </w:rPr>
                <w:t>https://www.futurefund.gov.au/about-us/publications</w:t>
              </w:r>
            </w:hyperlink>
            <w:r w:rsidRPr="001760FB">
              <w:rPr>
                <w:szCs w:val="19"/>
              </w:rPr>
              <w:t>.</w:t>
            </w:r>
          </w:p>
        </w:tc>
      </w:tr>
    </w:tbl>
    <w:p w14:paraId="2239E892" w14:textId="77777777" w:rsidR="00BF0558" w:rsidRDefault="00BF0558" w:rsidP="004D5C6C">
      <w:pPr>
        <w:rPr>
          <w:highlight w:val="yellow"/>
        </w:rPr>
      </w:pPr>
    </w:p>
    <w:p w14:paraId="2239E893" w14:textId="77777777" w:rsidR="00BF0558" w:rsidRDefault="00BF0558" w:rsidP="004D5C6C">
      <w:pPr>
        <w:pStyle w:val="Heading3"/>
        <w:sectPr w:rsidR="00BF0558" w:rsidSect="00275445">
          <w:headerReference w:type="even" r:id="rId153"/>
          <w:headerReference w:type="default" r:id="rId154"/>
          <w:headerReference w:type="first" r:id="rId155"/>
          <w:footerReference w:type="first" r:id="rId156"/>
          <w:type w:val="oddPage"/>
          <w:pgSz w:w="11906" w:h="16838" w:code="9"/>
          <w:pgMar w:top="2835" w:right="2098" w:bottom="2466" w:left="2098" w:header="1814" w:footer="1814" w:gutter="0"/>
          <w:cols w:space="708"/>
          <w:docGrid w:linePitch="360"/>
        </w:sectPr>
      </w:pPr>
    </w:p>
    <w:p w14:paraId="2239E894" w14:textId="77777777" w:rsidR="00BF0558" w:rsidRPr="00F743D8" w:rsidRDefault="00BF0558" w:rsidP="004D5C6C">
      <w:pPr>
        <w:pStyle w:val="Heading3"/>
      </w:pPr>
      <w:bookmarkStart w:id="244" w:name="_Toc116742532"/>
      <w:bookmarkStart w:id="245" w:name="_Toc117070823"/>
      <w:bookmarkStart w:id="246" w:name="_Toc117071078"/>
      <w:bookmarkStart w:id="247" w:name="_Toc117071532"/>
      <w:bookmarkStart w:id="248" w:name="_Toc117078112"/>
      <w:r>
        <w:lastRenderedPageBreak/>
        <w:t>2.1</w:t>
      </w:r>
      <w:r w:rsidRPr="00F743D8">
        <w:t xml:space="preserve"> </w:t>
      </w:r>
      <w:r w:rsidRPr="00F743D8">
        <w:tab/>
        <w:t xml:space="preserve">Budgeted expenses and performance for Outcome </w:t>
      </w:r>
      <w:r>
        <w:t>1</w:t>
      </w:r>
      <w:bookmarkEnd w:id="244"/>
      <w:bookmarkEnd w:id="245"/>
      <w:bookmarkEnd w:id="246"/>
      <w:bookmarkEnd w:id="247"/>
      <w:bookmarkEnd w:id="248"/>
    </w:p>
    <w:tbl>
      <w:tblPr>
        <w:tblW w:w="7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BF0558" w:rsidRPr="001C6402" w14:paraId="2239E896" w14:textId="77777777" w:rsidTr="00DB35A1">
        <w:tc>
          <w:tcPr>
            <w:tcW w:w="7705" w:type="dxa"/>
            <w:shd w:val="clear" w:color="auto" w:fill="E6E6E6"/>
          </w:tcPr>
          <w:p w14:paraId="2239E895" w14:textId="77777777" w:rsidR="00BF0558" w:rsidRPr="002C698A" w:rsidRDefault="00BF0558" w:rsidP="00A70D16">
            <w:pPr>
              <w:pStyle w:val="TableColumnHeadingLeft"/>
              <w:spacing w:before="60" w:after="60"/>
              <w:rPr>
                <w:rFonts w:ascii="Arial" w:hAnsi="Arial" w:cs="Arial"/>
                <w:szCs w:val="16"/>
              </w:rPr>
            </w:pPr>
            <w:r w:rsidRPr="002C698A">
              <w:rPr>
                <w:rFonts w:ascii="Arial" w:hAnsi="Arial" w:cs="Arial"/>
                <w:szCs w:val="16"/>
              </w:rPr>
              <w:t>Outcome 1: Strengthen the Commonwealth’s financial position for the benefit of the Australian people, by managing the investment activities of the Future Fund and certain other Australian Government investment funds in line with their Investment Mandates.</w:t>
            </w:r>
          </w:p>
        </w:tc>
      </w:tr>
    </w:tbl>
    <w:p w14:paraId="2239E897" w14:textId="77777777" w:rsidR="00BF0558" w:rsidRPr="005E6F2B" w:rsidRDefault="00BF0558" w:rsidP="004D5C6C">
      <w:pPr>
        <w:pStyle w:val="NoSpacing"/>
      </w:pPr>
    </w:p>
    <w:p w14:paraId="2239E898" w14:textId="77777777" w:rsidR="00BF0558" w:rsidRPr="005E6F2B" w:rsidRDefault="00BF0558" w:rsidP="004D5C6C">
      <w:pPr>
        <w:pStyle w:val="Heading4"/>
      </w:pPr>
      <w:r w:rsidRPr="005E6F2B">
        <w:t xml:space="preserve">Linked programs </w:t>
      </w:r>
    </w:p>
    <w:tbl>
      <w:tblPr>
        <w:tblW w:w="7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9"/>
      </w:tblGrid>
      <w:tr w:rsidR="00BF0558" w:rsidRPr="001C6402" w14:paraId="2239E89A" w14:textId="77777777" w:rsidTr="00DB35A1">
        <w:trPr>
          <w:trHeight w:val="113"/>
          <w:tblHeader/>
        </w:trPr>
        <w:tc>
          <w:tcPr>
            <w:tcW w:w="7699" w:type="dxa"/>
            <w:tcBorders>
              <w:bottom w:val="dotted" w:sz="4" w:space="0" w:color="auto"/>
            </w:tcBorders>
          </w:tcPr>
          <w:p w14:paraId="2239E899" w14:textId="77777777" w:rsidR="00BF0558" w:rsidRPr="00CA47FB" w:rsidRDefault="00BF0558" w:rsidP="004D5C6C">
            <w:pPr>
              <w:pStyle w:val="BoxHeading"/>
            </w:pPr>
            <w:r>
              <w:rPr>
                <w:bCs/>
              </w:rPr>
              <w:t>Department of Finance</w:t>
            </w:r>
          </w:p>
        </w:tc>
      </w:tr>
      <w:tr w:rsidR="00BF0558" w:rsidRPr="001C6402" w14:paraId="2239E89D" w14:textId="77777777" w:rsidTr="00DB35A1">
        <w:trPr>
          <w:trHeight w:val="113"/>
        </w:trPr>
        <w:tc>
          <w:tcPr>
            <w:tcW w:w="7699" w:type="dxa"/>
            <w:tcBorders>
              <w:top w:val="dotted" w:sz="4" w:space="0" w:color="auto"/>
              <w:bottom w:val="single" w:sz="4" w:space="0" w:color="auto"/>
            </w:tcBorders>
          </w:tcPr>
          <w:p w14:paraId="2239E89B" w14:textId="77777777" w:rsidR="00BF0558" w:rsidRPr="00E25983" w:rsidRDefault="00BF0558" w:rsidP="004D5C6C">
            <w:pPr>
              <w:pStyle w:val="BoxText"/>
              <w:rPr>
                <w:rStyle w:val="ExampletextCharChar"/>
                <w:b/>
                <w:bCs/>
                <w:i w:val="0"/>
                <w:sz w:val="20"/>
              </w:rPr>
            </w:pPr>
            <w:r w:rsidRPr="00E25983">
              <w:rPr>
                <w:b/>
                <w:bCs/>
                <w:sz w:val="20"/>
              </w:rPr>
              <w:t>Programs</w:t>
            </w:r>
          </w:p>
          <w:p w14:paraId="3CFF606E" w14:textId="77777777" w:rsidR="00BF0558" w:rsidRDefault="00BF0558" w:rsidP="004D5C6C">
            <w:pPr>
              <w:pStyle w:val="BoxBullet"/>
              <w:rPr>
                <w:szCs w:val="19"/>
              </w:rPr>
            </w:pPr>
            <w:r w:rsidRPr="008E2755">
              <w:rPr>
                <w:szCs w:val="19"/>
              </w:rPr>
              <w:t>Program</w:t>
            </w:r>
            <w:r w:rsidRPr="008E2755">
              <w:rPr>
                <w:spacing w:val="-4"/>
                <w:szCs w:val="19"/>
              </w:rPr>
              <w:t xml:space="preserve"> </w:t>
            </w:r>
            <w:r w:rsidRPr="008E2755">
              <w:rPr>
                <w:szCs w:val="19"/>
              </w:rPr>
              <w:t>2.7</w:t>
            </w:r>
            <w:r w:rsidRPr="008E2755">
              <w:rPr>
                <w:spacing w:val="-1"/>
                <w:szCs w:val="19"/>
              </w:rPr>
              <w:t xml:space="preserve"> </w:t>
            </w:r>
            <w:r w:rsidRPr="008E2755">
              <w:rPr>
                <w:szCs w:val="19"/>
              </w:rPr>
              <w:t>–</w:t>
            </w:r>
            <w:r w:rsidRPr="008E2755">
              <w:rPr>
                <w:spacing w:val="-4"/>
                <w:szCs w:val="19"/>
              </w:rPr>
              <w:t xml:space="preserve"> </w:t>
            </w:r>
            <w:r w:rsidRPr="008E2755">
              <w:rPr>
                <w:szCs w:val="19"/>
              </w:rPr>
              <w:t>Public</w:t>
            </w:r>
            <w:r w:rsidRPr="008E2755">
              <w:rPr>
                <w:spacing w:val="-2"/>
                <w:szCs w:val="19"/>
              </w:rPr>
              <w:t xml:space="preserve"> </w:t>
            </w:r>
            <w:r w:rsidRPr="008E2755">
              <w:rPr>
                <w:szCs w:val="19"/>
              </w:rPr>
              <w:t>Sector</w:t>
            </w:r>
            <w:r w:rsidRPr="008E2755">
              <w:rPr>
                <w:spacing w:val="1"/>
                <w:szCs w:val="19"/>
              </w:rPr>
              <w:t xml:space="preserve"> </w:t>
            </w:r>
            <w:r w:rsidRPr="008E2755">
              <w:rPr>
                <w:szCs w:val="19"/>
              </w:rPr>
              <w:t>Superannuation</w:t>
            </w:r>
            <w:r w:rsidRPr="008E2755">
              <w:rPr>
                <w:spacing w:val="-4"/>
                <w:szCs w:val="19"/>
              </w:rPr>
              <w:t xml:space="preserve"> </w:t>
            </w:r>
            <w:r w:rsidRPr="008E2755">
              <w:rPr>
                <w:szCs w:val="19"/>
              </w:rPr>
              <w:t xml:space="preserve">Program </w:t>
            </w:r>
          </w:p>
          <w:p w14:paraId="2239E89C" w14:textId="52D0F2AC" w:rsidR="008C0522" w:rsidRPr="008C0522" w:rsidRDefault="008C0522" w:rsidP="008C0522">
            <w:pPr>
              <w:pStyle w:val="BoxBullet"/>
              <w:rPr>
                <w:szCs w:val="19"/>
              </w:rPr>
            </w:pPr>
            <w:r w:rsidRPr="008E2755">
              <w:rPr>
                <w:szCs w:val="19"/>
              </w:rPr>
              <w:t>Program</w:t>
            </w:r>
            <w:r w:rsidRPr="008C0522">
              <w:rPr>
                <w:szCs w:val="19"/>
              </w:rPr>
              <w:t xml:space="preserve"> </w:t>
            </w:r>
            <w:r>
              <w:rPr>
                <w:szCs w:val="19"/>
              </w:rPr>
              <w:t>2.8</w:t>
            </w:r>
            <w:r w:rsidRPr="008C0522">
              <w:rPr>
                <w:szCs w:val="19"/>
              </w:rPr>
              <w:t xml:space="preserve"> </w:t>
            </w:r>
            <w:r w:rsidRPr="008E2755">
              <w:rPr>
                <w:szCs w:val="19"/>
              </w:rPr>
              <w:t>–</w:t>
            </w:r>
            <w:r w:rsidRPr="008C0522">
              <w:rPr>
                <w:szCs w:val="19"/>
              </w:rPr>
              <w:t xml:space="preserve"> Australian Government Investment Funds</w:t>
            </w:r>
          </w:p>
        </w:tc>
      </w:tr>
      <w:tr w:rsidR="00BF0558" w:rsidRPr="001C6402" w14:paraId="2239E8A0" w14:textId="77777777" w:rsidTr="00DB35A1">
        <w:trPr>
          <w:trHeight w:val="113"/>
        </w:trPr>
        <w:tc>
          <w:tcPr>
            <w:tcW w:w="7699" w:type="dxa"/>
            <w:tcBorders>
              <w:bottom w:val="single" w:sz="4" w:space="0" w:color="auto"/>
            </w:tcBorders>
          </w:tcPr>
          <w:p w14:paraId="2239E89E" w14:textId="77777777" w:rsidR="00BF0558" w:rsidRPr="00064965" w:rsidRDefault="00BF0558" w:rsidP="004D5C6C">
            <w:pPr>
              <w:pStyle w:val="BoxText"/>
            </w:pPr>
            <w:r w:rsidRPr="00064965">
              <w:t>Contribution to Outcome 1 made by linked programs</w:t>
            </w:r>
          </w:p>
          <w:p w14:paraId="2239E89F" w14:textId="77777777" w:rsidR="00BF0558" w:rsidRPr="00064965" w:rsidRDefault="00BF0558" w:rsidP="004D5C6C">
            <w:pPr>
              <w:pStyle w:val="Exampletext"/>
              <w:rPr>
                <w:i w:val="0"/>
                <w:sz w:val="24"/>
                <w:szCs w:val="24"/>
              </w:rPr>
            </w:pPr>
            <w:r w:rsidRPr="00064965">
              <w:rPr>
                <w:i w:val="0"/>
                <w:color w:val="auto"/>
              </w:rPr>
              <w:t>The Future Fund Management Agency works with the Department of Finance to ensure that the management of the Australian Government Investment Funds is consistent with the relevant legislation and investment mandates.</w:t>
            </w:r>
          </w:p>
        </w:tc>
      </w:tr>
    </w:tbl>
    <w:p w14:paraId="2239E8A1" w14:textId="77777777" w:rsidR="00BF0558" w:rsidRPr="00001200" w:rsidRDefault="00BF0558" w:rsidP="004D5C6C">
      <w:pPr>
        <w:pStyle w:val="Heading5"/>
        <w:rPr>
          <w:i w:val="0"/>
          <w:iCs w:val="0"/>
        </w:rPr>
      </w:pPr>
      <w:r>
        <w:br w:type="page"/>
      </w:r>
      <w:r w:rsidRPr="008E2755">
        <w:lastRenderedPageBreak/>
        <w:t>Budgeted expenses for Outcome 1</w:t>
      </w:r>
    </w:p>
    <w:p w14:paraId="2239E8A2" w14:textId="77777777" w:rsidR="00BF0558" w:rsidRPr="007A4729" w:rsidRDefault="00BF0558" w:rsidP="004D5C6C">
      <w:pPr>
        <w:rPr>
          <w:szCs w:val="19"/>
        </w:rPr>
      </w:pPr>
      <w:r w:rsidRPr="007A4729">
        <w:rPr>
          <w:szCs w:val="19"/>
        </w:rPr>
        <w:t>This table shows how much the entity intends to spend (on an accrual basis) on achieving the outcome, broken down by program, as well as by Administered and Departmental funding sources.</w:t>
      </w:r>
    </w:p>
    <w:p w14:paraId="73D84C41" w14:textId="216DC728" w:rsidR="001853D7" w:rsidRPr="00247D62" w:rsidRDefault="00BF0558" w:rsidP="00A3727B">
      <w:pPr>
        <w:pStyle w:val="TableHeading"/>
      </w:pPr>
      <w:r w:rsidRPr="006E4DF1">
        <w:t>Table 2.</w:t>
      </w:r>
      <w:r>
        <w:t>1</w:t>
      </w:r>
      <w:r w:rsidRPr="006E4DF1">
        <w:t xml:space="preserve">.1: Budgeted expenses for Outcome </w:t>
      </w:r>
      <w:r>
        <w:t>1</w:t>
      </w:r>
      <w:r w:rsidR="00247D62" w:rsidRPr="00247D62">
        <w:rPr>
          <w:noProof/>
          <w:lang w:eastAsia="zh-CN"/>
        </w:rPr>
        <w:drawing>
          <wp:inline distT="0" distB="0" distL="0" distR="0" wp14:anchorId="0A550895" wp14:editId="6EAAAC20">
            <wp:extent cx="4895850" cy="4868900"/>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895850" cy="4868900"/>
                    </a:xfrm>
                    <a:prstGeom prst="rect">
                      <a:avLst/>
                    </a:prstGeom>
                    <a:noFill/>
                    <a:ln>
                      <a:noFill/>
                    </a:ln>
                  </pic:spPr>
                </pic:pic>
              </a:graphicData>
            </a:graphic>
          </wp:inline>
        </w:drawing>
      </w:r>
      <w:r w:rsidRPr="00A3727B">
        <w:rPr>
          <w:rFonts w:cs="Arial"/>
          <w:b w:val="0"/>
          <w:sz w:val="16"/>
          <w:szCs w:val="16"/>
        </w:rPr>
        <w:t xml:space="preserve">Note: Departmental appropriation splits and totals are indicative estimates and may change in the course of the budget year </w:t>
      </w:r>
      <w:r w:rsidR="001853D7" w:rsidRPr="00A3727B">
        <w:rPr>
          <w:rFonts w:cs="Arial"/>
          <w:b w:val="0"/>
          <w:sz w:val="16"/>
          <w:szCs w:val="16"/>
        </w:rPr>
        <w:t>as government priorities change.</w:t>
      </w:r>
      <w:r w:rsidR="001853D7">
        <w:rPr>
          <w:rFonts w:cs="Arial"/>
          <w:sz w:val="16"/>
          <w:szCs w:val="16"/>
        </w:rPr>
        <w:br w:type="page"/>
      </w:r>
    </w:p>
    <w:p w14:paraId="2239E8A6" w14:textId="30C79628" w:rsidR="00BF0558" w:rsidRPr="001853D7" w:rsidRDefault="001853D7" w:rsidP="001853D7">
      <w:pPr>
        <w:pStyle w:val="TableGraphic"/>
        <w:rPr>
          <w:rFonts w:ascii="Arial" w:hAnsi="Arial"/>
          <w:b/>
          <w:sz w:val="20"/>
        </w:rPr>
      </w:pPr>
      <w:r w:rsidRPr="001853D7">
        <w:rPr>
          <w:rFonts w:ascii="Arial" w:hAnsi="Arial"/>
          <w:b/>
          <w:sz w:val="20"/>
        </w:rPr>
        <w:lastRenderedPageBreak/>
        <w:t>T</w:t>
      </w:r>
      <w:r w:rsidR="00BF0558" w:rsidRPr="001853D7">
        <w:rPr>
          <w:rFonts w:ascii="Arial" w:hAnsi="Arial"/>
          <w:b/>
          <w:sz w:val="20"/>
        </w:rPr>
        <w:t>able 2.1.3: Performance measure for Outcome 1</w:t>
      </w:r>
    </w:p>
    <w:p w14:paraId="2239E8A7" w14:textId="77777777" w:rsidR="00BF0558" w:rsidRPr="00C038AA" w:rsidRDefault="00BF0558" w:rsidP="004D5C6C">
      <w:pPr>
        <w:rPr>
          <w:szCs w:val="19"/>
        </w:rPr>
      </w:pPr>
      <w:r w:rsidRPr="00C038AA">
        <w:rPr>
          <w:szCs w:val="19"/>
        </w:rPr>
        <w:t xml:space="preserve">Table 2.1.3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2022-23 Budget measures that have created new programs or materially changed existing programs are provided. </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BF0558" w:rsidRPr="001C6402" w14:paraId="2239E8A9" w14:textId="77777777" w:rsidTr="004D5C6C">
        <w:trPr>
          <w:trHeight w:val="569"/>
          <w:tblHeader/>
        </w:trPr>
        <w:tc>
          <w:tcPr>
            <w:tcW w:w="7796" w:type="dxa"/>
            <w:gridSpan w:val="3"/>
            <w:shd w:val="clear" w:color="auto" w:fill="F2F2F2"/>
          </w:tcPr>
          <w:p w14:paraId="2239E8A8" w14:textId="77777777" w:rsidR="00BF0558" w:rsidRPr="00791ABF" w:rsidRDefault="00BF0558" w:rsidP="00A70D16">
            <w:pPr>
              <w:pStyle w:val="TableColumnHeadingLeft"/>
              <w:spacing w:before="60" w:after="60"/>
              <w:rPr>
                <w:rFonts w:ascii="Arial" w:hAnsi="Arial" w:cs="Arial"/>
                <w:b w:val="0"/>
              </w:rPr>
            </w:pPr>
            <w:r w:rsidRPr="00520FB7">
              <w:rPr>
                <w:rFonts w:ascii="Arial" w:hAnsi="Arial" w:cs="Arial"/>
              </w:rPr>
              <w:t xml:space="preserve">Outcome 1 </w:t>
            </w:r>
            <w:r w:rsidRPr="00BF46B7">
              <w:rPr>
                <w:rFonts w:ascii="Arial" w:hAnsi="Arial" w:cs="Arial"/>
              </w:rPr>
              <w:t xml:space="preserve">– </w:t>
            </w:r>
            <w:r w:rsidRPr="00BF46B7">
              <w:rPr>
                <w:rFonts w:ascii="Arial" w:hAnsi="Arial" w:cs="Arial"/>
                <w:bCs/>
              </w:rPr>
              <w:t>Strengthen the Commonwealth’s financial position for the benefit of the Australian people, by managing the investment activities of the Future Fund and certain other Australian Government investment funds in line with their Investment Mandates</w:t>
            </w:r>
            <w:r w:rsidRPr="00791ABF">
              <w:rPr>
                <w:rFonts w:ascii="Arial" w:hAnsi="Arial" w:cs="Arial"/>
                <w:b w:val="0"/>
                <w:bCs/>
              </w:rPr>
              <w:t>.</w:t>
            </w:r>
          </w:p>
        </w:tc>
      </w:tr>
      <w:tr w:rsidR="00BF0558" w:rsidRPr="001C6402" w14:paraId="2239E8AC" w14:textId="77777777" w:rsidTr="004D5C6C">
        <w:trPr>
          <w:trHeight w:val="522"/>
          <w:tblHeader/>
        </w:trPr>
        <w:tc>
          <w:tcPr>
            <w:tcW w:w="7796" w:type="dxa"/>
            <w:gridSpan w:val="3"/>
            <w:shd w:val="clear" w:color="auto" w:fill="F2F2F2"/>
          </w:tcPr>
          <w:p w14:paraId="2239E8AA" w14:textId="77777777" w:rsidR="00BF0558" w:rsidRPr="0027653A" w:rsidRDefault="00BF0558" w:rsidP="00A70D16">
            <w:pPr>
              <w:tabs>
                <w:tab w:val="left" w:pos="709"/>
              </w:tabs>
              <w:spacing w:before="60" w:after="60"/>
              <w:rPr>
                <w:rFonts w:ascii="Arial" w:hAnsi="Arial" w:cs="Arial"/>
                <w:b/>
                <w:sz w:val="16"/>
                <w:szCs w:val="16"/>
              </w:rPr>
            </w:pPr>
            <w:r w:rsidRPr="0027653A">
              <w:rPr>
                <w:rFonts w:ascii="Arial" w:hAnsi="Arial" w:cs="Arial"/>
                <w:b/>
                <w:sz w:val="16"/>
                <w:szCs w:val="16"/>
              </w:rPr>
              <w:t>Program 1.1 – Management of the Investment of the Future Fund</w:t>
            </w:r>
          </w:p>
          <w:p w14:paraId="2239E8AB" w14:textId="77777777" w:rsidR="00BF0558" w:rsidRPr="001B2F81" w:rsidRDefault="00BF0558" w:rsidP="00A70D16">
            <w:pPr>
              <w:pStyle w:val="TableTextLeft"/>
              <w:spacing w:before="60" w:after="60"/>
            </w:pPr>
            <w:r w:rsidRPr="0027653A">
              <w:rPr>
                <w:rFonts w:cs="Arial"/>
                <w:bCs/>
                <w:szCs w:val="16"/>
              </w:rPr>
              <w:t>The FFMA supports the Board in investing to accumulate assets for the purpose of offsetting the unfunded superannuation liabilities of the Australian Government which will fall due on future generations.</w:t>
            </w:r>
          </w:p>
        </w:tc>
      </w:tr>
      <w:tr w:rsidR="00BF0558" w:rsidRPr="001C6402" w14:paraId="2239E8B4" w14:textId="77777777" w:rsidTr="004D5C6C">
        <w:trPr>
          <w:trHeight w:val="694"/>
        </w:trPr>
        <w:tc>
          <w:tcPr>
            <w:tcW w:w="1560" w:type="dxa"/>
            <w:tcBorders>
              <w:bottom w:val="double" w:sz="4" w:space="0" w:color="auto"/>
            </w:tcBorders>
          </w:tcPr>
          <w:p w14:paraId="2239E8AD" w14:textId="77777777" w:rsidR="00BF0558" w:rsidRPr="00160C23" w:rsidRDefault="00BF0558" w:rsidP="00A70D16">
            <w:pPr>
              <w:pStyle w:val="TableColumnHeadingLeft"/>
              <w:spacing w:before="60" w:after="60"/>
            </w:pPr>
            <w:r w:rsidRPr="00160C23">
              <w:t>Key Activities</w:t>
            </w:r>
          </w:p>
        </w:tc>
        <w:tc>
          <w:tcPr>
            <w:tcW w:w="6236" w:type="dxa"/>
            <w:gridSpan w:val="2"/>
            <w:tcBorders>
              <w:bottom w:val="double" w:sz="4" w:space="0" w:color="auto"/>
            </w:tcBorders>
          </w:tcPr>
          <w:p w14:paraId="2239E8AE" w14:textId="77777777" w:rsidR="00BF0558" w:rsidRDefault="00BF0558" w:rsidP="001A3997">
            <w:pPr>
              <w:pStyle w:val="TableParagraph"/>
              <w:numPr>
                <w:ilvl w:val="0"/>
                <w:numId w:val="33"/>
              </w:numPr>
              <w:tabs>
                <w:tab w:val="left" w:pos="464"/>
              </w:tabs>
              <w:spacing w:before="60" w:after="60"/>
              <w:ind w:left="527" w:hanging="357"/>
              <w:rPr>
                <w:sz w:val="16"/>
              </w:rPr>
            </w:pPr>
            <w:r>
              <w:rPr>
                <w:sz w:val="16"/>
              </w:rPr>
              <w:t>Ensure</w:t>
            </w:r>
            <w:r>
              <w:rPr>
                <w:spacing w:val="15"/>
                <w:sz w:val="16"/>
              </w:rPr>
              <w:t xml:space="preserve"> </w:t>
            </w:r>
            <w:r>
              <w:rPr>
                <w:sz w:val="16"/>
              </w:rPr>
              <w:t>all</w:t>
            </w:r>
            <w:r>
              <w:rPr>
                <w:spacing w:val="16"/>
                <w:sz w:val="16"/>
              </w:rPr>
              <w:t xml:space="preserve"> </w:t>
            </w:r>
            <w:r>
              <w:rPr>
                <w:sz w:val="16"/>
              </w:rPr>
              <w:t>decisions</w:t>
            </w:r>
            <w:r>
              <w:rPr>
                <w:spacing w:val="14"/>
                <w:sz w:val="16"/>
              </w:rPr>
              <w:t xml:space="preserve"> </w:t>
            </w:r>
            <w:r>
              <w:rPr>
                <w:sz w:val="16"/>
              </w:rPr>
              <w:t>of</w:t>
            </w:r>
            <w:r>
              <w:rPr>
                <w:spacing w:val="14"/>
                <w:sz w:val="16"/>
              </w:rPr>
              <w:t xml:space="preserve"> </w:t>
            </w:r>
            <w:r>
              <w:rPr>
                <w:sz w:val="16"/>
              </w:rPr>
              <w:t>the</w:t>
            </w:r>
            <w:r>
              <w:rPr>
                <w:spacing w:val="12"/>
                <w:sz w:val="16"/>
              </w:rPr>
              <w:t xml:space="preserve"> </w:t>
            </w:r>
            <w:r>
              <w:rPr>
                <w:sz w:val="16"/>
              </w:rPr>
              <w:t>Board</w:t>
            </w:r>
            <w:r>
              <w:rPr>
                <w:spacing w:val="15"/>
                <w:sz w:val="16"/>
              </w:rPr>
              <w:t xml:space="preserve"> </w:t>
            </w:r>
            <w:r>
              <w:rPr>
                <w:sz w:val="16"/>
              </w:rPr>
              <w:t>of</w:t>
            </w:r>
            <w:r>
              <w:rPr>
                <w:spacing w:val="16"/>
                <w:sz w:val="16"/>
              </w:rPr>
              <w:t xml:space="preserve"> </w:t>
            </w:r>
            <w:r>
              <w:rPr>
                <w:sz w:val="16"/>
              </w:rPr>
              <w:t>Guardians</w:t>
            </w:r>
            <w:r>
              <w:rPr>
                <w:spacing w:val="17"/>
                <w:sz w:val="16"/>
              </w:rPr>
              <w:t xml:space="preserve"> </w:t>
            </w:r>
            <w:r>
              <w:rPr>
                <w:sz w:val="16"/>
              </w:rPr>
              <w:t>are</w:t>
            </w:r>
            <w:r>
              <w:rPr>
                <w:spacing w:val="15"/>
                <w:sz w:val="16"/>
              </w:rPr>
              <w:t xml:space="preserve"> </w:t>
            </w:r>
            <w:r>
              <w:rPr>
                <w:sz w:val="16"/>
              </w:rPr>
              <w:t>given</w:t>
            </w:r>
            <w:r>
              <w:rPr>
                <w:spacing w:val="15"/>
                <w:sz w:val="16"/>
              </w:rPr>
              <w:t xml:space="preserve"> </w:t>
            </w:r>
            <w:r>
              <w:rPr>
                <w:sz w:val="16"/>
              </w:rPr>
              <w:t>effect</w:t>
            </w:r>
            <w:r>
              <w:rPr>
                <w:spacing w:val="14"/>
                <w:sz w:val="16"/>
              </w:rPr>
              <w:t xml:space="preserve"> </w:t>
            </w:r>
            <w:r>
              <w:rPr>
                <w:sz w:val="16"/>
              </w:rPr>
              <w:t>as</w:t>
            </w:r>
            <w:r>
              <w:rPr>
                <w:spacing w:val="14"/>
                <w:sz w:val="16"/>
              </w:rPr>
              <w:t xml:space="preserve"> </w:t>
            </w:r>
            <w:r>
              <w:rPr>
                <w:sz w:val="16"/>
              </w:rPr>
              <w:t xml:space="preserve">directed </w:t>
            </w:r>
            <w:r>
              <w:rPr>
                <w:spacing w:val="-41"/>
                <w:sz w:val="16"/>
              </w:rPr>
              <w:t>by</w:t>
            </w:r>
            <w:r>
              <w:rPr>
                <w:spacing w:val="-2"/>
                <w:sz w:val="16"/>
              </w:rPr>
              <w:t xml:space="preserve">  the </w:t>
            </w:r>
            <w:r>
              <w:rPr>
                <w:sz w:val="16"/>
              </w:rPr>
              <w:t>Board</w:t>
            </w:r>
            <w:r>
              <w:rPr>
                <w:spacing w:val="-1"/>
                <w:sz w:val="16"/>
              </w:rPr>
              <w:t xml:space="preserve"> </w:t>
            </w:r>
            <w:r>
              <w:rPr>
                <w:sz w:val="16"/>
              </w:rPr>
              <w:t>within</w:t>
            </w:r>
            <w:r>
              <w:rPr>
                <w:spacing w:val="-4"/>
                <w:sz w:val="16"/>
              </w:rPr>
              <w:t xml:space="preserve"> </w:t>
            </w:r>
            <w:r>
              <w:rPr>
                <w:sz w:val="16"/>
              </w:rPr>
              <w:t>timeframes and</w:t>
            </w:r>
            <w:r>
              <w:rPr>
                <w:spacing w:val="-1"/>
                <w:sz w:val="16"/>
              </w:rPr>
              <w:t xml:space="preserve"> </w:t>
            </w:r>
            <w:r>
              <w:rPr>
                <w:sz w:val="16"/>
              </w:rPr>
              <w:t>quality</w:t>
            </w:r>
            <w:r>
              <w:rPr>
                <w:spacing w:val="-2"/>
                <w:sz w:val="16"/>
              </w:rPr>
              <w:t xml:space="preserve"> </w:t>
            </w:r>
            <w:r>
              <w:rPr>
                <w:sz w:val="16"/>
              </w:rPr>
              <w:t>levels agreed</w:t>
            </w:r>
            <w:r>
              <w:rPr>
                <w:spacing w:val="-1"/>
                <w:sz w:val="16"/>
              </w:rPr>
              <w:t xml:space="preserve"> </w:t>
            </w:r>
            <w:r>
              <w:rPr>
                <w:sz w:val="16"/>
              </w:rPr>
              <w:t>with</w:t>
            </w:r>
            <w:r>
              <w:rPr>
                <w:spacing w:val="-2"/>
                <w:sz w:val="16"/>
              </w:rPr>
              <w:t xml:space="preserve"> </w:t>
            </w:r>
            <w:r>
              <w:rPr>
                <w:sz w:val="16"/>
              </w:rPr>
              <w:t>the</w:t>
            </w:r>
            <w:r>
              <w:rPr>
                <w:spacing w:val="-3"/>
                <w:sz w:val="16"/>
              </w:rPr>
              <w:t xml:space="preserve"> </w:t>
            </w:r>
            <w:r>
              <w:rPr>
                <w:sz w:val="16"/>
              </w:rPr>
              <w:t>Board.</w:t>
            </w:r>
          </w:p>
          <w:p w14:paraId="2239E8AF" w14:textId="4E8DABA6" w:rsidR="00BF0558" w:rsidRDefault="00BF0558" w:rsidP="001A3997">
            <w:pPr>
              <w:pStyle w:val="TableParagraph"/>
              <w:numPr>
                <w:ilvl w:val="0"/>
                <w:numId w:val="33"/>
              </w:numPr>
              <w:tabs>
                <w:tab w:val="left" w:pos="464"/>
              </w:tabs>
              <w:spacing w:before="60" w:after="60"/>
              <w:ind w:left="527" w:hanging="357"/>
              <w:rPr>
                <w:sz w:val="16"/>
              </w:rPr>
            </w:pPr>
            <w:r>
              <w:rPr>
                <w:sz w:val="16"/>
              </w:rPr>
              <w:t>Ensure</w:t>
            </w:r>
            <w:r>
              <w:rPr>
                <w:spacing w:val="36"/>
                <w:sz w:val="16"/>
              </w:rPr>
              <w:t xml:space="preserve"> </w:t>
            </w:r>
            <w:r>
              <w:rPr>
                <w:sz w:val="16"/>
              </w:rPr>
              <w:t>all</w:t>
            </w:r>
            <w:r>
              <w:rPr>
                <w:spacing w:val="37"/>
                <w:sz w:val="16"/>
              </w:rPr>
              <w:t xml:space="preserve"> </w:t>
            </w:r>
            <w:r>
              <w:rPr>
                <w:sz w:val="16"/>
              </w:rPr>
              <w:t>investments</w:t>
            </w:r>
            <w:r>
              <w:rPr>
                <w:spacing w:val="38"/>
                <w:sz w:val="16"/>
              </w:rPr>
              <w:t xml:space="preserve"> </w:t>
            </w:r>
            <w:r>
              <w:rPr>
                <w:sz w:val="16"/>
              </w:rPr>
              <w:t>are</w:t>
            </w:r>
            <w:r>
              <w:rPr>
                <w:spacing w:val="35"/>
                <w:sz w:val="16"/>
              </w:rPr>
              <w:t xml:space="preserve"> </w:t>
            </w:r>
            <w:r>
              <w:rPr>
                <w:sz w:val="16"/>
              </w:rPr>
              <w:t>made</w:t>
            </w:r>
            <w:r>
              <w:rPr>
                <w:spacing w:val="36"/>
                <w:sz w:val="16"/>
              </w:rPr>
              <w:t xml:space="preserve"> </w:t>
            </w:r>
            <w:r>
              <w:rPr>
                <w:sz w:val="16"/>
              </w:rPr>
              <w:t>in</w:t>
            </w:r>
            <w:r>
              <w:rPr>
                <w:spacing w:val="36"/>
                <w:sz w:val="16"/>
              </w:rPr>
              <w:t xml:space="preserve"> </w:t>
            </w:r>
            <w:r>
              <w:rPr>
                <w:sz w:val="16"/>
              </w:rPr>
              <w:t>accordance</w:t>
            </w:r>
            <w:r>
              <w:rPr>
                <w:spacing w:val="36"/>
                <w:sz w:val="16"/>
              </w:rPr>
              <w:t xml:space="preserve"> </w:t>
            </w:r>
            <w:r>
              <w:rPr>
                <w:sz w:val="16"/>
              </w:rPr>
              <w:t>with</w:t>
            </w:r>
            <w:r>
              <w:rPr>
                <w:spacing w:val="37"/>
                <w:sz w:val="16"/>
              </w:rPr>
              <w:t xml:space="preserve"> </w:t>
            </w:r>
            <w:r>
              <w:rPr>
                <w:sz w:val="16"/>
              </w:rPr>
              <w:t>relevant</w:t>
            </w:r>
            <w:r>
              <w:rPr>
                <w:spacing w:val="37"/>
                <w:sz w:val="16"/>
              </w:rPr>
              <w:t xml:space="preserve"> </w:t>
            </w:r>
            <w:r>
              <w:rPr>
                <w:sz w:val="16"/>
              </w:rPr>
              <w:t>legislation,</w:t>
            </w:r>
            <w:r w:rsidR="00A70D16">
              <w:rPr>
                <w:spacing w:val="-42"/>
                <w:sz w:val="16"/>
              </w:rPr>
              <w:t xml:space="preserve"> </w:t>
            </w:r>
            <w:r>
              <w:rPr>
                <w:sz w:val="16"/>
              </w:rPr>
              <w:t>Investment</w:t>
            </w:r>
            <w:r>
              <w:rPr>
                <w:spacing w:val="1"/>
                <w:sz w:val="16"/>
              </w:rPr>
              <w:t xml:space="preserve"> </w:t>
            </w:r>
            <w:r>
              <w:rPr>
                <w:sz w:val="16"/>
              </w:rPr>
              <w:t>Mandate and</w:t>
            </w:r>
            <w:r>
              <w:rPr>
                <w:spacing w:val="-5"/>
                <w:sz w:val="16"/>
              </w:rPr>
              <w:t xml:space="preserve"> </w:t>
            </w:r>
            <w:r>
              <w:rPr>
                <w:sz w:val="16"/>
              </w:rPr>
              <w:t>ministerial directions.</w:t>
            </w:r>
          </w:p>
          <w:p w14:paraId="2239E8B0" w14:textId="77777777" w:rsidR="00BF0558" w:rsidRDefault="00BF0558" w:rsidP="001A3997">
            <w:pPr>
              <w:pStyle w:val="TableParagraph"/>
              <w:numPr>
                <w:ilvl w:val="0"/>
                <w:numId w:val="33"/>
              </w:numPr>
              <w:tabs>
                <w:tab w:val="left" w:pos="464"/>
              </w:tabs>
              <w:spacing w:before="60" w:after="60"/>
              <w:ind w:left="527" w:hanging="357"/>
              <w:rPr>
                <w:sz w:val="16"/>
              </w:rPr>
            </w:pPr>
            <w:r>
              <w:rPr>
                <w:sz w:val="16"/>
              </w:rPr>
              <w:t>Provide</w:t>
            </w:r>
            <w:r>
              <w:rPr>
                <w:spacing w:val="-2"/>
                <w:sz w:val="16"/>
              </w:rPr>
              <w:t xml:space="preserve"> </w:t>
            </w:r>
            <w:r>
              <w:rPr>
                <w:sz w:val="16"/>
              </w:rPr>
              <w:t>administrative</w:t>
            </w:r>
            <w:r>
              <w:rPr>
                <w:spacing w:val="-2"/>
                <w:sz w:val="16"/>
              </w:rPr>
              <w:t xml:space="preserve"> </w:t>
            </w:r>
            <w:r>
              <w:rPr>
                <w:sz w:val="16"/>
              </w:rPr>
              <w:t>services</w:t>
            </w:r>
            <w:r>
              <w:rPr>
                <w:spacing w:val="-1"/>
                <w:sz w:val="16"/>
              </w:rPr>
              <w:t xml:space="preserve"> </w:t>
            </w:r>
            <w:r>
              <w:rPr>
                <w:sz w:val="16"/>
              </w:rPr>
              <w:t>to</w:t>
            </w:r>
            <w:r>
              <w:rPr>
                <w:spacing w:val="-4"/>
                <w:sz w:val="16"/>
              </w:rPr>
              <w:t xml:space="preserve"> </w:t>
            </w:r>
            <w:r>
              <w:rPr>
                <w:sz w:val="16"/>
              </w:rPr>
              <w:t>the</w:t>
            </w:r>
            <w:r>
              <w:rPr>
                <w:spacing w:val="-2"/>
                <w:sz w:val="16"/>
              </w:rPr>
              <w:t xml:space="preserve"> </w:t>
            </w:r>
            <w:r>
              <w:rPr>
                <w:sz w:val="16"/>
              </w:rPr>
              <w:t>Board.</w:t>
            </w:r>
          </w:p>
          <w:p w14:paraId="2239E8B1" w14:textId="77777777" w:rsidR="00BF0558" w:rsidRDefault="00BF0558" w:rsidP="00C8474A">
            <w:pPr>
              <w:pStyle w:val="TableParagraph"/>
              <w:numPr>
                <w:ilvl w:val="0"/>
                <w:numId w:val="33"/>
              </w:numPr>
              <w:tabs>
                <w:tab w:val="left" w:pos="465"/>
                <w:tab w:val="left" w:pos="466"/>
              </w:tabs>
              <w:spacing w:before="60" w:after="60"/>
              <w:ind w:left="527" w:hanging="357"/>
              <w:rPr>
                <w:sz w:val="16"/>
              </w:rPr>
            </w:pPr>
            <w:r>
              <w:rPr>
                <w:sz w:val="16"/>
              </w:rPr>
              <w:t>Provide</w:t>
            </w:r>
            <w:r>
              <w:rPr>
                <w:spacing w:val="-2"/>
                <w:sz w:val="16"/>
              </w:rPr>
              <w:t xml:space="preserve"> </w:t>
            </w:r>
            <w:r>
              <w:rPr>
                <w:sz w:val="16"/>
              </w:rPr>
              <w:t>information</w:t>
            </w:r>
            <w:r>
              <w:rPr>
                <w:spacing w:val="-2"/>
                <w:sz w:val="16"/>
              </w:rPr>
              <w:t xml:space="preserve"> </w:t>
            </w:r>
            <w:r>
              <w:rPr>
                <w:sz w:val="16"/>
              </w:rPr>
              <w:t>and</w:t>
            </w:r>
            <w:r>
              <w:rPr>
                <w:spacing w:val="-2"/>
                <w:sz w:val="16"/>
              </w:rPr>
              <w:t xml:space="preserve"> </w:t>
            </w:r>
            <w:r>
              <w:rPr>
                <w:sz w:val="16"/>
              </w:rPr>
              <w:t>recommendations</w:t>
            </w:r>
            <w:r>
              <w:rPr>
                <w:spacing w:val="-3"/>
                <w:sz w:val="16"/>
              </w:rPr>
              <w:t xml:space="preserve"> </w:t>
            </w:r>
            <w:r>
              <w:rPr>
                <w:sz w:val="16"/>
              </w:rPr>
              <w:t>to</w:t>
            </w:r>
            <w:r>
              <w:rPr>
                <w:spacing w:val="-4"/>
                <w:sz w:val="16"/>
              </w:rPr>
              <w:t xml:space="preserve"> </w:t>
            </w:r>
            <w:r>
              <w:rPr>
                <w:sz w:val="16"/>
              </w:rPr>
              <w:t>the</w:t>
            </w:r>
            <w:r>
              <w:rPr>
                <w:spacing w:val="-4"/>
                <w:sz w:val="16"/>
              </w:rPr>
              <w:t xml:space="preserve"> </w:t>
            </w:r>
            <w:r>
              <w:rPr>
                <w:sz w:val="16"/>
              </w:rPr>
              <w:t>Board.</w:t>
            </w:r>
          </w:p>
          <w:p w14:paraId="2239E8B2" w14:textId="77777777" w:rsidR="00BF0558" w:rsidRDefault="00BF0558" w:rsidP="00C8474A">
            <w:pPr>
              <w:pStyle w:val="TableParagraph"/>
              <w:numPr>
                <w:ilvl w:val="0"/>
                <w:numId w:val="33"/>
              </w:numPr>
              <w:tabs>
                <w:tab w:val="left" w:pos="465"/>
                <w:tab w:val="left" w:pos="466"/>
              </w:tabs>
              <w:spacing w:before="60" w:after="60"/>
              <w:ind w:left="527" w:hanging="357"/>
              <w:rPr>
                <w:sz w:val="16"/>
              </w:rPr>
            </w:pPr>
            <w:r>
              <w:rPr>
                <w:sz w:val="16"/>
              </w:rPr>
              <w:t>Advise</w:t>
            </w:r>
            <w:r>
              <w:rPr>
                <w:spacing w:val="-4"/>
                <w:sz w:val="16"/>
              </w:rPr>
              <w:t xml:space="preserve"> </w:t>
            </w:r>
            <w:r>
              <w:rPr>
                <w:sz w:val="16"/>
              </w:rPr>
              <w:t>the</w:t>
            </w:r>
            <w:r>
              <w:rPr>
                <w:spacing w:val="-3"/>
                <w:sz w:val="16"/>
              </w:rPr>
              <w:t xml:space="preserve"> </w:t>
            </w:r>
            <w:r>
              <w:rPr>
                <w:sz w:val="16"/>
              </w:rPr>
              <w:t>Board</w:t>
            </w:r>
            <w:r>
              <w:rPr>
                <w:spacing w:val="-1"/>
                <w:sz w:val="16"/>
              </w:rPr>
              <w:t xml:space="preserve"> </w:t>
            </w:r>
            <w:r>
              <w:rPr>
                <w:sz w:val="16"/>
              </w:rPr>
              <w:t>about</w:t>
            </w:r>
            <w:r>
              <w:rPr>
                <w:spacing w:val="-3"/>
                <w:sz w:val="16"/>
              </w:rPr>
              <w:t xml:space="preserve"> </w:t>
            </w:r>
            <w:r>
              <w:rPr>
                <w:sz w:val="16"/>
              </w:rPr>
              <w:t>the</w:t>
            </w:r>
            <w:r>
              <w:rPr>
                <w:spacing w:val="-1"/>
                <w:sz w:val="16"/>
              </w:rPr>
              <w:t xml:space="preserve"> </w:t>
            </w:r>
            <w:r>
              <w:rPr>
                <w:sz w:val="16"/>
              </w:rPr>
              <w:t>performance</w:t>
            </w:r>
            <w:r>
              <w:rPr>
                <w:spacing w:val="-1"/>
                <w:sz w:val="16"/>
              </w:rPr>
              <w:t xml:space="preserve"> </w:t>
            </w:r>
            <w:r>
              <w:rPr>
                <w:sz w:val="16"/>
              </w:rPr>
              <w:t>of</w:t>
            </w:r>
            <w:r>
              <w:rPr>
                <w:spacing w:val="-3"/>
                <w:sz w:val="16"/>
              </w:rPr>
              <w:t xml:space="preserve"> </w:t>
            </w:r>
            <w:r>
              <w:rPr>
                <w:sz w:val="16"/>
              </w:rPr>
              <w:t>the</w:t>
            </w:r>
            <w:r>
              <w:rPr>
                <w:spacing w:val="-3"/>
                <w:sz w:val="16"/>
              </w:rPr>
              <w:t xml:space="preserve"> </w:t>
            </w:r>
            <w:r>
              <w:rPr>
                <w:sz w:val="16"/>
              </w:rPr>
              <w:t>Board’s</w:t>
            </w:r>
            <w:r>
              <w:rPr>
                <w:spacing w:val="-1"/>
                <w:sz w:val="16"/>
              </w:rPr>
              <w:t xml:space="preserve"> </w:t>
            </w:r>
            <w:r>
              <w:rPr>
                <w:sz w:val="16"/>
              </w:rPr>
              <w:t>functions.</w:t>
            </w:r>
          </w:p>
          <w:p w14:paraId="2239E8B3" w14:textId="77777777" w:rsidR="00BF0558" w:rsidRPr="00585F14" w:rsidRDefault="00BF0558" w:rsidP="00C8474A">
            <w:pPr>
              <w:pStyle w:val="TableParagraph"/>
              <w:numPr>
                <w:ilvl w:val="0"/>
                <w:numId w:val="33"/>
              </w:numPr>
              <w:tabs>
                <w:tab w:val="left" w:pos="465"/>
                <w:tab w:val="left" w:pos="466"/>
              </w:tabs>
              <w:spacing w:before="60" w:after="60"/>
              <w:ind w:left="527" w:hanging="357"/>
              <w:rPr>
                <w:sz w:val="16"/>
              </w:rPr>
            </w:pPr>
            <w:r>
              <w:rPr>
                <w:sz w:val="16"/>
              </w:rPr>
              <w:t>Make resources and facilities available to the Board.</w:t>
            </w:r>
          </w:p>
        </w:tc>
      </w:tr>
      <w:tr w:rsidR="00BF0558" w:rsidRPr="001C6402" w14:paraId="2239E8B8" w14:textId="77777777" w:rsidTr="004D5C6C">
        <w:trPr>
          <w:trHeight w:val="258"/>
        </w:trPr>
        <w:tc>
          <w:tcPr>
            <w:tcW w:w="1560" w:type="dxa"/>
            <w:tcBorders>
              <w:top w:val="double" w:sz="4" w:space="0" w:color="auto"/>
              <w:bottom w:val="single" w:sz="4" w:space="0" w:color="auto"/>
              <w:right w:val="single" w:sz="4" w:space="0" w:color="auto"/>
            </w:tcBorders>
          </w:tcPr>
          <w:p w14:paraId="2239E8B5" w14:textId="77777777" w:rsidR="00BF0558" w:rsidRPr="00160C23" w:rsidRDefault="00BF0558" w:rsidP="00A70D16">
            <w:pPr>
              <w:pStyle w:val="TableColumnHeadingLeft"/>
              <w:spacing w:before="60" w:after="60"/>
            </w:pPr>
            <w:r w:rsidRPr="00160C23">
              <w:t>Year</w:t>
            </w:r>
          </w:p>
        </w:tc>
        <w:tc>
          <w:tcPr>
            <w:tcW w:w="3118" w:type="dxa"/>
            <w:tcBorders>
              <w:top w:val="double" w:sz="4" w:space="0" w:color="auto"/>
              <w:left w:val="single" w:sz="4" w:space="0" w:color="auto"/>
              <w:bottom w:val="single" w:sz="4" w:space="0" w:color="auto"/>
              <w:right w:val="single" w:sz="4" w:space="0" w:color="auto"/>
            </w:tcBorders>
          </w:tcPr>
          <w:p w14:paraId="2239E8B6" w14:textId="77777777" w:rsidR="00BF0558" w:rsidRPr="00160C23" w:rsidRDefault="00BF0558" w:rsidP="00A70D16">
            <w:pPr>
              <w:pStyle w:val="TableColumnHeadingLeft"/>
              <w:spacing w:before="60" w:after="60"/>
              <w:rPr>
                <w:rFonts w:cs="Arial"/>
              </w:rPr>
            </w:pPr>
            <w:r w:rsidRPr="00160C23">
              <w:rPr>
                <w:rFonts w:cs="Arial"/>
              </w:rPr>
              <w:t>Performance measures</w:t>
            </w:r>
          </w:p>
        </w:tc>
        <w:tc>
          <w:tcPr>
            <w:tcW w:w="3118" w:type="dxa"/>
            <w:tcBorders>
              <w:top w:val="double" w:sz="4" w:space="0" w:color="auto"/>
              <w:left w:val="single" w:sz="4" w:space="0" w:color="auto"/>
              <w:bottom w:val="single" w:sz="4" w:space="0" w:color="auto"/>
            </w:tcBorders>
          </w:tcPr>
          <w:p w14:paraId="2239E8B7" w14:textId="77777777" w:rsidR="00BF0558" w:rsidRPr="00160C23" w:rsidRDefault="00BF0558" w:rsidP="00A70D16">
            <w:pPr>
              <w:pStyle w:val="TableColumnHeadingLeft"/>
              <w:spacing w:before="60" w:after="60"/>
              <w:rPr>
                <w:rFonts w:cs="Arial"/>
              </w:rPr>
            </w:pPr>
            <w:r w:rsidRPr="00160C23">
              <w:rPr>
                <w:rFonts w:cs="Arial"/>
              </w:rPr>
              <w:t>Expected Performance Results</w:t>
            </w:r>
          </w:p>
        </w:tc>
      </w:tr>
      <w:tr w:rsidR="00BF0558" w:rsidRPr="001C6402" w14:paraId="2239E8BE" w14:textId="77777777" w:rsidTr="004D5C6C">
        <w:trPr>
          <w:trHeight w:val="642"/>
        </w:trPr>
        <w:tc>
          <w:tcPr>
            <w:tcW w:w="1560" w:type="dxa"/>
            <w:tcBorders>
              <w:top w:val="single" w:sz="4" w:space="0" w:color="auto"/>
              <w:bottom w:val="dotted" w:sz="4" w:space="0" w:color="auto"/>
              <w:right w:val="single" w:sz="4" w:space="0" w:color="auto"/>
            </w:tcBorders>
          </w:tcPr>
          <w:p w14:paraId="2239E8B9" w14:textId="77777777" w:rsidR="00BF0558" w:rsidRPr="00160C23" w:rsidRDefault="00BF0558" w:rsidP="00A70D16">
            <w:pPr>
              <w:pStyle w:val="TableTextLeft"/>
              <w:spacing w:before="60" w:after="60"/>
            </w:pPr>
            <w:r>
              <w:t>Prior</w:t>
            </w:r>
            <w:r w:rsidRPr="00160C23">
              <w:t xml:space="preserve"> year </w:t>
            </w:r>
          </w:p>
          <w:p w14:paraId="2239E8BA" w14:textId="77777777" w:rsidR="00BF0558" w:rsidRPr="00160C23" w:rsidRDefault="00BF0558" w:rsidP="00A70D16">
            <w:pPr>
              <w:pStyle w:val="TableTextLeft"/>
              <w:spacing w:before="60" w:after="60"/>
            </w:pPr>
          </w:p>
          <w:p w14:paraId="2239E8BB" w14:textId="77777777" w:rsidR="00BF0558" w:rsidRPr="00160C23" w:rsidRDefault="00BF0558" w:rsidP="00A70D16">
            <w:pPr>
              <w:pStyle w:val="TableTextLeft"/>
              <w:spacing w:before="60" w:after="60"/>
            </w:pPr>
            <w:r w:rsidRPr="00160C23">
              <w:t>2021-22</w:t>
            </w:r>
          </w:p>
        </w:tc>
        <w:tc>
          <w:tcPr>
            <w:tcW w:w="3118" w:type="dxa"/>
            <w:tcBorders>
              <w:top w:val="single" w:sz="4" w:space="0" w:color="auto"/>
              <w:left w:val="single" w:sz="4" w:space="0" w:color="auto"/>
              <w:bottom w:val="dotted" w:sz="4" w:space="0" w:color="auto"/>
              <w:right w:val="single" w:sz="4" w:space="0" w:color="auto"/>
            </w:tcBorders>
          </w:tcPr>
          <w:p w14:paraId="2239E8BC" w14:textId="77777777" w:rsidR="00BF0558" w:rsidRPr="00160C23" w:rsidRDefault="00BF0558" w:rsidP="00A70D16">
            <w:pPr>
              <w:pStyle w:val="TableTextBase"/>
              <w:spacing w:before="60" w:after="60"/>
              <w:rPr>
                <w:i/>
                <w:color w:val="0070C0"/>
                <w:szCs w:val="16"/>
              </w:rPr>
            </w:pPr>
            <w:r w:rsidRPr="0027653A">
              <w:rPr>
                <w:rFonts w:eastAsia="Arial" w:cs="Arial"/>
                <w:szCs w:val="22"/>
                <w:lang w:eastAsia="en-US"/>
              </w:rPr>
              <w:t>Provide assistance and advice to the Board in</w:t>
            </w:r>
            <w:r>
              <w:rPr>
                <w:rFonts w:eastAsia="Arial" w:cs="Arial"/>
                <w:szCs w:val="22"/>
                <w:lang w:eastAsia="en-US"/>
              </w:rPr>
              <w:t xml:space="preserve"> </w:t>
            </w:r>
            <w:r w:rsidRPr="0027653A">
              <w:rPr>
                <w:rFonts w:eastAsia="Arial" w:cs="Arial"/>
                <w:spacing w:val="-42"/>
                <w:szCs w:val="22"/>
                <w:lang w:eastAsia="en-US"/>
              </w:rPr>
              <w:t xml:space="preserve"> </w:t>
            </w:r>
            <w:r w:rsidRPr="0027653A">
              <w:rPr>
                <w:rFonts w:eastAsia="Arial" w:cs="Arial"/>
                <w:szCs w:val="22"/>
                <w:lang w:eastAsia="en-US"/>
              </w:rPr>
              <w:t>pursuit of achieving the Investment Mandate</w:t>
            </w:r>
            <w:r w:rsidRPr="0027653A">
              <w:rPr>
                <w:rFonts w:eastAsia="Arial" w:cs="Arial"/>
                <w:spacing w:val="1"/>
                <w:szCs w:val="22"/>
                <w:lang w:eastAsia="en-US"/>
              </w:rPr>
              <w:t xml:space="preserve"> </w:t>
            </w:r>
            <w:r w:rsidRPr="0027653A">
              <w:rPr>
                <w:rFonts w:eastAsia="Arial" w:cs="Arial"/>
                <w:szCs w:val="22"/>
                <w:lang w:eastAsia="en-US"/>
              </w:rPr>
              <w:t>target</w:t>
            </w:r>
            <w:r w:rsidRPr="0027653A">
              <w:rPr>
                <w:rFonts w:eastAsia="Arial" w:cs="Arial"/>
                <w:spacing w:val="5"/>
                <w:szCs w:val="22"/>
                <w:lang w:eastAsia="en-US"/>
              </w:rPr>
              <w:t xml:space="preserve"> </w:t>
            </w:r>
            <w:r w:rsidRPr="0027653A">
              <w:rPr>
                <w:rFonts w:eastAsia="Arial" w:cs="Arial"/>
                <w:szCs w:val="22"/>
                <w:lang w:eastAsia="en-US"/>
              </w:rPr>
              <w:t>return</w:t>
            </w:r>
            <w:r w:rsidRPr="0027653A">
              <w:rPr>
                <w:rFonts w:eastAsia="Arial" w:cs="Arial"/>
                <w:spacing w:val="3"/>
                <w:szCs w:val="22"/>
                <w:lang w:eastAsia="en-US"/>
              </w:rPr>
              <w:t xml:space="preserve"> </w:t>
            </w:r>
            <w:r w:rsidRPr="0027653A">
              <w:rPr>
                <w:rFonts w:eastAsia="Arial" w:cs="Arial"/>
                <w:szCs w:val="22"/>
                <w:lang w:eastAsia="en-US"/>
              </w:rPr>
              <w:t>over the</w:t>
            </w:r>
            <w:r w:rsidRPr="0027653A">
              <w:rPr>
                <w:rFonts w:eastAsia="Arial" w:cs="Arial"/>
                <w:spacing w:val="4"/>
                <w:szCs w:val="22"/>
                <w:lang w:eastAsia="en-US"/>
              </w:rPr>
              <w:t xml:space="preserve"> </w:t>
            </w:r>
            <w:r w:rsidRPr="0027653A">
              <w:rPr>
                <w:rFonts w:eastAsia="Arial" w:cs="Arial"/>
                <w:szCs w:val="22"/>
                <w:lang w:eastAsia="en-US"/>
              </w:rPr>
              <w:t>long</w:t>
            </w:r>
            <w:r w:rsidRPr="0027653A">
              <w:rPr>
                <w:rFonts w:eastAsia="Arial" w:cs="Arial"/>
                <w:spacing w:val="1"/>
                <w:szCs w:val="22"/>
                <w:lang w:eastAsia="en-US"/>
              </w:rPr>
              <w:t xml:space="preserve"> </w:t>
            </w:r>
            <w:r w:rsidRPr="0027653A">
              <w:rPr>
                <w:rFonts w:eastAsia="Arial" w:cs="Arial"/>
                <w:szCs w:val="22"/>
                <w:lang w:eastAsia="en-US"/>
              </w:rPr>
              <w:t>term</w:t>
            </w:r>
            <w:r w:rsidRPr="0027653A">
              <w:rPr>
                <w:rFonts w:eastAsia="Arial" w:cs="Arial"/>
                <w:spacing w:val="7"/>
                <w:szCs w:val="22"/>
                <w:lang w:eastAsia="en-US"/>
              </w:rPr>
              <w:t xml:space="preserve"> </w:t>
            </w:r>
            <w:r w:rsidRPr="0027653A">
              <w:rPr>
                <w:rFonts w:eastAsia="Arial" w:cs="Arial"/>
                <w:szCs w:val="22"/>
                <w:lang w:eastAsia="en-US"/>
              </w:rPr>
              <w:t>(interpreted</w:t>
            </w:r>
            <w:r w:rsidRPr="0027653A">
              <w:rPr>
                <w:rFonts w:eastAsia="Arial" w:cs="Arial"/>
                <w:spacing w:val="1"/>
                <w:szCs w:val="22"/>
                <w:lang w:eastAsia="en-US"/>
              </w:rPr>
              <w:t xml:space="preserve"> </w:t>
            </w:r>
            <w:r w:rsidRPr="0027653A">
              <w:rPr>
                <w:rFonts w:eastAsia="Arial" w:cs="Arial"/>
                <w:szCs w:val="22"/>
                <w:lang w:eastAsia="en-US"/>
              </w:rPr>
              <w:t>as rolling 10 year periods) with acceptable but</w:t>
            </w:r>
            <w:r w:rsidRPr="0027653A">
              <w:rPr>
                <w:rFonts w:eastAsia="Arial" w:cs="Arial"/>
                <w:spacing w:val="-43"/>
                <w:szCs w:val="22"/>
                <w:lang w:eastAsia="en-US"/>
              </w:rPr>
              <w:t xml:space="preserve"> </w:t>
            </w:r>
            <w:r w:rsidRPr="0027653A">
              <w:rPr>
                <w:rFonts w:eastAsia="Arial" w:cs="Arial"/>
                <w:szCs w:val="22"/>
                <w:lang w:eastAsia="en-US"/>
              </w:rPr>
              <w:t>not</w:t>
            </w:r>
            <w:r w:rsidRPr="0027653A">
              <w:rPr>
                <w:rFonts w:eastAsia="Arial" w:cs="Arial"/>
                <w:spacing w:val="1"/>
                <w:szCs w:val="22"/>
                <w:lang w:eastAsia="en-US"/>
              </w:rPr>
              <w:t xml:space="preserve"> </w:t>
            </w:r>
            <w:r w:rsidRPr="0027653A">
              <w:rPr>
                <w:rFonts w:eastAsia="Arial" w:cs="Arial"/>
                <w:szCs w:val="22"/>
                <w:lang w:eastAsia="en-US"/>
              </w:rPr>
              <w:t>excessive</w:t>
            </w:r>
            <w:r w:rsidRPr="0027653A">
              <w:rPr>
                <w:rFonts w:eastAsia="Arial" w:cs="Arial"/>
                <w:spacing w:val="-2"/>
                <w:szCs w:val="22"/>
                <w:lang w:eastAsia="en-US"/>
              </w:rPr>
              <w:t xml:space="preserve"> </w:t>
            </w:r>
            <w:r w:rsidRPr="0027653A">
              <w:rPr>
                <w:rFonts w:eastAsia="Arial" w:cs="Arial"/>
                <w:szCs w:val="22"/>
                <w:lang w:eastAsia="en-US"/>
              </w:rPr>
              <w:t>risk.</w:t>
            </w:r>
          </w:p>
        </w:tc>
        <w:tc>
          <w:tcPr>
            <w:tcW w:w="3118" w:type="dxa"/>
            <w:tcBorders>
              <w:top w:val="single" w:sz="4" w:space="0" w:color="auto"/>
              <w:left w:val="single" w:sz="4" w:space="0" w:color="auto"/>
              <w:bottom w:val="dotted" w:sz="4" w:space="0" w:color="auto"/>
            </w:tcBorders>
          </w:tcPr>
          <w:p w14:paraId="2239E8BD" w14:textId="77777777" w:rsidR="00BF0558" w:rsidRPr="00160C23" w:rsidRDefault="00BF0558" w:rsidP="00A70D16">
            <w:pPr>
              <w:pStyle w:val="TableTextBase"/>
              <w:spacing w:before="60" w:after="60"/>
              <w:rPr>
                <w:i/>
                <w:color w:val="0070C0"/>
                <w:szCs w:val="16"/>
              </w:rPr>
            </w:pPr>
            <w:r w:rsidRPr="00693C58">
              <w:rPr>
                <w:rFonts w:eastAsia="Arial" w:cs="Arial"/>
                <w:szCs w:val="22"/>
                <w:lang w:eastAsia="en-US"/>
              </w:rPr>
              <w:t>As at 30 June 2022 the actual</w:t>
            </w:r>
            <w:r w:rsidRPr="00693C58">
              <w:rPr>
                <w:rFonts w:eastAsia="Arial" w:cs="Arial"/>
                <w:spacing w:val="1"/>
                <w:szCs w:val="22"/>
                <w:lang w:eastAsia="en-US"/>
              </w:rPr>
              <w:t xml:space="preserve"> </w:t>
            </w:r>
            <w:r w:rsidRPr="00693C58">
              <w:rPr>
                <w:rFonts w:eastAsia="Arial" w:cs="Arial"/>
                <w:szCs w:val="22"/>
                <w:lang w:eastAsia="en-US"/>
              </w:rPr>
              <w:t>return was 9.7% pa over the last 10</w:t>
            </w:r>
            <w:r>
              <w:rPr>
                <w:rFonts w:eastAsia="Arial" w:cs="Arial"/>
                <w:szCs w:val="22"/>
                <w:lang w:eastAsia="en-US"/>
              </w:rPr>
              <w:t xml:space="preserve"> </w:t>
            </w:r>
            <w:r w:rsidRPr="00693C58">
              <w:rPr>
                <w:rFonts w:eastAsia="Arial" w:cs="Arial"/>
                <w:spacing w:val="-42"/>
                <w:szCs w:val="22"/>
                <w:lang w:eastAsia="en-US"/>
              </w:rPr>
              <w:t xml:space="preserve"> </w:t>
            </w:r>
            <w:r w:rsidRPr="00693C58">
              <w:rPr>
                <w:rFonts w:eastAsia="Arial" w:cs="Arial"/>
                <w:szCs w:val="22"/>
                <w:lang w:eastAsia="en-US"/>
              </w:rPr>
              <w:t>years against a target</w:t>
            </w:r>
            <w:r w:rsidRPr="00693C58">
              <w:rPr>
                <w:rFonts w:eastAsia="Arial" w:cs="Arial"/>
                <w:spacing w:val="1"/>
                <w:szCs w:val="22"/>
                <w:lang w:eastAsia="en-US"/>
              </w:rPr>
              <w:t xml:space="preserve"> </w:t>
            </w:r>
            <w:r w:rsidRPr="00693C58">
              <w:rPr>
                <w:rFonts w:eastAsia="Arial" w:cs="Arial"/>
                <w:szCs w:val="22"/>
                <w:lang w:eastAsia="en-US"/>
              </w:rPr>
              <w:t>benchmark</w:t>
            </w:r>
            <w:r w:rsidRPr="00693C58">
              <w:rPr>
                <w:rFonts w:eastAsia="Arial" w:cs="Arial"/>
                <w:spacing w:val="-2"/>
                <w:szCs w:val="22"/>
                <w:lang w:eastAsia="en-US"/>
              </w:rPr>
              <w:t xml:space="preserve"> </w:t>
            </w:r>
            <w:r w:rsidRPr="00693C58">
              <w:rPr>
                <w:rFonts w:eastAsia="Arial" w:cs="Arial"/>
                <w:szCs w:val="22"/>
                <w:lang w:eastAsia="en-US"/>
              </w:rPr>
              <w:t>return of</w:t>
            </w:r>
            <w:r w:rsidRPr="00693C58">
              <w:rPr>
                <w:rFonts w:eastAsia="Arial" w:cs="Arial"/>
                <w:spacing w:val="-1"/>
                <w:szCs w:val="22"/>
                <w:lang w:eastAsia="en-US"/>
              </w:rPr>
              <w:t xml:space="preserve"> </w:t>
            </w:r>
            <w:r w:rsidRPr="00693C58">
              <w:rPr>
                <w:rFonts w:eastAsia="Arial" w:cs="Arial"/>
                <w:szCs w:val="22"/>
                <w:lang w:eastAsia="en-US"/>
              </w:rPr>
              <w:t>6.6% pa, delivered</w:t>
            </w:r>
            <w:r>
              <w:rPr>
                <w:rFonts w:eastAsia="Arial" w:cs="Arial"/>
                <w:szCs w:val="22"/>
                <w:lang w:eastAsia="en-US"/>
              </w:rPr>
              <w:t xml:space="preserve"> within the mandate’s risk parameters</w:t>
            </w:r>
            <w:r w:rsidRPr="0082275A">
              <w:rPr>
                <w:rFonts w:eastAsia="Arial" w:cs="Arial"/>
                <w:szCs w:val="22"/>
                <w:lang w:eastAsia="en-US"/>
              </w:rPr>
              <w:t>.</w:t>
            </w:r>
          </w:p>
        </w:tc>
      </w:tr>
      <w:tr w:rsidR="00BF0558" w:rsidRPr="001C6402" w14:paraId="2239E8C2" w14:textId="77777777" w:rsidTr="004D5C6C">
        <w:trPr>
          <w:trHeight w:val="100"/>
        </w:trPr>
        <w:tc>
          <w:tcPr>
            <w:tcW w:w="1560" w:type="dxa"/>
            <w:tcBorders>
              <w:top w:val="single" w:sz="4" w:space="0" w:color="auto"/>
              <w:bottom w:val="dotted" w:sz="4" w:space="0" w:color="auto"/>
              <w:right w:val="single" w:sz="4" w:space="0" w:color="auto"/>
            </w:tcBorders>
          </w:tcPr>
          <w:p w14:paraId="2239E8BF" w14:textId="77777777" w:rsidR="00BF0558" w:rsidRPr="00160C23" w:rsidRDefault="00BF0558" w:rsidP="00A70D16">
            <w:pPr>
              <w:pStyle w:val="TableColumnHeadingLeft"/>
              <w:spacing w:before="60" w:after="60"/>
            </w:pPr>
            <w:r w:rsidRPr="00160C23">
              <w:t>Year</w:t>
            </w:r>
          </w:p>
        </w:tc>
        <w:tc>
          <w:tcPr>
            <w:tcW w:w="3118" w:type="dxa"/>
            <w:tcBorders>
              <w:top w:val="single" w:sz="4" w:space="0" w:color="auto"/>
              <w:left w:val="single" w:sz="4" w:space="0" w:color="auto"/>
              <w:bottom w:val="dotted" w:sz="4" w:space="0" w:color="auto"/>
              <w:right w:val="single" w:sz="4" w:space="0" w:color="auto"/>
            </w:tcBorders>
          </w:tcPr>
          <w:p w14:paraId="2239E8C0" w14:textId="77777777" w:rsidR="00BF0558" w:rsidRPr="00160C23" w:rsidRDefault="00BF0558" w:rsidP="00A70D16">
            <w:pPr>
              <w:pStyle w:val="TableColumnHeadingLeft"/>
              <w:spacing w:before="60" w:after="60"/>
            </w:pPr>
            <w:r w:rsidRPr="00160C23">
              <w:t>Performance measures</w:t>
            </w:r>
          </w:p>
        </w:tc>
        <w:tc>
          <w:tcPr>
            <w:tcW w:w="3118" w:type="dxa"/>
            <w:tcBorders>
              <w:top w:val="single" w:sz="4" w:space="0" w:color="auto"/>
              <w:left w:val="single" w:sz="4" w:space="0" w:color="auto"/>
              <w:bottom w:val="dotted" w:sz="4" w:space="0" w:color="auto"/>
            </w:tcBorders>
          </w:tcPr>
          <w:p w14:paraId="2239E8C1" w14:textId="77777777" w:rsidR="00BF0558" w:rsidRPr="00160C23" w:rsidRDefault="00BF0558" w:rsidP="00A70D16">
            <w:pPr>
              <w:pStyle w:val="TableColumnHeadingLeft"/>
              <w:spacing w:before="60" w:after="60"/>
            </w:pPr>
            <w:r>
              <w:t>Planned</w:t>
            </w:r>
            <w:r w:rsidRPr="00160C23">
              <w:t xml:space="preserve"> Performance Results</w:t>
            </w:r>
          </w:p>
        </w:tc>
      </w:tr>
      <w:tr w:rsidR="00BF0558" w:rsidRPr="001C6402" w14:paraId="2239E8C7" w14:textId="77777777" w:rsidTr="004D5C6C">
        <w:trPr>
          <w:trHeight w:val="100"/>
        </w:trPr>
        <w:tc>
          <w:tcPr>
            <w:tcW w:w="1560" w:type="dxa"/>
            <w:tcBorders>
              <w:top w:val="single" w:sz="4" w:space="0" w:color="auto"/>
              <w:bottom w:val="dotted" w:sz="4" w:space="0" w:color="auto"/>
              <w:right w:val="single" w:sz="4" w:space="0" w:color="auto"/>
            </w:tcBorders>
          </w:tcPr>
          <w:p w14:paraId="2239E8C3" w14:textId="77777777" w:rsidR="00BF0558" w:rsidRDefault="00BF0558" w:rsidP="00A70D16">
            <w:pPr>
              <w:pStyle w:val="TableTextLeft"/>
              <w:spacing w:before="60" w:after="60"/>
            </w:pPr>
            <w:r w:rsidRPr="001B2F81">
              <w:t xml:space="preserve">Budget Year </w:t>
            </w:r>
          </w:p>
          <w:p w14:paraId="2239E8C4" w14:textId="77777777" w:rsidR="00BF0558" w:rsidRPr="001B2F81" w:rsidRDefault="00BF0558" w:rsidP="00A70D16">
            <w:pPr>
              <w:pStyle w:val="TableTextLeft"/>
              <w:spacing w:before="60" w:after="60"/>
            </w:pPr>
            <w:r w:rsidRPr="001B2F81">
              <w:t>202</w:t>
            </w:r>
            <w:r>
              <w:t>2</w:t>
            </w:r>
            <w:r w:rsidRPr="001B2F81">
              <w:t>-</w:t>
            </w:r>
            <w:r>
              <w:t>23</w:t>
            </w:r>
          </w:p>
        </w:tc>
        <w:tc>
          <w:tcPr>
            <w:tcW w:w="3118" w:type="dxa"/>
            <w:tcBorders>
              <w:top w:val="single" w:sz="4" w:space="0" w:color="auto"/>
              <w:left w:val="single" w:sz="4" w:space="0" w:color="auto"/>
              <w:bottom w:val="dotted" w:sz="4" w:space="0" w:color="auto"/>
              <w:right w:val="single" w:sz="4" w:space="0" w:color="auto"/>
            </w:tcBorders>
          </w:tcPr>
          <w:p w14:paraId="2239E8C5" w14:textId="77777777" w:rsidR="00BF0558" w:rsidRPr="00520FB7" w:rsidRDefault="00BF0558" w:rsidP="00A70D16">
            <w:pPr>
              <w:pStyle w:val="TableTextBase"/>
              <w:spacing w:before="60" w:after="60"/>
              <w:rPr>
                <w:color w:val="0070C0"/>
              </w:rPr>
            </w:pPr>
            <w:r w:rsidRPr="00520FB7">
              <w:rPr>
                <w:rFonts w:eastAsia="Arial" w:cs="Arial"/>
                <w:szCs w:val="22"/>
                <w:lang w:eastAsia="en-US"/>
              </w:rPr>
              <w:t>As</w:t>
            </w:r>
            <w:r w:rsidRPr="00520FB7">
              <w:rPr>
                <w:rFonts w:eastAsia="Arial" w:cs="Arial"/>
                <w:spacing w:val="-1"/>
                <w:szCs w:val="22"/>
                <w:lang w:eastAsia="en-US"/>
              </w:rPr>
              <w:t xml:space="preserve"> </w:t>
            </w:r>
            <w:r w:rsidRPr="00520FB7">
              <w:rPr>
                <w:rFonts w:eastAsia="Arial" w:cs="Arial"/>
                <w:szCs w:val="22"/>
                <w:lang w:eastAsia="en-US"/>
              </w:rPr>
              <w:t>per</w:t>
            </w:r>
            <w:r w:rsidRPr="00520FB7">
              <w:rPr>
                <w:rFonts w:eastAsia="Arial" w:cs="Arial"/>
                <w:spacing w:val="-1"/>
                <w:szCs w:val="22"/>
                <w:lang w:eastAsia="en-US"/>
              </w:rPr>
              <w:t xml:space="preserve"> </w:t>
            </w:r>
            <w:r w:rsidRPr="00520FB7">
              <w:rPr>
                <w:rFonts w:eastAsia="Arial" w:cs="Arial"/>
                <w:szCs w:val="22"/>
                <w:lang w:eastAsia="en-US"/>
              </w:rPr>
              <w:t>2021-22</w:t>
            </w:r>
          </w:p>
        </w:tc>
        <w:tc>
          <w:tcPr>
            <w:tcW w:w="3118" w:type="dxa"/>
            <w:tcBorders>
              <w:top w:val="single" w:sz="4" w:space="0" w:color="auto"/>
              <w:left w:val="single" w:sz="4" w:space="0" w:color="auto"/>
              <w:bottom w:val="dotted" w:sz="4" w:space="0" w:color="auto"/>
            </w:tcBorders>
          </w:tcPr>
          <w:p w14:paraId="2239E8C6" w14:textId="77777777" w:rsidR="00BF0558" w:rsidRPr="00160C23" w:rsidRDefault="00BF0558" w:rsidP="00A70D16">
            <w:pPr>
              <w:pStyle w:val="TableTextBase"/>
              <w:spacing w:before="60" w:after="60"/>
              <w:rPr>
                <w:i/>
                <w:color w:val="0070C0"/>
              </w:rPr>
            </w:pPr>
            <w:r w:rsidRPr="00C00191">
              <w:rPr>
                <w:rFonts w:eastAsia="Arial" w:cs="Arial"/>
                <w:szCs w:val="22"/>
                <w:lang w:eastAsia="en-US"/>
              </w:rPr>
              <w:t>To achieve a return in line with</w:t>
            </w:r>
            <w:r>
              <w:rPr>
                <w:rFonts w:eastAsia="Arial" w:cs="Arial"/>
                <w:szCs w:val="22"/>
                <w:lang w:eastAsia="en-US"/>
              </w:rPr>
              <w:t xml:space="preserve"> </w:t>
            </w:r>
            <w:r w:rsidRPr="00C00191">
              <w:rPr>
                <w:rFonts w:eastAsia="Arial" w:cs="Arial"/>
                <w:spacing w:val="-42"/>
                <w:szCs w:val="22"/>
                <w:lang w:eastAsia="en-US"/>
              </w:rPr>
              <w:t xml:space="preserve"> </w:t>
            </w:r>
            <w:r w:rsidRPr="00C00191">
              <w:rPr>
                <w:rFonts w:eastAsia="Arial" w:cs="Arial"/>
                <w:szCs w:val="22"/>
                <w:lang w:eastAsia="en-US"/>
              </w:rPr>
              <w:t>the long-term target return with</w:t>
            </w:r>
            <w:r w:rsidRPr="00C00191">
              <w:rPr>
                <w:rFonts w:eastAsia="Arial" w:cs="Arial"/>
                <w:spacing w:val="-42"/>
                <w:szCs w:val="22"/>
                <w:lang w:eastAsia="en-US"/>
              </w:rPr>
              <w:t xml:space="preserve"> </w:t>
            </w:r>
            <w:r>
              <w:rPr>
                <w:rFonts w:eastAsia="Arial" w:cs="Arial"/>
                <w:spacing w:val="-42"/>
                <w:szCs w:val="22"/>
                <w:lang w:eastAsia="en-US"/>
              </w:rPr>
              <w:t xml:space="preserve">   </w:t>
            </w:r>
            <w:r w:rsidRPr="00C00191">
              <w:rPr>
                <w:rFonts w:eastAsia="Arial" w:cs="Arial"/>
                <w:szCs w:val="22"/>
                <w:lang w:eastAsia="en-US"/>
              </w:rPr>
              <w:t>acceptable but not excessive</w:t>
            </w:r>
            <w:r w:rsidRPr="00C00191">
              <w:rPr>
                <w:rFonts w:eastAsia="Arial" w:cs="Arial"/>
                <w:spacing w:val="1"/>
                <w:szCs w:val="22"/>
                <w:lang w:eastAsia="en-US"/>
              </w:rPr>
              <w:t xml:space="preserve"> </w:t>
            </w:r>
            <w:r w:rsidRPr="00C00191">
              <w:rPr>
                <w:rFonts w:eastAsia="Arial" w:cs="Arial"/>
                <w:szCs w:val="22"/>
                <w:lang w:eastAsia="en-US"/>
              </w:rPr>
              <w:t>risk.</w:t>
            </w:r>
          </w:p>
        </w:tc>
      </w:tr>
      <w:tr w:rsidR="00BF0558" w:rsidRPr="001C6402" w14:paraId="2239E8CC" w14:textId="77777777" w:rsidTr="00520FB7">
        <w:trPr>
          <w:trHeight w:val="491"/>
        </w:trPr>
        <w:tc>
          <w:tcPr>
            <w:tcW w:w="1560" w:type="dxa"/>
            <w:tcBorders>
              <w:top w:val="dotted" w:sz="4" w:space="0" w:color="auto"/>
              <w:bottom w:val="single" w:sz="4" w:space="0" w:color="auto"/>
              <w:right w:val="single" w:sz="4" w:space="0" w:color="auto"/>
            </w:tcBorders>
          </w:tcPr>
          <w:p w14:paraId="2239E8C8" w14:textId="77777777" w:rsidR="00BF0558" w:rsidRPr="001B2F81" w:rsidRDefault="00BF0558" w:rsidP="00A70D16">
            <w:pPr>
              <w:pStyle w:val="TableTextLeft"/>
              <w:spacing w:before="60" w:after="60"/>
            </w:pPr>
            <w:r w:rsidRPr="001B2F81">
              <w:t xml:space="preserve">Forward Estimates </w:t>
            </w:r>
          </w:p>
          <w:p w14:paraId="2239E8C9" w14:textId="77777777" w:rsidR="00BF0558" w:rsidRPr="001B2F81" w:rsidRDefault="00BF0558" w:rsidP="00A70D16">
            <w:pPr>
              <w:pStyle w:val="TableTextLeft"/>
              <w:spacing w:before="60" w:after="60"/>
              <w:rPr>
                <w:b/>
              </w:rPr>
            </w:pPr>
            <w:r w:rsidRPr="001B2F81">
              <w:t>202</w:t>
            </w:r>
            <w:r>
              <w:t>3</w:t>
            </w:r>
            <w:r w:rsidRPr="001B2F81">
              <w:t>-</w:t>
            </w:r>
            <w:r>
              <w:t>26</w:t>
            </w:r>
          </w:p>
        </w:tc>
        <w:tc>
          <w:tcPr>
            <w:tcW w:w="3118" w:type="dxa"/>
            <w:tcBorders>
              <w:top w:val="dotted" w:sz="4" w:space="0" w:color="auto"/>
              <w:left w:val="single" w:sz="4" w:space="0" w:color="auto"/>
              <w:bottom w:val="single" w:sz="4" w:space="0" w:color="auto"/>
              <w:right w:val="single" w:sz="4" w:space="0" w:color="auto"/>
            </w:tcBorders>
          </w:tcPr>
          <w:p w14:paraId="2239E8CA" w14:textId="77777777" w:rsidR="00BF0558" w:rsidRPr="00520FB7" w:rsidRDefault="00BF0558" w:rsidP="00A70D16">
            <w:pPr>
              <w:pStyle w:val="TableTextBase"/>
              <w:spacing w:before="60" w:after="60"/>
              <w:rPr>
                <w:b/>
                <w:color w:val="0070C0"/>
              </w:rPr>
            </w:pPr>
            <w:r w:rsidRPr="00520FB7">
              <w:rPr>
                <w:rFonts w:eastAsia="Arial" w:cs="Arial"/>
                <w:szCs w:val="22"/>
                <w:lang w:eastAsia="en-US"/>
              </w:rPr>
              <w:t>As</w:t>
            </w:r>
            <w:r w:rsidRPr="00520FB7">
              <w:rPr>
                <w:rFonts w:eastAsia="Arial" w:cs="Arial"/>
                <w:spacing w:val="-1"/>
                <w:szCs w:val="22"/>
                <w:lang w:eastAsia="en-US"/>
              </w:rPr>
              <w:t xml:space="preserve"> </w:t>
            </w:r>
            <w:r w:rsidRPr="00520FB7">
              <w:rPr>
                <w:rFonts w:eastAsia="Arial" w:cs="Arial"/>
                <w:szCs w:val="22"/>
                <w:lang w:eastAsia="en-US"/>
              </w:rPr>
              <w:t>per</w:t>
            </w:r>
            <w:r w:rsidRPr="00520FB7">
              <w:rPr>
                <w:rFonts w:eastAsia="Arial" w:cs="Arial"/>
                <w:spacing w:val="-1"/>
                <w:szCs w:val="22"/>
                <w:lang w:eastAsia="en-US"/>
              </w:rPr>
              <w:t xml:space="preserve"> </w:t>
            </w:r>
            <w:r w:rsidRPr="00520FB7">
              <w:rPr>
                <w:rFonts w:eastAsia="Arial" w:cs="Arial"/>
                <w:szCs w:val="22"/>
                <w:lang w:eastAsia="en-US"/>
              </w:rPr>
              <w:t>2022-23</w:t>
            </w:r>
          </w:p>
        </w:tc>
        <w:tc>
          <w:tcPr>
            <w:tcW w:w="3118" w:type="dxa"/>
            <w:tcBorders>
              <w:top w:val="dotted" w:sz="4" w:space="0" w:color="auto"/>
              <w:left w:val="single" w:sz="4" w:space="0" w:color="auto"/>
              <w:bottom w:val="single" w:sz="4" w:space="0" w:color="auto"/>
            </w:tcBorders>
          </w:tcPr>
          <w:p w14:paraId="2239E8CB" w14:textId="77777777" w:rsidR="00BF0558" w:rsidRPr="00520FB7" w:rsidRDefault="00BF0558" w:rsidP="00A70D16">
            <w:pPr>
              <w:pStyle w:val="TableTextBase"/>
              <w:spacing w:before="60" w:after="60"/>
              <w:rPr>
                <w:b/>
                <w:color w:val="0070C0"/>
              </w:rPr>
            </w:pPr>
            <w:r w:rsidRPr="00520FB7">
              <w:rPr>
                <w:rFonts w:eastAsia="Arial" w:cs="Arial"/>
                <w:szCs w:val="22"/>
                <w:lang w:eastAsia="en-US"/>
              </w:rPr>
              <w:t>As</w:t>
            </w:r>
            <w:r w:rsidRPr="00520FB7">
              <w:rPr>
                <w:rFonts w:eastAsia="Arial" w:cs="Arial"/>
                <w:spacing w:val="-1"/>
                <w:szCs w:val="22"/>
                <w:lang w:eastAsia="en-US"/>
              </w:rPr>
              <w:t xml:space="preserve"> </w:t>
            </w:r>
            <w:r w:rsidRPr="00520FB7">
              <w:rPr>
                <w:rFonts w:eastAsia="Arial" w:cs="Arial"/>
                <w:szCs w:val="22"/>
                <w:lang w:eastAsia="en-US"/>
              </w:rPr>
              <w:t>per</w:t>
            </w:r>
            <w:r w:rsidRPr="00520FB7">
              <w:rPr>
                <w:rFonts w:eastAsia="Arial" w:cs="Arial"/>
                <w:spacing w:val="-1"/>
                <w:szCs w:val="22"/>
                <w:lang w:eastAsia="en-US"/>
              </w:rPr>
              <w:t xml:space="preserve"> </w:t>
            </w:r>
            <w:r w:rsidRPr="00520FB7">
              <w:rPr>
                <w:rFonts w:eastAsia="Arial" w:cs="Arial"/>
                <w:szCs w:val="22"/>
                <w:lang w:eastAsia="en-US"/>
              </w:rPr>
              <w:t>2022-23</w:t>
            </w:r>
          </w:p>
        </w:tc>
      </w:tr>
      <w:tr w:rsidR="006C3D4F" w:rsidRPr="00160C23" w14:paraId="4E8E6A6D" w14:textId="77777777" w:rsidTr="00333377">
        <w:trPr>
          <w:trHeight w:val="291"/>
        </w:trPr>
        <w:tc>
          <w:tcPr>
            <w:tcW w:w="7796" w:type="dxa"/>
            <w:gridSpan w:val="3"/>
          </w:tcPr>
          <w:p w14:paraId="01E1CD52" w14:textId="56F8915A" w:rsidR="006C3D4F" w:rsidRPr="00160C23" w:rsidRDefault="006C3D4F" w:rsidP="00A70D16">
            <w:pPr>
              <w:pStyle w:val="TableTextLeft"/>
              <w:spacing w:before="60" w:after="60"/>
              <w:rPr>
                <w:rFonts w:eastAsia="Cambria"/>
                <w:bCs/>
                <w:iCs/>
                <w:color w:val="0070C0"/>
                <w:spacing w:val="-6"/>
                <w:lang w:val="x-none"/>
              </w:rPr>
            </w:pPr>
            <w:r w:rsidRPr="005E458D">
              <w:t>Materi</w:t>
            </w:r>
            <w:r w:rsidR="005E458D" w:rsidRPr="005E458D">
              <w:t>al changes to Program 1.1</w:t>
            </w:r>
            <w:r w:rsidRPr="005E458D">
              <w:t xml:space="preserve"> resulting from October 2022-23 Budget Measures:</w:t>
            </w:r>
            <w:r w:rsidR="005E458D" w:rsidRPr="005E458D">
              <w:rPr>
                <w:bCs/>
                <w:iCs/>
                <w:spacing w:val="-6"/>
              </w:rPr>
              <w:t xml:space="preserve"> Nil</w:t>
            </w:r>
          </w:p>
        </w:tc>
      </w:tr>
    </w:tbl>
    <w:p w14:paraId="38886D14" w14:textId="77777777" w:rsidR="001853D7" w:rsidRDefault="001853D7" w:rsidP="000916A3">
      <w:pPr>
        <w:pStyle w:val="TableHeading"/>
      </w:pPr>
      <w:r>
        <w:br w:type="page"/>
      </w:r>
    </w:p>
    <w:p w14:paraId="2239E8CD" w14:textId="05B62A7B" w:rsidR="00BF0558" w:rsidRPr="001853D7" w:rsidRDefault="00BF0558" w:rsidP="001853D7">
      <w:pPr>
        <w:spacing w:after="0" w:line="240" w:lineRule="auto"/>
        <w:rPr>
          <w:rFonts w:ascii="Arial" w:hAnsi="Arial"/>
          <w:b/>
          <w:sz w:val="20"/>
        </w:rPr>
      </w:pPr>
      <w:r w:rsidRPr="001853D7">
        <w:rPr>
          <w:rFonts w:ascii="Arial" w:hAnsi="Arial"/>
          <w:b/>
          <w:sz w:val="20"/>
        </w:rPr>
        <w:lastRenderedPageBreak/>
        <w:t>Table 2.1.3: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3118"/>
        <w:gridCol w:w="3118"/>
      </w:tblGrid>
      <w:tr w:rsidR="001C24E6" w:rsidRPr="00535AEA" w14:paraId="2239E8CF" w14:textId="77777777" w:rsidTr="00485B42">
        <w:trPr>
          <w:trHeight w:val="569"/>
        </w:trPr>
        <w:tc>
          <w:tcPr>
            <w:tcW w:w="7796" w:type="dxa"/>
            <w:gridSpan w:val="3"/>
            <w:shd w:val="clear" w:color="auto" w:fill="F2F2F2"/>
          </w:tcPr>
          <w:p w14:paraId="2239E8CE" w14:textId="77777777" w:rsidR="001C24E6" w:rsidRPr="00535AEA" w:rsidRDefault="001C24E6" w:rsidP="00A70D16">
            <w:pPr>
              <w:pStyle w:val="TableColumnHeadingLeft"/>
              <w:spacing w:before="60" w:after="60"/>
              <w:rPr>
                <w:rFonts w:ascii="Arial" w:hAnsi="Arial" w:cs="Arial"/>
              </w:rPr>
            </w:pPr>
            <w:r w:rsidRPr="00535AEA">
              <w:rPr>
                <w:rFonts w:ascii="Arial" w:hAnsi="Arial" w:cs="Arial"/>
              </w:rPr>
              <w:t xml:space="preserve">Outcome 1 </w:t>
            </w:r>
            <w:r w:rsidRPr="00051A18">
              <w:rPr>
                <w:rFonts w:ascii="Arial" w:hAnsi="Arial" w:cs="Arial"/>
              </w:rPr>
              <w:t xml:space="preserve">– </w:t>
            </w:r>
            <w:r w:rsidRPr="00051A18">
              <w:rPr>
                <w:rFonts w:ascii="Arial" w:hAnsi="Arial" w:cs="Arial"/>
                <w:bCs/>
              </w:rPr>
              <w:t>Strengthen the Commonwealth’s financial position for the benefit of the Australian people, by managing the investment activities of the Future Fund and certain other Australian Government investment funds in line with their Investment Mandates</w:t>
            </w:r>
            <w:r w:rsidRPr="00847A5B">
              <w:rPr>
                <w:rFonts w:ascii="Arial" w:hAnsi="Arial" w:cs="Arial"/>
                <w:b w:val="0"/>
                <w:bCs/>
              </w:rPr>
              <w:t>.</w:t>
            </w:r>
          </w:p>
        </w:tc>
      </w:tr>
      <w:tr w:rsidR="001C24E6" w:rsidRPr="001B2F81" w14:paraId="2239E8D2" w14:textId="77777777" w:rsidTr="00485B42">
        <w:trPr>
          <w:trHeight w:val="522"/>
        </w:trPr>
        <w:tc>
          <w:tcPr>
            <w:tcW w:w="7796" w:type="dxa"/>
            <w:gridSpan w:val="3"/>
            <w:shd w:val="clear" w:color="auto" w:fill="F2F2F2"/>
          </w:tcPr>
          <w:p w14:paraId="2239E8D0" w14:textId="77777777" w:rsidR="001C24E6" w:rsidRDefault="001C24E6" w:rsidP="00A70D16">
            <w:pPr>
              <w:tabs>
                <w:tab w:val="left" w:pos="709"/>
              </w:tabs>
              <w:spacing w:before="60" w:after="60"/>
              <w:rPr>
                <w:rFonts w:ascii="Arial" w:hAnsi="Arial" w:cs="Arial"/>
                <w:bCs/>
                <w:sz w:val="16"/>
                <w:szCs w:val="16"/>
              </w:rPr>
            </w:pPr>
            <w:r w:rsidRPr="00DE5A41">
              <w:rPr>
                <w:rFonts w:ascii="Arial" w:eastAsia="Arial" w:hAnsi="Arial" w:cs="Arial"/>
                <w:b/>
                <w:sz w:val="16"/>
              </w:rPr>
              <w:t>Program 1.2</w:t>
            </w:r>
            <w:r w:rsidRPr="00DE5A41">
              <w:rPr>
                <w:rFonts w:ascii="Arial" w:eastAsia="Arial" w:hAnsi="Arial" w:cs="Arial"/>
                <w:b/>
                <w:spacing w:val="-1"/>
                <w:sz w:val="16"/>
              </w:rPr>
              <w:t xml:space="preserve"> </w:t>
            </w:r>
            <w:r w:rsidRPr="00DE5A41">
              <w:rPr>
                <w:rFonts w:ascii="Arial" w:eastAsia="Arial" w:hAnsi="Arial" w:cs="Arial"/>
                <w:sz w:val="16"/>
              </w:rPr>
              <w:t>–</w:t>
            </w:r>
            <w:r w:rsidRPr="00DE5A41">
              <w:rPr>
                <w:rFonts w:ascii="Arial" w:eastAsia="Arial" w:hAnsi="Arial" w:cs="Arial"/>
                <w:spacing w:val="-3"/>
                <w:sz w:val="16"/>
              </w:rPr>
              <w:t xml:space="preserve"> </w:t>
            </w:r>
            <w:r w:rsidRPr="00DE5A41">
              <w:rPr>
                <w:rFonts w:ascii="Arial" w:eastAsia="Arial" w:hAnsi="Arial" w:cs="Arial"/>
                <w:b/>
                <w:sz w:val="16"/>
              </w:rPr>
              <w:t>Management</w:t>
            </w:r>
            <w:r w:rsidRPr="00DE5A41">
              <w:rPr>
                <w:rFonts w:ascii="Arial" w:eastAsia="Arial" w:hAnsi="Arial" w:cs="Arial"/>
                <w:b/>
                <w:spacing w:val="-3"/>
                <w:sz w:val="16"/>
              </w:rPr>
              <w:t xml:space="preserve"> </w:t>
            </w:r>
            <w:r w:rsidRPr="00DE5A41">
              <w:rPr>
                <w:rFonts w:ascii="Arial" w:eastAsia="Arial" w:hAnsi="Arial" w:cs="Arial"/>
                <w:b/>
                <w:sz w:val="16"/>
              </w:rPr>
              <w:t>of</w:t>
            </w:r>
            <w:r w:rsidRPr="00DE5A41">
              <w:rPr>
                <w:rFonts w:ascii="Arial" w:eastAsia="Arial" w:hAnsi="Arial" w:cs="Arial"/>
                <w:b/>
                <w:spacing w:val="-1"/>
                <w:sz w:val="16"/>
              </w:rPr>
              <w:t xml:space="preserve"> </w:t>
            </w:r>
            <w:r w:rsidRPr="00DE5A41">
              <w:rPr>
                <w:rFonts w:ascii="Arial" w:eastAsia="Arial" w:hAnsi="Arial" w:cs="Arial"/>
                <w:b/>
                <w:sz w:val="16"/>
              </w:rPr>
              <w:t>the</w:t>
            </w:r>
            <w:r w:rsidRPr="00DE5A41">
              <w:rPr>
                <w:rFonts w:ascii="Arial" w:eastAsia="Arial" w:hAnsi="Arial" w:cs="Arial"/>
                <w:b/>
                <w:spacing w:val="-1"/>
                <w:sz w:val="16"/>
              </w:rPr>
              <w:t xml:space="preserve"> </w:t>
            </w:r>
            <w:r w:rsidRPr="00DE5A41">
              <w:rPr>
                <w:rFonts w:ascii="Arial" w:eastAsia="Arial" w:hAnsi="Arial" w:cs="Arial"/>
                <w:b/>
                <w:sz w:val="16"/>
              </w:rPr>
              <w:t>Investment</w:t>
            </w:r>
            <w:r w:rsidRPr="00DE5A41">
              <w:rPr>
                <w:rFonts w:ascii="Arial" w:eastAsia="Arial" w:hAnsi="Arial" w:cs="Arial"/>
                <w:b/>
                <w:spacing w:val="-2"/>
                <w:sz w:val="16"/>
              </w:rPr>
              <w:t xml:space="preserve"> </w:t>
            </w:r>
            <w:r w:rsidRPr="00DE5A41">
              <w:rPr>
                <w:rFonts w:ascii="Arial" w:eastAsia="Arial" w:hAnsi="Arial" w:cs="Arial"/>
                <w:b/>
                <w:sz w:val="16"/>
              </w:rPr>
              <w:t>of</w:t>
            </w:r>
            <w:r w:rsidRPr="00DE5A41">
              <w:rPr>
                <w:rFonts w:ascii="Arial" w:eastAsia="Arial" w:hAnsi="Arial" w:cs="Arial"/>
                <w:b/>
                <w:spacing w:val="-3"/>
                <w:sz w:val="16"/>
              </w:rPr>
              <w:t xml:space="preserve"> </w:t>
            </w:r>
            <w:r w:rsidRPr="00DE5A41">
              <w:rPr>
                <w:rFonts w:ascii="Arial" w:eastAsia="Arial" w:hAnsi="Arial" w:cs="Arial"/>
                <w:b/>
                <w:sz w:val="16"/>
              </w:rPr>
              <w:t>the</w:t>
            </w:r>
            <w:r w:rsidRPr="00DE5A41">
              <w:rPr>
                <w:rFonts w:ascii="Arial" w:eastAsia="Arial" w:hAnsi="Arial" w:cs="Arial"/>
                <w:b/>
                <w:spacing w:val="1"/>
                <w:sz w:val="16"/>
              </w:rPr>
              <w:t xml:space="preserve"> </w:t>
            </w:r>
            <w:r w:rsidRPr="00DE5A41">
              <w:rPr>
                <w:rFonts w:ascii="Arial" w:eastAsia="Arial" w:hAnsi="Arial" w:cs="Arial"/>
                <w:b/>
                <w:sz w:val="16"/>
              </w:rPr>
              <w:t>Australian</w:t>
            </w:r>
            <w:r w:rsidRPr="00DE5A41">
              <w:rPr>
                <w:rFonts w:ascii="Arial" w:eastAsia="Arial" w:hAnsi="Arial" w:cs="Arial"/>
                <w:b/>
                <w:spacing w:val="-3"/>
                <w:sz w:val="16"/>
              </w:rPr>
              <w:t xml:space="preserve"> </w:t>
            </w:r>
            <w:r w:rsidRPr="00DE5A41">
              <w:rPr>
                <w:rFonts w:ascii="Arial" w:eastAsia="Arial" w:hAnsi="Arial" w:cs="Arial"/>
                <w:b/>
                <w:sz w:val="16"/>
              </w:rPr>
              <w:t>Government</w:t>
            </w:r>
            <w:r w:rsidRPr="00DE5A41">
              <w:rPr>
                <w:rFonts w:ascii="Arial" w:eastAsia="Arial" w:hAnsi="Arial" w:cs="Arial"/>
                <w:b/>
                <w:spacing w:val="-3"/>
                <w:sz w:val="16"/>
              </w:rPr>
              <w:t xml:space="preserve"> </w:t>
            </w:r>
            <w:r w:rsidRPr="00DE5A41">
              <w:rPr>
                <w:rFonts w:ascii="Arial" w:eastAsia="Arial" w:hAnsi="Arial" w:cs="Arial"/>
                <w:b/>
                <w:sz w:val="16"/>
              </w:rPr>
              <w:t>Investment</w:t>
            </w:r>
            <w:r w:rsidRPr="00DE5A41">
              <w:rPr>
                <w:rFonts w:ascii="Arial" w:eastAsia="Arial" w:hAnsi="Arial" w:cs="Arial"/>
                <w:b/>
                <w:spacing w:val="-3"/>
                <w:sz w:val="16"/>
              </w:rPr>
              <w:t xml:space="preserve"> </w:t>
            </w:r>
            <w:r w:rsidRPr="00DE5A41">
              <w:rPr>
                <w:rFonts w:ascii="Arial" w:eastAsia="Arial" w:hAnsi="Arial" w:cs="Arial"/>
                <w:b/>
                <w:sz w:val="16"/>
              </w:rPr>
              <w:t>Funds</w:t>
            </w:r>
            <w:r w:rsidRPr="0027653A">
              <w:rPr>
                <w:rFonts w:ascii="Arial" w:hAnsi="Arial" w:cs="Arial"/>
                <w:bCs/>
                <w:sz w:val="16"/>
                <w:szCs w:val="16"/>
              </w:rPr>
              <w:t xml:space="preserve"> </w:t>
            </w:r>
          </w:p>
          <w:p w14:paraId="2239E8D1" w14:textId="77777777" w:rsidR="001C24E6" w:rsidRPr="001B2F81" w:rsidRDefault="001C24E6" w:rsidP="00A70D16">
            <w:pPr>
              <w:pStyle w:val="TableTextLeft"/>
              <w:spacing w:before="60" w:after="60"/>
            </w:pPr>
            <w:r w:rsidRPr="00DE5A41">
              <w:rPr>
                <w:rFonts w:cs="Arial"/>
                <w:bCs/>
                <w:szCs w:val="16"/>
              </w:rPr>
              <w:t>The DisabilityCare Australia Fund Act 2013 established the DisabilityCare Australia Fund (DCAF) on</w:t>
            </w:r>
            <w:r>
              <w:rPr>
                <w:rFonts w:cs="Arial"/>
                <w:bCs/>
                <w:szCs w:val="16"/>
              </w:rPr>
              <w:t xml:space="preserve"> 1 </w:t>
            </w:r>
            <w:r w:rsidRPr="00DE5A41">
              <w:rPr>
                <w:rFonts w:cs="Arial"/>
                <w:bCs/>
                <w:szCs w:val="16"/>
              </w:rPr>
              <w:t>July 2014. The Medical Research Future Fund Act 2015 established the Medical Research Future Fund (MRFF) on 27 August 2015. The Aboriginal and Torres Strait Islander Land and Sea Future Fund Act 2018 established the Aboriginal and Torres Strait Islander Land and Sea Future Fund (ATSILSFF) on</w:t>
            </w:r>
            <w:r>
              <w:rPr>
                <w:rFonts w:cs="Arial"/>
                <w:bCs/>
                <w:szCs w:val="16"/>
              </w:rPr>
              <w:t xml:space="preserve"> </w:t>
            </w:r>
            <w:r w:rsidRPr="00DE5A41">
              <w:rPr>
                <w:rFonts w:cs="Arial"/>
                <w:bCs/>
                <w:szCs w:val="16"/>
              </w:rPr>
              <w:t>1</w:t>
            </w:r>
            <w:r>
              <w:rPr>
                <w:rFonts w:cs="Arial"/>
                <w:bCs/>
                <w:szCs w:val="16"/>
              </w:rPr>
              <w:t> </w:t>
            </w:r>
            <w:r w:rsidRPr="00DE5A41">
              <w:rPr>
                <w:rFonts w:cs="Arial"/>
                <w:bCs/>
                <w:szCs w:val="16"/>
              </w:rPr>
              <w:t>February 2019. The Future Drought Fund Act 2019 established the Future Drought Fund on</w:t>
            </w:r>
            <w:r>
              <w:rPr>
                <w:rFonts w:cs="Arial"/>
                <w:bCs/>
                <w:szCs w:val="16"/>
              </w:rPr>
              <w:t xml:space="preserve"> </w:t>
            </w:r>
            <w:r w:rsidRPr="00DE5A41">
              <w:rPr>
                <w:rFonts w:cs="Arial"/>
                <w:bCs/>
                <w:szCs w:val="16"/>
              </w:rPr>
              <w:t>1</w:t>
            </w:r>
            <w:r>
              <w:rPr>
                <w:rFonts w:cs="Arial"/>
                <w:bCs/>
                <w:szCs w:val="16"/>
              </w:rPr>
              <w:t> </w:t>
            </w:r>
            <w:r w:rsidRPr="00DE5A41">
              <w:rPr>
                <w:rFonts w:cs="Arial"/>
                <w:bCs/>
                <w:szCs w:val="16"/>
              </w:rPr>
              <w:t>September 2019. The Emergency Response Fund Act 2019 established the Emergency Response Fund on 12 December 2019. The role of the FFMA was extended to include supporting the Board in the investment of the assets of these funds.</w:t>
            </w:r>
          </w:p>
        </w:tc>
      </w:tr>
      <w:tr w:rsidR="001C24E6" w:rsidRPr="00585F14" w14:paraId="2239E8DA" w14:textId="77777777" w:rsidTr="00485B42">
        <w:trPr>
          <w:trHeight w:val="694"/>
        </w:trPr>
        <w:tc>
          <w:tcPr>
            <w:tcW w:w="1560" w:type="dxa"/>
            <w:tcBorders>
              <w:bottom w:val="double" w:sz="4" w:space="0" w:color="auto"/>
            </w:tcBorders>
          </w:tcPr>
          <w:p w14:paraId="2239E8D3" w14:textId="77777777" w:rsidR="001C24E6" w:rsidRPr="00160C23" w:rsidRDefault="001C24E6" w:rsidP="00A70D16">
            <w:pPr>
              <w:pStyle w:val="TableColumnHeadingLeft"/>
              <w:spacing w:before="60" w:after="60"/>
            </w:pPr>
            <w:r w:rsidRPr="00160C23">
              <w:t>Key Activities</w:t>
            </w:r>
          </w:p>
        </w:tc>
        <w:tc>
          <w:tcPr>
            <w:tcW w:w="6236" w:type="dxa"/>
            <w:gridSpan w:val="2"/>
            <w:tcBorders>
              <w:bottom w:val="double" w:sz="4" w:space="0" w:color="auto"/>
            </w:tcBorders>
          </w:tcPr>
          <w:p w14:paraId="2239E8D4" w14:textId="5F9ECA58" w:rsidR="001C24E6" w:rsidRDefault="001C24E6" w:rsidP="00C8474A">
            <w:pPr>
              <w:pStyle w:val="TableParagraph"/>
              <w:numPr>
                <w:ilvl w:val="0"/>
                <w:numId w:val="33"/>
              </w:numPr>
              <w:tabs>
                <w:tab w:val="left" w:pos="464"/>
                <w:tab w:val="left" w:pos="465"/>
              </w:tabs>
              <w:spacing w:before="60" w:after="60"/>
              <w:ind w:left="527" w:hanging="357"/>
              <w:rPr>
                <w:sz w:val="16"/>
              </w:rPr>
            </w:pPr>
            <w:r>
              <w:rPr>
                <w:sz w:val="16"/>
              </w:rPr>
              <w:t>Ensure</w:t>
            </w:r>
            <w:r>
              <w:rPr>
                <w:spacing w:val="15"/>
                <w:sz w:val="16"/>
              </w:rPr>
              <w:t xml:space="preserve"> </w:t>
            </w:r>
            <w:r>
              <w:rPr>
                <w:sz w:val="16"/>
              </w:rPr>
              <w:t>all</w:t>
            </w:r>
            <w:r>
              <w:rPr>
                <w:spacing w:val="16"/>
                <w:sz w:val="16"/>
              </w:rPr>
              <w:t xml:space="preserve"> </w:t>
            </w:r>
            <w:r>
              <w:rPr>
                <w:sz w:val="16"/>
              </w:rPr>
              <w:t>decisions</w:t>
            </w:r>
            <w:r>
              <w:rPr>
                <w:spacing w:val="14"/>
                <w:sz w:val="16"/>
              </w:rPr>
              <w:t xml:space="preserve"> </w:t>
            </w:r>
            <w:r>
              <w:rPr>
                <w:sz w:val="16"/>
              </w:rPr>
              <w:t>of</w:t>
            </w:r>
            <w:r>
              <w:rPr>
                <w:spacing w:val="14"/>
                <w:sz w:val="16"/>
              </w:rPr>
              <w:t xml:space="preserve"> </w:t>
            </w:r>
            <w:r>
              <w:rPr>
                <w:sz w:val="16"/>
              </w:rPr>
              <w:t>the</w:t>
            </w:r>
            <w:r>
              <w:rPr>
                <w:spacing w:val="12"/>
                <w:sz w:val="16"/>
              </w:rPr>
              <w:t xml:space="preserve"> </w:t>
            </w:r>
            <w:r>
              <w:rPr>
                <w:sz w:val="16"/>
              </w:rPr>
              <w:t>Board</w:t>
            </w:r>
            <w:r>
              <w:rPr>
                <w:spacing w:val="15"/>
                <w:sz w:val="16"/>
              </w:rPr>
              <w:t xml:space="preserve"> </w:t>
            </w:r>
            <w:r>
              <w:rPr>
                <w:sz w:val="16"/>
              </w:rPr>
              <w:t>of</w:t>
            </w:r>
            <w:r>
              <w:rPr>
                <w:spacing w:val="16"/>
                <w:sz w:val="16"/>
              </w:rPr>
              <w:t xml:space="preserve"> </w:t>
            </w:r>
            <w:r>
              <w:rPr>
                <w:sz w:val="16"/>
              </w:rPr>
              <w:t>Guardians</w:t>
            </w:r>
            <w:r>
              <w:rPr>
                <w:spacing w:val="17"/>
                <w:sz w:val="16"/>
              </w:rPr>
              <w:t xml:space="preserve"> </w:t>
            </w:r>
            <w:r>
              <w:rPr>
                <w:sz w:val="16"/>
              </w:rPr>
              <w:t>are</w:t>
            </w:r>
            <w:r>
              <w:rPr>
                <w:spacing w:val="15"/>
                <w:sz w:val="16"/>
              </w:rPr>
              <w:t xml:space="preserve"> </w:t>
            </w:r>
            <w:r>
              <w:rPr>
                <w:sz w:val="16"/>
              </w:rPr>
              <w:t>given</w:t>
            </w:r>
            <w:r>
              <w:rPr>
                <w:spacing w:val="15"/>
                <w:sz w:val="16"/>
              </w:rPr>
              <w:t xml:space="preserve"> </w:t>
            </w:r>
            <w:r>
              <w:rPr>
                <w:sz w:val="16"/>
              </w:rPr>
              <w:t>effect</w:t>
            </w:r>
            <w:r>
              <w:rPr>
                <w:spacing w:val="14"/>
                <w:sz w:val="16"/>
              </w:rPr>
              <w:t xml:space="preserve"> </w:t>
            </w:r>
            <w:r>
              <w:rPr>
                <w:sz w:val="16"/>
              </w:rPr>
              <w:t>as</w:t>
            </w:r>
            <w:r>
              <w:rPr>
                <w:spacing w:val="14"/>
                <w:sz w:val="16"/>
              </w:rPr>
              <w:t xml:space="preserve"> </w:t>
            </w:r>
            <w:r w:rsidR="000A0D42">
              <w:rPr>
                <w:sz w:val="16"/>
              </w:rPr>
              <w:t xml:space="preserve">directed </w:t>
            </w:r>
            <w:r>
              <w:rPr>
                <w:spacing w:val="-41"/>
                <w:sz w:val="16"/>
              </w:rPr>
              <w:t>by</w:t>
            </w:r>
            <w:r w:rsidR="000A0D42">
              <w:rPr>
                <w:spacing w:val="-2"/>
                <w:sz w:val="16"/>
              </w:rPr>
              <w:t xml:space="preserve">  </w:t>
            </w:r>
            <w:r>
              <w:rPr>
                <w:spacing w:val="-2"/>
                <w:sz w:val="16"/>
              </w:rPr>
              <w:t xml:space="preserve">the </w:t>
            </w:r>
            <w:r>
              <w:rPr>
                <w:sz w:val="16"/>
              </w:rPr>
              <w:t>Board</w:t>
            </w:r>
            <w:r>
              <w:rPr>
                <w:spacing w:val="-1"/>
                <w:sz w:val="16"/>
              </w:rPr>
              <w:t xml:space="preserve"> </w:t>
            </w:r>
            <w:r>
              <w:rPr>
                <w:sz w:val="16"/>
              </w:rPr>
              <w:t>within</w:t>
            </w:r>
            <w:r>
              <w:rPr>
                <w:spacing w:val="-4"/>
                <w:sz w:val="16"/>
              </w:rPr>
              <w:t xml:space="preserve"> </w:t>
            </w:r>
            <w:r>
              <w:rPr>
                <w:sz w:val="16"/>
              </w:rPr>
              <w:t>timeframes and</w:t>
            </w:r>
            <w:r>
              <w:rPr>
                <w:spacing w:val="-1"/>
                <w:sz w:val="16"/>
              </w:rPr>
              <w:t xml:space="preserve"> </w:t>
            </w:r>
            <w:r>
              <w:rPr>
                <w:sz w:val="16"/>
              </w:rPr>
              <w:t>quality</w:t>
            </w:r>
            <w:r>
              <w:rPr>
                <w:spacing w:val="-2"/>
                <w:sz w:val="16"/>
              </w:rPr>
              <w:t xml:space="preserve"> </w:t>
            </w:r>
            <w:r>
              <w:rPr>
                <w:sz w:val="16"/>
              </w:rPr>
              <w:t>levels agreed</w:t>
            </w:r>
            <w:r>
              <w:rPr>
                <w:spacing w:val="-1"/>
                <w:sz w:val="16"/>
              </w:rPr>
              <w:t xml:space="preserve"> </w:t>
            </w:r>
            <w:r>
              <w:rPr>
                <w:sz w:val="16"/>
              </w:rPr>
              <w:t>with</w:t>
            </w:r>
            <w:r>
              <w:rPr>
                <w:spacing w:val="-2"/>
                <w:sz w:val="16"/>
              </w:rPr>
              <w:t xml:space="preserve"> </w:t>
            </w:r>
            <w:r>
              <w:rPr>
                <w:sz w:val="16"/>
              </w:rPr>
              <w:t>the</w:t>
            </w:r>
            <w:r>
              <w:rPr>
                <w:spacing w:val="-3"/>
                <w:sz w:val="16"/>
              </w:rPr>
              <w:t xml:space="preserve"> </w:t>
            </w:r>
            <w:r>
              <w:rPr>
                <w:sz w:val="16"/>
              </w:rPr>
              <w:t>Board.</w:t>
            </w:r>
          </w:p>
          <w:p w14:paraId="2239E8D5" w14:textId="77777777" w:rsidR="001C24E6" w:rsidRDefault="001C24E6" w:rsidP="00C8474A">
            <w:pPr>
              <w:pStyle w:val="TableParagraph"/>
              <w:numPr>
                <w:ilvl w:val="0"/>
                <w:numId w:val="33"/>
              </w:numPr>
              <w:tabs>
                <w:tab w:val="left" w:pos="464"/>
                <w:tab w:val="left" w:pos="465"/>
              </w:tabs>
              <w:spacing w:before="60" w:after="60"/>
              <w:ind w:left="527" w:hanging="357"/>
              <w:rPr>
                <w:sz w:val="16"/>
              </w:rPr>
            </w:pPr>
            <w:r>
              <w:rPr>
                <w:sz w:val="16"/>
              </w:rPr>
              <w:t>Ensure</w:t>
            </w:r>
            <w:r>
              <w:rPr>
                <w:spacing w:val="36"/>
                <w:sz w:val="16"/>
              </w:rPr>
              <w:t xml:space="preserve"> </w:t>
            </w:r>
            <w:r>
              <w:rPr>
                <w:sz w:val="16"/>
              </w:rPr>
              <w:t>all</w:t>
            </w:r>
            <w:r>
              <w:rPr>
                <w:spacing w:val="37"/>
                <w:sz w:val="16"/>
              </w:rPr>
              <w:t xml:space="preserve"> </w:t>
            </w:r>
            <w:r>
              <w:rPr>
                <w:sz w:val="16"/>
              </w:rPr>
              <w:t>investments</w:t>
            </w:r>
            <w:r>
              <w:rPr>
                <w:spacing w:val="38"/>
                <w:sz w:val="16"/>
              </w:rPr>
              <w:t xml:space="preserve"> </w:t>
            </w:r>
            <w:r>
              <w:rPr>
                <w:sz w:val="16"/>
              </w:rPr>
              <w:t>are</w:t>
            </w:r>
            <w:r>
              <w:rPr>
                <w:spacing w:val="35"/>
                <w:sz w:val="16"/>
              </w:rPr>
              <w:t xml:space="preserve"> </w:t>
            </w:r>
            <w:r>
              <w:rPr>
                <w:sz w:val="16"/>
              </w:rPr>
              <w:t>made</w:t>
            </w:r>
            <w:r>
              <w:rPr>
                <w:spacing w:val="36"/>
                <w:sz w:val="16"/>
              </w:rPr>
              <w:t xml:space="preserve"> </w:t>
            </w:r>
            <w:r>
              <w:rPr>
                <w:sz w:val="16"/>
              </w:rPr>
              <w:t>in</w:t>
            </w:r>
            <w:r>
              <w:rPr>
                <w:spacing w:val="36"/>
                <w:sz w:val="16"/>
              </w:rPr>
              <w:t xml:space="preserve"> </w:t>
            </w:r>
            <w:r>
              <w:rPr>
                <w:sz w:val="16"/>
              </w:rPr>
              <w:t>accordance</w:t>
            </w:r>
            <w:r>
              <w:rPr>
                <w:spacing w:val="36"/>
                <w:sz w:val="16"/>
              </w:rPr>
              <w:t xml:space="preserve"> </w:t>
            </w:r>
            <w:r>
              <w:rPr>
                <w:sz w:val="16"/>
              </w:rPr>
              <w:t>with</w:t>
            </w:r>
            <w:r>
              <w:rPr>
                <w:spacing w:val="37"/>
                <w:sz w:val="16"/>
              </w:rPr>
              <w:t xml:space="preserve"> </w:t>
            </w:r>
            <w:r>
              <w:rPr>
                <w:sz w:val="16"/>
              </w:rPr>
              <w:t>relevant</w:t>
            </w:r>
            <w:r>
              <w:rPr>
                <w:spacing w:val="37"/>
                <w:sz w:val="16"/>
              </w:rPr>
              <w:t xml:space="preserve"> </w:t>
            </w:r>
            <w:r>
              <w:rPr>
                <w:sz w:val="16"/>
              </w:rPr>
              <w:t>legislation,</w:t>
            </w:r>
            <w:r>
              <w:rPr>
                <w:spacing w:val="-42"/>
                <w:sz w:val="16"/>
              </w:rPr>
              <w:t xml:space="preserve"> </w:t>
            </w:r>
            <w:r>
              <w:rPr>
                <w:sz w:val="16"/>
              </w:rPr>
              <w:t>Investment</w:t>
            </w:r>
            <w:r>
              <w:rPr>
                <w:spacing w:val="1"/>
                <w:sz w:val="16"/>
              </w:rPr>
              <w:t xml:space="preserve"> </w:t>
            </w:r>
            <w:r>
              <w:rPr>
                <w:sz w:val="16"/>
              </w:rPr>
              <w:t>Mandate and</w:t>
            </w:r>
            <w:r>
              <w:rPr>
                <w:spacing w:val="-5"/>
                <w:sz w:val="16"/>
              </w:rPr>
              <w:t xml:space="preserve"> </w:t>
            </w:r>
            <w:r>
              <w:rPr>
                <w:sz w:val="16"/>
              </w:rPr>
              <w:t>ministerial directions.</w:t>
            </w:r>
          </w:p>
          <w:p w14:paraId="2239E8D6" w14:textId="77777777" w:rsidR="001C24E6" w:rsidRDefault="001C24E6" w:rsidP="00C8474A">
            <w:pPr>
              <w:pStyle w:val="TableParagraph"/>
              <w:numPr>
                <w:ilvl w:val="0"/>
                <w:numId w:val="33"/>
              </w:numPr>
              <w:tabs>
                <w:tab w:val="left" w:pos="464"/>
                <w:tab w:val="left" w:pos="465"/>
              </w:tabs>
              <w:spacing w:before="60" w:after="60"/>
              <w:ind w:left="527" w:hanging="357"/>
              <w:rPr>
                <w:sz w:val="16"/>
              </w:rPr>
            </w:pPr>
            <w:r>
              <w:rPr>
                <w:sz w:val="16"/>
              </w:rPr>
              <w:t>Provide</w:t>
            </w:r>
            <w:r>
              <w:rPr>
                <w:spacing w:val="-2"/>
                <w:sz w:val="16"/>
              </w:rPr>
              <w:t xml:space="preserve"> </w:t>
            </w:r>
            <w:r>
              <w:rPr>
                <w:sz w:val="16"/>
              </w:rPr>
              <w:t>administrative</w:t>
            </w:r>
            <w:r>
              <w:rPr>
                <w:spacing w:val="-2"/>
                <w:sz w:val="16"/>
              </w:rPr>
              <w:t xml:space="preserve"> </w:t>
            </w:r>
            <w:r>
              <w:rPr>
                <w:sz w:val="16"/>
              </w:rPr>
              <w:t>services</w:t>
            </w:r>
            <w:r>
              <w:rPr>
                <w:spacing w:val="-1"/>
                <w:sz w:val="16"/>
              </w:rPr>
              <w:t xml:space="preserve"> </w:t>
            </w:r>
            <w:r>
              <w:rPr>
                <w:sz w:val="16"/>
              </w:rPr>
              <w:t>to</w:t>
            </w:r>
            <w:r>
              <w:rPr>
                <w:spacing w:val="-4"/>
                <w:sz w:val="16"/>
              </w:rPr>
              <w:t xml:space="preserve"> </w:t>
            </w:r>
            <w:r>
              <w:rPr>
                <w:sz w:val="16"/>
              </w:rPr>
              <w:t>the</w:t>
            </w:r>
            <w:r>
              <w:rPr>
                <w:spacing w:val="-2"/>
                <w:sz w:val="16"/>
              </w:rPr>
              <w:t xml:space="preserve"> </w:t>
            </w:r>
            <w:r>
              <w:rPr>
                <w:sz w:val="16"/>
              </w:rPr>
              <w:t>Board.</w:t>
            </w:r>
          </w:p>
          <w:p w14:paraId="2239E8D7" w14:textId="77777777" w:rsidR="001C24E6" w:rsidRDefault="001C24E6" w:rsidP="00C8474A">
            <w:pPr>
              <w:pStyle w:val="TableParagraph"/>
              <w:numPr>
                <w:ilvl w:val="0"/>
                <w:numId w:val="33"/>
              </w:numPr>
              <w:tabs>
                <w:tab w:val="left" w:pos="465"/>
                <w:tab w:val="left" w:pos="466"/>
              </w:tabs>
              <w:spacing w:before="60" w:after="60"/>
              <w:ind w:left="527" w:hanging="357"/>
              <w:rPr>
                <w:sz w:val="16"/>
              </w:rPr>
            </w:pPr>
            <w:r>
              <w:rPr>
                <w:sz w:val="16"/>
              </w:rPr>
              <w:t>Provide</w:t>
            </w:r>
            <w:r>
              <w:rPr>
                <w:spacing w:val="-2"/>
                <w:sz w:val="16"/>
              </w:rPr>
              <w:t xml:space="preserve"> </w:t>
            </w:r>
            <w:r>
              <w:rPr>
                <w:sz w:val="16"/>
              </w:rPr>
              <w:t>information</w:t>
            </w:r>
            <w:r>
              <w:rPr>
                <w:spacing w:val="-2"/>
                <w:sz w:val="16"/>
              </w:rPr>
              <w:t xml:space="preserve"> </w:t>
            </w:r>
            <w:r>
              <w:rPr>
                <w:sz w:val="16"/>
              </w:rPr>
              <w:t>and</w:t>
            </w:r>
            <w:r>
              <w:rPr>
                <w:spacing w:val="-2"/>
                <w:sz w:val="16"/>
              </w:rPr>
              <w:t xml:space="preserve"> </w:t>
            </w:r>
            <w:r>
              <w:rPr>
                <w:sz w:val="16"/>
              </w:rPr>
              <w:t>recommendations</w:t>
            </w:r>
            <w:r>
              <w:rPr>
                <w:spacing w:val="-3"/>
                <w:sz w:val="16"/>
              </w:rPr>
              <w:t xml:space="preserve"> </w:t>
            </w:r>
            <w:r>
              <w:rPr>
                <w:sz w:val="16"/>
              </w:rPr>
              <w:t>to</w:t>
            </w:r>
            <w:r>
              <w:rPr>
                <w:spacing w:val="-4"/>
                <w:sz w:val="16"/>
              </w:rPr>
              <w:t xml:space="preserve"> </w:t>
            </w:r>
            <w:r>
              <w:rPr>
                <w:sz w:val="16"/>
              </w:rPr>
              <w:t>the</w:t>
            </w:r>
            <w:r>
              <w:rPr>
                <w:spacing w:val="-4"/>
                <w:sz w:val="16"/>
              </w:rPr>
              <w:t xml:space="preserve"> </w:t>
            </w:r>
            <w:r>
              <w:rPr>
                <w:sz w:val="16"/>
              </w:rPr>
              <w:t>Board.</w:t>
            </w:r>
          </w:p>
          <w:p w14:paraId="2239E8D8" w14:textId="77777777" w:rsidR="001C24E6" w:rsidRDefault="001C24E6" w:rsidP="00C8474A">
            <w:pPr>
              <w:pStyle w:val="TableParagraph"/>
              <w:numPr>
                <w:ilvl w:val="0"/>
                <w:numId w:val="33"/>
              </w:numPr>
              <w:tabs>
                <w:tab w:val="left" w:pos="465"/>
                <w:tab w:val="left" w:pos="466"/>
              </w:tabs>
              <w:spacing w:before="60" w:after="60"/>
              <w:ind w:left="527" w:hanging="357"/>
              <w:rPr>
                <w:sz w:val="16"/>
              </w:rPr>
            </w:pPr>
            <w:r>
              <w:rPr>
                <w:sz w:val="16"/>
              </w:rPr>
              <w:t>Advise</w:t>
            </w:r>
            <w:r>
              <w:rPr>
                <w:spacing w:val="-4"/>
                <w:sz w:val="16"/>
              </w:rPr>
              <w:t xml:space="preserve"> </w:t>
            </w:r>
            <w:r>
              <w:rPr>
                <w:sz w:val="16"/>
              </w:rPr>
              <w:t>the</w:t>
            </w:r>
            <w:r>
              <w:rPr>
                <w:spacing w:val="-3"/>
                <w:sz w:val="16"/>
              </w:rPr>
              <w:t xml:space="preserve"> </w:t>
            </w:r>
            <w:r>
              <w:rPr>
                <w:sz w:val="16"/>
              </w:rPr>
              <w:t>Board</w:t>
            </w:r>
            <w:r>
              <w:rPr>
                <w:spacing w:val="-1"/>
                <w:sz w:val="16"/>
              </w:rPr>
              <w:t xml:space="preserve"> </w:t>
            </w:r>
            <w:r>
              <w:rPr>
                <w:sz w:val="16"/>
              </w:rPr>
              <w:t>about</w:t>
            </w:r>
            <w:r>
              <w:rPr>
                <w:spacing w:val="-3"/>
                <w:sz w:val="16"/>
              </w:rPr>
              <w:t xml:space="preserve"> </w:t>
            </w:r>
            <w:r>
              <w:rPr>
                <w:sz w:val="16"/>
              </w:rPr>
              <w:t>the</w:t>
            </w:r>
            <w:r>
              <w:rPr>
                <w:spacing w:val="-1"/>
                <w:sz w:val="16"/>
              </w:rPr>
              <w:t xml:space="preserve"> </w:t>
            </w:r>
            <w:r>
              <w:rPr>
                <w:sz w:val="16"/>
              </w:rPr>
              <w:t>performance</w:t>
            </w:r>
            <w:r>
              <w:rPr>
                <w:spacing w:val="-1"/>
                <w:sz w:val="16"/>
              </w:rPr>
              <w:t xml:space="preserve"> </w:t>
            </w:r>
            <w:r>
              <w:rPr>
                <w:sz w:val="16"/>
              </w:rPr>
              <w:t>of</w:t>
            </w:r>
            <w:r>
              <w:rPr>
                <w:spacing w:val="-3"/>
                <w:sz w:val="16"/>
              </w:rPr>
              <w:t xml:space="preserve"> </w:t>
            </w:r>
            <w:r>
              <w:rPr>
                <w:sz w:val="16"/>
              </w:rPr>
              <w:t>the</w:t>
            </w:r>
            <w:r>
              <w:rPr>
                <w:spacing w:val="-3"/>
                <w:sz w:val="16"/>
              </w:rPr>
              <w:t xml:space="preserve"> </w:t>
            </w:r>
            <w:r>
              <w:rPr>
                <w:sz w:val="16"/>
              </w:rPr>
              <w:t>Board’s</w:t>
            </w:r>
            <w:r>
              <w:rPr>
                <w:spacing w:val="-1"/>
                <w:sz w:val="16"/>
              </w:rPr>
              <w:t xml:space="preserve"> </w:t>
            </w:r>
            <w:r>
              <w:rPr>
                <w:sz w:val="16"/>
              </w:rPr>
              <w:t>functions.</w:t>
            </w:r>
          </w:p>
          <w:p w14:paraId="2239E8D9" w14:textId="77777777" w:rsidR="001C24E6" w:rsidRPr="00585F14" w:rsidRDefault="001C24E6" w:rsidP="00C8474A">
            <w:pPr>
              <w:pStyle w:val="TableParagraph"/>
              <w:numPr>
                <w:ilvl w:val="0"/>
                <w:numId w:val="33"/>
              </w:numPr>
              <w:tabs>
                <w:tab w:val="left" w:pos="465"/>
                <w:tab w:val="left" w:pos="466"/>
              </w:tabs>
              <w:spacing w:before="60" w:after="60"/>
              <w:ind w:left="527" w:hanging="357"/>
              <w:rPr>
                <w:sz w:val="16"/>
              </w:rPr>
            </w:pPr>
            <w:r>
              <w:rPr>
                <w:sz w:val="16"/>
              </w:rPr>
              <w:t>Make resources and facilities available to the Board.</w:t>
            </w:r>
          </w:p>
        </w:tc>
      </w:tr>
      <w:tr w:rsidR="001C24E6" w:rsidRPr="00160C23" w14:paraId="2239E8DE" w14:textId="77777777" w:rsidTr="00485B42">
        <w:trPr>
          <w:trHeight w:val="258"/>
        </w:trPr>
        <w:tc>
          <w:tcPr>
            <w:tcW w:w="1560" w:type="dxa"/>
            <w:tcBorders>
              <w:top w:val="double" w:sz="4" w:space="0" w:color="auto"/>
              <w:bottom w:val="single" w:sz="4" w:space="0" w:color="auto"/>
              <w:right w:val="single" w:sz="4" w:space="0" w:color="auto"/>
            </w:tcBorders>
          </w:tcPr>
          <w:p w14:paraId="2239E8DB" w14:textId="77777777" w:rsidR="001C24E6" w:rsidRPr="00160C23" w:rsidRDefault="001C24E6" w:rsidP="00A70D16">
            <w:pPr>
              <w:pStyle w:val="TableColumnHeadingLeft"/>
              <w:spacing w:before="60" w:after="60"/>
            </w:pPr>
            <w:r w:rsidRPr="00160C23">
              <w:t>Year</w:t>
            </w:r>
          </w:p>
        </w:tc>
        <w:tc>
          <w:tcPr>
            <w:tcW w:w="3118" w:type="dxa"/>
            <w:tcBorders>
              <w:top w:val="double" w:sz="4" w:space="0" w:color="auto"/>
              <w:left w:val="single" w:sz="4" w:space="0" w:color="auto"/>
              <w:bottom w:val="single" w:sz="4" w:space="0" w:color="auto"/>
              <w:right w:val="single" w:sz="4" w:space="0" w:color="auto"/>
            </w:tcBorders>
          </w:tcPr>
          <w:p w14:paraId="2239E8DC" w14:textId="77777777" w:rsidR="001C24E6" w:rsidRPr="00160C23" w:rsidRDefault="001C24E6" w:rsidP="00A70D16">
            <w:pPr>
              <w:pStyle w:val="TableColumnHeadingLeft"/>
              <w:spacing w:before="60" w:after="60"/>
              <w:rPr>
                <w:rFonts w:cs="Arial"/>
              </w:rPr>
            </w:pPr>
            <w:r w:rsidRPr="00160C23">
              <w:rPr>
                <w:rFonts w:cs="Arial"/>
              </w:rPr>
              <w:t>Performance measures</w:t>
            </w:r>
          </w:p>
        </w:tc>
        <w:tc>
          <w:tcPr>
            <w:tcW w:w="3118" w:type="dxa"/>
            <w:tcBorders>
              <w:top w:val="double" w:sz="4" w:space="0" w:color="auto"/>
              <w:left w:val="single" w:sz="4" w:space="0" w:color="auto"/>
              <w:bottom w:val="single" w:sz="4" w:space="0" w:color="auto"/>
            </w:tcBorders>
          </w:tcPr>
          <w:p w14:paraId="2239E8DD" w14:textId="77777777" w:rsidR="001C24E6" w:rsidRPr="00160C23" w:rsidRDefault="001C24E6" w:rsidP="00A70D16">
            <w:pPr>
              <w:pStyle w:val="TableColumnHeadingLeft"/>
              <w:spacing w:before="60" w:after="60"/>
              <w:rPr>
                <w:rFonts w:cs="Arial"/>
              </w:rPr>
            </w:pPr>
            <w:r w:rsidRPr="00160C23">
              <w:rPr>
                <w:rFonts w:cs="Arial"/>
              </w:rPr>
              <w:t>Expected Performance Results</w:t>
            </w:r>
          </w:p>
        </w:tc>
      </w:tr>
      <w:tr w:rsidR="001C24E6" w:rsidRPr="00160C23" w14:paraId="2239E8F7" w14:textId="77777777" w:rsidTr="00485B42">
        <w:trPr>
          <w:trHeight w:val="642"/>
        </w:trPr>
        <w:tc>
          <w:tcPr>
            <w:tcW w:w="1560" w:type="dxa"/>
            <w:tcBorders>
              <w:top w:val="single" w:sz="4" w:space="0" w:color="auto"/>
              <w:bottom w:val="single" w:sz="4" w:space="0" w:color="auto"/>
              <w:right w:val="single" w:sz="4" w:space="0" w:color="auto"/>
            </w:tcBorders>
          </w:tcPr>
          <w:p w14:paraId="2239E8DF" w14:textId="77777777" w:rsidR="001C24E6" w:rsidRPr="00160C23" w:rsidRDefault="001C24E6" w:rsidP="00A70D16">
            <w:pPr>
              <w:pStyle w:val="TableTextLeft"/>
              <w:spacing w:before="60" w:after="60"/>
            </w:pPr>
            <w:r>
              <w:t>Prior</w:t>
            </w:r>
            <w:r w:rsidRPr="00160C23">
              <w:t xml:space="preserve"> year </w:t>
            </w:r>
          </w:p>
          <w:p w14:paraId="2239E8E0" w14:textId="77777777" w:rsidR="001C24E6" w:rsidRPr="00160C23" w:rsidRDefault="001C24E6" w:rsidP="00A70D16">
            <w:pPr>
              <w:pStyle w:val="TableTextLeft"/>
              <w:spacing w:before="60" w:after="60"/>
            </w:pPr>
          </w:p>
          <w:p w14:paraId="2239E8E1" w14:textId="77777777" w:rsidR="001C24E6" w:rsidRPr="00160C23" w:rsidRDefault="001C24E6" w:rsidP="00A70D16">
            <w:pPr>
              <w:pStyle w:val="TableTextLeft"/>
              <w:spacing w:before="60" w:after="60"/>
            </w:pPr>
            <w:r w:rsidRPr="00160C23">
              <w:t>2021-22</w:t>
            </w:r>
          </w:p>
        </w:tc>
        <w:tc>
          <w:tcPr>
            <w:tcW w:w="3118" w:type="dxa"/>
            <w:tcBorders>
              <w:top w:val="single" w:sz="4" w:space="0" w:color="auto"/>
              <w:left w:val="single" w:sz="4" w:space="0" w:color="auto"/>
              <w:bottom w:val="single" w:sz="4" w:space="0" w:color="auto"/>
              <w:right w:val="single" w:sz="4" w:space="0" w:color="auto"/>
            </w:tcBorders>
          </w:tcPr>
          <w:p w14:paraId="2239E8E2" w14:textId="77777777" w:rsidR="001C24E6" w:rsidRDefault="001C24E6" w:rsidP="00A70D16">
            <w:pPr>
              <w:pStyle w:val="TableParagraph"/>
              <w:spacing w:before="60" w:after="60"/>
              <w:ind w:right="95"/>
              <w:rPr>
                <w:sz w:val="16"/>
              </w:rPr>
            </w:pPr>
            <w:r>
              <w:rPr>
                <w:sz w:val="16"/>
              </w:rPr>
              <w:t>Provide assistance and advice to the Board in</w:t>
            </w:r>
            <w:r>
              <w:rPr>
                <w:spacing w:val="-42"/>
                <w:sz w:val="16"/>
              </w:rPr>
              <w:t xml:space="preserve"> </w:t>
            </w:r>
            <w:r>
              <w:rPr>
                <w:sz w:val="16"/>
              </w:rPr>
              <w:t>pursuit of achieving the Investment Mandate</w:t>
            </w:r>
            <w:r>
              <w:rPr>
                <w:spacing w:val="1"/>
                <w:sz w:val="16"/>
              </w:rPr>
              <w:t xml:space="preserve"> </w:t>
            </w:r>
            <w:r>
              <w:rPr>
                <w:sz w:val="16"/>
              </w:rPr>
              <w:t>target</w:t>
            </w:r>
            <w:r>
              <w:rPr>
                <w:spacing w:val="1"/>
                <w:sz w:val="16"/>
              </w:rPr>
              <w:t xml:space="preserve"> </w:t>
            </w:r>
            <w:r>
              <w:rPr>
                <w:sz w:val="16"/>
              </w:rPr>
              <w:t>returns</w:t>
            </w:r>
            <w:r>
              <w:rPr>
                <w:spacing w:val="-1"/>
                <w:sz w:val="16"/>
              </w:rPr>
              <w:t xml:space="preserve"> </w:t>
            </w:r>
            <w:r>
              <w:rPr>
                <w:sz w:val="16"/>
              </w:rPr>
              <w:t>as</w:t>
            </w:r>
            <w:r>
              <w:rPr>
                <w:spacing w:val="1"/>
                <w:sz w:val="16"/>
              </w:rPr>
              <w:t xml:space="preserve"> </w:t>
            </w:r>
            <w:r>
              <w:rPr>
                <w:sz w:val="16"/>
              </w:rPr>
              <w:t>follows:</w:t>
            </w:r>
          </w:p>
          <w:p w14:paraId="2239E8E3" w14:textId="77777777" w:rsidR="001C24E6" w:rsidRDefault="001C24E6" w:rsidP="00C8474A">
            <w:pPr>
              <w:pStyle w:val="TableParagraph"/>
              <w:numPr>
                <w:ilvl w:val="0"/>
                <w:numId w:val="34"/>
              </w:numPr>
              <w:spacing w:before="60" w:after="60"/>
              <w:ind w:left="527" w:hanging="357"/>
              <w:rPr>
                <w:sz w:val="16"/>
              </w:rPr>
            </w:pPr>
            <w:r w:rsidRPr="004E1F86">
              <w:rPr>
                <w:sz w:val="16"/>
              </w:rPr>
              <w:t>For the DCAF the Australian three month bank bill swap rate plus 0.3% per annum, calculated on a rolling 12 month basis while minimising the probability of capital loss over a 12 month horizon; and</w:t>
            </w:r>
          </w:p>
          <w:p w14:paraId="2239E8E4" w14:textId="77777777" w:rsidR="001C24E6" w:rsidRPr="004E1F86" w:rsidRDefault="001C24E6" w:rsidP="00A70D16">
            <w:pPr>
              <w:pStyle w:val="TableParagraph"/>
              <w:spacing w:before="60" w:after="60"/>
              <w:ind w:left="527" w:hanging="357"/>
              <w:rPr>
                <w:sz w:val="16"/>
              </w:rPr>
            </w:pPr>
          </w:p>
          <w:p w14:paraId="2239E8E5" w14:textId="77777777" w:rsidR="001C24E6" w:rsidRDefault="001C24E6" w:rsidP="00C8474A">
            <w:pPr>
              <w:pStyle w:val="TableParagraph"/>
              <w:numPr>
                <w:ilvl w:val="0"/>
                <w:numId w:val="34"/>
              </w:numPr>
              <w:spacing w:before="60" w:after="60"/>
              <w:ind w:left="527" w:hanging="357"/>
              <w:rPr>
                <w:sz w:val="16"/>
              </w:rPr>
            </w:pPr>
            <w:r w:rsidRPr="004E1F86">
              <w:rPr>
                <w:sz w:val="16"/>
              </w:rPr>
              <w:t>For the MRFF the Reserve Bank of Australia Cash Rate target +1.5% to 2.0% per annum, net of investment fees, over a rolling 10 year term with acceptable but not excessive risk; and</w:t>
            </w:r>
          </w:p>
          <w:p w14:paraId="2239E8E6" w14:textId="77777777" w:rsidR="001C24E6" w:rsidRPr="004E1F86" w:rsidRDefault="001C24E6" w:rsidP="00A70D16">
            <w:pPr>
              <w:pStyle w:val="TableParagraph"/>
              <w:spacing w:before="60" w:after="60"/>
              <w:ind w:left="527" w:hanging="357"/>
              <w:rPr>
                <w:sz w:val="16"/>
              </w:rPr>
            </w:pPr>
          </w:p>
          <w:p w14:paraId="2239E8E7" w14:textId="11E4E1E8" w:rsidR="001C24E6" w:rsidRPr="00C867FE" w:rsidRDefault="001C24E6" w:rsidP="00C8474A">
            <w:pPr>
              <w:pStyle w:val="TableParagraph"/>
              <w:numPr>
                <w:ilvl w:val="0"/>
                <w:numId w:val="34"/>
              </w:numPr>
              <w:spacing w:before="60" w:after="60"/>
              <w:ind w:left="527" w:hanging="357"/>
              <w:rPr>
                <w:sz w:val="16"/>
              </w:rPr>
            </w:pPr>
            <w:r w:rsidRPr="004E1F86">
              <w:rPr>
                <w:sz w:val="16"/>
              </w:rPr>
              <w:t>For the ATSILSFF an average return over the long term of at least the consumer price index +2.0% to 3.0% per annum, net of costs with an acceptable but not excessive level of risk including having regard to the plausible capital loss from investment returns over a three-year period</w:t>
            </w:r>
            <w:r w:rsidR="00E555C9">
              <w:rPr>
                <w:sz w:val="16"/>
              </w:rPr>
              <w:t>.</w:t>
            </w:r>
          </w:p>
        </w:tc>
        <w:tc>
          <w:tcPr>
            <w:tcW w:w="3118" w:type="dxa"/>
            <w:tcBorders>
              <w:top w:val="single" w:sz="4" w:space="0" w:color="auto"/>
              <w:left w:val="single" w:sz="4" w:space="0" w:color="auto"/>
              <w:bottom w:val="single" w:sz="4" w:space="0" w:color="auto"/>
            </w:tcBorders>
          </w:tcPr>
          <w:p w14:paraId="2239E8E8" w14:textId="77777777" w:rsidR="001C24E6" w:rsidRDefault="001C24E6" w:rsidP="00A70D16">
            <w:pPr>
              <w:pStyle w:val="TableParagraph"/>
              <w:spacing w:before="60" w:after="60"/>
              <w:ind w:right="95"/>
              <w:rPr>
                <w:sz w:val="16"/>
              </w:rPr>
            </w:pPr>
          </w:p>
          <w:p w14:paraId="2239E8E9" w14:textId="77777777" w:rsidR="001C24E6" w:rsidRDefault="001C24E6" w:rsidP="00A70D16">
            <w:pPr>
              <w:pStyle w:val="TableParagraph"/>
              <w:spacing w:before="60" w:after="60"/>
              <w:ind w:right="95"/>
              <w:rPr>
                <w:sz w:val="16"/>
              </w:rPr>
            </w:pPr>
          </w:p>
          <w:p w14:paraId="2239E8EA" w14:textId="77777777" w:rsidR="001C24E6" w:rsidRDefault="001C24E6" w:rsidP="00A70D16">
            <w:pPr>
              <w:pStyle w:val="TableParagraph"/>
              <w:spacing w:before="60" w:after="60"/>
              <w:ind w:right="95"/>
              <w:rPr>
                <w:sz w:val="16"/>
              </w:rPr>
            </w:pPr>
          </w:p>
          <w:p w14:paraId="2239E8EB" w14:textId="77777777" w:rsidR="001C24E6" w:rsidRDefault="001C24E6" w:rsidP="00A70D16">
            <w:pPr>
              <w:pStyle w:val="TableParagraph"/>
              <w:spacing w:before="60" w:after="60"/>
              <w:ind w:right="95"/>
              <w:rPr>
                <w:sz w:val="16"/>
              </w:rPr>
            </w:pPr>
          </w:p>
          <w:p w14:paraId="2239E8EC" w14:textId="77777777" w:rsidR="001C24E6" w:rsidRDefault="001C24E6" w:rsidP="000A0D42">
            <w:pPr>
              <w:pStyle w:val="TableParagraph"/>
              <w:spacing w:before="60" w:after="60"/>
              <w:rPr>
                <w:sz w:val="16"/>
              </w:rPr>
            </w:pPr>
            <w:r w:rsidRPr="0027653A">
              <w:rPr>
                <w:sz w:val="16"/>
              </w:rPr>
              <w:t xml:space="preserve">As </w:t>
            </w:r>
            <w:r w:rsidRPr="00BD4FF3">
              <w:rPr>
                <w:sz w:val="16"/>
              </w:rPr>
              <w:t>at 30 June 2022 the actual return was -0.4% compared to the target benchmark</w:t>
            </w:r>
            <w:r w:rsidRPr="00BD4FF3">
              <w:rPr>
                <w:spacing w:val="-2"/>
                <w:sz w:val="16"/>
              </w:rPr>
              <w:t xml:space="preserve"> </w:t>
            </w:r>
            <w:r w:rsidRPr="00BD4FF3">
              <w:rPr>
                <w:sz w:val="16"/>
              </w:rPr>
              <w:t>return of</w:t>
            </w:r>
            <w:r w:rsidRPr="00BD4FF3">
              <w:rPr>
                <w:spacing w:val="-1"/>
                <w:sz w:val="16"/>
              </w:rPr>
              <w:t xml:space="preserve"> 0.4</w:t>
            </w:r>
            <w:r w:rsidRPr="00BD4FF3">
              <w:rPr>
                <w:sz w:val="16"/>
              </w:rPr>
              <w:t>%, delivered within the mandate’s risk</w:t>
            </w:r>
            <w:r>
              <w:rPr>
                <w:sz w:val="16"/>
              </w:rPr>
              <w:t xml:space="preserve"> parameters</w:t>
            </w:r>
            <w:r w:rsidRPr="0082275A">
              <w:rPr>
                <w:sz w:val="16"/>
              </w:rPr>
              <w:t>.</w:t>
            </w:r>
          </w:p>
          <w:p w14:paraId="2239E8ED" w14:textId="77777777" w:rsidR="001C24E6" w:rsidRDefault="001C24E6" w:rsidP="000A0D42">
            <w:pPr>
              <w:pStyle w:val="TableParagraph"/>
              <w:spacing w:before="60" w:after="60"/>
              <w:rPr>
                <w:sz w:val="16"/>
              </w:rPr>
            </w:pPr>
          </w:p>
          <w:p w14:paraId="2239E8EE" w14:textId="77777777" w:rsidR="001C24E6" w:rsidRDefault="001C24E6" w:rsidP="000A0D42">
            <w:pPr>
              <w:pStyle w:val="TableParagraph"/>
              <w:spacing w:before="60" w:after="60"/>
              <w:rPr>
                <w:sz w:val="16"/>
              </w:rPr>
            </w:pPr>
          </w:p>
          <w:p w14:paraId="2239E8EF" w14:textId="77777777" w:rsidR="001C24E6" w:rsidRDefault="001C24E6" w:rsidP="000A0D42">
            <w:pPr>
              <w:pStyle w:val="TableParagraph"/>
              <w:spacing w:before="60" w:after="60"/>
              <w:rPr>
                <w:sz w:val="16"/>
              </w:rPr>
            </w:pPr>
          </w:p>
          <w:p w14:paraId="2239E8F0" w14:textId="77777777" w:rsidR="001C24E6" w:rsidRDefault="001C24E6" w:rsidP="000A0D42">
            <w:pPr>
              <w:pStyle w:val="TableParagraph"/>
              <w:spacing w:before="60" w:after="60"/>
              <w:rPr>
                <w:sz w:val="16"/>
              </w:rPr>
            </w:pPr>
            <w:r w:rsidRPr="0082275A">
              <w:rPr>
                <w:sz w:val="16"/>
              </w:rPr>
              <w:t xml:space="preserve">As </w:t>
            </w:r>
            <w:r w:rsidRPr="00BD4FF3">
              <w:rPr>
                <w:sz w:val="16"/>
              </w:rPr>
              <w:t>at 30 June 2022 the actual return was 4.1% pa compared to the target return of 2.5% pa since</w:t>
            </w:r>
            <w:r>
              <w:rPr>
                <w:sz w:val="16"/>
              </w:rPr>
              <w:t xml:space="preserve"> 22 September 2015, delivered within the mandate’s risk parameters</w:t>
            </w:r>
            <w:r w:rsidRPr="0027653A">
              <w:rPr>
                <w:sz w:val="16"/>
              </w:rPr>
              <w:t>.</w:t>
            </w:r>
          </w:p>
          <w:p w14:paraId="2239E8F1" w14:textId="77777777" w:rsidR="001C24E6" w:rsidRDefault="001C24E6" w:rsidP="000A0D42">
            <w:pPr>
              <w:pStyle w:val="TableParagraph"/>
              <w:spacing w:before="60" w:after="60"/>
              <w:rPr>
                <w:sz w:val="16"/>
              </w:rPr>
            </w:pPr>
          </w:p>
          <w:p w14:paraId="2239E8F2" w14:textId="77777777" w:rsidR="001C24E6" w:rsidRDefault="001C24E6" w:rsidP="000A0D42">
            <w:pPr>
              <w:pStyle w:val="TableParagraph"/>
              <w:spacing w:before="60" w:after="60"/>
              <w:rPr>
                <w:sz w:val="16"/>
              </w:rPr>
            </w:pPr>
          </w:p>
          <w:p w14:paraId="2239E8F3" w14:textId="77777777" w:rsidR="001C24E6" w:rsidRDefault="001C24E6" w:rsidP="000A0D42">
            <w:pPr>
              <w:pStyle w:val="TableParagraph"/>
              <w:spacing w:before="60" w:after="60"/>
              <w:rPr>
                <w:sz w:val="16"/>
              </w:rPr>
            </w:pPr>
            <w:r w:rsidRPr="00BD4FF3">
              <w:rPr>
                <w:sz w:val="16"/>
              </w:rPr>
              <w:t xml:space="preserve">As at </w:t>
            </w:r>
            <w:r>
              <w:rPr>
                <w:sz w:val="16"/>
              </w:rPr>
              <w:t>30 June 2022</w:t>
            </w:r>
            <w:r w:rsidRPr="00BD4FF3">
              <w:rPr>
                <w:sz w:val="16"/>
              </w:rPr>
              <w:t xml:space="preserve"> the actual return was 4.3% pa compared to the target return of 5.3% pa since 1 October 2019, delivered</w:t>
            </w:r>
            <w:r>
              <w:rPr>
                <w:sz w:val="16"/>
              </w:rPr>
              <w:t xml:space="preserve"> within the mandate’s risk parameters</w:t>
            </w:r>
            <w:r w:rsidRPr="0027653A">
              <w:rPr>
                <w:sz w:val="16"/>
              </w:rPr>
              <w:t>.</w:t>
            </w:r>
          </w:p>
          <w:p w14:paraId="2239E8F4" w14:textId="77777777" w:rsidR="001C24E6" w:rsidRDefault="001C24E6" w:rsidP="00A70D16">
            <w:pPr>
              <w:pStyle w:val="TableParagraph"/>
              <w:spacing w:before="60" w:after="60"/>
              <w:ind w:right="95"/>
              <w:rPr>
                <w:sz w:val="16"/>
              </w:rPr>
            </w:pPr>
          </w:p>
          <w:p w14:paraId="2239E8F6" w14:textId="09023676" w:rsidR="001C24E6" w:rsidRPr="00160C23" w:rsidRDefault="001C24E6" w:rsidP="00A70D16">
            <w:pPr>
              <w:pStyle w:val="TableParagraph"/>
              <w:spacing w:before="60" w:after="60"/>
              <w:ind w:right="95"/>
              <w:rPr>
                <w:i/>
                <w:color w:val="0070C0"/>
                <w:szCs w:val="16"/>
              </w:rPr>
            </w:pPr>
          </w:p>
        </w:tc>
      </w:tr>
    </w:tbl>
    <w:p w14:paraId="2239E8F8" w14:textId="77777777" w:rsidR="00B71767" w:rsidRDefault="00B71767" w:rsidP="00DB1F26">
      <w:pPr>
        <w:pStyle w:val="TableGraphic"/>
        <w:spacing w:before="30"/>
        <w:ind w:right="0"/>
        <w:rPr>
          <w:rFonts w:ascii="Arial" w:hAnsi="Arial" w:cs="Arial"/>
          <w:sz w:val="16"/>
          <w:szCs w:val="16"/>
        </w:rPr>
      </w:pPr>
      <w:r>
        <w:rPr>
          <w:rFonts w:ascii="Arial" w:hAnsi="Arial" w:cs="Arial"/>
          <w:sz w:val="16"/>
          <w:szCs w:val="16"/>
          <w:lang w:eastAsia="x-none"/>
        </w:rPr>
        <w:t>Table continues on next page</w:t>
      </w:r>
    </w:p>
    <w:p w14:paraId="2239E8F9" w14:textId="77777777" w:rsidR="001C24E6" w:rsidRDefault="001C24E6" w:rsidP="001C24E6"/>
    <w:p w14:paraId="2206E6F7" w14:textId="77777777" w:rsidR="00290B08" w:rsidRPr="00393668" w:rsidRDefault="0024498B" w:rsidP="00393668">
      <w:pPr>
        <w:spacing w:after="0" w:line="240" w:lineRule="auto"/>
        <w:rPr>
          <w:rFonts w:ascii="Arial" w:hAnsi="Arial"/>
          <w:b/>
          <w:sz w:val="20"/>
        </w:rPr>
      </w:pPr>
      <w:r w:rsidRPr="00393668">
        <w:rPr>
          <w:rFonts w:ascii="Arial" w:hAnsi="Arial"/>
          <w:b/>
          <w:sz w:val="20"/>
        </w:rPr>
        <w:lastRenderedPageBreak/>
        <w:t>Table 2.1.3: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3118"/>
        <w:gridCol w:w="3118"/>
      </w:tblGrid>
      <w:tr w:rsidR="00290B08" w:rsidRPr="001B2F81" w14:paraId="21C485B5" w14:textId="77777777" w:rsidTr="00333377">
        <w:trPr>
          <w:trHeight w:val="522"/>
        </w:trPr>
        <w:tc>
          <w:tcPr>
            <w:tcW w:w="7796" w:type="dxa"/>
            <w:gridSpan w:val="3"/>
            <w:shd w:val="clear" w:color="auto" w:fill="F2F2F2"/>
          </w:tcPr>
          <w:p w14:paraId="7DD74B46" w14:textId="77777777" w:rsidR="00290B08" w:rsidRDefault="00290B08" w:rsidP="00A70D16">
            <w:pPr>
              <w:tabs>
                <w:tab w:val="left" w:pos="709"/>
              </w:tabs>
              <w:spacing w:before="60" w:after="60"/>
              <w:rPr>
                <w:rFonts w:ascii="Arial" w:hAnsi="Arial" w:cs="Arial"/>
                <w:bCs/>
                <w:sz w:val="16"/>
                <w:szCs w:val="16"/>
              </w:rPr>
            </w:pPr>
            <w:r w:rsidRPr="00DE5A41">
              <w:rPr>
                <w:rFonts w:ascii="Arial" w:eastAsia="Arial" w:hAnsi="Arial" w:cs="Arial"/>
                <w:b/>
                <w:sz w:val="16"/>
              </w:rPr>
              <w:t>Program 1.2</w:t>
            </w:r>
            <w:r w:rsidRPr="00DE5A41">
              <w:rPr>
                <w:rFonts w:ascii="Arial" w:eastAsia="Arial" w:hAnsi="Arial" w:cs="Arial"/>
                <w:b/>
                <w:spacing w:val="-1"/>
                <w:sz w:val="16"/>
              </w:rPr>
              <w:t xml:space="preserve"> </w:t>
            </w:r>
            <w:r w:rsidRPr="00DE5A41">
              <w:rPr>
                <w:rFonts w:ascii="Arial" w:eastAsia="Arial" w:hAnsi="Arial" w:cs="Arial"/>
                <w:sz w:val="16"/>
              </w:rPr>
              <w:t>–</w:t>
            </w:r>
            <w:r w:rsidRPr="00DE5A41">
              <w:rPr>
                <w:rFonts w:ascii="Arial" w:eastAsia="Arial" w:hAnsi="Arial" w:cs="Arial"/>
                <w:spacing w:val="-3"/>
                <w:sz w:val="16"/>
              </w:rPr>
              <w:t xml:space="preserve"> </w:t>
            </w:r>
            <w:r w:rsidRPr="00DE5A41">
              <w:rPr>
                <w:rFonts w:ascii="Arial" w:eastAsia="Arial" w:hAnsi="Arial" w:cs="Arial"/>
                <w:b/>
                <w:sz w:val="16"/>
              </w:rPr>
              <w:t>Management</w:t>
            </w:r>
            <w:r w:rsidRPr="00DE5A41">
              <w:rPr>
                <w:rFonts w:ascii="Arial" w:eastAsia="Arial" w:hAnsi="Arial" w:cs="Arial"/>
                <w:b/>
                <w:spacing w:val="-3"/>
                <w:sz w:val="16"/>
              </w:rPr>
              <w:t xml:space="preserve"> </w:t>
            </w:r>
            <w:r w:rsidRPr="00DE5A41">
              <w:rPr>
                <w:rFonts w:ascii="Arial" w:eastAsia="Arial" w:hAnsi="Arial" w:cs="Arial"/>
                <w:b/>
                <w:sz w:val="16"/>
              </w:rPr>
              <w:t>of</w:t>
            </w:r>
            <w:r w:rsidRPr="00DE5A41">
              <w:rPr>
                <w:rFonts w:ascii="Arial" w:eastAsia="Arial" w:hAnsi="Arial" w:cs="Arial"/>
                <w:b/>
                <w:spacing w:val="-1"/>
                <w:sz w:val="16"/>
              </w:rPr>
              <w:t xml:space="preserve"> </w:t>
            </w:r>
            <w:r w:rsidRPr="00DE5A41">
              <w:rPr>
                <w:rFonts w:ascii="Arial" w:eastAsia="Arial" w:hAnsi="Arial" w:cs="Arial"/>
                <w:b/>
                <w:sz w:val="16"/>
              </w:rPr>
              <w:t>the</w:t>
            </w:r>
            <w:r w:rsidRPr="00DE5A41">
              <w:rPr>
                <w:rFonts w:ascii="Arial" w:eastAsia="Arial" w:hAnsi="Arial" w:cs="Arial"/>
                <w:b/>
                <w:spacing w:val="-1"/>
                <w:sz w:val="16"/>
              </w:rPr>
              <w:t xml:space="preserve"> </w:t>
            </w:r>
            <w:r w:rsidRPr="00DE5A41">
              <w:rPr>
                <w:rFonts w:ascii="Arial" w:eastAsia="Arial" w:hAnsi="Arial" w:cs="Arial"/>
                <w:b/>
                <w:sz w:val="16"/>
              </w:rPr>
              <w:t>Investment</w:t>
            </w:r>
            <w:r w:rsidRPr="00DE5A41">
              <w:rPr>
                <w:rFonts w:ascii="Arial" w:eastAsia="Arial" w:hAnsi="Arial" w:cs="Arial"/>
                <w:b/>
                <w:spacing w:val="-2"/>
                <w:sz w:val="16"/>
              </w:rPr>
              <w:t xml:space="preserve"> </w:t>
            </w:r>
            <w:r w:rsidRPr="00DE5A41">
              <w:rPr>
                <w:rFonts w:ascii="Arial" w:eastAsia="Arial" w:hAnsi="Arial" w:cs="Arial"/>
                <w:b/>
                <w:sz w:val="16"/>
              </w:rPr>
              <w:t>of</w:t>
            </w:r>
            <w:r w:rsidRPr="00DE5A41">
              <w:rPr>
                <w:rFonts w:ascii="Arial" w:eastAsia="Arial" w:hAnsi="Arial" w:cs="Arial"/>
                <w:b/>
                <w:spacing w:val="-3"/>
                <w:sz w:val="16"/>
              </w:rPr>
              <w:t xml:space="preserve"> </w:t>
            </w:r>
            <w:r w:rsidRPr="00DE5A41">
              <w:rPr>
                <w:rFonts w:ascii="Arial" w:eastAsia="Arial" w:hAnsi="Arial" w:cs="Arial"/>
                <w:b/>
                <w:sz w:val="16"/>
              </w:rPr>
              <w:t>the</w:t>
            </w:r>
            <w:r w:rsidRPr="00DE5A41">
              <w:rPr>
                <w:rFonts w:ascii="Arial" w:eastAsia="Arial" w:hAnsi="Arial" w:cs="Arial"/>
                <w:b/>
                <w:spacing w:val="1"/>
                <w:sz w:val="16"/>
              </w:rPr>
              <w:t xml:space="preserve"> </w:t>
            </w:r>
            <w:r w:rsidRPr="00DE5A41">
              <w:rPr>
                <w:rFonts w:ascii="Arial" w:eastAsia="Arial" w:hAnsi="Arial" w:cs="Arial"/>
                <w:b/>
                <w:sz w:val="16"/>
              </w:rPr>
              <w:t>Australian</w:t>
            </w:r>
            <w:r w:rsidRPr="00DE5A41">
              <w:rPr>
                <w:rFonts w:ascii="Arial" w:eastAsia="Arial" w:hAnsi="Arial" w:cs="Arial"/>
                <w:b/>
                <w:spacing w:val="-3"/>
                <w:sz w:val="16"/>
              </w:rPr>
              <w:t xml:space="preserve"> </w:t>
            </w:r>
            <w:r w:rsidRPr="00DE5A41">
              <w:rPr>
                <w:rFonts w:ascii="Arial" w:eastAsia="Arial" w:hAnsi="Arial" w:cs="Arial"/>
                <w:b/>
                <w:sz w:val="16"/>
              </w:rPr>
              <w:t>Government</w:t>
            </w:r>
            <w:r w:rsidRPr="00DE5A41">
              <w:rPr>
                <w:rFonts w:ascii="Arial" w:eastAsia="Arial" w:hAnsi="Arial" w:cs="Arial"/>
                <w:b/>
                <w:spacing w:val="-3"/>
                <w:sz w:val="16"/>
              </w:rPr>
              <w:t xml:space="preserve"> </w:t>
            </w:r>
            <w:r w:rsidRPr="00DE5A41">
              <w:rPr>
                <w:rFonts w:ascii="Arial" w:eastAsia="Arial" w:hAnsi="Arial" w:cs="Arial"/>
                <w:b/>
                <w:sz w:val="16"/>
              </w:rPr>
              <w:t>Investment</w:t>
            </w:r>
            <w:r w:rsidRPr="00DE5A41">
              <w:rPr>
                <w:rFonts w:ascii="Arial" w:eastAsia="Arial" w:hAnsi="Arial" w:cs="Arial"/>
                <w:b/>
                <w:spacing w:val="-3"/>
                <w:sz w:val="16"/>
              </w:rPr>
              <w:t xml:space="preserve"> </w:t>
            </w:r>
            <w:r w:rsidRPr="00DE5A41">
              <w:rPr>
                <w:rFonts w:ascii="Arial" w:eastAsia="Arial" w:hAnsi="Arial" w:cs="Arial"/>
                <w:b/>
                <w:sz w:val="16"/>
              </w:rPr>
              <w:t>Funds</w:t>
            </w:r>
            <w:r w:rsidRPr="0027653A">
              <w:rPr>
                <w:rFonts w:ascii="Arial" w:hAnsi="Arial" w:cs="Arial"/>
                <w:bCs/>
                <w:sz w:val="16"/>
                <w:szCs w:val="16"/>
              </w:rPr>
              <w:t xml:space="preserve"> </w:t>
            </w:r>
          </w:p>
          <w:p w14:paraId="476FA973" w14:textId="77777777" w:rsidR="00290B08" w:rsidRPr="001B2F81" w:rsidRDefault="00290B08" w:rsidP="00A70D16">
            <w:pPr>
              <w:pStyle w:val="TableTextLeft"/>
              <w:spacing w:before="60" w:after="60"/>
            </w:pPr>
            <w:r w:rsidRPr="00DE5A41">
              <w:rPr>
                <w:rFonts w:cs="Arial"/>
                <w:bCs/>
                <w:szCs w:val="16"/>
              </w:rPr>
              <w:t>The DisabilityCare Australia Fund Act 2013 established the DisabilityCare Australia Fund (DCAF) on</w:t>
            </w:r>
            <w:r>
              <w:rPr>
                <w:rFonts w:cs="Arial"/>
                <w:bCs/>
                <w:szCs w:val="16"/>
              </w:rPr>
              <w:t xml:space="preserve"> 1 </w:t>
            </w:r>
            <w:r w:rsidRPr="00DE5A41">
              <w:rPr>
                <w:rFonts w:cs="Arial"/>
                <w:bCs/>
                <w:szCs w:val="16"/>
              </w:rPr>
              <w:t>July 2014. The Medical Research Future Fund Act 2015 established the Medical Research Future Fund (MRFF) on 27 August 2015. The Aboriginal and Torres Strait Islander Land and Sea Future Fund Act 2018 established the Aboriginal and Torres Strait Islander Land and Sea Future Fund (ATSILSFF) on</w:t>
            </w:r>
            <w:r>
              <w:rPr>
                <w:rFonts w:cs="Arial"/>
                <w:bCs/>
                <w:szCs w:val="16"/>
              </w:rPr>
              <w:t xml:space="preserve"> </w:t>
            </w:r>
            <w:r w:rsidRPr="00DE5A41">
              <w:rPr>
                <w:rFonts w:cs="Arial"/>
                <w:bCs/>
                <w:szCs w:val="16"/>
              </w:rPr>
              <w:t>1</w:t>
            </w:r>
            <w:r>
              <w:rPr>
                <w:rFonts w:cs="Arial"/>
                <w:bCs/>
                <w:szCs w:val="16"/>
              </w:rPr>
              <w:t> </w:t>
            </w:r>
            <w:r w:rsidRPr="00DE5A41">
              <w:rPr>
                <w:rFonts w:cs="Arial"/>
                <w:bCs/>
                <w:szCs w:val="16"/>
              </w:rPr>
              <w:t>February 2019. The Future Drought Fund Act 2019 established the Future Drought Fund on</w:t>
            </w:r>
            <w:r>
              <w:rPr>
                <w:rFonts w:cs="Arial"/>
                <w:bCs/>
                <w:szCs w:val="16"/>
              </w:rPr>
              <w:t xml:space="preserve"> </w:t>
            </w:r>
            <w:r w:rsidRPr="00DE5A41">
              <w:rPr>
                <w:rFonts w:cs="Arial"/>
                <w:bCs/>
                <w:szCs w:val="16"/>
              </w:rPr>
              <w:t>1</w:t>
            </w:r>
            <w:r>
              <w:rPr>
                <w:rFonts w:cs="Arial"/>
                <w:bCs/>
                <w:szCs w:val="16"/>
              </w:rPr>
              <w:t> </w:t>
            </w:r>
            <w:r w:rsidRPr="00DE5A41">
              <w:rPr>
                <w:rFonts w:cs="Arial"/>
                <w:bCs/>
                <w:szCs w:val="16"/>
              </w:rPr>
              <w:t>September 2019. The Emergency Response Fund Act 2019 established the Emergency Response Fund on 12 December 2019. The role of the FFMA was extended to include supporting the Board in the investment of the assets of these funds.</w:t>
            </w:r>
          </w:p>
        </w:tc>
      </w:tr>
      <w:tr w:rsidR="00897739" w:rsidRPr="00160C23" w14:paraId="2239E8FE" w14:textId="77777777" w:rsidTr="00354798">
        <w:trPr>
          <w:trHeight w:val="258"/>
        </w:trPr>
        <w:tc>
          <w:tcPr>
            <w:tcW w:w="1560" w:type="dxa"/>
            <w:tcBorders>
              <w:top w:val="double" w:sz="4" w:space="0" w:color="auto"/>
              <w:bottom w:val="single" w:sz="4" w:space="0" w:color="auto"/>
              <w:right w:val="single" w:sz="4" w:space="0" w:color="auto"/>
            </w:tcBorders>
          </w:tcPr>
          <w:p w14:paraId="2239E8FB" w14:textId="77777777" w:rsidR="00897739" w:rsidRPr="00160C23" w:rsidRDefault="00897739" w:rsidP="00A70D16">
            <w:pPr>
              <w:pStyle w:val="TableColumnHeadingLeft"/>
              <w:spacing w:before="60" w:after="60"/>
            </w:pPr>
            <w:r w:rsidRPr="00160C23">
              <w:t>Year</w:t>
            </w:r>
          </w:p>
        </w:tc>
        <w:tc>
          <w:tcPr>
            <w:tcW w:w="3118" w:type="dxa"/>
            <w:tcBorders>
              <w:top w:val="double" w:sz="4" w:space="0" w:color="auto"/>
              <w:left w:val="single" w:sz="4" w:space="0" w:color="auto"/>
              <w:bottom w:val="single" w:sz="4" w:space="0" w:color="auto"/>
              <w:right w:val="single" w:sz="4" w:space="0" w:color="auto"/>
            </w:tcBorders>
          </w:tcPr>
          <w:p w14:paraId="2239E8FC" w14:textId="77777777" w:rsidR="00897739" w:rsidRPr="00160C23" w:rsidRDefault="00897739" w:rsidP="00A70D16">
            <w:pPr>
              <w:pStyle w:val="TableColumnHeadingLeft"/>
              <w:spacing w:before="60" w:after="60"/>
              <w:rPr>
                <w:rFonts w:cs="Arial"/>
              </w:rPr>
            </w:pPr>
            <w:r w:rsidRPr="00160C23">
              <w:rPr>
                <w:rFonts w:cs="Arial"/>
              </w:rPr>
              <w:t>Performance measures</w:t>
            </w:r>
          </w:p>
        </w:tc>
        <w:tc>
          <w:tcPr>
            <w:tcW w:w="3118" w:type="dxa"/>
            <w:tcBorders>
              <w:top w:val="double" w:sz="4" w:space="0" w:color="auto"/>
              <w:left w:val="single" w:sz="4" w:space="0" w:color="auto"/>
              <w:bottom w:val="single" w:sz="4" w:space="0" w:color="auto"/>
            </w:tcBorders>
          </w:tcPr>
          <w:p w14:paraId="2239E8FD" w14:textId="77777777" w:rsidR="00897739" w:rsidRPr="00160C23" w:rsidRDefault="00897739" w:rsidP="00A70D16">
            <w:pPr>
              <w:pStyle w:val="TableColumnHeadingLeft"/>
              <w:spacing w:before="60" w:after="60"/>
              <w:rPr>
                <w:rFonts w:cs="Arial"/>
              </w:rPr>
            </w:pPr>
            <w:r w:rsidRPr="00160C23">
              <w:rPr>
                <w:rFonts w:cs="Arial"/>
              </w:rPr>
              <w:t>Expected Performance Results</w:t>
            </w:r>
          </w:p>
        </w:tc>
      </w:tr>
      <w:tr w:rsidR="00897739" w:rsidRPr="00C867FE" w14:paraId="2239E90A" w14:textId="77777777" w:rsidTr="00354798">
        <w:trPr>
          <w:trHeight w:val="258"/>
        </w:trPr>
        <w:tc>
          <w:tcPr>
            <w:tcW w:w="1560" w:type="dxa"/>
            <w:tcBorders>
              <w:top w:val="single" w:sz="4" w:space="0" w:color="auto"/>
              <w:left w:val="single" w:sz="4" w:space="0" w:color="auto"/>
              <w:bottom w:val="dotted" w:sz="4" w:space="0" w:color="auto"/>
              <w:right w:val="single" w:sz="4" w:space="0" w:color="auto"/>
            </w:tcBorders>
          </w:tcPr>
          <w:p w14:paraId="2239E8FF"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 xml:space="preserve">Prior year </w:t>
            </w:r>
          </w:p>
          <w:p w14:paraId="2239E900" w14:textId="77777777" w:rsidR="00897739" w:rsidRPr="00C867FE" w:rsidRDefault="00897739" w:rsidP="00A70D16">
            <w:pPr>
              <w:pStyle w:val="TableColumnHeadingLeft"/>
              <w:spacing w:before="60" w:after="60"/>
              <w:rPr>
                <w:rFonts w:ascii="Arial" w:hAnsi="Arial" w:cs="Arial"/>
                <w:b w:val="0"/>
              </w:rPr>
            </w:pPr>
          </w:p>
          <w:p w14:paraId="2239E901" w14:textId="77777777" w:rsidR="00897739" w:rsidRDefault="00897739" w:rsidP="00A70D16">
            <w:pPr>
              <w:pStyle w:val="TableColumnHeadingLeft"/>
              <w:spacing w:before="60" w:after="60"/>
              <w:rPr>
                <w:rFonts w:ascii="Arial" w:hAnsi="Arial" w:cs="Arial"/>
                <w:b w:val="0"/>
              </w:rPr>
            </w:pPr>
            <w:r w:rsidRPr="00C867FE">
              <w:rPr>
                <w:rFonts w:ascii="Arial" w:hAnsi="Arial" w:cs="Arial"/>
                <w:b w:val="0"/>
              </w:rPr>
              <w:t>2021-22</w:t>
            </w:r>
          </w:p>
          <w:p w14:paraId="2239E902"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(continued)</w:t>
            </w:r>
          </w:p>
          <w:p w14:paraId="2239E903" w14:textId="77777777" w:rsidR="00897739" w:rsidRPr="00C867FE" w:rsidRDefault="00897739" w:rsidP="00A70D16">
            <w:pPr>
              <w:spacing w:before="60" w:after="60"/>
            </w:pPr>
          </w:p>
        </w:tc>
        <w:tc>
          <w:tcPr>
            <w:tcW w:w="3118" w:type="dxa"/>
            <w:tcBorders>
              <w:top w:val="single" w:sz="4" w:space="0" w:color="auto"/>
              <w:left w:val="single" w:sz="4" w:space="0" w:color="auto"/>
              <w:bottom w:val="dotted" w:sz="4" w:space="0" w:color="auto"/>
              <w:right w:val="single" w:sz="4" w:space="0" w:color="auto"/>
            </w:tcBorders>
          </w:tcPr>
          <w:p w14:paraId="2239E904" w14:textId="77777777" w:rsidR="00897739" w:rsidRDefault="00897739" w:rsidP="00C8474A">
            <w:pPr>
              <w:pStyle w:val="TableParagraph"/>
              <w:numPr>
                <w:ilvl w:val="0"/>
                <w:numId w:val="34"/>
              </w:numPr>
              <w:spacing w:before="60" w:after="60"/>
              <w:ind w:left="527" w:hanging="357"/>
              <w:rPr>
                <w:sz w:val="16"/>
              </w:rPr>
            </w:pPr>
            <w:r>
              <w:rPr>
                <w:sz w:val="16"/>
              </w:rPr>
              <w:t>For the FDF and ERF an average return</w:t>
            </w:r>
            <w:r>
              <w:rPr>
                <w:spacing w:val="1"/>
                <w:sz w:val="16"/>
              </w:rPr>
              <w:t xml:space="preserve"> </w:t>
            </w:r>
            <w:r>
              <w:rPr>
                <w:sz w:val="16"/>
              </w:rPr>
              <w:t>over the long term of at least the consumer</w:t>
            </w:r>
            <w:r>
              <w:rPr>
                <w:spacing w:val="1"/>
                <w:sz w:val="16"/>
              </w:rPr>
              <w:t xml:space="preserve"> </w:t>
            </w:r>
            <w:r>
              <w:rPr>
                <w:sz w:val="16"/>
              </w:rPr>
              <w:t>price index +2.0% to 3.0% per annum, net</w:t>
            </w:r>
            <w:r>
              <w:rPr>
                <w:spacing w:val="1"/>
                <w:sz w:val="16"/>
              </w:rPr>
              <w:t xml:space="preserve"> </w:t>
            </w:r>
            <w:r>
              <w:rPr>
                <w:sz w:val="16"/>
              </w:rPr>
              <w:t>of costs with an acceptable but not</w:t>
            </w:r>
            <w:r>
              <w:rPr>
                <w:spacing w:val="1"/>
                <w:sz w:val="16"/>
              </w:rPr>
              <w:t xml:space="preserve"> </w:t>
            </w:r>
            <w:r>
              <w:rPr>
                <w:sz w:val="16"/>
              </w:rPr>
              <w:t>excessive level of risk including having</w:t>
            </w:r>
            <w:r>
              <w:rPr>
                <w:spacing w:val="1"/>
                <w:sz w:val="16"/>
              </w:rPr>
              <w:t xml:space="preserve"> </w:t>
            </w:r>
            <w:r>
              <w:rPr>
                <w:sz w:val="16"/>
              </w:rPr>
              <w:t>regard to the plausible capital loss from</w:t>
            </w:r>
            <w:r>
              <w:rPr>
                <w:spacing w:val="1"/>
                <w:sz w:val="16"/>
              </w:rPr>
              <w:t xml:space="preserve"> </w:t>
            </w:r>
            <w:r>
              <w:rPr>
                <w:sz w:val="16"/>
              </w:rPr>
              <w:t>investment</w:t>
            </w:r>
            <w:r>
              <w:rPr>
                <w:spacing w:val="-2"/>
                <w:sz w:val="16"/>
              </w:rPr>
              <w:t xml:space="preserve"> </w:t>
            </w:r>
            <w:r>
              <w:rPr>
                <w:sz w:val="16"/>
              </w:rPr>
              <w:t>returns</w:t>
            </w:r>
            <w:r>
              <w:rPr>
                <w:spacing w:val="-2"/>
                <w:sz w:val="16"/>
              </w:rPr>
              <w:t xml:space="preserve"> </w:t>
            </w:r>
            <w:r>
              <w:rPr>
                <w:sz w:val="16"/>
              </w:rPr>
              <w:t>over</w:t>
            </w:r>
            <w:r>
              <w:rPr>
                <w:spacing w:val="-4"/>
                <w:sz w:val="16"/>
              </w:rPr>
              <w:t xml:space="preserve"> </w:t>
            </w:r>
            <w:r>
              <w:rPr>
                <w:sz w:val="16"/>
              </w:rPr>
              <w:t>a</w:t>
            </w:r>
            <w:r>
              <w:rPr>
                <w:spacing w:val="-6"/>
                <w:sz w:val="16"/>
              </w:rPr>
              <w:t xml:space="preserve"> </w:t>
            </w:r>
            <w:r>
              <w:rPr>
                <w:sz w:val="16"/>
              </w:rPr>
              <w:t>three-year</w:t>
            </w:r>
            <w:r>
              <w:rPr>
                <w:spacing w:val="-3"/>
                <w:sz w:val="16"/>
              </w:rPr>
              <w:t xml:space="preserve"> </w:t>
            </w:r>
            <w:r>
              <w:rPr>
                <w:sz w:val="16"/>
              </w:rPr>
              <w:t>period.</w:t>
            </w:r>
          </w:p>
          <w:p w14:paraId="2239E905" w14:textId="77777777" w:rsidR="00897739" w:rsidRPr="00C867FE" w:rsidRDefault="00897739" w:rsidP="00A70D16">
            <w:pPr>
              <w:pStyle w:val="TableColumnHeadingLeft"/>
              <w:spacing w:before="60" w:after="60"/>
              <w:rPr>
                <w:rFonts w:ascii="Arial" w:hAnsi="Arial" w:cs="Arial"/>
                <w:b w:val="0"/>
              </w:rPr>
            </w:pPr>
          </w:p>
        </w:tc>
        <w:tc>
          <w:tcPr>
            <w:tcW w:w="3118" w:type="dxa"/>
            <w:tcBorders>
              <w:top w:val="single" w:sz="4" w:space="0" w:color="auto"/>
              <w:left w:val="single" w:sz="4" w:space="0" w:color="auto"/>
              <w:bottom w:val="dotted" w:sz="4" w:space="0" w:color="auto"/>
              <w:right w:val="single" w:sz="4" w:space="0" w:color="auto"/>
            </w:tcBorders>
          </w:tcPr>
          <w:p w14:paraId="2239E906" w14:textId="77777777" w:rsidR="00897739" w:rsidRDefault="00897739" w:rsidP="000A0D42">
            <w:pPr>
              <w:pStyle w:val="TableParagraph"/>
              <w:spacing w:before="60" w:after="60"/>
              <w:rPr>
                <w:sz w:val="16"/>
              </w:rPr>
            </w:pPr>
            <w:r w:rsidRPr="0027653A">
              <w:rPr>
                <w:sz w:val="16"/>
              </w:rPr>
              <w:t xml:space="preserve">As </w:t>
            </w:r>
            <w:r w:rsidRPr="00BD4FF3">
              <w:rPr>
                <w:sz w:val="16"/>
              </w:rPr>
              <w:t>at 30 June 2022 the actual return for FDF was 7.5% pa compared to the target return of 5.6% pa since 1 April 2020, delivered within</w:t>
            </w:r>
            <w:r>
              <w:rPr>
                <w:sz w:val="16"/>
              </w:rPr>
              <w:t xml:space="preserve"> the mandate’s risk parameters</w:t>
            </w:r>
            <w:r w:rsidRPr="0027653A">
              <w:rPr>
                <w:sz w:val="16"/>
              </w:rPr>
              <w:t>.</w:t>
            </w:r>
          </w:p>
          <w:p w14:paraId="2239E907" w14:textId="77777777" w:rsidR="00897739" w:rsidRDefault="00897739" w:rsidP="000A0D42">
            <w:pPr>
              <w:pStyle w:val="TableParagraph"/>
              <w:spacing w:before="60" w:after="60"/>
              <w:rPr>
                <w:i/>
                <w:color w:val="FF0000"/>
                <w:sz w:val="16"/>
              </w:rPr>
            </w:pPr>
          </w:p>
          <w:p w14:paraId="2239E909" w14:textId="5B59E51D" w:rsidR="00897739" w:rsidRPr="00C867FE" w:rsidRDefault="00897739" w:rsidP="008625DC">
            <w:pPr>
              <w:pStyle w:val="TableParagraph"/>
              <w:spacing w:before="60" w:after="60"/>
              <w:rPr>
                <w:sz w:val="16"/>
              </w:rPr>
            </w:pPr>
            <w:r w:rsidRPr="0027653A">
              <w:rPr>
                <w:sz w:val="16"/>
              </w:rPr>
              <w:t xml:space="preserve">As </w:t>
            </w:r>
            <w:r w:rsidRPr="00BD4FF3">
              <w:rPr>
                <w:sz w:val="16"/>
              </w:rPr>
              <w:t>at 30 June 2022 the actual return for ERF was 7.5</w:t>
            </w:r>
            <w:r>
              <w:rPr>
                <w:sz w:val="16"/>
              </w:rPr>
              <w:t>%</w:t>
            </w:r>
            <w:r w:rsidRPr="0082275A">
              <w:rPr>
                <w:sz w:val="16"/>
              </w:rPr>
              <w:t xml:space="preserve"> </w:t>
            </w:r>
            <w:r>
              <w:rPr>
                <w:sz w:val="16"/>
              </w:rPr>
              <w:t xml:space="preserve">pa </w:t>
            </w:r>
            <w:r w:rsidRPr="0082275A">
              <w:rPr>
                <w:sz w:val="16"/>
              </w:rPr>
              <w:t>compared</w:t>
            </w:r>
            <w:r>
              <w:rPr>
                <w:sz w:val="16"/>
              </w:rPr>
              <w:t xml:space="preserve"> to the target return of 5.6% pa </w:t>
            </w:r>
            <w:r w:rsidRPr="0027653A">
              <w:rPr>
                <w:sz w:val="16"/>
              </w:rPr>
              <w:t>since</w:t>
            </w:r>
            <w:r w:rsidRPr="00F159C9">
              <w:rPr>
                <w:sz w:val="16"/>
              </w:rPr>
              <w:t xml:space="preserve"> 1 April 2020</w:t>
            </w:r>
            <w:r>
              <w:rPr>
                <w:sz w:val="16"/>
              </w:rPr>
              <w:t>, delivered within the mandate’s risk parameters</w:t>
            </w:r>
            <w:r w:rsidRPr="0027653A">
              <w:rPr>
                <w:sz w:val="16"/>
              </w:rPr>
              <w:t>.</w:t>
            </w:r>
          </w:p>
        </w:tc>
      </w:tr>
      <w:tr w:rsidR="00897739" w:rsidRPr="00C867FE" w14:paraId="2239E90F" w14:textId="77777777" w:rsidTr="00354798">
        <w:trPr>
          <w:trHeight w:val="258"/>
        </w:trPr>
        <w:tc>
          <w:tcPr>
            <w:tcW w:w="1560" w:type="dxa"/>
            <w:tcBorders>
              <w:top w:val="dotted" w:sz="4" w:space="0" w:color="auto"/>
              <w:left w:val="single" w:sz="4" w:space="0" w:color="auto"/>
              <w:bottom w:val="dotted" w:sz="4" w:space="0" w:color="auto"/>
              <w:right w:val="single" w:sz="4" w:space="0" w:color="auto"/>
            </w:tcBorders>
          </w:tcPr>
          <w:p w14:paraId="2239E90B"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 xml:space="preserve">Budget Year </w:t>
            </w:r>
          </w:p>
          <w:p w14:paraId="2239E90C"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2022-23</w:t>
            </w:r>
          </w:p>
        </w:tc>
        <w:tc>
          <w:tcPr>
            <w:tcW w:w="3118" w:type="dxa"/>
            <w:tcBorders>
              <w:top w:val="dotted" w:sz="4" w:space="0" w:color="auto"/>
              <w:left w:val="single" w:sz="4" w:space="0" w:color="auto"/>
              <w:bottom w:val="dotted" w:sz="4" w:space="0" w:color="auto"/>
              <w:right w:val="single" w:sz="6" w:space="0" w:color="auto"/>
            </w:tcBorders>
          </w:tcPr>
          <w:p w14:paraId="2239E90D"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As per 2021-22</w:t>
            </w:r>
          </w:p>
        </w:tc>
        <w:tc>
          <w:tcPr>
            <w:tcW w:w="3118" w:type="dxa"/>
            <w:tcBorders>
              <w:top w:val="dotted" w:sz="4" w:space="0" w:color="auto"/>
              <w:left w:val="single" w:sz="6" w:space="0" w:color="auto"/>
              <w:bottom w:val="dotted" w:sz="4" w:space="0" w:color="auto"/>
              <w:right w:val="single" w:sz="4" w:space="0" w:color="auto"/>
            </w:tcBorders>
          </w:tcPr>
          <w:p w14:paraId="2239E90E" w14:textId="77777777" w:rsidR="00897739" w:rsidRPr="00C867FE" w:rsidRDefault="00897739" w:rsidP="000A0D42">
            <w:pPr>
              <w:pStyle w:val="TableParagraph"/>
              <w:spacing w:before="60" w:after="60"/>
              <w:rPr>
                <w:sz w:val="16"/>
              </w:rPr>
            </w:pPr>
            <w:r w:rsidRPr="00C867FE">
              <w:rPr>
                <w:sz w:val="16"/>
              </w:rPr>
              <w:t>To achieve a return in line with the target return and with regard to the risk parameters of the mandate for the DCAF, MRFF, ATSILSFF, FDF &amp; ERF.</w:t>
            </w:r>
          </w:p>
        </w:tc>
      </w:tr>
      <w:tr w:rsidR="00897739" w:rsidRPr="00C867FE" w14:paraId="2239E914" w14:textId="77777777" w:rsidTr="00354798">
        <w:trPr>
          <w:trHeight w:val="258"/>
        </w:trPr>
        <w:tc>
          <w:tcPr>
            <w:tcW w:w="1560" w:type="dxa"/>
            <w:tcBorders>
              <w:top w:val="dotted" w:sz="4" w:space="0" w:color="auto"/>
              <w:left w:val="single" w:sz="4" w:space="0" w:color="auto"/>
              <w:bottom w:val="single" w:sz="4" w:space="0" w:color="auto"/>
              <w:right w:val="single" w:sz="4" w:space="0" w:color="auto"/>
            </w:tcBorders>
          </w:tcPr>
          <w:p w14:paraId="2239E910"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 xml:space="preserve">Forward Estimates </w:t>
            </w:r>
          </w:p>
          <w:p w14:paraId="2239E911"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2023-26</w:t>
            </w:r>
          </w:p>
        </w:tc>
        <w:tc>
          <w:tcPr>
            <w:tcW w:w="3118" w:type="dxa"/>
            <w:tcBorders>
              <w:top w:val="dotted" w:sz="4" w:space="0" w:color="auto"/>
              <w:left w:val="single" w:sz="4" w:space="0" w:color="auto"/>
              <w:bottom w:val="single" w:sz="4" w:space="0" w:color="auto"/>
              <w:right w:val="single" w:sz="4" w:space="0" w:color="auto"/>
            </w:tcBorders>
          </w:tcPr>
          <w:p w14:paraId="2239E912"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As per 2022-23</w:t>
            </w:r>
          </w:p>
        </w:tc>
        <w:tc>
          <w:tcPr>
            <w:tcW w:w="3118" w:type="dxa"/>
            <w:tcBorders>
              <w:top w:val="dotted" w:sz="4" w:space="0" w:color="auto"/>
              <w:left w:val="single" w:sz="4" w:space="0" w:color="auto"/>
              <w:bottom w:val="single" w:sz="4" w:space="0" w:color="auto"/>
              <w:right w:val="single" w:sz="4" w:space="0" w:color="auto"/>
            </w:tcBorders>
          </w:tcPr>
          <w:p w14:paraId="2239E913" w14:textId="77777777" w:rsidR="00897739" w:rsidRPr="00C867FE" w:rsidRDefault="00897739" w:rsidP="00A70D16">
            <w:pPr>
              <w:pStyle w:val="TableColumnHeadingLeft"/>
              <w:spacing w:before="60" w:after="60"/>
              <w:rPr>
                <w:rFonts w:ascii="Arial" w:hAnsi="Arial" w:cs="Arial"/>
                <w:b w:val="0"/>
              </w:rPr>
            </w:pPr>
            <w:r w:rsidRPr="00C867FE">
              <w:rPr>
                <w:rFonts w:ascii="Arial" w:hAnsi="Arial" w:cs="Arial"/>
                <w:b w:val="0"/>
              </w:rPr>
              <w:t>As per 2022-23</w:t>
            </w:r>
          </w:p>
        </w:tc>
      </w:tr>
      <w:tr w:rsidR="006C3D4F" w:rsidRPr="00160C23" w14:paraId="7015E1F6" w14:textId="77777777" w:rsidTr="00333377">
        <w:tblPrEx>
          <w:tblLook w:val="04A0" w:firstRow="1" w:lastRow="0" w:firstColumn="1" w:lastColumn="0" w:noHBand="0" w:noVBand="1"/>
        </w:tblPrEx>
        <w:trPr>
          <w:trHeight w:val="291"/>
        </w:trPr>
        <w:tc>
          <w:tcPr>
            <w:tcW w:w="7796" w:type="dxa"/>
            <w:gridSpan w:val="3"/>
          </w:tcPr>
          <w:p w14:paraId="06651CFE" w14:textId="38B5E300" w:rsidR="006C3D4F" w:rsidRPr="00160C23" w:rsidRDefault="005E458D" w:rsidP="00A70D16">
            <w:pPr>
              <w:pStyle w:val="TableTextLeft"/>
              <w:spacing w:before="60" w:after="60"/>
              <w:rPr>
                <w:rFonts w:eastAsia="Cambria"/>
                <w:bCs/>
                <w:iCs/>
                <w:color w:val="0070C0"/>
                <w:spacing w:val="-6"/>
                <w:lang w:val="x-none"/>
              </w:rPr>
            </w:pPr>
            <w:r w:rsidRPr="005E458D">
              <w:t>Material changes to Program 1.2</w:t>
            </w:r>
            <w:r w:rsidR="006C3D4F" w:rsidRPr="005E458D">
              <w:t xml:space="preserve"> resulting from October 2022-23 Budget Measures:</w:t>
            </w:r>
            <w:r w:rsidR="006C3D4F" w:rsidRPr="005E458D">
              <w:rPr>
                <w:bCs/>
                <w:iCs/>
                <w:spacing w:val="-6"/>
              </w:rPr>
              <w:t xml:space="preserve"> </w:t>
            </w:r>
            <w:r w:rsidRPr="005E458D">
              <w:rPr>
                <w:bCs/>
                <w:iCs/>
                <w:spacing w:val="-6"/>
              </w:rPr>
              <w:t>Nil</w:t>
            </w:r>
          </w:p>
        </w:tc>
      </w:tr>
    </w:tbl>
    <w:p w14:paraId="2239E915" w14:textId="77777777" w:rsidR="00897739" w:rsidRPr="00897739" w:rsidRDefault="00897739" w:rsidP="00DD7FBC"/>
    <w:p w14:paraId="2239E916" w14:textId="77777777" w:rsidR="00BF0558" w:rsidRDefault="00BF0558" w:rsidP="00DD7FBC"/>
    <w:p w14:paraId="2239E917" w14:textId="77777777" w:rsidR="00BF0558" w:rsidRPr="00F50A4C" w:rsidRDefault="00BF0558" w:rsidP="004D5C6C">
      <w:pPr>
        <w:spacing w:after="0" w:line="240" w:lineRule="auto"/>
        <w:rPr>
          <w:rFonts w:ascii="Arial Bold" w:hAnsi="Arial Bold"/>
          <w:b/>
          <w:sz w:val="26"/>
        </w:rPr>
      </w:pPr>
      <w:r>
        <w:br w:type="page"/>
      </w:r>
    </w:p>
    <w:p w14:paraId="2239E918" w14:textId="77777777" w:rsidR="00BF0558" w:rsidRPr="006913EB" w:rsidRDefault="00BF0558" w:rsidP="004D5C6C">
      <w:pPr>
        <w:pStyle w:val="Heading2"/>
      </w:pPr>
      <w:bookmarkStart w:id="249" w:name="_Toc116742533"/>
      <w:bookmarkStart w:id="250" w:name="_Toc117070824"/>
      <w:bookmarkStart w:id="251" w:name="_Toc117071079"/>
      <w:bookmarkStart w:id="252" w:name="_Toc117071533"/>
      <w:bookmarkStart w:id="253" w:name="_Toc117078113"/>
      <w:r w:rsidRPr="006913EB">
        <w:lastRenderedPageBreak/>
        <w:t>Section 3: Budgeted financial statements</w:t>
      </w:r>
      <w:bookmarkEnd w:id="249"/>
      <w:bookmarkEnd w:id="250"/>
      <w:bookmarkEnd w:id="251"/>
      <w:bookmarkEnd w:id="252"/>
      <w:bookmarkEnd w:id="253"/>
    </w:p>
    <w:p w14:paraId="2239E919" w14:textId="77777777" w:rsidR="00BF0558" w:rsidRPr="002F2453" w:rsidRDefault="00BF0558" w:rsidP="004D5C6C">
      <w:r w:rsidRPr="002F2453">
        <w:t>Section 3 presents budgeted financial statements which provide a comprehensive snapshot of entity finances for the 2022-23 budget year, including the impact of budget measures and resourcing on financial statements.</w:t>
      </w:r>
    </w:p>
    <w:p w14:paraId="2239E91A" w14:textId="77777777" w:rsidR="00BF0558" w:rsidRPr="005328A9" w:rsidRDefault="00BF0558" w:rsidP="004D5C6C">
      <w:pPr>
        <w:pStyle w:val="Heading3"/>
      </w:pPr>
      <w:bookmarkStart w:id="254" w:name="_Toc116742534"/>
      <w:bookmarkStart w:id="255" w:name="_Toc117070825"/>
      <w:bookmarkStart w:id="256" w:name="_Toc117071080"/>
      <w:bookmarkStart w:id="257" w:name="_Toc117071534"/>
      <w:bookmarkStart w:id="258" w:name="_Toc117078114"/>
      <w:r w:rsidRPr="005328A9">
        <w:t>3.1</w:t>
      </w:r>
      <w:r w:rsidRPr="005328A9">
        <w:tab/>
        <w:t>Budgeted financial statements</w:t>
      </w:r>
      <w:bookmarkEnd w:id="254"/>
      <w:bookmarkEnd w:id="255"/>
      <w:bookmarkEnd w:id="256"/>
      <w:bookmarkEnd w:id="257"/>
      <w:bookmarkEnd w:id="258"/>
    </w:p>
    <w:p w14:paraId="2239E91B" w14:textId="77777777" w:rsidR="00BF0558" w:rsidRDefault="00BF0558" w:rsidP="004D5C6C">
      <w:pPr>
        <w:pStyle w:val="Heading4"/>
      </w:pPr>
      <w:r>
        <w:t>3.1.1</w:t>
      </w:r>
      <w:r>
        <w:tab/>
        <w:t>Differences between entity resourcing and financial statements</w:t>
      </w:r>
    </w:p>
    <w:p w14:paraId="2239E91C" w14:textId="77777777" w:rsidR="00BF0558" w:rsidRPr="002F2453" w:rsidRDefault="00BF0558" w:rsidP="004D5C6C">
      <w:pPr>
        <w:rPr>
          <w:szCs w:val="19"/>
        </w:rPr>
      </w:pPr>
      <w:r w:rsidRPr="002F2453">
        <w:rPr>
          <w:szCs w:val="19"/>
        </w:rPr>
        <w:t>No material differences exist between entity resourcing and the financial statements.</w:t>
      </w:r>
    </w:p>
    <w:p w14:paraId="2239E91D" w14:textId="77777777" w:rsidR="00BF0558" w:rsidRDefault="00BF0558" w:rsidP="004D5C6C">
      <w:pPr>
        <w:pStyle w:val="Heading4"/>
      </w:pPr>
      <w:r>
        <w:t>3.1.2</w:t>
      </w:r>
      <w:r>
        <w:tab/>
        <w:t>Explanatory notes and analysis of budgeted financial statements</w:t>
      </w:r>
    </w:p>
    <w:p w14:paraId="2239E91E" w14:textId="77777777" w:rsidR="00BF0558" w:rsidRPr="002F2453" w:rsidRDefault="00BF0558" w:rsidP="004D5C6C">
      <w:pPr>
        <w:rPr>
          <w:szCs w:val="19"/>
        </w:rPr>
      </w:pPr>
      <w:r w:rsidRPr="002F2453">
        <w:rPr>
          <w:szCs w:val="19"/>
        </w:rPr>
        <w:t>Departmental expenditure will increase over the 2022-23 estimate year in line with maintaining and developing the Agency’s ability to support the Board in managing the Future Fund and other Australian Government Investment Funds.</w:t>
      </w:r>
    </w:p>
    <w:p w14:paraId="3D5CC8B1" w14:textId="77777777" w:rsidR="00B67D6E" w:rsidRDefault="00BF0558" w:rsidP="00B67D6E">
      <w:pPr>
        <w:rPr>
          <w:szCs w:val="19"/>
        </w:rPr>
      </w:pPr>
      <w:r w:rsidRPr="002F2453">
        <w:rPr>
          <w:szCs w:val="19"/>
        </w:rPr>
        <w:t>Administered expenditure will increase over the 2022-23 estimate year as a result of the expected growth of the portfolio and the evolution of the asset allocation in line with the Board’s investment strategy.</w:t>
      </w:r>
      <w:r w:rsidR="00B67D6E">
        <w:rPr>
          <w:szCs w:val="19"/>
        </w:rPr>
        <w:br w:type="page"/>
      </w:r>
    </w:p>
    <w:p w14:paraId="2239E920" w14:textId="7DB627BF" w:rsidR="00BF0558" w:rsidRPr="004C7D9E" w:rsidRDefault="004C7D9E" w:rsidP="004C7D9E">
      <w:pPr>
        <w:pStyle w:val="Heading3"/>
      </w:pPr>
      <w:bookmarkStart w:id="259" w:name="_Toc117071535"/>
      <w:bookmarkStart w:id="260" w:name="_Toc117078115"/>
      <w:r>
        <w:lastRenderedPageBreak/>
        <w:t>3.2</w:t>
      </w:r>
      <w:r w:rsidR="00BF0558" w:rsidRPr="004C7D9E">
        <w:tab/>
        <w:t>Budgeted financial statements tables</w:t>
      </w:r>
      <w:bookmarkEnd w:id="259"/>
      <w:bookmarkEnd w:id="260"/>
    </w:p>
    <w:p w14:paraId="2239E921" w14:textId="77777777" w:rsidR="00BF0558" w:rsidRDefault="00BF0558" w:rsidP="004D5C6C">
      <w:pPr>
        <w:pStyle w:val="TableHeading"/>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14:paraId="2239E922" w14:textId="37AAC935" w:rsidR="00BF0558" w:rsidRPr="00D232B7" w:rsidRDefault="00FA503C" w:rsidP="00DB1F26">
      <w:pPr>
        <w:pStyle w:val="TableGraphic"/>
        <w:spacing w:before="30"/>
        <w:ind w:right="0"/>
      </w:pPr>
      <w:r w:rsidRPr="00FA503C">
        <w:rPr>
          <w:noProof/>
          <w:lang w:eastAsia="zh-CN"/>
        </w:rPr>
        <w:drawing>
          <wp:inline distT="0" distB="0" distL="0" distR="0" wp14:anchorId="2742FEA2" wp14:editId="5D4F03EB">
            <wp:extent cx="4895850" cy="338667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895850" cy="3386671"/>
                    </a:xfrm>
                    <a:prstGeom prst="rect">
                      <a:avLst/>
                    </a:prstGeom>
                    <a:noFill/>
                    <a:ln>
                      <a:noFill/>
                    </a:ln>
                  </pic:spPr>
                </pic:pic>
              </a:graphicData>
            </a:graphic>
          </wp:inline>
        </w:drawing>
      </w:r>
      <w:r w:rsidR="00BF0558" w:rsidRPr="00484723">
        <w:t xml:space="preserve"> </w:t>
      </w:r>
      <w:r w:rsidR="00BF0558" w:rsidRPr="004F448B">
        <w:rPr>
          <w:rFonts w:ascii="Arial" w:hAnsi="Arial" w:cs="Arial"/>
          <w:sz w:val="16"/>
          <w:szCs w:val="16"/>
        </w:rPr>
        <w:t>Prepared on Australian Accounting Standards basis.</w:t>
      </w:r>
      <w:r w:rsidR="00BF0558" w:rsidRPr="004F448B">
        <w:t xml:space="preserve"> </w:t>
      </w:r>
      <w:r w:rsidR="00BF0558">
        <w:br w:type="page"/>
      </w:r>
    </w:p>
    <w:p w14:paraId="2239E923" w14:textId="77777777" w:rsidR="00BF0558" w:rsidRDefault="00BF0558" w:rsidP="004D5C6C">
      <w:pPr>
        <w:pStyle w:val="TableHeading"/>
      </w:pPr>
      <w:r w:rsidRPr="00E4582E">
        <w:lastRenderedPageBreak/>
        <w:t>Table</w:t>
      </w:r>
      <w:r>
        <w:t xml:space="preserve"> 3.</w:t>
      </w:r>
      <w:r w:rsidRPr="00E4582E">
        <w:t>2: Budg</w:t>
      </w:r>
      <w:r>
        <w:t xml:space="preserve">eted departmental balance sheet </w:t>
      </w:r>
      <w:r w:rsidRPr="00E4582E">
        <w:t>(as at 30 June)</w:t>
      </w:r>
    </w:p>
    <w:p w14:paraId="2239E924" w14:textId="4B2B475D" w:rsidR="00BF0558" w:rsidRPr="00921B81" w:rsidRDefault="000321DC" w:rsidP="004D5C6C">
      <w:pPr>
        <w:pStyle w:val="TableGraphic"/>
      </w:pPr>
      <w:r w:rsidRPr="000321DC">
        <w:rPr>
          <w:noProof/>
          <w:lang w:eastAsia="zh-CN"/>
        </w:rPr>
        <w:drawing>
          <wp:inline distT="0" distB="0" distL="0" distR="0" wp14:anchorId="0D4B6A4E" wp14:editId="10B52125">
            <wp:extent cx="4895850" cy="372592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895850" cy="3725923"/>
                    </a:xfrm>
                    <a:prstGeom prst="rect">
                      <a:avLst/>
                    </a:prstGeom>
                    <a:noFill/>
                    <a:ln>
                      <a:noFill/>
                    </a:ln>
                  </pic:spPr>
                </pic:pic>
              </a:graphicData>
            </a:graphic>
          </wp:inline>
        </w:drawing>
      </w:r>
    </w:p>
    <w:p w14:paraId="2239E925" w14:textId="77777777" w:rsidR="00BF0558" w:rsidRPr="00DB1F26" w:rsidRDefault="00BF0558" w:rsidP="00DB1F26">
      <w:pPr>
        <w:pStyle w:val="TableGraphic"/>
        <w:spacing w:before="30"/>
        <w:ind w:right="0"/>
        <w:rPr>
          <w:rFonts w:ascii="Arial" w:hAnsi="Arial" w:cs="Arial"/>
          <w:sz w:val="16"/>
          <w:szCs w:val="16"/>
        </w:rPr>
      </w:pPr>
      <w:r w:rsidRPr="00DB1F26">
        <w:rPr>
          <w:rFonts w:ascii="Arial" w:hAnsi="Arial" w:cs="Arial"/>
          <w:sz w:val="16"/>
          <w:szCs w:val="16"/>
        </w:rPr>
        <w:t xml:space="preserve"> </w:t>
      </w:r>
      <w:r w:rsidRPr="008E2755">
        <w:rPr>
          <w:rFonts w:ascii="Arial" w:hAnsi="Arial" w:cs="Arial"/>
          <w:sz w:val="16"/>
          <w:szCs w:val="16"/>
        </w:rPr>
        <w:t>Prepared on Australian Accounting Standards basis.</w:t>
      </w:r>
    </w:p>
    <w:p w14:paraId="2239E926" w14:textId="77777777" w:rsidR="00BF0558" w:rsidRPr="008D76C4" w:rsidRDefault="00BF0558" w:rsidP="004D5C6C">
      <w:pPr>
        <w:pStyle w:val="TableHeading"/>
      </w:pPr>
      <w:r>
        <w:br w:type="page"/>
      </w:r>
      <w:r w:rsidRPr="00AD42E2">
        <w:lastRenderedPageBreak/>
        <w:t>Table 3.3: Departmental statement of changes in equity — summary of</w:t>
      </w:r>
      <w:r>
        <w:t xml:space="preserve"> movement (Budget year 2022-23</w:t>
      </w:r>
      <w:r w:rsidRPr="00D30CBA">
        <w:t>)</w:t>
      </w:r>
      <w:r>
        <w:rPr>
          <w:color w:val="000000"/>
          <w:lang w:val="x-none" w:eastAsia="x-none"/>
        </w:rPr>
        <w:fldChar w:fldCharType="begin" w:fldLock="1"/>
      </w:r>
      <w:r>
        <w:instrText xml:space="preserve"> LINK Excel.Sheet.12 "\\\\romulus\\csg_h$\\MCD\\Publishing\\Graphic Design Services Team\\Projects\\2021\\Budget 2021\\03 PBS\\PBS templates\\Attachment B - 2021-22 PBS Excel Tables.xlsx" "Table 3.3!R3C1:R34C6" \a \f 4 \h </w:instrText>
      </w:r>
      <w:r>
        <w:rPr>
          <w:color w:val="000000"/>
          <w:lang w:val="x-none" w:eastAsia="x-none"/>
        </w:rPr>
        <w:fldChar w:fldCharType="separate"/>
      </w:r>
    </w:p>
    <w:p w14:paraId="2239E927" w14:textId="77777777" w:rsidR="00BF0558" w:rsidRDefault="00BF0558" w:rsidP="004D5C6C">
      <w:pPr>
        <w:pStyle w:val="TableGraphic"/>
      </w:pPr>
      <w:r>
        <w:fldChar w:fldCharType="end"/>
      </w:r>
      <w:r w:rsidRPr="002376AD">
        <w:t xml:space="preserve"> </w:t>
      </w:r>
    </w:p>
    <w:p w14:paraId="2239E928" w14:textId="77777777" w:rsidR="00BF0558" w:rsidRPr="00326FF3" w:rsidRDefault="00BF0558" w:rsidP="004D5C6C">
      <w:pPr>
        <w:rPr>
          <w:szCs w:val="19"/>
        </w:rPr>
      </w:pPr>
      <w:r w:rsidRPr="00326FF3">
        <w:rPr>
          <w:szCs w:val="19"/>
        </w:rPr>
        <w:t>The FFMA does not have any changes in equity.</w:t>
      </w:r>
    </w:p>
    <w:p w14:paraId="2239E929" w14:textId="77777777" w:rsidR="00BF0558" w:rsidRPr="00152B2B" w:rsidRDefault="00BF0558" w:rsidP="004D5C6C"/>
    <w:p w14:paraId="2239E92A" w14:textId="77777777" w:rsidR="00BF0558" w:rsidRPr="00A00283" w:rsidRDefault="00BF0558">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14:paraId="2239E92B" w14:textId="028EAEEC" w:rsidR="0014721B" w:rsidRPr="0014721B" w:rsidRDefault="00324590" w:rsidP="00DB1F26">
      <w:pPr>
        <w:pStyle w:val="TableGraphic"/>
        <w:tabs>
          <w:tab w:val="left" w:pos="6237"/>
        </w:tabs>
        <w:spacing w:before="30"/>
        <w:ind w:right="0"/>
      </w:pPr>
      <w:r w:rsidRPr="00324590">
        <w:rPr>
          <w:rFonts w:ascii="Arial" w:hAnsi="Arial" w:cs="Arial"/>
          <w:noProof/>
          <w:sz w:val="16"/>
          <w:szCs w:val="16"/>
          <w:lang w:eastAsia="zh-CN"/>
        </w:rPr>
        <w:drawing>
          <wp:inline distT="0" distB="0" distL="0" distR="0" wp14:anchorId="131759F9" wp14:editId="3A70E156">
            <wp:extent cx="4895850" cy="4391777"/>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895850" cy="4391777"/>
                    </a:xfrm>
                    <a:prstGeom prst="rect">
                      <a:avLst/>
                    </a:prstGeom>
                    <a:noFill/>
                    <a:ln>
                      <a:noFill/>
                    </a:ln>
                  </pic:spPr>
                </pic:pic>
              </a:graphicData>
            </a:graphic>
          </wp:inline>
        </w:drawing>
      </w:r>
      <w:r w:rsidR="0014721B" w:rsidRPr="0014721B">
        <w:rPr>
          <w:rFonts w:ascii="Arial" w:hAnsi="Arial" w:cs="Arial"/>
          <w:sz w:val="16"/>
          <w:szCs w:val="16"/>
        </w:rPr>
        <w:t>Prepared on Australian Accounting Standards basis.</w:t>
      </w:r>
    </w:p>
    <w:p w14:paraId="2239E92C" w14:textId="77777777" w:rsidR="00BF0558" w:rsidRDefault="00BF0558" w:rsidP="004D5C6C">
      <w:pPr>
        <w:pStyle w:val="TableHeadingcontinued"/>
      </w:pPr>
      <w:r>
        <w:br w:type="page"/>
      </w:r>
      <w:r w:rsidRPr="00D30CBA">
        <w:lastRenderedPageBreak/>
        <w:t>Table</w:t>
      </w:r>
      <w:r>
        <w:t xml:space="preserve"> 3.5</w:t>
      </w:r>
      <w:r w:rsidRPr="00D30CBA">
        <w:t xml:space="preserve">: </w:t>
      </w:r>
      <w:r>
        <w:t>Departmental capital budget statement (for the period ended 30 June)</w:t>
      </w:r>
    </w:p>
    <w:p w14:paraId="2239E92D" w14:textId="68485126" w:rsidR="00BF0558" w:rsidRPr="009C372B" w:rsidRDefault="00CC445B" w:rsidP="00DB1F26">
      <w:pPr>
        <w:pStyle w:val="TableGraphic"/>
        <w:spacing w:before="30"/>
        <w:ind w:right="0"/>
        <w:rPr>
          <w:rFonts w:ascii="Arial" w:hAnsi="Arial" w:cs="Arial"/>
          <w:sz w:val="16"/>
          <w:szCs w:val="16"/>
        </w:rPr>
      </w:pPr>
      <w:r w:rsidRPr="00CC445B">
        <w:rPr>
          <w:noProof/>
          <w:lang w:eastAsia="zh-CN"/>
        </w:rPr>
        <w:drawing>
          <wp:inline distT="0" distB="0" distL="0" distR="0" wp14:anchorId="576B9E57" wp14:editId="6925FB0C">
            <wp:extent cx="4895850" cy="1859525"/>
            <wp:effectExtent l="0" t="0" r="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895850" cy="1859525"/>
                    </a:xfrm>
                    <a:prstGeom prst="rect">
                      <a:avLst/>
                    </a:prstGeom>
                    <a:noFill/>
                    <a:ln>
                      <a:noFill/>
                    </a:ln>
                  </pic:spPr>
                </pic:pic>
              </a:graphicData>
            </a:graphic>
          </wp:inline>
        </w:drawing>
      </w:r>
      <w:r w:rsidR="00BF0558" w:rsidRPr="00ED34CA">
        <w:t xml:space="preserve"> </w:t>
      </w:r>
      <w:r w:rsidR="00BF0558" w:rsidRPr="009C372B">
        <w:rPr>
          <w:rFonts w:ascii="Arial" w:hAnsi="Arial" w:cs="Arial"/>
          <w:sz w:val="16"/>
          <w:szCs w:val="16"/>
        </w:rPr>
        <w:t>Prepared on Australian Accounting Standards basis.</w:t>
      </w:r>
    </w:p>
    <w:p w14:paraId="2239E92E" w14:textId="77777777" w:rsidR="00BF0558" w:rsidRDefault="00BF0558" w:rsidP="004D5C6C">
      <w:pPr>
        <w:pStyle w:val="ExampleText0"/>
        <w:sectPr w:rsidR="00BF0558" w:rsidSect="004D5C6C">
          <w:headerReference w:type="even" r:id="rId162"/>
          <w:headerReference w:type="default" r:id="rId163"/>
          <w:footerReference w:type="default" r:id="rId164"/>
          <w:headerReference w:type="first" r:id="rId165"/>
          <w:pgSz w:w="11906" w:h="16838" w:code="9"/>
          <w:pgMar w:top="2835" w:right="2098" w:bottom="2466" w:left="2098" w:header="1814" w:footer="1814" w:gutter="0"/>
          <w:cols w:space="708"/>
          <w:titlePg/>
          <w:docGrid w:linePitch="360"/>
        </w:sectPr>
      </w:pPr>
    </w:p>
    <w:p w14:paraId="2239E92F" w14:textId="77777777" w:rsidR="00BF0558" w:rsidRDefault="00BF0558" w:rsidP="004D5C6C">
      <w:pPr>
        <w:pStyle w:val="TableHeading"/>
      </w:pPr>
      <w:r w:rsidRPr="00D30CBA">
        <w:lastRenderedPageBreak/>
        <w:t>Table</w:t>
      </w:r>
      <w:r>
        <w:t xml:space="preserve"> 3.6</w:t>
      </w:r>
      <w:r w:rsidRPr="00D30CBA">
        <w:t xml:space="preserve">: </w:t>
      </w:r>
      <w:r>
        <w:t>Statement of departmental asset movements (Budget year 2022-23)</w:t>
      </w:r>
    </w:p>
    <w:p w14:paraId="55EA1FC1" w14:textId="6E417ED0" w:rsidR="000A0D42" w:rsidRDefault="00A33C80" w:rsidP="00DB1F26">
      <w:pPr>
        <w:pStyle w:val="TableGraphic"/>
        <w:spacing w:before="30"/>
        <w:ind w:right="0"/>
        <w:rPr>
          <w:rFonts w:ascii="Arial" w:hAnsi="Arial" w:cs="Arial"/>
          <w:sz w:val="16"/>
          <w:szCs w:val="16"/>
        </w:rPr>
      </w:pPr>
      <w:r w:rsidRPr="00A33C80">
        <w:rPr>
          <w:rFonts w:ascii="Arial" w:hAnsi="Arial" w:cs="Arial"/>
          <w:noProof/>
          <w:sz w:val="16"/>
          <w:szCs w:val="16"/>
          <w:lang w:eastAsia="zh-CN"/>
        </w:rPr>
        <w:drawing>
          <wp:inline distT="0" distB="0" distL="0" distR="0" wp14:anchorId="09EF86FD" wp14:editId="2E181DF1">
            <wp:extent cx="4858385" cy="42856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858385" cy="4285615"/>
                    </a:xfrm>
                    <a:prstGeom prst="rect">
                      <a:avLst/>
                    </a:prstGeom>
                    <a:noFill/>
                    <a:ln>
                      <a:noFill/>
                    </a:ln>
                  </pic:spPr>
                </pic:pic>
              </a:graphicData>
            </a:graphic>
          </wp:inline>
        </w:drawing>
      </w:r>
    </w:p>
    <w:p w14:paraId="2239E99E" w14:textId="55B9D9EC" w:rsidR="00BF0558" w:rsidRPr="008B105C" w:rsidRDefault="00BF0558" w:rsidP="00DB1F26">
      <w:pPr>
        <w:pStyle w:val="TableGraphic"/>
        <w:spacing w:before="30"/>
        <w:ind w:right="0"/>
      </w:pPr>
      <w:r w:rsidRPr="008B105C">
        <w:rPr>
          <w:rFonts w:ascii="Arial" w:hAnsi="Arial" w:cs="Arial"/>
          <w:sz w:val="16"/>
          <w:szCs w:val="16"/>
        </w:rPr>
        <w:t>Prepared on Australian Accounting Standards basis.</w:t>
      </w:r>
    </w:p>
    <w:p w14:paraId="2239E99F" w14:textId="77777777" w:rsidR="00BF0558" w:rsidRDefault="00BF0558" w:rsidP="004D5C6C">
      <w:pPr>
        <w:pStyle w:val="TableHeading"/>
      </w:pPr>
    </w:p>
    <w:p w14:paraId="2239E9A0" w14:textId="77777777" w:rsidR="00BF0558" w:rsidRDefault="00BF0558" w:rsidP="004D5C6C">
      <w:pPr>
        <w:pStyle w:val="TableHeading"/>
      </w:pPr>
    </w:p>
    <w:p w14:paraId="2239E9A1" w14:textId="77777777" w:rsidR="00BF0558" w:rsidRDefault="00BF0558" w:rsidP="004D5C6C">
      <w:pPr>
        <w:pStyle w:val="TableGraphic"/>
      </w:pPr>
    </w:p>
    <w:p w14:paraId="2239E9A2" w14:textId="77777777" w:rsidR="00BF0558" w:rsidRDefault="00BF0558" w:rsidP="004D5C6C"/>
    <w:p w14:paraId="2239E9A3" w14:textId="77777777" w:rsidR="00BF0558" w:rsidRDefault="00BF0558" w:rsidP="004D5C6C"/>
    <w:p w14:paraId="2239E9A4" w14:textId="77777777" w:rsidR="00BF0558" w:rsidRPr="009A18BD" w:rsidRDefault="00BF0558" w:rsidP="004D5C6C"/>
    <w:p w14:paraId="2239E9A5" w14:textId="77777777" w:rsidR="00BF0558" w:rsidRDefault="00BF0558" w:rsidP="004D5C6C">
      <w:pPr>
        <w:pStyle w:val="TableHeading"/>
      </w:pPr>
    </w:p>
    <w:p w14:paraId="2239E9A6" w14:textId="77777777" w:rsidR="00BF0558" w:rsidRPr="009A18BD" w:rsidRDefault="00BF0558" w:rsidP="004D5C6C">
      <w:pPr>
        <w:pStyle w:val="TableGraphic"/>
      </w:pPr>
    </w:p>
    <w:p w14:paraId="2239E9A7" w14:textId="77777777" w:rsidR="00BF0558" w:rsidRDefault="00BF0558" w:rsidP="004D5C6C">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14:paraId="2239E9A8" w14:textId="7E3FDF98" w:rsidR="00BF0558" w:rsidRPr="001B7CAA" w:rsidRDefault="0040072E" w:rsidP="004D5C6C">
      <w:pPr>
        <w:pStyle w:val="TableGraphic"/>
      </w:pPr>
      <w:r w:rsidRPr="0040072E">
        <w:rPr>
          <w:noProof/>
          <w:lang w:eastAsia="zh-CN"/>
        </w:rPr>
        <w:drawing>
          <wp:inline distT="0" distB="0" distL="0" distR="0" wp14:anchorId="25E6C98E" wp14:editId="5558B92D">
            <wp:extent cx="4895850" cy="3651556"/>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895850" cy="3651556"/>
                    </a:xfrm>
                    <a:prstGeom prst="rect">
                      <a:avLst/>
                    </a:prstGeom>
                    <a:noFill/>
                    <a:ln>
                      <a:noFill/>
                    </a:ln>
                  </pic:spPr>
                </pic:pic>
              </a:graphicData>
            </a:graphic>
          </wp:inline>
        </w:drawing>
      </w:r>
    </w:p>
    <w:p w14:paraId="2239E9A9" w14:textId="77777777" w:rsidR="002D65AF" w:rsidRPr="008B105C" w:rsidRDefault="002D65AF" w:rsidP="00DB1F26">
      <w:pPr>
        <w:pStyle w:val="TableGraphic"/>
        <w:spacing w:before="30"/>
        <w:ind w:right="0"/>
      </w:pPr>
      <w:r w:rsidRPr="008B105C">
        <w:rPr>
          <w:rFonts w:ascii="Arial" w:hAnsi="Arial" w:cs="Arial"/>
          <w:sz w:val="16"/>
          <w:szCs w:val="16"/>
        </w:rPr>
        <w:t>Prepared on Australian Accounting Standards basis.</w:t>
      </w:r>
    </w:p>
    <w:p w14:paraId="2239E9AA" w14:textId="77777777" w:rsidR="00BF0558" w:rsidRDefault="00BF0558" w:rsidP="004D5C6C">
      <w:pPr>
        <w:pStyle w:val="TableGraphic"/>
      </w:pPr>
    </w:p>
    <w:p w14:paraId="2239E9AB" w14:textId="77777777" w:rsidR="00BF0558" w:rsidRPr="00FD522D" w:rsidRDefault="00BF0558" w:rsidP="004D5C6C">
      <w:pPr>
        <w:pStyle w:val="TableHeadingcontinued"/>
      </w:pPr>
      <w:r>
        <w:br w:type="page"/>
      </w:r>
    </w:p>
    <w:p w14:paraId="2239E9AC" w14:textId="77777777" w:rsidR="00BF0558" w:rsidRDefault="00BF0558" w:rsidP="004D5C6C">
      <w:pPr>
        <w:pStyle w:val="TableHeading"/>
      </w:pP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2239E9AD" w14:textId="7B164ED1" w:rsidR="00BF0558" w:rsidRPr="009763C1" w:rsidRDefault="004402D5" w:rsidP="004D5C6C">
      <w:pPr>
        <w:pStyle w:val="TableGraphic"/>
        <w:rPr>
          <w:lang w:val="x-none" w:eastAsia="x-none"/>
        </w:rPr>
      </w:pPr>
      <w:r w:rsidRPr="004402D5">
        <w:rPr>
          <w:noProof/>
          <w:lang w:eastAsia="zh-CN"/>
        </w:rPr>
        <w:drawing>
          <wp:inline distT="0" distB="0" distL="0" distR="0" wp14:anchorId="60E88138" wp14:editId="2EFA0379">
            <wp:extent cx="4895850" cy="2516558"/>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895850" cy="2516558"/>
                    </a:xfrm>
                    <a:prstGeom prst="rect">
                      <a:avLst/>
                    </a:prstGeom>
                    <a:noFill/>
                    <a:ln>
                      <a:noFill/>
                    </a:ln>
                  </pic:spPr>
                </pic:pic>
              </a:graphicData>
            </a:graphic>
          </wp:inline>
        </w:drawing>
      </w:r>
    </w:p>
    <w:p w14:paraId="2239E9AE" w14:textId="77777777" w:rsidR="00BF0558" w:rsidRPr="00B7521F" w:rsidRDefault="00BF0558" w:rsidP="00DB1F26">
      <w:pPr>
        <w:pStyle w:val="TableGraphic"/>
        <w:spacing w:before="30"/>
        <w:ind w:right="0"/>
        <w:rPr>
          <w:rFonts w:ascii="Arial" w:hAnsi="Arial" w:cs="Arial"/>
          <w:sz w:val="16"/>
          <w:szCs w:val="16"/>
        </w:rPr>
      </w:pPr>
      <w:r w:rsidRPr="00495764">
        <w:rPr>
          <w:rFonts w:ascii="Arial" w:hAnsi="Arial" w:cs="Arial"/>
          <w:sz w:val="16"/>
          <w:szCs w:val="16"/>
        </w:rPr>
        <w:t>Prepared on Australian Accounting Standards basis.</w:t>
      </w:r>
    </w:p>
    <w:p w14:paraId="2239E9AF" w14:textId="77777777" w:rsidR="00BF0558" w:rsidRPr="0044552A" w:rsidRDefault="00BF0558" w:rsidP="004D5C6C">
      <w:pPr>
        <w:pStyle w:val="TableHeadingcontinued"/>
      </w:pPr>
      <w:r>
        <w:br w:type="page"/>
      </w:r>
      <w:r>
        <w:lastRenderedPageBreak/>
        <w:t xml:space="preserve">Table 3.9: </w:t>
      </w:r>
      <w:r w:rsidRPr="00C41D55">
        <w:t xml:space="preserve">Schedule of </w:t>
      </w:r>
      <w:r>
        <w:t xml:space="preserve">budgeted administered cash flows </w:t>
      </w:r>
      <w:r w:rsidRPr="00C41D55">
        <w:t>(for</w:t>
      </w:r>
      <w:r>
        <w:t> the </w:t>
      </w:r>
      <w:r w:rsidRPr="00C41D55">
        <w:t>period ended 30 June)</w:t>
      </w:r>
    </w:p>
    <w:p w14:paraId="2239E9B0" w14:textId="2123C1BE" w:rsidR="00BF0558" w:rsidRPr="00DF46A7" w:rsidRDefault="00324590" w:rsidP="00DB1F26">
      <w:pPr>
        <w:pStyle w:val="NoSpacing"/>
        <w:spacing w:before="30"/>
        <w:rPr>
          <w:rFonts w:ascii="Arial" w:hAnsi="Arial" w:cs="Arial"/>
          <w:sz w:val="16"/>
          <w:szCs w:val="16"/>
        </w:rPr>
      </w:pPr>
      <w:r w:rsidRPr="00324590">
        <w:rPr>
          <w:rFonts w:ascii="Arial" w:hAnsi="Arial" w:cs="Arial"/>
          <w:noProof/>
          <w:sz w:val="16"/>
          <w:szCs w:val="16"/>
          <w:lang w:eastAsia="zh-CN"/>
        </w:rPr>
        <w:drawing>
          <wp:inline distT="0" distB="0" distL="0" distR="0" wp14:anchorId="0C80B7E8" wp14:editId="0B629621">
            <wp:extent cx="4895850" cy="3383687"/>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895850" cy="3383687"/>
                    </a:xfrm>
                    <a:prstGeom prst="rect">
                      <a:avLst/>
                    </a:prstGeom>
                    <a:noFill/>
                    <a:ln>
                      <a:noFill/>
                    </a:ln>
                  </pic:spPr>
                </pic:pic>
              </a:graphicData>
            </a:graphic>
          </wp:inline>
        </w:drawing>
      </w:r>
      <w:r w:rsidR="00BF0558" w:rsidRPr="00DF46A7">
        <w:rPr>
          <w:rFonts w:ascii="Arial" w:hAnsi="Arial" w:cs="Arial"/>
          <w:sz w:val="16"/>
          <w:szCs w:val="16"/>
        </w:rPr>
        <w:t>Prepared on Australian Accounting Standards basis.</w:t>
      </w:r>
      <w:r w:rsidR="00BF0558" w:rsidRPr="00DF46A7">
        <w:rPr>
          <w:rFonts w:ascii="Arial" w:hAnsi="Arial" w:cs="Arial"/>
          <w:b/>
          <w:sz w:val="16"/>
          <w:szCs w:val="16"/>
        </w:rPr>
        <w:t xml:space="preserve"> </w:t>
      </w:r>
      <w:r w:rsidR="00BF0558" w:rsidRPr="00DF46A7">
        <w:rPr>
          <w:rFonts w:ascii="Arial" w:hAnsi="Arial" w:cs="Arial"/>
          <w:b/>
          <w:sz w:val="16"/>
          <w:szCs w:val="16"/>
        </w:rPr>
        <w:br w:type="page"/>
      </w:r>
    </w:p>
    <w:p w14:paraId="2239E9B1" w14:textId="77777777" w:rsidR="00BF0558" w:rsidRDefault="00BF0558" w:rsidP="004D5C6C">
      <w:pPr>
        <w:pStyle w:val="TableHeading"/>
      </w:pPr>
      <w:r w:rsidRPr="00D30CBA">
        <w:lastRenderedPageBreak/>
        <w:t>Table</w:t>
      </w:r>
      <w:r>
        <w:t xml:space="preserve"> 3.10</w:t>
      </w:r>
      <w:r w:rsidRPr="00D30CBA">
        <w:t xml:space="preserve">: </w:t>
      </w:r>
      <w:r>
        <w:t>Schedule of administered capital budget statement (for the period ended 30 June)</w:t>
      </w:r>
    </w:p>
    <w:p w14:paraId="2239E9B2" w14:textId="77777777" w:rsidR="00BF0558" w:rsidRPr="003244AF" w:rsidRDefault="00BF0558" w:rsidP="004D5C6C">
      <w:pPr>
        <w:rPr>
          <w:szCs w:val="19"/>
        </w:rPr>
      </w:pPr>
      <w:r w:rsidRPr="003244AF">
        <w:rPr>
          <w:szCs w:val="19"/>
        </w:rPr>
        <w:t>The FFMA has no budgeted capital administered on behalf of the Government.</w:t>
      </w:r>
    </w:p>
    <w:p w14:paraId="2239E9B3" w14:textId="77777777" w:rsidR="00BF0558" w:rsidRDefault="00BF0558" w:rsidP="004D5C6C">
      <w:pPr>
        <w:pStyle w:val="TableGraphic"/>
        <w:rPr>
          <w:lang w:val="x-none" w:eastAsia="x-none"/>
        </w:rPr>
      </w:pPr>
    </w:p>
    <w:p w14:paraId="2239E9B4" w14:textId="77777777" w:rsidR="00BF0558" w:rsidRPr="002D65AF" w:rsidRDefault="00BF0558" w:rsidP="002D65AF">
      <w:pPr>
        <w:pStyle w:val="TableHeading"/>
        <w:keepNext w:val="0"/>
        <w:spacing w:after="0" w:line="260" w:lineRule="exact"/>
        <w:jc w:val="both"/>
      </w:pPr>
      <w:r>
        <w:t>Table 3.11: Statement of administered asset movements (Budget year 2022-23)</w:t>
      </w:r>
    </w:p>
    <w:p w14:paraId="2239E9B5" w14:textId="77777777" w:rsidR="00BF0558" w:rsidRPr="003244AF" w:rsidRDefault="00BF0558" w:rsidP="004D5C6C">
      <w:pPr>
        <w:rPr>
          <w:szCs w:val="19"/>
          <w:lang w:eastAsia="x-none"/>
        </w:rPr>
      </w:pPr>
      <w:r w:rsidRPr="003244AF">
        <w:rPr>
          <w:szCs w:val="19"/>
        </w:rPr>
        <w:t>The FFMA has no budgeted non-financial assets administered on behalf of the Government</w:t>
      </w:r>
    </w:p>
    <w:p w14:paraId="2239E9B6" w14:textId="77777777" w:rsidR="00BF0558" w:rsidRPr="00A20C5D" w:rsidRDefault="00BF0558" w:rsidP="004D5C6C">
      <w:pPr>
        <w:pStyle w:val="TableGraphic"/>
      </w:pPr>
    </w:p>
    <w:bookmarkEnd w:id="218"/>
    <w:p w14:paraId="2239E9B7" w14:textId="77777777" w:rsidR="00BF0558" w:rsidRPr="005B6A94" w:rsidRDefault="00BF0558" w:rsidP="004D5C6C">
      <w:pPr>
        <w:pStyle w:val="ExampleText0"/>
        <w:rPr>
          <w:i w:val="0"/>
        </w:rPr>
        <w:sectPr w:rsidR="00BF0558" w:rsidRPr="005B6A94" w:rsidSect="004D5C6C">
          <w:headerReference w:type="even" r:id="rId170"/>
          <w:headerReference w:type="default" r:id="rId171"/>
          <w:footerReference w:type="even" r:id="rId172"/>
          <w:footerReference w:type="default" r:id="rId173"/>
          <w:headerReference w:type="first" r:id="rId174"/>
          <w:footerReference w:type="first" r:id="rId175"/>
          <w:pgSz w:w="11906" w:h="16838" w:code="9"/>
          <w:pgMar w:top="2835" w:right="2098" w:bottom="2466" w:left="2098" w:header="1814" w:footer="1814" w:gutter="0"/>
          <w:cols w:space="708"/>
          <w:titlePg/>
          <w:docGrid w:linePitch="360"/>
        </w:sectPr>
      </w:pPr>
    </w:p>
    <w:p w14:paraId="2239E9B8" w14:textId="77777777" w:rsidR="00BF0558" w:rsidRDefault="00BF0558" w:rsidP="004D5C6C">
      <w:pPr>
        <w:pStyle w:val="ChartandTableFootnote"/>
      </w:pPr>
    </w:p>
    <w:p w14:paraId="2239E9B9" w14:textId="77777777" w:rsidR="00BF0558" w:rsidRDefault="00BF0558" w:rsidP="004D5C6C">
      <w:pPr>
        <w:pStyle w:val="ChartandTableFootnote"/>
      </w:pPr>
    </w:p>
    <w:p w14:paraId="2239E9BA" w14:textId="77777777" w:rsidR="00BF0558" w:rsidRPr="000C3B86" w:rsidRDefault="00BF0558" w:rsidP="004D5C6C">
      <w:pPr>
        <w:pStyle w:val="ChartandTableFootnote"/>
        <w:tabs>
          <w:tab w:val="clear" w:pos="709"/>
          <w:tab w:val="left" w:pos="3300"/>
          <w:tab w:val="center" w:pos="3855"/>
        </w:tabs>
      </w:pPr>
    </w:p>
    <w:p w14:paraId="2239E9BB" w14:textId="77777777" w:rsidR="00BF0558" w:rsidRPr="005A7C0B" w:rsidRDefault="00BF0558" w:rsidP="004D5C6C">
      <w:pPr>
        <w:pStyle w:val="PartHeading"/>
      </w:pPr>
      <w:r w:rsidRPr="00831D45">
        <w:t>Independent Parliamentary Expenses Authority</w:t>
      </w:r>
    </w:p>
    <w:p w14:paraId="2239E9BC" w14:textId="77777777" w:rsidR="00BF0558" w:rsidRDefault="00BF0558" w:rsidP="004D5C6C">
      <w:pPr>
        <w:pStyle w:val="PartHeading"/>
      </w:pPr>
    </w:p>
    <w:p w14:paraId="2239E9BD" w14:textId="77777777" w:rsidR="00BF0558" w:rsidRDefault="00BF0558" w:rsidP="004D5C6C">
      <w:pPr>
        <w:pStyle w:val="PartHeading-TOC"/>
      </w:pPr>
      <w:bookmarkStart w:id="261" w:name="_Toc116465551"/>
      <w:r>
        <w:t>Entity resources and planned performance</w:t>
      </w:r>
      <w:bookmarkEnd w:id="261"/>
    </w:p>
    <w:p w14:paraId="2239E9BE" w14:textId="77777777" w:rsidR="00BF0558" w:rsidRDefault="00BF0558" w:rsidP="004D5C6C">
      <w:pPr>
        <w:pStyle w:val="PartHeading"/>
        <w:sectPr w:rsidR="00BF0558" w:rsidSect="00787EA2">
          <w:headerReference w:type="first" r:id="rId176"/>
          <w:footerReference w:type="first" r:id="rId177"/>
          <w:type w:val="oddPage"/>
          <w:pgSz w:w="11906" w:h="16838" w:code="9"/>
          <w:pgMar w:top="2693" w:right="2098" w:bottom="2466" w:left="2098" w:header="1814" w:footer="1814" w:gutter="0"/>
          <w:cols w:space="708"/>
          <w:vAlign w:val="center"/>
          <w:titlePg/>
          <w:docGrid w:linePitch="360"/>
        </w:sectPr>
      </w:pPr>
    </w:p>
    <w:p w14:paraId="2239E9BF" w14:textId="77777777" w:rsidR="00BF0558" w:rsidRPr="00E36F77" w:rsidRDefault="00BF0558" w:rsidP="004D5C6C">
      <w:pPr>
        <w:pStyle w:val="ContentsHeading"/>
      </w:pPr>
      <w:r w:rsidRPr="00831D45">
        <w:lastRenderedPageBreak/>
        <w:t>Independent Parliamentary Expenses Authority</w:t>
      </w:r>
    </w:p>
    <w:p w14:paraId="02D21D96" w14:textId="5E80C021" w:rsidR="00020187" w:rsidRDefault="00BF0558">
      <w:pPr>
        <w:pStyle w:val="TOC1"/>
        <w:rPr>
          <w:rFonts w:asciiTheme="minorHAnsi" w:eastAsiaTheme="minorEastAsia" w:hAnsiTheme="minorHAnsi" w:cstheme="minorBidi"/>
          <w:b w:val="0"/>
          <w:noProof/>
          <w:sz w:val="22"/>
          <w:szCs w:val="22"/>
        </w:rPr>
      </w:pPr>
      <w:r>
        <w:fldChar w:fldCharType="begin"/>
      </w:r>
      <w:r>
        <w:instrText xml:space="preserve"> TOC \h \z \t "Heading 2,1,Heading 3,2"</w:instrText>
      </w:r>
      <w:r w:rsidR="00442B66">
        <w:instrText xml:space="preserve"> \b IPEA</w:instrText>
      </w:r>
      <w:r>
        <w:instrText xml:space="preserve"> </w:instrText>
      </w:r>
      <w:r>
        <w:fldChar w:fldCharType="separate"/>
      </w:r>
      <w:hyperlink w:anchor="_Toc117071640" w:history="1">
        <w:r w:rsidR="00020187" w:rsidRPr="002575B6">
          <w:rPr>
            <w:rStyle w:val="Hyperlink"/>
            <w:noProof/>
          </w:rPr>
          <w:t>Section 1: Entity overview and resources</w:t>
        </w:r>
        <w:r w:rsidR="00020187">
          <w:rPr>
            <w:noProof/>
            <w:webHidden/>
          </w:rPr>
          <w:tab/>
        </w:r>
        <w:r w:rsidR="00020187">
          <w:rPr>
            <w:noProof/>
            <w:webHidden/>
          </w:rPr>
          <w:fldChar w:fldCharType="begin"/>
        </w:r>
        <w:r w:rsidR="00020187">
          <w:rPr>
            <w:noProof/>
            <w:webHidden/>
          </w:rPr>
          <w:instrText xml:space="preserve"> PAGEREF _Toc117071640 \h </w:instrText>
        </w:r>
        <w:r w:rsidR="00020187">
          <w:rPr>
            <w:noProof/>
            <w:webHidden/>
          </w:rPr>
        </w:r>
        <w:r w:rsidR="00020187">
          <w:rPr>
            <w:noProof/>
            <w:webHidden/>
          </w:rPr>
          <w:fldChar w:fldCharType="separate"/>
        </w:r>
        <w:r w:rsidR="00E5337D">
          <w:rPr>
            <w:noProof/>
            <w:webHidden/>
          </w:rPr>
          <w:t>177</w:t>
        </w:r>
        <w:r w:rsidR="00020187">
          <w:rPr>
            <w:noProof/>
            <w:webHidden/>
          </w:rPr>
          <w:fldChar w:fldCharType="end"/>
        </w:r>
      </w:hyperlink>
    </w:p>
    <w:p w14:paraId="51C5C67A" w14:textId="18F1CF48" w:rsidR="00020187" w:rsidRDefault="00F5323E">
      <w:pPr>
        <w:pStyle w:val="TOC2"/>
        <w:rPr>
          <w:rFonts w:asciiTheme="minorHAnsi" w:eastAsiaTheme="minorEastAsia" w:hAnsiTheme="minorHAnsi" w:cstheme="minorBidi"/>
          <w:noProof/>
          <w:sz w:val="22"/>
          <w:szCs w:val="22"/>
        </w:rPr>
      </w:pPr>
      <w:hyperlink w:anchor="_Toc117071641" w:history="1">
        <w:r w:rsidR="00020187" w:rsidRPr="002575B6">
          <w:rPr>
            <w:rStyle w:val="Hyperlink"/>
            <w:noProof/>
          </w:rPr>
          <w:t>1.1</w:t>
        </w:r>
        <w:r w:rsidR="00020187">
          <w:rPr>
            <w:rFonts w:asciiTheme="minorHAnsi" w:eastAsiaTheme="minorEastAsia" w:hAnsiTheme="minorHAnsi" w:cstheme="minorBidi"/>
            <w:noProof/>
            <w:sz w:val="22"/>
            <w:szCs w:val="22"/>
          </w:rPr>
          <w:tab/>
        </w:r>
        <w:r w:rsidR="00020187" w:rsidRPr="002575B6">
          <w:rPr>
            <w:rStyle w:val="Hyperlink"/>
            <w:noProof/>
          </w:rPr>
          <w:t>Strategic direction statement</w:t>
        </w:r>
        <w:r w:rsidR="00020187">
          <w:rPr>
            <w:noProof/>
            <w:webHidden/>
          </w:rPr>
          <w:tab/>
        </w:r>
        <w:r w:rsidR="00020187">
          <w:rPr>
            <w:noProof/>
            <w:webHidden/>
          </w:rPr>
          <w:fldChar w:fldCharType="begin"/>
        </w:r>
        <w:r w:rsidR="00020187">
          <w:rPr>
            <w:noProof/>
            <w:webHidden/>
          </w:rPr>
          <w:instrText xml:space="preserve"> PAGEREF _Toc117071641 \h </w:instrText>
        </w:r>
        <w:r w:rsidR="00020187">
          <w:rPr>
            <w:noProof/>
            <w:webHidden/>
          </w:rPr>
        </w:r>
        <w:r w:rsidR="00020187">
          <w:rPr>
            <w:noProof/>
            <w:webHidden/>
          </w:rPr>
          <w:fldChar w:fldCharType="separate"/>
        </w:r>
        <w:r w:rsidR="00E5337D">
          <w:rPr>
            <w:noProof/>
            <w:webHidden/>
          </w:rPr>
          <w:t>177</w:t>
        </w:r>
        <w:r w:rsidR="00020187">
          <w:rPr>
            <w:noProof/>
            <w:webHidden/>
          </w:rPr>
          <w:fldChar w:fldCharType="end"/>
        </w:r>
      </w:hyperlink>
    </w:p>
    <w:p w14:paraId="2B5C1F00" w14:textId="7C65A2F6" w:rsidR="00020187" w:rsidRDefault="00F5323E">
      <w:pPr>
        <w:pStyle w:val="TOC2"/>
        <w:rPr>
          <w:rFonts w:asciiTheme="minorHAnsi" w:eastAsiaTheme="minorEastAsia" w:hAnsiTheme="minorHAnsi" w:cstheme="minorBidi"/>
          <w:noProof/>
          <w:sz w:val="22"/>
          <w:szCs w:val="22"/>
        </w:rPr>
      </w:pPr>
      <w:hyperlink w:anchor="_Toc117071642" w:history="1">
        <w:r w:rsidR="00020187" w:rsidRPr="002575B6">
          <w:rPr>
            <w:rStyle w:val="Hyperlink"/>
            <w:noProof/>
          </w:rPr>
          <w:t>1.2</w:t>
        </w:r>
        <w:r w:rsidR="00020187">
          <w:rPr>
            <w:rFonts w:asciiTheme="minorHAnsi" w:eastAsiaTheme="minorEastAsia" w:hAnsiTheme="minorHAnsi" w:cstheme="minorBidi"/>
            <w:noProof/>
            <w:sz w:val="22"/>
            <w:szCs w:val="22"/>
          </w:rPr>
          <w:tab/>
        </w:r>
        <w:r w:rsidR="00020187" w:rsidRPr="002575B6">
          <w:rPr>
            <w:rStyle w:val="Hyperlink"/>
            <w:noProof/>
          </w:rPr>
          <w:t>Entity resource statement</w:t>
        </w:r>
        <w:r w:rsidR="00020187">
          <w:rPr>
            <w:noProof/>
            <w:webHidden/>
          </w:rPr>
          <w:tab/>
        </w:r>
        <w:r w:rsidR="00020187">
          <w:rPr>
            <w:noProof/>
            <w:webHidden/>
          </w:rPr>
          <w:fldChar w:fldCharType="begin"/>
        </w:r>
        <w:r w:rsidR="00020187">
          <w:rPr>
            <w:noProof/>
            <w:webHidden/>
          </w:rPr>
          <w:instrText xml:space="preserve"> PAGEREF _Toc117071642 \h </w:instrText>
        </w:r>
        <w:r w:rsidR="00020187">
          <w:rPr>
            <w:noProof/>
            <w:webHidden/>
          </w:rPr>
        </w:r>
        <w:r w:rsidR="00020187">
          <w:rPr>
            <w:noProof/>
            <w:webHidden/>
          </w:rPr>
          <w:fldChar w:fldCharType="separate"/>
        </w:r>
        <w:r w:rsidR="00E5337D">
          <w:rPr>
            <w:noProof/>
            <w:webHidden/>
          </w:rPr>
          <w:t>178</w:t>
        </w:r>
        <w:r w:rsidR="00020187">
          <w:rPr>
            <w:noProof/>
            <w:webHidden/>
          </w:rPr>
          <w:fldChar w:fldCharType="end"/>
        </w:r>
      </w:hyperlink>
    </w:p>
    <w:p w14:paraId="081E03F7" w14:textId="71D3B77B" w:rsidR="00020187" w:rsidRDefault="00F5323E">
      <w:pPr>
        <w:pStyle w:val="TOC2"/>
        <w:rPr>
          <w:rFonts w:asciiTheme="minorHAnsi" w:eastAsiaTheme="minorEastAsia" w:hAnsiTheme="minorHAnsi" w:cstheme="minorBidi"/>
          <w:noProof/>
          <w:sz w:val="22"/>
          <w:szCs w:val="22"/>
        </w:rPr>
      </w:pPr>
      <w:hyperlink w:anchor="_Toc117071643" w:history="1">
        <w:r w:rsidR="00020187" w:rsidRPr="002575B6">
          <w:rPr>
            <w:rStyle w:val="Hyperlink"/>
            <w:noProof/>
          </w:rPr>
          <w:t>1.3</w:t>
        </w:r>
        <w:r w:rsidR="00020187">
          <w:rPr>
            <w:rFonts w:asciiTheme="minorHAnsi" w:eastAsiaTheme="minorEastAsia" w:hAnsiTheme="minorHAnsi" w:cstheme="minorBidi"/>
            <w:noProof/>
            <w:sz w:val="22"/>
            <w:szCs w:val="22"/>
          </w:rPr>
          <w:tab/>
        </w:r>
        <w:r w:rsidR="00020187" w:rsidRPr="002575B6">
          <w:rPr>
            <w:rStyle w:val="Hyperlink"/>
            <w:noProof/>
          </w:rPr>
          <w:t>Budget measures</w:t>
        </w:r>
        <w:r w:rsidR="00020187">
          <w:rPr>
            <w:noProof/>
            <w:webHidden/>
          </w:rPr>
          <w:tab/>
        </w:r>
        <w:r w:rsidR="00020187">
          <w:rPr>
            <w:noProof/>
            <w:webHidden/>
          </w:rPr>
          <w:fldChar w:fldCharType="begin"/>
        </w:r>
        <w:r w:rsidR="00020187">
          <w:rPr>
            <w:noProof/>
            <w:webHidden/>
          </w:rPr>
          <w:instrText xml:space="preserve"> PAGEREF _Toc117071643 \h </w:instrText>
        </w:r>
        <w:r w:rsidR="00020187">
          <w:rPr>
            <w:noProof/>
            <w:webHidden/>
          </w:rPr>
        </w:r>
        <w:r w:rsidR="00020187">
          <w:rPr>
            <w:noProof/>
            <w:webHidden/>
          </w:rPr>
          <w:fldChar w:fldCharType="separate"/>
        </w:r>
        <w:r w:rsidR="00E5337D">
          <w:rPr>
            <w:noProof/>
            <w:webHidden/>
          </w:rPr>
          <w:t>180</w:t>
        </w:r>
        <w:r w:rsidR="00020187">
          <w:rPr>
            <w:noProof/>
            <w:webHidden/>
          </w:rPr>
          <w:fldChar w:fldCharType="end"/>
        </w:r>
      </w:hyperlink>
    </w:p>
    <w:p w14:paraId="028AE0B8" w14:textId="5474B01B" w:rsidR="00020187" w:rsidRDefault="00F5323E">
      <w:pPr>
        <w:pStyle w:val="TOC1"/>
        <w:rPr>
          <w:rFonts w:asciiTheme="minorHAnsi" w:eastAsiaTheme="minorEastAsia" w:hAnsiTheme="minorHAnsi" w:cstheme="minorBidi"/>
          <w:b w:val="0"/>
          <w:noProof/>
          <w:sz w:val="22"/>
          <w:szCs w:val="22"/>
        </w:rPr>
      </w:pPr>
      <w:hyperlink w:anchor="_Toc117071644" w:history="1">
        <w:r w:rsidR="00020187" w:rsidRPr="002575B6">
          <w:rPr>
            <w:rStyle w:val="Hyperlink"/>
            <w:noProof/>
          </w:rPr>
          <w:t>Section 2: Outcomes and planned performance</w:t>
        </w:r>
        <w:r w:rsidR="00020187">
          <w:rPr>
            <w:noProof/>
            <w:webHidden/>
          </w:rPr>
          <w:tab/>
        </w:r>
        <w:r w:rsidR="00020187">
          <w:rPr>
            <w:noProof/>
            <w:webHidden/>
          </w:rPr>
          <w:fldChar w:fldCharType="begin"/>
        </w:r>
        <w:r w:rsidR="00020187">
          <w:rPr>
            <w:noProof/>
            <w:webHidden/>
          </w:rPr>
          <w:instrText xml:space="preserve"> PAGEREF _Toc117071644 \h </w:instrText>
        </w:r>
        <w:r w:rsidR="00020187">
          <w:rPr>
            <w:noProof/>
            <w:webHidden/>
          </w:rPr>
        </w:r>
        <w:r w:rsidR="00020187">
          <w:rPr>
            <w:noProof/>
            <w:webHidden/>
          </w:rPr>
          <w:fldChar w:fldCharType="separate"/>
        </w:r>
        <w:r w:rsidR="00E5337D">
          <w:rPr>
            <w:noProof/>
            <w:webHidden/>
          </w:rPr>
          <w:t>181</w:t>
        </w:r>
        <w:r w:rsidR="00020187">
          <w:rPr>
            <w:noProof/>
            <w:webHidden/>
          </w:rPr>
          <w:fldChar w:fldCharType="end"/>
        </w:r>
      </w:hyperlink>
    </w:p>
    <w:p w14:paraId="24DB98FC" w14:textId="3B8C882C" w:rsidR="00020187" w:rsidRDefault="00F5323E">
      <w:pPr>
        <w:pStyle w:val="TOC2"/>
        <w:rPr>
          <w:rFonts w:asciiTheme="minorHAnsi" w:eastAsiaTheme="minorEastAsia" w:hAnsiTheme="minorHAnsi" w:cstheme="minorBidi"/>
          <w:noProof/>
          <w:sz w:val="22"/>
          <w:szCs w:val="22"/>
        </w:rPr>
      </w:pPr>
      <w:hyperlink w:anchor="_Toc117071645" w:history="1">
        <w:r w:rsidR="00020187" w:rsidRPr="002575B6">
          <w:rPr>
            <w:rStyle w:val="Hyperlink"/>
            <w:noProof/>
          </w:rPr>
          <w:t xml:space="preserve">2.1 </w:t>
        </w:r>
        <w:r w:rsidR="00020187">
          <w:rPr>
            <w:rFonts w:asciiTheme="minorHAnsi" w:eastAsiaTheme="minorEastAsia" w:hAnsiTheme="minorHAnsi" w:cstheme="minorBidi"/>
            <w:noProof/>
            <w:sz w:val="22"/>
            <w:szCs w:val="22"/>
          </w:rPr>
          <w:tab/>
        </w:r>
        <w:r w:rsidR="00020187" w:rsidRPr="002575B6">
          <w:rPr>
            <w:rStyle w:val="Hyperlink"/>
            <w:noProof/>
          </w:rPr>
          <w:t>Budgeted expenses and performance for Outcome 1</w:t>
        </w:r>
        <w:r w:rsidR="00020187">
          <w:rPr>
            <w:noProof/>
            <w:webHidden/>
          </w:rPr>
          <w:tab/>
        </w:r>
        <w:r w:rsidR="00020187">
          <w:rPr>
            <w:noProof/>
            <w:webHidden/>
          </w:rPr>
          <w:fldChar w:fldCharType="begin"/>
        </w:r>
        <w:r w:rsidR="00020187">
          <w:rPr>
            <w:noProof/>
            <w:webHidden/>
          </w:rPr>
          <w:instrText xml:space="preserve"> PAGEREF _Toc117071645 \h </w:instrText>
        </w:r>
        <w:r w:rsidR="00020187">
          <w:rPr>
            <w:noProof/>
            <w:webHidden/>
          </w:rPr>
        </w:r>
        <w:r w:rsidR="00020187">
          <w:rPr>
            <w:noProof/>
            <w:webHidden/>
          </w:rPr>
          <w:fldChar w:fldCharType="separate"/>
        </w:r>
        <w:r w:rsidR="00E5337D">
          <w:rPr>
            <w:noProof/>
            <w:webHidden/>
          </w:rPr>
          <w:t>182</w:t>
        </w:r>
        <w:r w:rsidR="00020187">
          <w:rPr>
            <w:noProof/>
            <w:webHidden/>
          </w:rPr>
          <w:fldChar w:fldCharType="end"/>
        </w:r>
      </w:hyperlink>
    </w:p>
    <w:p w14:paraId="1788C07C" w14:textId="4A7CCAF5" w:rsidR="00020187" w:rsidRDefault="00F5323E">
      <w:pPr>
        <w:pStyle w:val="TOC1"/>
        <w:rPr>
          <w:rFonts w:asciiTheme="minorHAnsi" w:eastAsiaTheme="minorEastAsia" w:hAnsiTheme="minorHAnsi" w:cstheme="minorBidi"/>
          <w:b w:val="0"/>
          <w:noProof/>
          <w:sz w:val="22"/>
          <w:szCs w:val="22"/>
        </w:rPr>
      </w:pPr>
      <w:hyperlink w:anchor="_Toc117071646" w:history="1">
        <w:r w:rsidR="00020187" w:rsidRPr="002575B6">
          <w:rPr>
            <w:rStyle w:val="Hyperlink"/>
            <w:noProof/>
          </w:rPr>
          <w:t>Section 3: Budgeted financial statements</w:t>
        </w:r>
        <w:r w:rsidR="00020187">
          <w:rPr>
            <w:noProof/>
            <w:webHidden/>
          </w:rPr>
          <w:tab/>
        </w:r>
        <w:r w:rsidR="00020187">
          <w:rPr>
            <w:noProof/>
            <w:webHidden/>
          </w:rPr>
          <w:fldChar w:fldCharType="begin"/>
        </w:r>
        <w:r w:rsidR="00020187">
          <w:rPr>
            <w:noProof/>
            <w:webHidden/>
          </w:rPr>
          <w:instrText xml:space="preserve"> PAGEREF _Toc117071646 \h </w:instrText>
        </w:r>
        <w:r w:rsidR="00020187">
          <w:rPr>
            <w:noProof/>
            <w:webHidden/>
          </w:rPr>
        </w:r>
        <w:r w:rsidR="00020187">
          <w:rPr>
            <w:noProof/>
            <w:webHidden/>
          </w:rPr>
          <w:fldChar w:fldCharType="separate"/>
        </w:r>
        <w:r w:rsidR="00E5337D">
          <w:rPr>
            <w:noProof/>
            <w:webHidden/>
          </w:rPr>
          <w:t>186</w:t>
        </w:r>
        <w:r w:rsidR="00020187">
          <w:rPr>
            <w:noProof/>
            <w:webHidden/>
          </w:rPr>
          <w:fldChar w:fldCharType="end"/>
        </w:r>
      </w:hyperlink>
    </w:p>
    <w:p w14:paraId="744D23B8" w14:textId="2C1829B8" w:rsidR="00020187" w:rsidRDefault="00F5323E">
      <w:pPr>
        <w:pStyle w:val="TOC2"/>
        <w:rPr>
          <w:rFonts w:asciiTheme="minorHAnsi" w:eastAsiaTheme="minorEastAsia" w:hAnsiTheme="minorHAnsi" w:cstheme="minorBidi"/>
          <w:noProof/>
          <w:sz w:val="22"/>
          <w:szCs w:val="22"/>
        </w:rPr>
      </w:pPr>
      <w:hyperlink w:anchor="_Toc117071647" w:history="1">
        <w:r w:rsidR="00020187" w:rsidRPr="002575B6">
          <w:rPr>
            <w:rStyle w:val="Hyperlink"/>
            <w:noProof/>
          </w:rPr>
          <w:t>3.1</w:t>
        </w:r>
        <w:r w:rsidR="00020187">
          <w:rPr>
            <w:rFonts w:asciiTheme="minorHAnsi" w:eastAsiaTheme="minorEastAsia" w:hAnsiTheme="minorHAnsi" w:cstheme="minorBidi"/>
            <w:noProof/>
            <w:sz w:val="22"/>
            <w:szCs w:val="22"/>
          </w:rPr>
          <w:tab/>
        </w:r>
        <w:r w:rsidR="00020187" w:rsidRPr="002575B6">
          <w:rPr>
            <w:rStyle w:val="Hyperlink"/>
            <w:noProof/>
          </w:rPr>
          <w:t>Budgeted financial statements</w:t>
        </w:r>
        <w:r w:rsidR="00020187">
          <w:rPr>
            <w:noProof/>
            <w:webHidden/>
          </w:rPr>
          <w:tab/>
        </w:r>
        <w:r w:rsidR="00020187">
          <w:rPr>
            <w:noProof/>
            <w:webHidden/>
          </w:rPr>
          <w:fldChar w:fldCharType="begin"/>
        </w:r>
        <w:r w:rsidR="00020187">
          <w:rPr>
            <w:noProof/>
            <w:webHidden/>
          </w:rPr>
          <w:instrText xml:space="preserve"> PAGEREF _Toc117071647 \h </w:instrText>
        </w:r>
        <w:r w:rsidR="00020187">
          <w:rPr>
            <w:noProof/>
            <w:webHidden/>
          </w:rPr>
        </w:r>
        <w:r w:rsidR="00020187">
          <w:rPr>
            <w:noProof/>
            <w:webHidden/>
          </w:rPr>
          <w:fldChar w:fldCharType="separate"/>
        </w:r>
        <w:r w:rsidR="00E5337D">
          <w:rPr>
            <w:noProof/>
            <w:webHidden/>
          </w:rPr>
          <w:t>186</w:t>
        </w:r>
        <w:r w:rsidR="00020187">
          <w:rPr>
            <w:noProof/>
            <w:webHidden/>
          </w:rPr>
          <w:fldChar w:fldCharType="end"/>
        </w:r>
      </w:hyperlink>
    </w:p>
    <w:p w14:paraId="4E603F68" w14:textId="01588393" w:rsidR="00020187" w:rsidRDefault="00F5323E">
      <w:pPr>
        <w:pStyle w:val="TOC2"/>
        <w:rPr>
          <w:rFonts w:asciiTheme="minorHAnsi" w:eastAsiaTheme="minorEastAsia" w:hAnsiTheme="minorHAnsi" w:cstheme="minorBidi"/>
          <w:noProof/>
          <w:sz w:val="22"/>
          <w:szCs w:val="22"/>
        </w:rPr>
      </w:pPr>
      <w:hyperlink w:anchor="_Toc117071648" w:history="1">
        <w:r w:rsidR="00020187" w:rsidRPr="002575B6">
          <w:rPr>
            <w:rStyle w:val="Hyperlink"/>
            <w:noProof/>
          </w:rPr>
          <w:t>3.2</w:t>
        </w:r>
        <w:r w:rsidR="00020187">
          <w:rPr>
            <w:rFonts w:asciiTheme="minorHAnsi" w:eastAsiaTheme="minorEastAsia" w:hAnsiTheme="minorHAnsi" w:cstheme="minorBidi"/>
            <w:noProof/>
            <w:sz w:val="22"/>
            <w:szCs w:val="22"/>
          </w:rPr>
          <w:tab/>
        </w:r>
        <w:r w:rsidR="00020187" w:rsidRPr="002575B6">
          <w:rPr>
            <w:rStyle w:val="Hyperlink"/>
            <w:noProof/>
          </w:rPr>
          <w:t>Budgeted financial statements tables</w:t>
        </w:r>
        <w:r w:rsidR="00020187">
          <w:rPr>
            <w:noProof/>
            <w:webHidden/>
          </w:rPr>
          <w:tab/>
        </w:r>
        <w:r w:rsidR="00020187">
          <w:rPr>
            <w:noProof/>
            <w:webHidden/>
          </w:rPr>
          <w:fldChar w:fldCharType="begin"/>
        </w:r>
        <w:r w:rsidR="00020187">
          <w:rPr>
            <w:noProof/>
            <w:webHidden/>
          </w:rPr>
          <w:instrText xml:space="preserve"> PAGEREF _Toc117071648 \h </w:instrText>
        </w:r>
        <w:r w:rsidR="00020187">
          <w:rPr>
            <w:noProof/>
            <w:webHidden/>
          </w:rPr>
        </w:r>
        <w:r w:rsidR="00020187">
          <w:rPr>
            <w:noProof/>
            <w:webHidden/>
          </w:rPr>
          <w:fldChar w:fldCharType="separate"/>
        </w:r>
        <w:r w:rsidR="00E5337D">
          <w:rPr>
            <w:noProof/>
            <w:webHidden/>
          </w:rPr>
          <w:t>187</w:t>
        </w:r>
        <w:r w:rsidR="00020187">
          <w:rPr>
            <w:noProof/>
            <w:webHidden/>
          </w:rPr>
          <w:fldChar w:fldCharType="end"/>
        </w:r>
      </w:hyperlink>
    </w:p>
    <w:p w14:paraId="2239E9C8" w14:textId="270841D4" w:rsidR="00BF0558" w:rsidRDefault="00BF0558" w:rsidP="004D5C6C">
      <w:pPr>
        <w:pStyle w:val="TOC1"/>
      </w:pPr>
      <w:r>
        <w:fldChar w:fldCharType="end"/>
      </w:r>
    </w:p>
    <w:p w14:paraId="2239E9C9" w14:textId="77777777" w:rsidR="00BF0558" w:rsidRPr="008B5AFD" w:rsidRDefault="00BF0558" w:rsidP="004D5C6C"/>
    <w:p w14:paraId="2239E9CA" w14:textId="1005BC56" w:rsidR="00FE6FB5" w:rsidRDefault="00FE6FB5" w:rsidP="004D5C6C"/>
    <w:p w14:paraId="4716DD19" w14:textId="532CE837" w:rsidR="00FE6FB5" w:rsidRDefault="00FE6FB5" w:rsidP="00FE6FB5">
      <w:pPr>
        <w:jc w:val="center"/>
      </w:pPr>
    </w:p>
    <w:p w14:paraId="7CD5618A" w14:textId="098C8580" w:rsidR="00DB22D8" w:rsidRDefault="00FE6FB5" w:rsidP="00FE6FB5">
      <w:pPr>
        <w:tabs>
          <w:tab w:val="center" w:pos="3855"/>
        </w:tabs>
      </w:pPr>
      <w:r>
        <w:tab/>
      </w:r>
    </w:p>
    <w:p w14:paraId="70C7AC41" w14:textId="77777777" w:rsidR="00DB22D8" w:rsidRPr="00DB22D8" w:rsidRDefault="00DB22D8" w:rsidP="00DB22D8"/>
    <w:p w14:paraId="6EEA3EA9" w14:textId="372829DB" w:rsidR="00DB22D8" w:rsidRDefault="00DB22D8" w:rsidP="00DB22D8"/>
    <w:p w14:paraId="1ADA944C" w14:textId="77A3BB31" w:rsidR="00DB22D8" w:rsidRDefault="00DB22D8" w:rsidP="00DB22D8">
      <w:pPr>
        <w:tabs>
          <w:tab w:val="left" w:pos="5556"/>
        </w:tabs>
      </w:pPr>
      <w:r>
        <w:tab/>
      </w:r>
    </w:p>
    <w:p w14:paraId="7BD82291" w14:textId="7E615917" w:rsidR="00BF0558" w:rsidRPr="00DB22D8" w:rsidRDefault="00DB22D8" w:rsidP="00DB22D8">
      <w:pPr>
        <w:tabs>
          <w:tab w:val="left" w:pos="5556"/>
        </w:tabs>
        <w:sectPr w:rsidR="00BF0558" w:rsidRPr="00DB22D8" w:rsidSect="004D5C6C">
          <w:footerReference w:type="first" r:id="rId178"/>
          <w:type w:val="oddPage"/>
          <w:pgSz w:w="11906" w:h="16838" w:code="9"/>
          <w:pgMar w:top="2835" w:right="2098" w:bottom="2466" w:left="2098" w:header="1814" w:footer="1814" w:gutter="0"/>
          <w:cols w:space="708"/>
          <w:titlePg/>
          <w:docGrid w:linePitch="360"/>
        </w:sectPr>
      </w:pPr>
      <w:r>
        <w:tab/>
      </w:r>
    </w:p>
    <w:p w14:paraId="2239E9CB" w14:textId="77777777" w:rsidR="00BF0558" w:rsidRDefault="00BF0558" w:rsidP="004D5C6C">
      <w:pPr>
        <w:pStyle w:val="Heading1"/>
      </w:pPr>
      <w:bookmarkStart w:id="262" w:name="_Toc116465552"/>
      <w:bookmarkStart w:id="263" w:name="IPEA"/>
      <w:r w:rsidRPr="003D61DB">
        <w:lastRenderedPageBreak/>
        <w:t>Independent Parliamentary Expenses Authority</w:t>
      </w:r>
      <w:bookmarkEnd w:id="262"/>
    </w:p>
    <w:p w14:paraId="2239E9CC" w14:textId="77777777" w:rsidR="00BF0558" w:rsidRPr="002C4D41" w:rsidRDefault="00BF0558" w:rsidP="004D5C6C">
      <w:pPr>
        <w:pStyle w:val="Heading2"/>
      </w:pPr>
      <w:bookmarkStart w:id="264" w:name="_Toc116742535"/>
      <w:bookmarkStart w:id="265" w:name="_Toc117070826"/>
      <w:bookmarkStart w:id="266" w:name="_Toc117071081"/>
      <w:bookmarkStart w:id="267" w:name="_Toc117071640"/>
      <w:bookmarkStart w:id="268" w:name="_Toc117078116"/>
      <w:r w:rsidRPr="002C4D41">
        <w:t xml:space="preserve">Section 1: Entity overview and </w:t>
      </w:r>
      <w:r>
        <w:t>reso</w:t>
      </w:r>
      <w:r w:rsidRPr="002C4D41">
        <w:t>urces</w:t>
      </w:r>
      <w:bookmarkEnd w:id="264"/>
      <w:bookmarkEnd w:id="265"/>
      <w:bookmarkEnd w:id="266"/>
      <w:bookmarkEnd w:id="267"/>
      <w:bookmarkEnd w:id="268"/>
    </w:p>
    <w:p w14:paraId="2239E9CD" w14:textId="5C67A6CF" w:rsidR="00BF0558" w:rsidRDefault="00BF0558" w:rsidP="004D5C6C">
      <w:pPr>
        <w:pStyle w:val="Heading3"/>
      </w:pPr>
      <w:bookmarkStart w:id="269" w:name="_Toc116742536"/>
      <w:bookmarkStart w:id="270" w:name="_Toc117070827"/>
      <w:bookmarkStart w:id="271" w:name="_Toc117071082"/>
      <w:bookmarkStart w:id="272" w:name="_Toc117071641"/>
      <w:bookmarkStart w:id="273" w:name="_Toc117078117"/>
      <w:r>
        <w:t>1.1</w:t>
      </w:r>
      <w:r>
        <w:tab/>
        <w:t>Strategic direction statement</w:t>
      </w:r>
      <w:bookmarkEnd w:id="269"/>
      <w:bookmarkEnd w:id="270"/>
      <w:bookmarkEnd w:id="271"/>
      <w:bookmarkEnd w:id="272"/>
      <w:bookmarkEnd w:id="273"/>
    </w:p>
    <w:p w14:paraId="2239E9CE" w14:textId="77777777" w:rsidR="00BF0558" w:rsidRPr="00E84594" w:rsidRDefault="00BF0558" w:rsidP="004D5C6C">
      <w:pPr>
        <w:pStyle w:val="Exampletext"/>
        <w:rPr>
          <w:i w:val="0"/>
          <w:color w:val="auto"/>
          <w:szCs w:val="19"/>
        </w:rPr>
      </w:pPr>
      <w:r w:rsidRPr="00E84594">
        <w:rPr>
          <w:i w:val="0"/>
          <w:color w:val="auto"/>
          <w:szCs w:val="19"/>
        </w:rPr>
        <w:t xml:space="preserve">The Independent Parliamentary Expenses Authority (IPEA) was established by the </w:t>
      </w:r>
      <w:r w:rsidRPr="00E84594">
        <w:rPr>
          <w:color w:val="auto"/>
          <w:szCs w:val="19"/>
        </w:rPr>
        <w:t xml:space="preserve">Independent Parliamentary Expenses Authority Act 2017 </w:t>
      </w:r>
      <w:r w:rsidRPr="00E84594">
        <w:rPr>
          <w:i w:val="0"/>
          <w:color w:val="auto"/>
          <w:szCs w:val="19"/>
        </w:rPr>
        <w:t xml:space="preserve">(IPEA Act). </w:t>
      </w:r>
    </w:p>
    <w:p w14:paraId="2239E9CF" w14:textId="77777777" w:rsidR="00BF0558" w:rsidRPr="00E84594" w:rsidRDefault="00BF0558" w:rsidP="004D5C6C">
      <w:pPr>
        <w:autoSpaceDE w:val="0"/>
        <w:autoSpaceDN w:val="0"/>
        <w:adjustRightInd w:val="0"/>
        <w:rPr>
          <w:szCs w:val="19"/>
          <w:lang w:val="x-none" w:eastAsia="x-none"/>
        </w:rPr>
      </w:pPr>
      <w:r w:rsidRPr="00E84594">
        <w:rPr>
          <w:szCs w:val="19"/>
          <w:lang w:val="x-none" w:eastAsia="x-none"/>
        </w:rPr>
        <w:t xml:space="preserve">As an organisation, IPEA strives to deliver its primary functions as established by the IPEA Act, which relate to advice, reporting and audit. These functions include: </w:t>
      </w:r>
    </w:p>
    <w:p w14:paraId="2239E9D0" w14:textId="77777777" w:rsidR="00BF0558" w:rsidRPr="00ED602D" w:rsidRDefault="00BF0558" w:rsidP="00C8474A">
      <w:pPr>
        <w:pStyle w:val="Exampletextbullet"/>
        <w:numPr>
          <w:ilvl w:val="0"/>
          <w:numId w:val="34"/>
        </w:numPr>
        <w:tabs>
          <w:tab w:val="num" w:pos="284"/>
        </w:tabs>
        <w:ind w:left="284" w:hanging="284"/>
        <w:rPr>
          <w:i w:val="0"/>
          <w:color w:val="auto"/>
        </w:rPr>
      </w:pPr>
      <w:r w:rsidRPr="00ED602D">
        <w:rPr>
          <w:i w:val="0"/>
          <w:color w:val="auto"/>
        </w:rPr>
        <w:t>providing personal advice to members of parliament (parliamentarians) and persons employed under the Members of Parliament (Staff) Act 1984 (MOP(S) staff) on travel expenses, allowances, and related expenses</w:t>
      </w:r>
    </w:p>
    <w:p w14:paraId="2239E9D1" w14:textId="77777777" w:rsidR="00BF0558" w:rsidRPr="00ED602D" w:rsidRDefault="00BF0558" w:rsidP="00C8474A">
      <w:pPr>
        <w:pStyle w:val="Exampletextbullet"/>
        <w:numPr>
          <w:ilvl w:val="0"/>
          <w:numId w:val="34"/>
        </w:numPr>
        <w:tabs>
          <w:tab w:val="num" w:pos="284"/>
        </w:tabs>
        <w:ind w:left="284" w:hanging="284"/>
        <w:rPr>
          <w:i w:val="0"/>
          <w:color w:val="auto"/>
        </w:rPr>
      </w:pPr>
      <w:r w:rsidRPr="00ED602D">
        <w:rPr>
          <w:i w:val="0"/>
          <w:color w:val="auto"/>
        </w:rPr>
        <w:t>monitoring parliamentarians and MOP(S) staff regarding travel expenses, allowances, and related expenses</w:t>
      </w:r>
    </w:p>
    <w:p w14:paraId="2239E9D2" w14:textId="77777777" w:rsidR="00BF0558" w:rsidRPr="00ED602D" w:rsidRDefault="00BF0558" w:rsidP="00C8474A">
      <w:pPr>
        <w:pStyle w:val="Exampletextbullet"/>
        <w:numPr>
          <w:ilvl w:val="0"/>
          <w:numId w:val="34"/>
        </w:numPr>
        <w:tabs>
          <w:tab w:val="num" w:pos="284"/>
        </w:tabs>
        <w:ind w:left="284" w:hanging="284"/>
        <w:rPr>
          <w:i w:val="0"/>
          <w:color w:val="auto"/>
        </w:rPr>
      </w:pPr>
      <w:r w:rsidRPr="00ED602D">
        <w:rPr>
          <w:i w:val="0"/>
          <w:color w:val="auto"/>
        </w:rPr>
        <w:t>administering travel expenses, allowances, and related expenses, including processing of these claims</w:t>
      </w:r>
    </w:p>
    <w:p w14:paraId="2239E9D3" w14:textId="77777777" w:rsidR="00BF0558" w:rsidRPr="00ED602D" w:rsidRDefault="00BF0558" w:rsidP="00C8474A">
      <w:pPr>
        <w:pStyle w:val="Exampletextbullet"/>
        <w:numPr>
          <w:ilvl w:val="0"/>
          <w:numId w:val="34"/>
        </w:numPr>
        <w:tabs>
          <w:tab w:val="num" w:pos="284"/>
        </w:tabs>
        <w:ind w:left="284" w:hanging="284"/>
        <w:rPr>
          <w:i w:val="0"/>
          <w:color w:val="auto"/>
        </w:rPr>
      </w:pPr>
      <w:r w:rsidRPr="00ED602D">
        <w:rPr>
          <w:i w:val="0"/>
          <w:color w:val="auto"/>
        </w:rPr>
        <w:t xml:space="preserve">publicly reporting on work expenses under the applicable framework </w:t>
      </w:r>
    </w:p>
    <w:p w14:paraId="2239E9D4" w14:textId="77777777" w:rsidR="00BF0558" w:rsidRPr="00ED602D" w:rsidRDefault="00BF0558" w:rsidP="00C8474A">
      <w:pPr>
        <w:pStyle w:val="Exampletextbullet"/>
        <w:numPr>
          <w:ilvl w:val="0"/>
          <w:numId w:val="34"/>
        </w:numPr>
        <w:tabs>
          <w:tab w:val="num" w:pos="284"/>
        </w:tabs>
        <w:ind w:left="284" w:hanging="284"/>
        <w:rPr>
          <w:i w:val="0"/>
          <w:color w:val="auto"/>
        </w:rPr>
      </w:pPr>
      <w:r w:rsidRPr="00ED602D">
        <w:rPr>
          <w:i w:val="0"/>
          <w:color w:val="auto"/>
        </w:rPr>
        <w:t>auditing work expense claims.</w:t>
      </w:r>
    </w:p>
    <w:p w14:paraId="2239E9D5" w14:textId="77777777" w:rsidR="00BF0558" w:rsidRPr="00E84594" w:rsidRDefault="00BF0558" w:rsidP="00F837EA">
      <w:pPr>
        <w:pStyle w:val="Exampletextbullet"/>
        <w:rPr>
          <w:i w:val="0"/>
          <w:color w:val="auto"/>
          <w:szCs w:val="19"/>
        </w:rPr>
      </w:pPr>
      <w:r w:rsidRPr="00E84594">
        <w:rPr>
          <w:i w:val="0"/>
          <w:color w:val="auto"/>
          <w:szCs w:val="19"/>
        </w:rPr>
        <w:t xml:space="preserve">Consistent with its primary functions, IPEA’s activities seek to provide: </w:t>
      </w:r>
    </w:p>
    <w:p w14:paraId="2239E9D6" w14:textId="681FD1CC" w:rsidR="00BF0558" w:rsidRDefault="00BF0558" w:rsidP="00C8474A">
      <w:pPr>
        <w:pStyle w:val="Exampletextbullet"/>
        <w:numPr>
          <w:ilvl w:val="0"/>
          <w:numId w:val="34"/>
        </w:numPr>
        <w:tabs>
          <w:tab w:val="num" w:pos="284"/>
        </w:tabs>
        <w:ind w:left="284" w:hanging="284"/>
        <w:rPr>
          <w:i w:val="0"/>
          <w:color w:val="auto"/>
        </w:rPr>
      </w:pPr>
      <w:r w:rsidRPr="00ED602D">
        <w:rPr>
          <w:i w:val="0"/>
          <w:color w:val="auto"/>
        </w:rPr>
        <w:t xml:space="preserve">clear advice to parliamentarians and MOP(S) staff on travel and work related expenses to help support them in their respective roles </w:t>
      </w:r>
    </w:p>
    <w:p w14:paraId="17918163" w14:textId="09DA3A55" w:rsidR="00265388" w:rsidRPr="00ED602D" w:rsidRDefault="00BF0558" w:rsidP="00C8474A">
      <w:pPr>
        <w:pStyle w:val="Exampletextbullet"/>
        <w:numPr>
          <w:ilvl w:val="0"/>
          <w:numId w:val="34"/>
        </w:numPr>
        <w:tabs>
          <w:tab w:val="num" w:pos="284"/>
        </w:tabs>
        <w:ind w:left="284" w:hanging="284"/>
        <w:rPr>
          <w:i w:val="0"/>
          <w:color w:val="auto"/>
        </w:rPr>
      </w:pPr>
      <w:r w:rsidRPr="00ED602D">
        <w:rPr>
          <w:i w:val="0"/>
          <w:color w:val="auto"/>
        </w:rPr>
        <w:t>independent oversight of the work expenses accessed by current and former parliamentarians and MOP(S) staff through IPEA’s rep</w:t>
      </w:r>
      <w:r w:rsidR="00E84594" w:rsidRPr="00ED602D">
        <w:rPr>
          <w:i w:val="0"/>
          <w:color w:val="auto"/>
        </w:rPr>
        <w:t>orting and auditing activities.</w:t>
      </w:r>
      <w:r w:rsidR="00E84594" w:rsidRPr="00ED602D">
        <w:rPr>
          <w:szCs w:val="19"/>
        </w:rPr>
        <w:br w:type="page"/>
      </w:r>
    </w:p>
    <w:p w14:paraId="2239E9DC" w14:textId="77777777" w:rsidR="00BF0558" w:rsidRDefault="00BF0558" w:rsidP="004D5C6C">
      <w:pPr>
        <w:pStyle w:val="Heading3"/>
      </w:pPr>
      <w:bookmarkStart w:id="274" w:name="_Toc116742537"/>
      <w:bookmarkStart w:id="275" w:name="_Toc117070828"/>
      <w:bookmarkStart w:id="276" w:name="_Toc117071083"/>
      <w:bookmarkStart w:id="277" w:name="_Toc117071642"/>
      <w:bookmarkStart w:id="278" w:name="_Toc117078118"/>
      <w:r>
        <w:lastRenderedPageBreak/>
        <w:t>1.2</w:t>
      </w:r>
      <w:r>
        <w:tab/>
        <w:t>Entity resource statement</w:t>
      </w:r>
      <w:bookmarkEnd w:id="274"/>
      <w:bookmarkEnd w:id="275"/>
      <w:bookmarkEnd w:id="276"/>
      <w:bookmarkEnd w:id="277"/>
      <w:bookmarkEnd w:id="278"/>
    </w:p>
    <w:p w14:paraId="71A0EAC2" w14:textId="77777777" w:rsidR="00C732FB" w:rsidRPr="00C732FB" w:rsidRDefault="00C732FB" w:rsidP="00C732FB">
      <w:pPr>
        <w:rPr>
          <w:szCs w:val="19"/>
        </w:rPr>
      </w:pPr>
      <w:r w:rsidRPr="00C732FB">
        <w:rPr>
          <w:szCs w:val="19"/>
        </w:rPr>
        <w:t>Table 1.1 shows the total funding from all sources available to the entity for its operations and to deliver programs and services on behalf of the Government.</w:t>
      </w:r>
    </w:p>
    <w:p w14:paraId="455AF5F5" w14:textId="77777777" w:rsidR="00C732FB" w:rsidRPr="00C732FB" w:rsidRDefault="00C732FB" w:rsidP="00C732FB">
      <w:pPr>
        <w:rPr>
          <w:szCs w:val="19"/>
        </w:rPr>
      </w:pPr>
      <w:r w:rsidRPr="00C732FB">
        <w:rPr>
          <w:szCs w:val="19"/>
        </w:rPr>
        <w:t>The table summarises how resources will be applied by outcome (government strategic policy objectives) and by administered (on behalf of the Government or the public) and departmental (for the entity’s operations) classification.</w:t>
      </w:r>
    </w:p>
    <w:p w14:paraId="4D9A9DFB" w14:textId="77777777" w:rsidR="00C732FB" w:rsidRPr="00C732FB" w:rsidRDefault="00C732FB" w:rsidP="00C732FB">
      <w:pPr>
        <w:rPr>
          <w:szCs w:val="19"/>
        </w:rPr>
      </w:pPr>
      <w:r w:rsidRPr="00C732FB">
        <w:rPr>
          <w:szCs w:val="19"/>
        </w:rPr>
        <w:t>For more detailed information on special accounts and special appropriations, please refer to the October Budget Paper No. 4 – Agency Resourcing.</w:t>
      </w:r>
    </w:p>
    <w:p w14:paraId="1D3B1337" w14:textId="594A8902" w:rsidR="00CF0310" w:rsidRDefault="00C732FB" w:rsidP="00CF0310">
      <w:pPr>
        <w:rPr>
          <w:szCs w:val="19"/>
        </w:rPr>
      </w:pPr>
      <w:r w:rsidRPr="00C732FB">
        <w:rPr>
          <w:szCs w:val="19"/>
        </w:rPr>
        <w:t>Information in this table is presented on a resourcing (that is, appropriations/cash available) basis, whilst th</w:t>
      </w:r>
      <w:r w:rsidR="00A91C50">
        <w:rPr>
          <w:szCs w:val="19"/>
        </w:rPr>
        <w:t>e ‘Budgeted expenses by Outcome</w:t>
      </w:r>
      <w:r w:rsidRPr="00C732FB">
        <w:rPr>
          <w:szCs w:val="19"/>
        </w:rPr>
        <w:t>’ tables in Section 2 and the financial statements in Section 3 are presented on an accrual basis</w:t>
      </w:r>
      <w:r w:rsidR="008718B4">
        <w:rPr>
          <w:szCs w:val="19"/>
        </w:rPr>
        <w:t>.</w:t>
      </w:r>
      <w:r w:rsidR="00CF0310">
        <w:rPr>
          <w:szCs w:val="19"/>
        </w:rPr>
        <w:br w:type="page"/>
      </w:r>
    </w:p>
    <w:p w14:paraId="197BCD1B" w14:textId="48791B9B" w:rsidR="006475E6" w:rsidRDefault="00BF0558" w:rsidP="006475E6">
      <w:pPr>
        <w:pStyle w:val="TableHeading"/>
      </w:pPr>
      <w:r w:rsidRPr="00D44150">
        <w:lastRenderedPageBreak/>
        <w:t xml:space="preserve">Table 1.1: </w:t>
      </w:r>
      <w:r w:rsidRPr="006119FF">
        <w:t>Independent Parliamentary Expenses Authority</w:t>
      </w:r>
      <w:r w:rsidRPr="00D44150">
        <w:t xml:space="preserve"> resource statement</w:t>
      </w:r>
      <w:r>
        <w:t xml:space="preserve"> — Budget estimates for 2022-23 </w:t>
      </w:r>
      <w:r w:rsidRPr="00D44150">
        <w:t xml:space="preserve">as at </w:t>
      </w:r>
      <w:r>
        <w:t>October</w:t>
      </w:r>
      <w:r w:rsidRPr="00D44150">
        <w:t xml:space="preserve"> Budget </w:t>
      </w:r>
      <w:r>
        <w:t>2022</w:t>
      </w:r>
      <w:r w:rsidR="00A44088" w:rsidRPr="00A44088">
        <w:rPr>
          <w:noProof/>
          <w:lang w:eastAsia="zh-CN"/>
        </w:rPr>
        <w:drawing>
          <wp:inline distT="0" distB="0" distL="0" distR="0" wp14:anchorId="057B4F91" wp14:editId="13812930">
            <wp:extent cx="4895850" cy="2957541"/>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895850" cy="2957541"/>
                    </a:xfrm>
                    <a:prstGeom prst="rect">
                      <a:avLst/>
                    </a:prstGeom>
                    <a:noFill/>
                    <a:ln>
                      <a:noFill/>
                    </a:ln>
                  </pic:spPr>
                </pic:pic>
              </a:graphicData>
            </a:graphic>
          </wp:inline>
        </w:drawing>
      </w:r>
    </w:p>
    <w:p w14:paraId="4302459D" w14:textId="77777777" w:rsidR="006475E6" w:rsidRDefault="006475E6" w:rsidP="00167A69">
      <w:pPr>
        <w:pStyle w:val="TableGraphic"/>
        <w:spacing w:before="30"/>
        <w:ind w:right="0"/>
        <w:rPr>
          <w:rFonts w:ascii="Arial" w:hAnsi="Arial"/>
          <w:color w:val="000000"/>
          <w:sz w:val="16"/>
          <w:lang w:eastAsia="x-none"/>
        </w:rPr>
      </w:pPr>
      <w:r w:rsidRPr="004214F9">
        <w:rPr>
          <w:rFonts w:ascii="Arial" w:hAnsi="Arial"/>
          <w:color w:val="000000"/>
          <w:sz w:val="16"/>
          <w:lang w:val="x-none" w:eastAsia="x-none"/>
        </w:rPr>
        <w:t>All figures shown above are GST exclusive - these may not match figures in the cash flow statement</w:t>
      </w:r>
      <w:r>
        <w:rPr>
          <w:rFonts w:ascii="Arial" w:hAnsi="Arial"/>
          <w:color w:val="000000"/>
          <w:sz w:val="16"/>
          <w:lang w:eastAsia="x-none"/>
        </w:rPr>
        <w:t>.</w:t>
      </w:r>
    </w:p>
    <w:p w14:paraId="4935741F" w14:textId="77777777" w:rsidR="006475E6" w:rsidRPr="00C31E4C" w:rsidRDefault="006475E6" w:rsidP="00167A69">
      <w:pPr>
        <w:pStyle w:val="TableGraphic"/>
        <w:spacing w:before="30"/>
        <w:ind w:right="0"/>
      </w:pPr>
      <w:r w:rsidRPr="004214F9">
        <w:rPr>
          <w:rFonts w:ascii="Arial" w:hAnsi="Arial"/>
          <w:color w:val="000000"/>
          <w:sz w:val="16"/>
          <w:lang w:val="x-none" w:eastAsia="x-none"/>
        </w:rPr>
        <w:t>Prepared on a resourcing (</w:t>
      </w:r>
      <w:r w:rsidRPr="004214F9">
        <w:rPr>
          <w:rFonts w:ascii="Arial" w:hAnsi="Arial"/>
          <w:color w:val="000000"/>
          <w:sz w:val="16"/>
          <w:lang w:eastAsia="x-none"/>
        </w:rPr>
        <w:t>that is,</w:t>
      </w:r>
      <w:r w:rsidRPr="004214F9">
        <w:rPr>
          <w:rFonts w:ascii="Arial" w:hAnsi="Arial"/>
          <w:color w:val="000000"/>
          <w:sz w:val="16"/>
          <w:lang w:val="x-none" w:eastAsia="x-none"/>
        </w:rPr>
        <w:t xml:space="preserve"> appropriations available) basis.</w:t>
      </w:r>
    </w:p>
    <w:p w14:paraId="22B4AC2B" w14:textId="40BEA419" w:rsidR="006475E6" w:rsidRPr="004214F9" w:rsidRDefault="006475E6" w:rsidP="00C8474A">
      <w:pPr>
        <w:pStyle w:val="ChartandTableFootnoteAlpha"/>
        <w:numPr>
          <w:ilvl w:val="0"/>
          <w:numId w:val="35"/>
        </w:numPr>
        <w:spacing w:before="60"/>
        <w:ind w:left="284" w:hanging="284"/>
      </w:pPr>
      <w:r w:rsidRPr="00C4754A">
        <w:t>Appropriation Bill (No. 1) 2022-23</w:t>
      </w:r>
      <w:r w:rsidR="00B2235C">
        <w:t xml:space="preserve">, </w:t>
      </w:r>
      <w:r w:rsidR="00532CF1">
        <w:t>Supply Bill (No. 3)</w:t>
      </w:r>
      <w:r w:rsidRPr="00C4754A">
        <w:t>, and Supply Act (No.1) 2022-23.</w:t>
      </w:r>
    </w:p>
    <w:p w14:paraId="083DBE79" w14:textId="77777777" w:rsidR="006475E6" w:rsidRPr="004214F9" w:rsidRDefault="006475E6" w:rsidP="00C8474A">
      <w:pPr>
        <w:pStyle w:val="ChartandTableFootnoteAlpha"/>
        <w:numPr>
          <w:ilvl w:val="0"/>
          <w:numId w:val="35"/>
        </w:numPr>
        <w:spacing w:before="60"/>
        <w:ind w:left="284" w:hanging="284"/>
      </w:pPr>
      <w:r w:rsidRPr="004214F9">
        <w:t>Excludes $</w:t>
      </w:r>
      <w:r>
        <w:t>0.7</w:t>
      </w:r>
      <w:r w:rsidRPr="004214F9">
        <w:t xml:space="preserve">m in 2021-22 subject to administrative quarantine by Finance or withheld under section 51 of the </w:t>
      </w:r>
      <w:r w:rsidRPr="00C4754A">
        <w:t>Public Governance, Performance and Accountability Act 2013 (PGPA Act)</w:t>
      </w:r>
      <w:r w:rsidRPr="004214F9">
        <w:t>.</w:t>
      </w:r>
    </w:p>
    <w:p w14:paraId="4782AD35" w14:textId="74DE67CD" w:rsidR="006475E6" w:rsidRPr="006475E6" w:rsidRDefault="006475E6" w:rsidP="00C8474A">
      <w:pPr>
        <w:pStyle w:val="ChartandTableFootnoteAlpha"/>
        <w:numPr>
          <w:ilvl w:val="0"/>
          <w:numId w:val="35"/>
        </w:numPr>
        <w:spacing w:before="60"/>
        <w:ind w:left="284" w:hanging="284"/>
      </w:pPr>
      <w:r w:rsidRPr="004214F9">
        <w:t>Excludes departmental capital budget (DCB).</w:t>
      </w:r>
    </w:p>
    <w:p w14:paraId="2239E9F7" w14:textId="58A0A3A4" w:rsidR="00F837EA" w:rsidRDefault="006475E6" w:rsidP="00C8474A">
      <w:pPr>
        <w:pStyle w:val="ChartandTableFootnoteAlpha"/>
        <w:numPr>
          <w:ilvl w:val="0"/>
          <w:numId w:val="35"/>
        </w:numPr>
        <w:spacing w:before="60"/>
        <w:ind w:left="284" w:hanging="284"/>
      </w:pPr>
      <w:r w:rsidRPr="00C4754A">
        <w:t>Estimated External Revenue receipts under section 74 of the PGPA Act.</w:t>
      </w:r>
    </w:p>
    <w:p w14:paraId="2239E9F8" w14:textId="7D40C1B2" w:rsidR="00BF0558" w:rsidRPr="00F837EA" w:rsidRDefault="00F837EA" w:rsidP="00F837EA">
      <w:pPr>
        <w:pStyle w:val="Heading3"/>
        <w:spacing w:before="0"/>
        <w:rPr>
          <w:rFonts w:ascii="Arial" w:hAnsi="Arial"/>
          <w:color w:val="000000"/>
          <w:sz w:val="16"/>
        </w:rPr>
      </w:pPr>
      <w:r>
        <w:br w:type="page"/>
      </w:r>
      <w:bookmarkStart w:id="279" w:name="_Toc116742538"/>
      <w:bookmarkStart w:id="280" w:name="_Toc117070829"/>
      <w:bookmarkStart w:id="281" w:name="_Toc117071084"/>
      <w:bookmarkStart w:id="282" w:name="_Toc117071643"/>
      <w:bookmarkStart w:id="283" w:name="_Toc117078119"/>
      <w:r w:rsidR="00BF0558" w:rsidRPr="005A7C0B">
        <w:lastRenderedPageBreak/>
        <w:t>1.3</w:t>
      </w:r>
      <w:r w:rsidR="00BF0558" w:rsidRPr="005A7C0B">
        <w:tab/>
        <w:t>Budget measures</w:t>
      </w:r>
      <w:bookmarkEnd w:id="279"/>
      <w:bookmarkEnd w:id="280"/>
      <w:bookmarkEnd w:id="281"/>
      <w:bookmarkEnd w:id="282"/>
      <w:bookmarkEnd w:id="283"/>
    </w:p>
    <w:p w14:paraId="2239E9FA" w14:textId="5DAEB4C3" w:rsidR="00BF0558" w:rsidRDefault="00F837EA" w:rsidP="008718B4">
      <w:pPr>
        <w:rPr>
          <w:szCs w:val="19"/>
        </w:rPr>
      </w:pPr>
      <w:r w:rsidRPr="00F837EA">
        <w:rPr>
          <w:szCs w:val="19"/>
        </w:rPr>
        <w:t>Budget measures in Part 1 relating to IPEA are detailed in the October Budget Paper No. 2 and are summarised below.</w:t>
      </w:r>
    </w:p>
    <w:p w14:paraId="6D17FC1A" w14:textId="77777777" w:rsidR="00F837EA" w:rsidRPr="009A40DD" w:rsidRDefault="00F837EA" w:rsidP="00F837EA">
      <w:pPr>
        <w:pStyle w:val="TableHeading"/>
      </w:pPr>
      <w:r w:rsidRPr="009A40DD">
        <w:t xml:space="preserve">Table 1.2: Entity </w:t>
      </w:r>
      <w:r>
        <w:t xml:space="preserve">October 2022-23 </w:t>
      </w:r>
      <w:r w:rsidRPr="009A40DD">
        <w:t>Budget measures</w:t>
      </w:r>
    </w:p>
    <w:p w14:paraId="4F1BA953" w14:textId="41A0B6BF" w:rsidR="009F0195" w:rsidRPr="008736AE" w:rsidRDefault="00F837EA" w:rsidP="008736AE">
      <w:pPr>
        <w:pStyle w:val="ChartandTableFootnote"/>
        <w:rPr>
          <w:rFonts w:cs="Arial"/>
          <w:szCs w:val="19"/>
        </w:rPr>
      </w:pPr>
      <w:r w:rsidRPr="00C95E0E">
        <w:rPr>
          <w:rFonts w:ascii="Arial Bold" w:hAnsi="Arial Bold"/>
          <w:b/>
          <w:sz w:val="19"/>
          <w:szCs w:val="19"/>
        </w:rPr>
        <w:t>Part 1: Measures announced since the 2022-23 March Budget</w:t>
      </w:r>
      <w:r w:rsidR="00594F50" w:rsidRPr="00594F50">
        <w:rPr>
          <w:rFonts w:ascii="Arial Bold" w:hAnsi="Arial Bold"/>
          <w:b/>
          <w:szCs w:val="19"/>
        </w:rPr>
        <w:t xml:space="preserve"> </w:t>
      </w:r>
      <w:r w:rsidR="00017ED7" w:rsidRPr="00017ED7">
        <w:rPr>
          <w:rFonts w:ascii="Arial Bold" w:hAnsi="Arial Bold"/>
          <w:b/>
          <w:noProof/>
          <w:szCs w:val="19"/>
          <w:lang w:eastAsia="zh-CN"/>
        </w:rPr>
        <w:drawing>
          <wp:inline distT="0" distB="0" distL="0" distR="0" wp14:anchorId="7D233694" wp14:editId="0AB9FB37">
            <wp:extent cx="4895850" cy="1759827"/>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4895850" cy="1759827"/>
                    </a:xfrm>
                    <a:prstGeom prst="rect">
                      <a:avLst/>
                    </a:prstGeom>
                    <a:noFill/>
                    <a:ln>
                      <a:noFill/>
                    </a:ln>
                  </pic:spPr>
                </pic:pic>
              </a:graphicData>
            </a:graphic>
          </wp:inline>
        </w:drawing>
      </w:r>
      <w:r w:rsidR="009F0195" w:rsidRPr="008736AE">
        <w:rPr>
          <w:lang w:val="x-none" w:eastAsia="x-none"/>
        </w:rPr>
        <w:t>Prepared on a Government Finance Statistics (Underlying Cash) basis. Figures displayed as a negative (-) represent a decrease in funds and a positive (+) represent an increase in funds.</w:t>
      </w:r>
    </w:p>
    <w:p w14:paraId="733BA70C" w14:textId="234D5002" w:rsidR="009F0195" w:rsidRPr="008736AE" w:rsidRDefault="009F0195" w:rsidP="00C8474A">
      <w:pPr>
        <w:pStyle w:val="ChartandTableFootnoteAlpha"/>
        <w:numPr>
          <w:ilvl w:val="0"/>
          <w:numId w:val="78"/>
        </w:numPr>
        <w:spacing w:before="60"/>
        <w:ind w:left="284" w:hanging="284"/>
      </w:pPr>
      <w:r w:rsidRPr="008736AE">
        <w:t xml:space="preserve">The lead entity for measure titled </w:t>
      </w:r>
      <w:r w:rsidRPr="00F948C5">
        <w:rPr>
          <w:i/>
        </w:rPr>
        <w:t>An Ambitious and Enduring APS Reform Plan</w:t>
      </w:r>
      <w:r w:rsidRPr="008736AE">
        <w:t xml:space="preserve"> is the Department of </w:t>
      </w:r>
      <w:r w:rsidR="00AD5F5E">
        <w:t xml:space="preserve">the </w:t>
      </w:r>
      <w:r w:rsidRPr="008736AE">
        <w:t>Prime Minister and Cabinet. The full measure description and package details appear in the October Budget Paper No. 2 under the Prime Minster and Cabinet portfolio.</w:t>
      </w:r>
    </w:p>
    <w:p w14:paraId="5924EB64" w14:textId="0BC89F48" w:rsidR="00A63DC4" w:rsidRDefault="009F0195" w:rsidP="00C8474A">
      <w:pPr>
        <w:pStyle w:val="ChartandTableFootnoteAlpha"/>
        <w:numPr>
          <w:ilvl w:val="0"/>
          <w:numId w:val="78"/>
        </w:numPr>
        <w:spacing w:before="60"/>
        <w:ind w:left="284" w:hanging="284"/>
        <w:rPr>
          <w:rFonts w:cs="Arial"/>
          <w:szCs w:val="19"/>
        </w:rPr>
      </w:pPr>
      <w:r w:rsidRPr="008736AE">
        <w:t xml:space="preserve">The lead entity for measure titled </w:t>
      </w:r>
      <w:r w:rsidRPr="00F948C5">
        <w:rPr>
          <w:i/>
        </w:rPr>
        <w:t>Savings from External Labour, and Savings from Advertising, Travel and Legal Expenses</w:t>
      </w:r>
      <w:r w:rsidRPr="008736AE">
        <w:t xml:space="preserve"> is the Department of </w:t>
      </w:r>
      <w:r w:rsidR="00AD5F5E">
        <w:t xml:space="preserve">the </w:t>
      </w:r>
      <w:r w:rsidRPr="008736AE">
        <w:t>Prime Minister and Cabinet. The full measure description and package details appear in the October Budget Paper No. 2 under the Prime Minister and Cabinet portfolio.</w:t>
      </w:r>
      <w:bookmarkStart w:id="284" w:name="_Toc116742539"/>
      <w:r w:rsidR="00A63DC4">
        <w:rPr>
          <w:rFonts w:cs="Arial"/>
          <w:szCs w:val="19"/>
        </w:rPr>
        <w:br w:type="page"/>
      </w:r>
    </w:p>
    <w:p w14:paraId="2239E9FE" w14:textId="4E136560" w:rsidR="00BF0558" w:rsidRPr="00A63DC4" w:rsidRDefault="00BF0558" w:rsidP="00A63DC4">
      <w:pPr>
        <w:pStyle w:val="Heading2"/>
      </w:pPr>
      <w:bookmarkStart w:id="285" w:name="_Toc117070830"/>
      <w:bookmarkStart w:id="286" w:name="_Toc117071085"/>
      <w:bookmarkStart w:id="287" w:name="_Toc117071644"/>
      <w:bookmarkStart w:id="288" w:name="_Toc117078120"/>
      <w:r w:rsidRPr="00DB22D8">
        <w:lastRenderedPageBreak/>
        <w:t>Section 2: Outcomes and planned performance</w:t>
      </w:r>
      <w:bookmarkEnd w:id="284"/>
      <w:bookmarkEnd w:id="285"/>
      <w:bookmarkEnd w:id="286"/>
      <w:bookmarkEnd w:id="287"/>
      <w:bookmarkEnd w:id="288"/>
    </w:p>
    <w:p w14:paraId="2239E9FF" w14:textId="77777777" w:rsidR="00BF0558" w:rsidRPr="00B91786" w:rsidRDefault="00BF0558" w:rsidP="004D5C6C">
      <w:pPr>
        <w:rPr>
          <w:szCs w:val="19"/>
        </w:rPr>
      </w:pPr>
      <w:r w:rsidRPr="00B91786">
        <w:rPr>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239EA00" w14:textId="77777777" w:rsidR="00BF0558" w:rsidRPr="00B91786" w:rsidRDefault="00BF0558" w:rsidP="004D5C6C">
      <w:pPr>
        <w:rPr>
          <w:i/>
          <w:szCs w:val="19"/>
        </w:rPr>
      </w:pPr>
      <w:r w:rsidRPr="00B91786">
        <w:rPr>
          <w:szCs w:val="19"/>
        </w:rPr>
        <w:t>Each outcome is described below together with its related programs. The following provides detailed information on expenses for each outcome and program, further broken down by funding source.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BF0558" w:rsidRPr="001C6402" w14:paraId="2239EA05" w14:textId="77777777" w:rsidTr="004D5C6C">
        <w:tc>
          <w:tcPr>
            <w:tcW w:w="7700" w:type="dxa"/>
            <w:shd w:val="clear" w:color="auto" w:fill="auto"/>
          </w:tcPr>
          <w:p w14:paraId="2239EA01" w14:textId="77777777" w:rsidR="00BF0558" w:rsidRPr="00B463B8" w:rsidRDefault="00BF0558" w:rsidP="004D5C6C">
            <w:pPr>
              <w:spacing w:before="120" w:after="120" w:line="240" w:lineRule="auto"/>
              <w:jc w:val="both"/>
              <w:rPr>
                <w:b/>
                <w:szCs w:val="19"/>
              </w:rPr>
            </w:pPr>
            <w:r w:rsidRPr="00B463B8">
              <w:rPr>
                <w:b/>
                <w:szCs w:val="19"/>
              </w:rPr>
              <w:t>Note:</w:t>
            </w:r>
          </w:p>
          <w:p w14:paraId="2239EA02" w14:textId="77777777" w:rsidR="00BF0558" w:rsidRPr="00B463B8" w:rsidRDefault="00BF0558" w:rsidP="004D5C6C">
            <w:pPr>
              <w:jc w:val="both"/>
              <w:rPr>
                <w:szCs w:val="19"/>
              </w:rPr>
            </w:pPr>
            <w:r w:rsidRPr="00B463B8">
              <w:rPr>
                <w:szCs w:val="19"/>
              </w:rPr>
              <w:t xml:space="preserve">Performance reporting requirements in the Portfolio Budget Statements are part of the Commonwealth performance framework established by the </w:t>
            </w:r>
            <w:r w:rsidRPr="00B463B8">
              <w:rPr>
                <w:i/>
                <w:szCs w:val="19"/>
              </w:rPr>
              <w:t>Public Governance, Performance and Accountability Act 2013</w:t>
            </w:r>
            <w:r w:rsidRPr="00B463B8">
              <w:rPr>
                <w:szCs w:val="19"/>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2239EA03" w14:textId="77777777" w:rsidR="00BF0558" w:rsidRPr="00B463B8" w:rsidRDefault="00BF0558" w:rsidP="004D5C6C">
            <w:pPr>
              <w:jc w:val="both"/>
              <w:rPr>
                <w:szCs w:val="19"/>
              </w:rPr>
            </w:pPr>
            <w:r w:rsidRPr="00B463B8">
              <w:rPr>
                <w:szCs w:val="19"/>
              </w:rPr>
              <w:t xml:space="preserve">The most recent corporate plan for the Independent Parliamentary Expenses Authority can be found at: </w:t>
            </w:r>
            <w:hyperlink r:id="rId181" w:history="1">
              <w:r w:rsidRPr="00B463B8">
                <w:rPr>
                  <w:rStyle w:val="Hyperlink"/>
                  <w:szCs w:val="19"/>
                </w:rPr>
                <w:t>https://www.ipea.gov.au/home/publications-fact-sheets</w:t>
              </w:r>
            </w:hyperlink>
            <w:r w:rsidRPr="00B463B8">
              <w:rPr>
                <w:szCs w:val="19"/>
              </w:rPr>
              <w:t>.</w:t>
            </w:r>
          </w:p>
          <w:p w14:paraId="2239EA04" w14:textId="77777777" w:rsidR="00BF0558" w:rsidRPr="001C6402" w:rsidRDefault="00BF0558" w:rsidP="004D5C6C">
            <w:pPr>
              <w:jc w:val="both"/>
            </w:pPr>
            <w:r w:rsidRPr="00B463B8">
              <w:rPr>
                <w:szCs w:val="19"/>
              </w:rPr>
              <w:t xml:space="preserve">The most recent annual performance statement can be found at: </w:t>
            </w:r>
            <w:hyperlink r:id="rId182" w:history="1">
              <w:r w:rsidRPr="00B463B8">
                <w:rPr>
                  <w:rStyle w:val="Hyperlink"/>
                  <w:szCs w:val="19"/>
                </w:rPr>
                <w:t>https://www.ipea.gov.au/home/publications-fact-sheets</w:t>
              </w:r>
            </w:hyperlink>
            <w:r w:rsidRPr="00B463B8">
              <w:rPr>
                <w:szCs w:val="19"/>
              </w:rPr>
              <w:t>.</w:t>
            </w:r>
          </w:p>
        </w:tc>
      </w:tr>
    </w:tbl>
    <w:p w14:paraId="2239EA06" w14:textId="77777777" w:rsidR="00BF0558" w:rsidRDefault="00BF0558" w:rsidP="004D5C6C">
      <w:pPr>
        <w:rPr>
          <w:highlight w:val="yellow"/>
        </w:rPr>
      </w:pPr>
    </w:p>
    <w:p w14:paraId="2239EA07" w14:textId="77777777" w:rsidR="00BF0558" w:rsidRDefault="00BF0558" w:rsidP="004D5C6C">
      <w:pPr>
        <w:pStyle w:val="Heading3"/>
        <w:sectPr w:rsidR="00BF0558" w:rsidSect="004D5C6C">
          <w:headerReference w:type="even" r:id="rId183"/>
          <w:headerReference w:type="default" r:id="rId184"/>
          <w:headerReference w:type="first" r:id="rId185"/>
          <w:footerReference w:type="first" r:id="rId186"/>
          <w:type w:val="oddPage"/>
          <w:pgSz w:w="11906" w:h="16838" w:code="9"/>
          <w:pgMar w:top="2835" w:right="2098" w:bottom="2466" w:left="2098" w:header="1814" w:footer="1814" w:gutter="0"/>
          <w:cols w:space="708"/>
          <w:titlePg/>
          <w:docGrid w:linePitch="360"/>
        </w:sectPr>
      </w:pPr>
    </w:p>
    <w:p w14:paraId="2239EA08" w14:textId="77777777" w:rsidR="00BF0558" w:rsidRPr="00F743D8" w:rsidRDefault="00BF0558" w:rsidP="004D5C6C">
      <w:pPr>
        <w:pStyle w:val="Heading3"/>
      </w:pPr>
      <w:bookmarkStart w:id="289" w:name="_Toc116742540"/>
      <w:bookmarkStart w:id="290" w:name="_Toc117070831"/>
      <w:bookmarkStart w:id="291" w:name="_Toc117071086"/>
      <w:bookmarkStart w:id="292" w:name="_Toc117071645"/>
      <w:bookmarkStart w:id="293" w:name="_Toc117078121"/>
      <w:r>
        <w:lastRenderedPageBreak/>
        <w:t>2.1</w:t>
      </w:r>
      <w:r w:rsidRPr="00F743D8">
        <w:t xml:space="preserve"> </w:t>
      </w:r>
      <w:r w:rsidRPr="00F743D8">
        <w:tab/>
        <w:t xml:space="preserve">Budgeted expenses and performance for Outcome </w:t>
      </w:r>
      <w:r>
        <w:t>1</w:t>
      </w:r>
      <w:bookmarkEnd w:id="289"/>
      <w:bookmarkEnd w:id="290"/>
      <w:bookmarkEnd w:id="291"/>
      <w:bookmarkEnd w:id="292"/>
      <w:bookmarkEnd w:id="293"/>
    </w:p>
    <w:tbl>
      <w:tblPr>
        <w:tblW w:w="7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BF0558" w:rsidRPr="001C6402" w14:paraId="2239EA0A" w14:textId="77777777" w:rsidTr="00DB35A1">
        <w:tc>
          <w:tcPr>
            <w:tcW w:w="7705" w:type="dxa"/>
            <w:shd w:val="clear" w:color="auto" w:fill="E6E6E6"/>
          </w:tcPr>
          <w:p w14:paraId="2239EA09" w14:textId="77777777" w:rsidR="00BF0558" w:rsidRPr="005E6F2B" w:rsidRDefault="00BF0558" w:rsidP="004D5C6C">
            <w:pPr>
              <w:pStyle w:val="TableColumnHeadingLeft"/>
            </w:pPr>
            <w:r w:rsidRPr="005E6F2B">
              <w:t xml:space="preserve">Outcome </w:t>
            </w:r>
            <w:r>
              <w:t>1</w:t>
            </w:r>
            <w:r w:rsidRPr="005E6F2B">
              <w:t xml:space="preserve">: </w:t>
            </w:r>
            <w:r>
              <w:rPr>
                <w:rFonts w:cs="Arial"/>
              </w:rPr>
              <w:t>Support for current and former parliamentarians and others as required by the Australian Government through the delivery of, independent oversight and advice on, work resources and travel resources.</w:t>
            </w:r>
          </w:p>
        </w:tc>
      </w:tr>
    </w:tbl>
    <w:p w14:paraId="2239EA0B" w14:textId="77777777" w:rsidR="00BF0558" w:rsidRPr="005E6F2B" w:rsidRDefault="00BF0558" w:rsidP="004D5C6C">
      <w:pPr>
        <w:pStyle w:val="NoSpacing"/>
      </w:pPr>
    </w:p>
    <w:p w14:paraId="2239EA0C" w14:textId="77777777" w:rsidR="00BF0558" w:rsidRPr="005E6F2B" w:rsidRDefault="00BF0558" w:rsidP="004D5C6C">
      <w:pPr>
        <w:pStyle w:val="Heading4"/>
      </w:pPr>
      <w:r w:rsidRPr="005E6F2B">
        <w:t xml:space="preserve">Linked programs </w:t>
      </w:r>
    </w:p>
    <w:tbl>
      <w:tblPr>
        <w:tblW w:w="7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9"/>
      </w:tblGrid>
      <w:tr w:rsidR="00BF0558" w:rsidRPr="001C6402" w14:paraId="2239EA0E" w14:textId="77777777" w:rsidTr="00DB35A1">
        <w:trPr>
          <w:trHeight w:val="113"/>
          <w:tblHeader/>
        </w:trPr>
        <w:tc>
          <w:tcPr>
            <w:tcW w:w="7699" w:type="dxa"/>
            <w:tcBorders>
              <w:bottom w:val="dotted" w:sz="4" w:space="0" w:color="auto"/>
            </w:tcBorders>
          </w:tcPr>
          <w:p w14:paraId="2239EA0D" w14:textId="77777777" w:rsidR="00BF0558" w:rsidRPr="00CA47FB" w:rsidRDefault="00BF0558" w:rsidP="004D5C6C">
            <w:pPr>
              <w:pStyle w:val="BoxHeading"/>
            </w:pPr>
            <w:r w:rsidRPr="00380D90">
              <w:rPr>
                <w:bCs/>
              </w:rPr>
              <w:t>Department of Finance</w:t>
            </w:r>
            <w:r w:rsidRPr="00CA47FB">
              <w:t xml:space="preserve"> </w:t>
            </w:r>
          </w:p>
        </w:tc>
      </w:tr>
      <w:tr w:rsidR="00BF0558" w:rsidRPr="001C6402" w14:paraId="2239EA11" w14:textId="77777777" w:rsidTr="00DB35A1">
        <w:trPr>
          <w:trHeight w:val="113"/>
        </w:trPr>
        <w:tc>
          <w:tcPr>
            <w:tcW w:w="7699" w:type="dxa"/>
            <w:tcBorders>
              <w:top w:val="dotted" w:sz="4" w:space="0" w:color="auto"/>
              <w:bottom w:val="single" w:sz="4" w:space="0" w:color="auto"/>
            </w:tcBorders>
          </w:tcPr>
          <w:p w14:paraId="2239EA0F" w14:textId="77777777" w:rsidR="00BF0558" w:rsidRPr="00A446AF" w:rsidRDefault="00BF0558" w:rsidP="004D5C6C">
            <w:pPr>
              <w:pStyle w:val="BoxText"/>
              <w:rPr>
                <w:rStyle w:val="ExampletextCharChar"/>
                <w:b/>
                <w:bCs/>
                <w:i w:val="0"/>
                <w:sz w:val="20"/>
              </w:rPr>
            </w:pPr>
            <w:r w:rsidRPr="00A446AF">
              <w:rPr>
                <w:b/>
                <w:bCs/>
                <w:sz w:val="20"/>
              </w:rPr>
              <w:t>Programs</w:t>
            </w:r>
          </w:p>
          <w:p w14:paraId="2239EA10" w14:textId="77777777" w:rsidR="00BF0558" w:rsidRPr="001C6402" w:rsidRDefault="00BF0558" w:rsidP="004D5C6C">
            <w:pPr>
              <w:pStyle w:val="BoxBullet"/>
            </w:pPr>
            <w:r w:rsidRPr="00380D90">
              <w:t>Program 3.1 – Ministerial and Parliamentary Services</w:t>
            </w:r>
          </w:p>
        </w:tc>
      </w:tr>
      <w:tr w:rsidR="00BF0558" w:rsidRPr="001C6402" w14:paraId="2239EA14" w14:textId="77777777" w:rsidTr="00DB35A1">
        <w:trPr>
          <w:trHeight w:val="113"/>
        </w:trPr>
        <w:tc>
          <w:tcPr>
            <w:tcW w:w="7699" w:type="dxa"/>
            <w:tcBorders>
              <w:bottom w:val="single" w:sz="4" w:space="0" w:color="auto"/>
            </w:tcBorders>
          </w:tcPr>
          <w:p w14:paraId="2239EA12" w14:textId="77777777" w:rsidR="00BF0558" w:rsidRDefault="00BF0558" w:rsidP="004D5C6C">
            <w:pPr>
              <w:pStyle w:val="BoxText"/>
            </w:pPr>
            <w:r>
              <w:t>Contribution to Outcome 1</w:t>
            </w:r>
            <w:r w:rsidRPr="001C6402">
              <w:t xml:space="preserve"> made by linked programs</w:t>
            </w:r>
          </w:p>
          <w:p w14:paraId="2239EA13" w14:textId="77777777" w:rsidR="00BF0558" w:rsidRPr="001C6402" w:rsidRDefault="00BF0558" w:rsidP="004D5C6C">
            <w:pPr>
              <w:pStyle w:val="BoxText"/>
            </w:pPr>
            <w:r w:rsidRPr="00380D90">
              <w:t>IPEA administers and advises on travel related work expenses, and provides independent oversight of the work expenses administered by the Department of Finance for current and former parliamentarians and their staff.</w:t>
            </w:r>
          </w:p>
        </w:tc>
      </w:tr>
    </w:tbl>
    <w:p w14:paraId="2239EA15" w14:textId="77777777" w:rsidR="00BF0558" w:rsidRPr="00446612" w:rsidRDefault="00BF0558" w:rsidP="004D5C6C">
      <w:pPr>
        <w:pStyle w:val="Heading5"/>
      </w:pPr>
      <w:r>
        <w:br w:type="page"/>
      </w:r>
      <w:r w:rsidRPr="00446612">
        <w:lastRenderedPageBreak/>
        <w:t xml:space="preserve">Budgeted expenses for Outcome </w:t>
      </w:r>
      <w:r>
        <w:t>1</w:t>
      </w:r>
    </w:p>
    <w:p w14:paraId="2239EA16" w14:textId="77777777" w:rsidR="00BF0558" w:rsidRPr="00624AF8" w:rsidRDefault="00BF0558" w:rsidP="004D5C6C">
      <w:r w:rsidRPr="00624AF8">
        <w:t>This table shows how much the IPEA intends to spend (on an accrual basis) on achieving the outcome, broken down by program, as well as by Administered and Departmental funding sources.</w:t>
      </w:r>
    </w:p>
    <w:p w14:paraId="3E098C0E" w14:textId="587E0AFD" w:rsidR="006B5058" w:rsidRDefault="00BF0558" w:rsidP="00814407">
      <w:pPr>
        <w:pStyle w:val="TableHeading"/>
      </w:pPr>
      <w:r>
        <w:t>Table 2.1</w:t>
      </w:r>
      <w:r w:rsidRPr="006E4DF1">
        <w:t>.1:</w:t>
      </w:r>
      <w:r>
        <w:t xml:space="preserve"> Budgeted expenses for Outcome 1</w:t>
      </w:r>
      <w:r w:rsidR="00A44088" w:rsidRPr="00A44088">
        <w:rPr>
          <w:noProof/>
          <w:lang w:eastAsia="zh-CN"/>
        </w:rPr>
        <w:drawing>
          <wp:inline distT="0" distB="0" distL="0" distR="0" wp14:anchorId="7AF32462" wp14:editId="1A80F089">
            <wp:extent cx="4895850" cy="5315323"/>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895850" cy="5315323"/>
                    </a:xfrm>
                    <a:prstGeom prst="rect">
                      <a:avLst/>
                    </a:prstGeom>
                    <a:noFill/>
                    <a:ln>
                      <a:noFill/>
                    </a:ln>
                  </pic:spPr>
                </pic:pic>
              </a:graphicData>
            </a:graphic>
          </wp:inline>
        </w:drawing>
      </w:r>
    </w:p>
    <w:p w14:paraId="2239EA19" w14:textId="77777777" w:rsidR="00BF0558" w:rsidRPr="00446EE2" w:rsidRDefault="00BF0558" w:rsidP="00C8474A">
      <w:pPr>
        <w:pStyle w:val="ChartandTableFootnoteAlpha"/>
        <w:numPr>
          <w:ilvl w:val="0"/>
          <w:numId w:val="53"/>
        </w:numPr>
        <w:spacing w:before="60"/>
        <w:ind w:left="284" w:hanging="284"/>
      </w:pPr>
      <w:r w:rsidRPr="00446EE2">
        <w:t>Expenses not requiring appropriation in the Budget year are made up of audit fees.</w:t>
      </w:r>
    </w:p>
    <w:p w14:paraId="2239EA1A" w14:textId="60CEA7FD" w:rsidR="00BF0558" w:rsidRDefault="00BF0558" w:rsidP="00A44088">
      <w:pPr>
        <w:pStyle w:val="ChartandTableFootnote"/>
      </w:pPr>
      <w:r w:rsidRPr="00446612">
        <w:t>Note: Departmental appropriation splits and totals are indicative estimates and may change in the course of the budget year as government priorities change.</w:t>
      </w:r>
    </w:p>
    <w:p w14:paraId="730F7291" w14:textId="2EC9197C" w:rsidR="005425B2" w:rsidRDefault="005425B2" w:rsidP="005425B2"/>
    <w:p w14:paraId="73E36D41" w14:textId="77777777" w:rsidR="005425B2" w:rsidRPr="005425B2" w:rsidRDefault="005425B2" w:rsidP="005425B2"/>
    <w:p w14:paraId="2239EA1B" w14:textId="77777777" w:rsidR="00BF0558" w:rsidRPr="00F71634" w:rsidRDefault="00BF0558" w:rsidP="004D5C6C">
      <w:pPr>
        <w:pStyle w:val="TableHeading"/>
      </w:pPr>
      <w:r w:rsidRPr="00F71634">
        <w:t>T</w:t>
      </w:r>
      <w:r>
        <w:t>able 2.1.2</w:t>
      </w:r>
      <w:r w:rsidRPr="00F71634">
        <w:t xml:space="preserve">: Performance </w:t>
      </w:r>
      <w:r>
        <w:t>measure</w:t>
      </w:r>
      <w:r w:rsidRPr="00F71634">
        <w:t xml:space="preserve"> </w:t>
      </w:r>
      <w:r>
        <w:t>for Outcome 1</w:t>
      </w:r>
    </w:p>
    <w:p w14:paraId="2239EA1C" w14:textId="53CE7D78" w:rsidR="00BF0558" w:rsidRPr="00AB4A23" w:rsidRDefault="00875E28" w:rsidP="00875E28">
      <w:pPr>
        <w:rPr>
          <w:szCs w:val="19"/>
        </w:rPr>
      </w:pPr>
      <w:r w:rsidRPr="00875E28">
        <w:rPr>
          <w:szCs w:val="19"/>
        </w:rPr>
        <w:t>Table 2.1.2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r w:rsidR="003B759C">
        <w:rPr>
          <w:szCs w:val="19"/>
        </w:rPr>
        <w:t>.</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BF0558" w:rsidRPr="001C6402" w14:paraId="2239EA1E" w14:textId="77777777" w:rsidTr="004D5C6C">
        <w:trPr>
          <w:trHeight w:val="569"/>
          <w:tblHeader/>
        </w:trPr>
        <w:tc>
          <w:tcPr>
            <w:tcW w:w="7796" w:type="dxa"/>
            <w:gridSpan w:val="3"/>
            <w:shd w:val="clear" w:color="auto" w:fill="F2F2F2"/>
          </w:tcPr>
          <w:p w14:paraId="2239EA1D" w14:textId="6758494C" w:rsidR="00BF0558" w:rsidRPr="002C43BD" w:rsidRDefault="00BF0558" w:rsidP="00A70D16">
            <w:pPr>
              <w:pStyle w:val="TableColumnHeadingLeft"/>
              <w:spacing w:before="60" w:after="60"/>
              <w:rPr>
                <w:rFonts w:ascii="Arial" w:hAnsi="Arial" w:cs="Arial"/>
                <w:b w:val="0"/>
                <w:szCs w:val="16"/>
              </w:rPr>
            </w:pPr>
            <w:r w:rsidRPr="002C43BD">
              <w:rPr>
                <w:rStyle w:val="TableHeadingChar"/>
                <w:rFonts w:cs="Arial"/>
                <w:b/>
                <w:szCs w:val="16"/>
              </w:rPr>
              <w:t>Outcome 1</w:t>
            </w:r>
            <w:r w:rsidRPr="002C43BD">
              <w:rPr>
                <w:rFonts w:ascii="Arial" w:hAnsi="Arial" w:cs="Arial"/>
                <w:b w:val="0"/>
                <w:szCs w:val="16"/>
              </w:rPr>
              <w:t xml:space="preserve"> – </w:t>
            </w:r>
            <w:r w:rsidR="00A52246" w:rsidRPr="00A52246">
              <w:rPr>
                <w:rFonts w:ascii="Arial" w:hAnsi="Arial" w:cs="Arial"/>
                <w:b w:val="0"/>
                <w:szCs w:val="16"/>
              </w:rPr>
              <w:t>Support for current and former parliamentarians and others as required by the Australian Government through the delivery of, independent oversight and advice on, work resources and travel resources.</w:t>
            </w:r>
          </w:p>
        </w:tc>
      </w:tr>
      <w:tr w:rsidR="00BF0558" w:rsidRPr="001C6402" w14:paraId="2239EA21" w14:textId="77777777" w:rsidTr="004D5C6C">
        <w:trPr>
          <w:trHeight w:val="522"/>
          <w:tblHeader/>
        </w:trPr>
        <w:tc>
          <w:tcPr>
            <w:tcW w:w="7796" w:type="dxa"/>
            <w:gridSpan w:val="3"/>
            <w:shd w:val="clear" w:color="auto" w:fill="F2F2F2"/>
          </w:tcPr>
          <w:p w14:paraId="2239EA1F" w14:textId="77777777" w:rsidR="00BF0558" w:rsidRPr="00C41058" w:rsidRDefault="00BF0558" w:rsidP="00A70D16">
            <w:pPr>
              <w:pStyle w:val="TableTextLeft"/>
              <w:spacing w:before="60" w:after="60"/>
              <w:rPr>
                <w:rFonts w:eastAsia="Arial"/>
                <w:b/>
              </w:rPr>
            </w:pPr>
            <w:r w:rsidRPr="00C41058">
              <w:rPr>
                <w:b/>
              </w:rPr>
              <w:t xml:space="preserve">Program </w:t>
            </w:r>
            <w:r>
              <w:rPr>
                <w:b/>
              </w:rPr>
              <w:t>1.1</w:t>
            </w:r>
            <w:r w:rsidRPr="00C41058">
              <w:t xml:space="preserve"> </w:t>
            </w:r>
            <w:r w:rsidRPr="00C41058">
              <w:rPr>
                <w:b/>
              </w:rPr>
              <w:t xml:space="preserve">– </w:t>
            </w:r>
            <w:r w:rsidRPr="006E377F">
              <w:rPr>
                <w:b/>
              </w:rPr>
              <w:t>Independent Parliamentary Expenses Authority – Travel Oversight and Reporting</w:t>
            </w:r>
          </w:p>
          <w:p w14:paraId="2239EA20" w14:textId="7006C712" w:rsidR="00BF0558" w:rsidRPr="001B2F81" w:rsidRDefault="00A52246" w:rsidP="00A70D16">
            <w:pPr>
              <w:pStyle w:val="TableTextLeft"/>
              <w:spacing w:before="60" w:after="60"/>
            </w:pPr>
            <w:r w:rsidRPr="00A52246">
              <w:t>IPEA provides services to parliamentarians and their staff and publicly reports on their expenditure</w:t>
            </w:r>
          </w:p>
        </w:tc>
      </w:tr>
      <w:tr w:rsidR="00BF0558" w:rsidRPr="001C6402" w14:paraId="2239EA25" w14:textId="77777777" w:rsidTr="004D5C6C">
        <w:trPr>
          <w:trHeight w:val="694"/>
        </w:trPr>
        <w:tc>
          <w:tcPr>
            <w:tcW w:w="1560" w:type="dxa"/>
            <w:tcBorders>
              <w:bottom w:val="double" w:sz="4" w:space="0" w:color="auto"/>
            </w:tcBorders>
          </w:tcPr>
          <w:p w14:paraId="2239EA22" w14:textId="77777777" w:rsidR="00BF0558" w:rsidRPr="00160C23" w:rsidRDefault="00BF0558" w:rsidP="00A70D16">
            <w:pPr>
              <w:pStyle w:val="TableColumnHeadingLeft"/>
              <w:spacing w:before="60" w:after="60"/>
            </w:pPr>
            <w:r>
              <w:t xml:space="preserve">Key Activities </w:t>
            </w:r>
          </w:p>
        </w:tc>
        <w:tc>
          <w:tcPr>
            <w:tcW w:w="6236" w:type="dxa"/>
            <w:gridSpan w:val="2"/>
            <w:tcBorders>
              <w:bottom w:val="double" w:sz="4" w:space="0" w:color="auto"/>
            </w:tcBorders>
          </w:tcPr>
          <w:p w14:paraId="5C6A049A" w14:textId="77777777" w:rsidR="00D51F89" w:rsidRDefault="00D51F89" w:rsidP="00A70D16">
            <w:pPr>
              <w:pStyle w:val="TableTextLeft"/>
              <w:spacing w:before="60" w:after="60"/>
            </w:pPr>
            <w:r>
              <w:t>Provide independent monitoring, auditing and reporting of the work resources accessed by current and former parliamentarians and MOP(S) staff.</w:t>
            </w:r>
          </w:p>
          <w:p w14:paraId="2239EA24" w14:textId="6A3F6DFF" w:rsidR="00BF0558" w:rsidRPr="00160C23" w:rsidRDefault="00D51F89" w:rsidP="00A70D16">
            <w:pPr>
              <w:pStyle w:val="TableTextLeft"/>
              <w:spacing w:before="60" w:after="60"/>
              <w:rPr>
                <w:i/>
              </w:rPr>
            </w:pPr>
            <w:r>
              <w:t>Deliver services relating to the administration of travel expenses, allowances, and related expenses including advice on, and processing of, these claims.</w:t>
            </w:r>
          </w:p>
        </w:tc>
      </w:tr>
      <w:tr w:rsidR="00BF0558" w:rsidRPr="001C6402" w14:paraId="2239EA29" w14:textId="77777777" w:rsidTr="004D5C6C">
        <w:trPr>
          <w:trHeight w:val="258"/>
        </w:trPr>
        <w:tc>
          <w:tcPr>
            <w:tcW w:w="1560" w:type="dxa"/>
            <w:tcBorders>
              <w:top w:val="double" w:sz="4" w:space="0" w:color="auto"/>
              <w:bottom w:val="single" w:sz="4" w:space="0" w:color="auto"/>
              <w:right w:val="single" w:sz="4" w:space="0" w:color="auto"/>
            </w:tcBorders>
          </w:tcPr>
          <w:p w14:paraId="2239EA26" w14:textId="77777777" w:rsidR="00BF0558" w:rsidRPr="00160C23" w:rsidRDefault="00BF0558" w:rsidP="00A70D16">
            <w:pPr>
              <w:pStyle w:val="TableColumnHeadingLeft"/>
              <w:spacing w:before="60" w:after="60"/>
            </w:pPr>
            <w:r w:rsidRPr="00160C23">
              <w:t>Year</w:t>
            </w:r>
          </w:p>
        </w:tc>
        <w:tc>
          <w:tcPr>
            <w:tcW w:w="3118" w:type="dxa"/>
            <w:tcBorders>
              <w:top w:val="double" w:sz="4" w:space="0" w:color="auto"/>
              <w:left w:val="single" w:sz="4" w:space="0" w:color="auto"/>
              <w:bottom w:val="single" w:sz="4" w:space="0" w:color="auto"/>
              <w:right w:val="single" w:sz="4" w:space="0" w:color="auto"/>
            </w:tcBorders>
          </w:tcPr>
          <w:p w14:paraId="2239EA27" w14:textId="77777777" w:rsidR="00BF0558" w:rsidRPr="00160C23" w:rsidRDefault="00BF0558" w:rsidP="00A70D16">
            <w:pPr>
              <w:pStyle w:val="TableColumnHeadingLeft"/>
              <w:spacing w:before="60" w:after="60"/>
              <w:rPr>
                <w:rFonts w:cs="Arial"/>
              </w:rPr>
            </w:pPr>
            <w:r w:rsidRPr="00160C23">
              <w:rPr>
                <w:rFonts w:cs="Arial"/>
              </w:rPr>
              <w:t>Performance measures</w:t>
            </w:r>
          </w:p>
        </w:tc>
        <w:tc>
          <w:tcPr>
            <w:tcW w:w="3118" w:type="dxa"/>
            <w:tcBorders>
              <w:top w:val="double" w:sz="4" w:space="0" w:color="auto"/>
              <w:left w:val="single" w:sz="4" w:space="0" w:color="auto"/>
              <w:bottom w:val="single" w:sz="4" w:space="0" w:color="auto"/>
            </w:tcBorders>
          </w:tcPr>
          <w:p w14:paraId="2239EA28" w14:textId="77777777" w:rsidR="00BF0558" w:rsidRPr="00160C23" w:rsidRDefault="00BF0558" w:rsidP="00A70D16">
            <w:pPr>
              <w:pStyle w:val="TableColumnHeadingLeft"/>
              <w:spacing w:before="60" w:after="60"/>
              <w:rPr>
                <w:rFonts w:cs="Arial"/>
              </w:rPr>
            </w:pPr>
            <w:r w:rsidRPr="00160C23">
              <w:rPr>
                <w:rFonts w:cs="Arial"/>
              </w:rPr>
              <w:t>Expected Performance Results</w:t>
            </w:r>
          </w:p>
        </w:tc>
      </w:tr>
      <w:tr w:rsidR="00BF0558" w:rsidRPr="001C6402" w14:paraId="2239EA47" w14:textId="77777777" w:rsidTr="00E26C19">
        <w:trPr>
          <w:trHeight w:val="5495"/>
        </w:trPr>
        <w:tc>
          <w:tcPr>
            <w:tcW w:w="1560" w:type="dxa"/>
            <w:tcBorders>
              <w:top w:val="single" w:sz="4" w:space="0" w:color="auto"/>
              <w:bottom w:val="single" w:sz="4" w:space="0" w:color="auto"/>
              <w:right w:val="single" w:sz="4" w:space="0" w:color="auto"/>
            </w:tcBorders>
          </w:tcPr>
          <w:p w14:paraId="2239EA2A" w14:textId="77777777" w:rsidR="00BF0558" w:rsidRPr="00160C23" w:rsidRDefault="00BF0558" w:rsidP="00A70D16">
            <w:pPr>
              <w:pStyle w:val="TableTextLeft"/>
              <w:spacing w:before="60" w:after="60"/>
            </w:pPr>
            <w:r>
              <w:t>Prior</w:t>
            </w:r>
            <w:r w:rsidRPr="00160C23">
              <w:t xml:space="preserve"> year </w:t>
            </w:r>
          </w:p>
          <w:p w14:paraId="2239EA2B" w14:textId="77777777" w:rsidR="00BF0558" w:rsidRPr="00160C23" w:rsidRDefault="00BF0558" w:rsidP="00A70D16">
            <w:pPr>
              <w:pStyle w:val="TableTextLeft"/>
              <w:spacing w:before="60" w:after="60"/>
            </w:pPr>
          </w:p>
          <w:p w14:paraId="2239EA2C" w14:textId="77777777" w:rsidR="00BF0558" w:rsidRPr="00160C23" w:rsidRDefault="00BF0558" w:rsidP="00A70D16">
            <w:pPr>
              <w:pStyle w:val="TableTextLeft"/>
              <w:spacing w:before="60" w:after="60"/>
            </w:pPr>
            <w:r w:rsidRPr="00160C23">
              <w:t>2021-22</w:t>
            </w:r>
          </w:p>
        </w:tc>
        <w:tc>
          <w:tcPr>
            <w:tcW w:w="3118" w:type="dxa"/>
            <w:tcBorders>
              <w:top w:val="single" w:sz="4" w:space="0" w:color="auto"/>
              <w:left w:val="single" w:sz="4" w:space="0" w:color="auto"/>
              <w:bottom w:val="single" w:sz="4" w:space="0" w:color="auto"/>
              <w:right w:val="single" w:sz="4" w:space="0" w:color="auto"/>
            </w:tcBorders>
          </w:tcPr>
          <w:p w14:paraId="62588636" w14:textId="77777777" w:rsidR="00D51F89" w:rsidRPr="005E0F2E" w:rsidRDefault="00D51F89" w:rsidP="00A70D16">
            <w:pPr>
              <w:pStyle w:val="TableTextBase"/>
              <w:spacing w:before="60" w:after="60"/>
              <w:rPr>
                <w:szCs w:val="16"/>
              </w:rPr>
            </w:pPr>
            <w:r w:rsidRPr="005E0F2E">
              <w:rPr>
                <w:szCs w:val="16"/>
              </w:rPr>
              <w:t xml:space="preserve">Travel — Advice </w:t>
            </w:r>
          </w:p>
          <w:p w14:paraId="7921A36D" w14:textId="77777777" w:rsidR="00D51F89" w:rsidRPr="005E0F2E" w:rsidRDefault="00D51F89" w:rsidP="00A70D16">
            <w:pPr>
              <w:pStyle w:val="TableTextBase"/>
              <w:spacing w:before="60" w:after="60"/>
              <w:rPr>
                <w:szCs w:val="16"/>
              </w:rPr>
            </w:pPr>
            <w:r w:rsidRPr="005E0F2E">
              <w:rPr>
                <w:szCs w:val="16"/>
              </w:rPr>
              <w:t>Provide clear and timely advice to parliamentarians and MOP(S) staff on travel and related expenses.</w:t>
            </w:r>
          </w:p>
          <w:p w14:paraId="1A877653" w14:textId="77777777" w:rsidR="00D51F89" w:rsidRPr="005E0F2E" w:rsidRDefault="00D51F89" w:rsidP="00A70D16">
            <w:pPr>
              <w:pStyle w:val="TableTextBase"/>
              <w:spacing w:before="60" w:after="60"/>
              <w:rPr>
                <w:szCs w:val="16"/>
              </w:rPr>
            </w:pPr>
          </w:p>
          <w:p w14:paraId="59D30D04" w14:textId="77777777" w:rsidR="00D51F89" w:rsidRPr="005E0F2E" w:rsidRDefault="00D51F89" w:rsidP="00A70D16">
            <w:pPr>
              <w:pStyle w:val="TableTextBase"/>
              <w:spacing w:before="60" w:after="60"/>
              <w:rPr>
                <w:szCs w:val="16"/>
              </w:rPr>
            </w:pPr>
          </w:p>
          <w:p w14:paraId="10A73B81" w14:textId="77777777" w:rsidR="00D51F89" w:rsidRPr="005E0F2E" w:rsidRDefault="00D51F89" w:rsidP="00A70D16">
            <w:pPr>
              <w:pStyle w:val="TableTextBase"/>
              <w:spacing w:before="60" w:after="60"/>
              <w:rPr>
                <w:szCs w:val="16"/>
              </w:rPr>
            </w:pPr>
            <w:r w:rsidRPr="005E0F2E">
              <w:rPr>
                <w:szCs w:val="16"/>
              </w:rPr>
              <w:t xml:space="preserve">Travel — Claims </w:t>
            </w:r>
          </w:p>
          <w:p w14:paraId="7AA290A9" w14:textId="77777777" w:rsidR="00D51F89" w:rsidRPr="005E0F2E" w:rsidRDefault="00D51F89" w:rsidP="00A70D16">
            <w:pPr>
              <w:pStyle w:val="TableTextBase"/>
              <w:spacing w:before="60" w:after="60"/>
              <w:rPr>
                <w:szCs w:val="16"/>
              </w:rPr>
            </w:pPr>
            <w:r w:rsidRPr="005E0F2E">
              <w:rPr>
                <w:szCs w:val="16"/>
              </w:rPr>
              <w:t>Accurate and timely processing of claims for travel expenses and allowances relating to parliamentarians and MOP(S) staff.</w:t>
            </w:r>
          </w:p>
          <w:p w14:paraId="4994AA91" w14:textId="77777777" w:rsidR="00D51F89" w:rsidRPr="005E0F2E" w:rsidRDefault="00D51F89" w:rsidP="00A70D16">
            <w:pPr>
              <w:pStyle w:val="TableTextBase"/>
              <w:spacing w:before="60" w:after="60"/>
              <w:rPr>
                <w:szCs w:val="16"/>
              </w:rPr>
            </w:pPr>
          </w:p>
          <w:p w14:paraId="67604A39" w14:textId="77777777" w:rsidR="00D51F89" w:rsidRPr="005E0F2E" w:rsidRDefault="00D51F89" w:rsidP="00A70D16">
            <w:pPr>
              <w:pStyle w:val="TableTextBase"/>
              <w:spacing w:before="60" w:after="60"/>
              <w:rPr>
                <w:szCs w:val="16"/>
              </w:rPr>
            </w:pPr>
          </w:p>
          <w:p w14:paraId="740C6CD5" w14:textId="77777777" w:rsidR="00D51F89" w:rsidRPr="005E0F2E" w:rsidRDefault="00D51F89" w:rsidP="00A70D16">
            <w:pPr>
              <w:pStyle w:val="TableTextBase"/>
              <w:spacing w:before="60" w:after="60"/>
              <w:rPr>
                <w:szCs w:val="16"/>
              </w:rPr>
            </w:pPr>
            <w:r w:rsidRPr="005E0F2E">
              <w:rPr>
                <w:szCs w:val="16"/>
              </w:rPr>
              <w:t xml:space="preserve">Data and Reporting </w:t>
            </w:r>
          </w:p>
          <w:p w14:paraId="1BB81873" w14:textId="77777777" w:rsidR="00D51F89" w:rsidRPr="005E0F2E" w:rsidRDefault="00D51F89" w:rsidP="00A70D16">
            <w:pPr>
              <w:pStyle w:val="TableTextBase"/>
              <w:spacing w:before="60" w:after="60"/>
              <w:rPr>
                <w:szCs w:val="16"/>
              </w:rPr>
            </w:pPr>
            <w:r w:rsidRPr="005E0F2E">
              <w:rPr>
                <w:szCs w:val="16"/>
              </w:rPr>
              <w:t>Increasing transparency through the compilation of reports detailing the work resources of current and former parliamentarians and the travel resources of MOP(S) staff.</w:t>
            </w:r>
          </w:p>
          <w:p w14:paraId="008EAB01" w14:textId="77777777" w:rsidR="00D51F89" w:rsidRPr="005E0F2E" w:rsidRDefault="00D51F89" w:rsidP="00A70D16">
            <w:pPr>
              <w:pStyle w:val="TableTextBase"/>
              <w:spacing w:before="60" w:after="60"/>
              <w:rPr>
                <w:szCs w:val="16"/>
              </w:rPr>
            </w:pPr>
          </w:p>
          <w:p w14:paraId="7C42F3D1" w14:textId="77777777" w:rsidR="00D51F89" w:rsidRPr="005E0F2E" w:rsidRDefault="00D51F89" w:rsidP="00A70D16">
            <w:pPr>
              <w:pStyle w:val="TableTextBase"/>
              <w:spacing w:before="60" w:after="60"/>
              <w:rPr>
                <w:szCs w:val="16"/>
              </w:rPr>
            </w:pPr>
            <w:r w:rsidRPr="005E0F2E">
              <w:rPr>
                <w:szCs w:val="16"/>
              </w:rPr>
              <w:t xml:space="preserve">Audit and Assurance </w:t>
            </w:r>
          </w:p>
          <w:p w14:paraId="2239EA39" w14:textId="2F908A72" w:rsidR="00BF0558" w:rsidRPr="006E377F" w:rsidRDefault="00D51F89" w:rsidP="00A70D16">
            <w:pPr>
              <w:pStyle w:val="TableTextBase"/>
              <w:spacing w:before="60" w:after="60"/>
              <w:rPr>
                <w:i/>
                <w:szCs w:val="16"/>
              </w:rPr>
            </w:pPr>
            <w:r w:rsidRPr="005E0F2E">
              <w:rPr>
                <w:szCs w:val="16"/>
              </w:rPr>
              <w:t>Conducting assurance activities on the work resources of parliamentarians and the travel resources of MOP(S) staff.</w:t>
            </w:r>
          </w:p>
        </w:tc>
        <w:tc>
          <w:tcPr>
            <w:tcW w:w="3118" w:type="dxa"/>
            <w:tcBorders>
              <w:top w:val="single" w:sz="4" w:space="0" w:color="auto"/>
              <w:left w:val="single" w:sz="4" w:space="0" w:color="auto"/>
              <w:bottom w:val="single" w:sz="4" w:space="0" w:color="auto"/>
            </w:tcBorders>
          </w:tcPr>
          <w:p w14:paraId="12C9D7C3" w14:textId="77777777" w:rsidR="00D51F89" w:rsidRPr="005E0F2E" w:rsidRDefault="00D51F89" w:rsidP="00A70D16">
            <w:pPr>
              <w:pStyle w:val="TableTextBase"/>
              <w:spacing w:before="60" w:after="60"/>
              <w:rPr>
                <w:szCs w:val="16"/>
              </w:rPr>
            </w:pPr>
            <w:r w:rsidRPr="005E0F2E">
              <w:rPr>
                <w:szCs w:val="16"/>
              </w:rPr>
              <w:t>Advice is provided in accordance with IPEA’s published service level standards, which include measurements for quality and timeliness.</w:t>
            </w:r>
          </w:p>
          <w:p w14:paraId="64670CB5" w14:textId="77777777" w:rsidR="00D51F89" w:rsidRPr="005E0F2E" w:rsidRDefault="00D51F89" w:rsidP="00A70D16">
            <w:pPr>
              <w:pStyle w:val="TableTextBase"/>
              <w:spacing w:before="60" w:after="60"/>
              <w:rPr>
                <w:b/>
                <w:szCs w:val="16"/>
              </w:rPr>
            </w:pPr>
            <w:r w:rsidRPr="005E0F2E">
              <w:rPr>
                <w:b/>
                <w:szCs w:val="16"/>
              </w:rPr>
              <w:t>On track</w:t>
            </w:r>
          </w:p>
          <w:p w14:paraId="605F76C9" w14:textId="77777777" w:rsidR="00D51F89" w:rsidRPr="005E0F2E" w:rsidRDefault="00D51F89" w:rsidP="00A70D16">
            <w:pPr>
              <w:pStyle w:val="TableTextBase"/>
              <w:spacing w:before="60" w:after="60"/>
              <w:rPr>
                <w:szCs w:val="16"/>
              </w:rPr>
            </w:pPr>
          </w:p>
          <w:p w14:paraId="495CE099" w14:textId="77777777" w:rsidR="00D51F89" w:rsidRPr="005E0F2E" w:rsidRDefault="00D51F89" w:rsidP="00A70D16">
            <w:pPr>
              <w:pStyle w:val="TableTextBase"/>
              <w:spacing w:before="60" w:after="60"/>
              <w:rPr>
                <w:szCs w:val="16"/>
              </w:rPr>
            </w:pPr>
            <w:r w:rsidRPr="005E0F2E">
              <w:rPr>
                <w:szCs w:val="16"/>
              </w:rPr>
              <w:t xml:space="preserve">Claims for travel expenses and allowances are processed in accordance with IPEA’s published service level standards, which include measurements for accuracy and timeliness. </w:t>
            </w:r>
          </w:p>
          <w:p w14:paraId="0B2136C9" w14:textId="77777777" w:rsidR="00D51F89" w:rsidRPr="005E0F2E" w:rsidRDefault="00D51F89" w:rsidP="00A70D16">
            <w:pPr>
              <w:pStyle w:val="TableTextBase"/>
              <w:spacing w:before="60" w:after="60"/>
              <w:rPr>
                <w:b/>
                <w:szCs w:val="16"/>
              </w:rPr>
            </w:pPr>
            <w:r w:rsidRPr="005E0F2E">
              <w:rPr>
                <w:b/>
                <w:szCs w:val="16"/>
              </w:rPr>
              <w:t>On track</w:t>
            </w:r>
          </w:p>
          <w:p w14:paraId="143F7166" w14:textId="77777777" w:rsidR="00D51F89" w:rsidRPr="005E0F2E" w:rsidRDefault="00D51F89" w:rsidP="00A70D16">
            <w:pPr>
              <w:pStyle w:val="TableTextBase"/>
              <w:spacing w:before="60" w:after="60"/>
              <w:rPr>
                <w:szCs w:val="16"/>
              </w:rPr>
            </w:pPr>
          </w:p>
          <w:p w14:paraId="60EE0841" w14:textId="77777777" w:rsidR="00D51F89" w:rsidRPr="005E0F2E" w:rsidRDefault="00D51F89" w:rsidP="00A70D16">
            <w:pPr>
              <w:pStyle w:val="TableTextBase"/>
              <w:spacing w:before="60" w:after="60"/>
              <w:rPr>
                <w:szCs w:val="16"/>
              </w:rPr>
            </w:pPr>
            <w:r w:rsidRPr="005E0F2E">
              <w:rPr>
                <w:szCs w:val="16"/>
              </w:rPr>
              <w:t>Reports relating to work expenses for parliamentarians and their staff are prepared and provided as per IPEA’s published service level standards.</w:t>
            </w:r>
          </w:p>
          <w:p w14:paraId="26BF9A47" w14:textId="77777777" w:rsidR="00D51F89" w:rsidRPr="00A70D16" w:rsidRDefault="00D51F89" w:rsidP="00A70D16">
            <w:pPr>
              <w:pStyle w:val="TableTextBase"/>
              <w:spacing w:before="60" w:after="60"/>
              <w:rPr>
                <w:b/>
                <w:szCs w:val="16"/>
              </w:rPr>
            </w:pPr>
            <w:r w:rsidRPr="00A70D16">
              <w:rPr>
                <w:b/>
                <w:szCs w:val="16"/>
              </w:rPr>
              <w:t>On track</w:t>
            </w:r>
          </w:p>
          <w:p w14:paraId="1F8E6884" w14:textId="77777777" w:rsidR="00D51F89" w:rsidRPr="005E0F2E" w:rsidRDefault="00D51F89" w:rsidP="00A70D16">
            <w:pPr>
              <w:pStyle w:val="TableTextBase"/>
              <w:spacing w:before="60" w:after="60"/>
              <w:rPr>
                <w:szCs w:val="16"/>
              </w:rPr>
            </w:pPr>
          </w:p>
          <w:p w14:paraId="354C57CF" w14:textId="77777777" w:rsidR="00D51F89" w:rsidRPr="005E0F2E" w:rsidRDefault="00D51F89" w:rsidP="00A70D16">
            <w:pPr>
              <w:pStyle w:val="TableTextBase"/>
              <w:spacing w:before="60" w:after="60"/>
              <w:rPr>
                <w:szCs w:val="16"/>
              </w:rPr>
            </w:pPr>
          </w:p>
          <w:p w14:paraId="4CD18175" w14:textId="77777777" w:rsidR="00D51F89" w:rsidRPr="005E0F2E" w:rsidRDefault="00D51F89" w:rsidP="00A70D16">
            <w:pPr>
              <w:pStyle w:val="TableTextBase"/>
              <w:spacing w:before="60" w:after="60"/>
              <w:rPr>
                <w:szCs w:val="16"/>
              </w:rPr>
            </w:pPr>
            <w:r w:rsidRPr="005E0F2E">
              <w:rPr>
                <w:szCs w:val="16"/>
              </w:rPr>
              <w:t>All parliamentarians’ offices are subject to one or more forms of assurance activities during the financial year in accordance with IPEA’s published service level standards and procedures (protocols and factsheets).</w:t>
            </w:r>
          </w:p>
          <w:p w14:paraId="2239EA46" w14:textId="62DF3CE6" w:rsidR="00D51F89" w:rsidRPr="00A70D16" w:rsidRDefault="00D51F89" w:rsidP="00A70D16">
            <w:pPr>
              <w:pStyle w:val="TableTextBase"/>
              <w:spacing w:before="60" w:after="60"/>
              <w:rPr>
                <w:b/>
                <w:szCs w:val="16"/>
              </w:rPr>
            </w:pPr>
            <w:r w:rsidRPr="005E0F2E">
              <w:rPr>
                <w:b/>
                <w:szCs w:val="16"/>
              </w:rPr>
              <w:t>On track</w:t>
            </w:r>
          </w:p>
        </w:tc>
      </w:tr>
    </w:tbl>
    <w:p w14:paraId="250ABAE2" w14:textId="77777777" w:rsidR="004251E6" w:rsidRDefault="00BF0558" w:rsidP="004251E6">
      <w:pPr>
        <w:pStyle w:val="TableGraphic"/>
        <w:spacing w:before="30"/>
        <w:ind w:left="284" w:right="0" w:hanging="284"/>
        <w:rPr>
          <w:rFonts w:ascii="Arial" w:hAnsi="Arial" w:cs="Arial"/>
          <w:sz w:val="16"/>
          <w:szCs w:val="16"/>
          <w:lang w:eastAsia="x-none"/>
        </w:rPr>
      </w:pPr>
      <w:r>
        <w:rPr>
          <w:rFonts w:ascii="Arial" w:hAnsi="Arial" w:cs="Arial"/>
          <w:sz w:val="16"/>
          <w:szCs w:val="16"/>
          <w:lang w:eastAsia="x-none"/>
        </w:rPr>
        <w:t>Table continues on next page</w:t>
      </w:r>
      <w:r w:rsidR="004251E6">
        <w:rPr>
          <w:rFonts w:ascii="Arial" w:hAnsi="Arial" w:cs="Arial"/>
          <w:sz w:val="16"/>
          <w:szCs w:val="16"/>
          <w:lang w:eastAsia="x-none"/>
        </w:rPr>
        <w:br w:type="page"/>
      </w:r>
    </w:p>
    <w:p w14:paraId="1BEC7A43" w14:textId="7D9A570E" w:rsidR="00D470B6" w:rsidRPr="004251E6" w:rsidRDefault="00A30B1C" w:rsidP="004251E6">
      <w:pPr>
        <w:pStyle w:val="TableGraphic"/>
        <w:spacing w:before="30"/>
        <w:ind w:left="284" w:right="0" w:hanging="284"/>
        <w:rPr>
          <w:rFonts w:ascii="Arial" w:hAnsi="Arial" w:cs="Arial"/>
          <w:sz w:val="16"/>
          <w:szCs w:val="16"/>
        </w:rPr>
      </w:pPr>
      <w:r w:rsidRPr="00235952">
        <w:rPr>
          <w:rFonts w:ascii="Arial" w:hAnsi="Arial"/>
          <w:b/>
          <w:sz w:val="20"/>
        </w:rPr>
        <w:lastRenderedPageBreak/>
        <w:t>Table 2.1.2: Performance measure for Outcome 1 (continued)</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D470B6" w:rsidRPr="001B2F81" w14:paraId="3E0F16E1" w14:textId="77777777" w:rsidTr="00333377">
        <w:trPr>
          <w:trHeight w:val="522"/>
          <w:tblHeader/>
        </w:trPr>
        <w:tc>
          <w:tcPr>
            <w:tcW w:w="7796" w:type="dxa"/>
            <w:gridSpan w:val="3"/>
            <w:shd w:val="clear" w:color="auto" w:fill="F2F2F2"/>
          </w:tcPr>
          <w:p w14:paraId="5A8E0B81" w14:textId="77777777" w:rsidR="00403CB0" w:rsidRPr="00403CB0" w:rsidRDefault="00403CB0" w:rsidP="00A70D16">
            <w:pPr>
              <w:pStyle w:val="TableTextLeft"/>
              <w:spacing w:before="60" w:after="60"/>
              <w:rPr>
                <w:b/>
              </w:rPr>
            </w:pPr>
            <w:r w:rsidRPr="00403CB0">
              <w:rPr>
                <w:b/>
              </w:rPr>
              <w:t>Program 1.1 – Independent Parliamentary Expenses Authority – Travel Oversight and Reporting</w:t>
            </w:r>
          </w:p>
          <w:p w14:paraId="5ADBD1DE" w14:textId="165C4888" w:rsidR="00D470B6" w:rsidRPr="00403CB0" w:rsidRDefault="00403CB0" w:rsidP="00A70D16">
            <w:pPr>
              <w:pStyle w:val="TableTextLeft"/>
              <w:spacing w:before="60" w:after="60"/>
            </w:pPr>
            <w:r w:rsidRPr="00403CB0">
              <w:t>IPEA provides services to parliamentarians and their staff and publicly reports on their expenditure</w:t>
            </w:r>
          </w:p>
        </w:tc>
      </w:tr>
      <w:tr w:rsidR="00BF0558" w:rsidRPr="001C6402" w14:paraId="2239EA50" w14:textId="77777777" w:rsidTr="004D5C6C">
        <w:trPr>
          <w:trHeight w:val="100"/>
        </w:trPr>
        <w:tc>
          <w:tcPr>
            <w:tcW w:w="1560" w:type="dxa"/>
            <w:tcBorders>
              <w:top w:val="single" w:sz="4" w:space="0" w:color="auto"/>
              <w:bottom w:val="dotted" w:sz="4" w:space="0" w:color="auto"/>
              <w:right w:val="single" w:sz="4" w:space="0" w:color="auto"/>
            </w:tcBorders>
          </w:tcPr>
          <w:p w14:paraId="2239EA4D" w14:textId="77777777" w:rsidR="00BF0558" w:rsidRPr="00160C23" w:rsidRDefault="00BF0558" w:rsidP="00A70D16">
            <w:pPr>
              <w:pStyle w:val="TableColumnHeadingLeft"/>
              <w:spacing w:before="60" w:after="60"/>
            </w:pPr>
            <w:r w:rsidRPr="00160C23">
              <w:t>Year</w:t>
            </w:r>
          </w:p>
        </w:tc>
        <w:tc>
          <w:tcPr>
            <w:tcW w:w="3118" w:type="dxa"/>
            <w:tcBorders>
              <w:top w:val="single" w:sz="4" w:space="0" w:color="auto"/>
              <w:left w:val="single" w:sz="4" w:space="0" w:color="auto"/>
              <w:bottom w:val="dotted" w:sz="4" w:space="0" w:color="auto"/>
              <w:right w:val="single" w:sz="4" w:space="0" w:color="auto"/>
            </w:tcBorders>
          </w:tcPr>
          <w:p w14:paraId="2239EA4E" w14:textId="77777777" w:rsidR="00BF0558" w:rsidRPr="006E377F" w:rsidRDefault="00BF0558" w:rsidP="00A70D16">
            <w:pPr>
              <w:pStyle w:val="TableColumnHeadingLeft"/>
              <w:spacing w:before="60" w:after="60"/>
            </w:pPr>
            <w:r w:rsidRPr="006E377F">
              <w:t>Performance measures</w:t>
            </w:r>
          </w:p>
        </w:tc>
        <w:tc>
          <w:tcPr>
            <w:tcW w:w="3118" w:type="dxa"/>
            <w:tcBorders>
              <w:top w:val="single" w:sz="4" w:space="0" w:color="auto"/>
              <w:left w:val="single" w:sz="4" w:space="0" w:color="auto"/>
              <w:bottom w:val="dotted" w:sz="4" w:space="0" w:color="auto"/>
            </w:tcBorders>
          </w:tcPr>
          <w:p w14:paraId="2239EA4F" w14:textId="77777777" w:rsidR="00BF0558" w:rsidRPr="006E377F" w:rsidRDefault="00BF0558" w:rsidP="00A70D16">
            <w:pPr>
              <w:pStyle w:val="TableColumnHeadingLeft"/>
              <w:spacing w:before="60" w:after="60"/>
            </w:pPr>
            <w:r w:rsidRPr="006E377F">
              <w:t>Planned Performance Results</w:t>
            </w:r>
          </w:p>
        </w:tc>
      </w:tr>
      <w:tr w:rsidR="00BF0558" w:rsidRPr="001C6402" w14:paraId="2239EA68" w14:textId="77777777" w:rsidTr="004D5C6C">
        <w:trPr>
          <w:trHeight w:val="100"/>
        </w:trPr>
        <w:tc>
          <w:tcPr>
            <w:tcW w:w="1560" w:type="dxa"/>
            <w:tcBorders>
              <w:top w:val="single" w:sz="4" w:space="0" w:color="auto"/>
              <w:bottom w:val="dotted" w:sz="4" w:space="0" w:color="auto"/>
              <w:right w:val="single" w:sz="4" w:space="0" w:color="auto"/>
            </w:tcBorders>
          </w:tcPr>
          <w:p w14:paraId="2239EA51" w14:textId="77777777" w:rsidR="00BF0558" w:rsidRDefault="00BF0558" w:rsidP="00A70D16">
            <w:pPr>
              <w:pStyle w:val="TableTextLeft"/>
              <w:spacing w:before="60" w:after="60"/>
            </w:pPr>
            <w:r w:rsidRPr="001B2F81">
              <w:t xml:space="preserve">Budget Year </w:t>
            </w:r>
          </w:p>
          <w:p w14:paraId="2239EA52" w14:textId="77777777" w:rsidR="00BF0558" w:rsidRPr="001B2F81" w:rsidRDefault="00BF0558" w:rsidP="00A70D16">
            <w:pPr>
              <w:pStyle w:val="TableTextLeft"/>
              <w:spacing w:before="60" w:after="60"/>
            </w:pPr>
            <w:r w:rsidRPr="001B2F81">
              <w:t>202</w:t>
            </w:r>
            <w:r>
              <w:t>2</w:t>
            </w:r>
            <w:r w:rsidRPr="001B2F81">
              <w:t>-</w:t>
            </w:r>
            <w:r>
              <w:t>23</w:t>
            </w:r>
          </w:p>
        </w:tc>
        <w:tc>
          <w:tcPr>
            <w:tcW w:w="3118" w:type="dxa"/>
            <w:tcBorders>
              <w:top w:val="single" w:sz="4" w:space="0" w:color="auto"/>
              <w:left w:val="single" w:sz="4" w:space="0" w:color="auto"/>
              <w:bottom w:val="dotted" w:sz="4" w:space="0" w:color="auto"/>
              <w:right w:val="single" w:sz="4" w:space="0" w:color="auto"/>
            </w:tcBorders>
          </w:tcPr>
          <w:p w14:paraId="036BFD1C" w14:textId="77777777" w:rsidR="00403CB0" w:rsidRPr="00403CB0" w:rsidRDefault="00403CB0" w:rsidP="00A70D16">
            <w:pPr>
              <w:pStyle w:val="TableTextBase"/>
              <w:spacing w:before="60" w:after="60"/>
            </w:pPr>
            <w:r w:rsidRPr="00403CB0">
              <w:t xml:space="preserve">Travel — Advice </w:t>
            </w:r>
          </w:p>
          <w:p w14:paraId="60D9D551" w14:textId="77777777" w:rsidR="00403CB0" w:rsidRPr="00403CB0" w:rsidRDefault="00403CB0" w:rsidP="00A70D16">
            <w:pPr>
              <w:pStyle w:val="TableTextBase"/>
              <w:spacing w:before="60" w:after="60"/>
            </w:pPr>
            <w:r w:rsidRPr="00403CB0">
              <w:t>Provide accurate and timely advice to parliamentarians and MOP(S) staff on travel and related expenses.</w:t>
            </w:r>
          </w:p>
          <w:p w14:paraId="1FD95C78" w14:textId="77777777" w:rsidR="00403CB0" w:rsidRPr="00403CB0" w:rsidRDefault="00403CB0" w:rsidP="00A70D16">
            <w:pPr>
              <w:pStyle w:val="TableTextBase"/>
              <w:spacing w:before="60" w:after="60"/>
            </w:pPr>
          </w:p>
          <w:p w14:paraId="70BD2B7A" w14:textId="77777777" w:rsidR="00403CB0" w:rsidRPr="00403CB0" w:rsidRDefault="00403CB0" w:rsidP="00A70D16">
            <w:pPr>
              <w:pStyle w:val="TableTextBase"/>
              <w:spacing w:before="60" w:after="60"/>
            </w:pPr>
            <w:r w:rsidRPr="00403CB0">
              <w:t xml:space="preserve">Travel — Claims </w:t>
            </w:r>
          </w:p>
          <w:p w14:paraId="2439D6E4" w14:textId="77777777" w:rsidR="00403CB0" w:rsidRPr="00403CB0" w:rsidRDefault="00403CB0" w:rsidP="00A70D16">
            <w:pPr>
              <w:pStyle w:val="TableTextBase"/>
              <w:spacing w:before="60" w:after="60"/>
            </w:pPr>
            <w:r w:rsidRPr="00403CB0">
              <w:t>Accurate and timely processing of claims for travel expenses and allowances relating to parliamentarians and MOP(S) staff.</w:t>
            </w:r>
          </w:p>
          <w:p w14:paraId="59F5AE23" w14:textId="77777777" w:rsidR="00403CB0" w:rsidRPr="00403CB0" w:rsidRDefault="00403CB0" w:rsidP="00A70D16">
            <w:pPr>
              <w:pStyle w:val="TableTextBase"/>
              <w:spacing w:before="60" w:after="60"/>
            </w:pPr>
          </w:p>
          <w:p w14:paraId="41264F3A" w14:textId="77777777" w:rsidR="00403CB0" w:rsidRPr="00403CB0" w:rsidRDefault="00403CB0" w:rsidP="00A70D16">
            <w:pPr>
              <w:pStyle w:val="TableTextBase"/>
              <w:spacing w:before="60" w:after="60"/>
            </w:pPr>
            <w:r w:rsidRPr="00403CB0">
              <w:t xml:space="preserve">Data and Reporting </w:t>
            </w:r>
          </w:p>
          <w:p w14:paraId="75BA4E17" w14:textId="77777777" w:rsidR="00403CB0" w:rsidRPr="00403CB0" w:rsidRDefault="00403CB0" w:rsidP="00A70D16">
            <w:pPr>
              <w:pStyle w:val="TableTextBase"/>
              <w:spacing w:before="60" w:after="60"/>
            </w:pPr>
            <w:r w:rsidRPr="00403CB0">
              <w:t>Increasing transparency through the compilation of reports detailing the work resources of current and former parliamentarians and the travel resources of MOP(S) staff.</w:t>
            </w:r>
          </w:p>
          <w:p w14:paraId="0752C963" w14:textId="77777777" w:rsidR="00403CB0" w:rsidRPr="00403CB0" w:rsidRDefault="00403CB0" w:rsidP="00A70D16">
            <w:pPr>
              <w:pStyle w:val="TableTextBase"/>
              <w:spacing w:before="60" w:after="60"/>
            </w:pPr>
          </w:p>
          <w:p w14:paraId="0E04865A" w14:textId="77777777" w:rsidR="00403CB0" w:rsidRPr="00403CB0" w:rsidRDefault="00403CB0" w:rsidP="00A70D16">
            <w:pPr>
              <w:pStyle w:val="TableTextBase"/>
              <w:spacing w:before="60" w:after="60"/>
            </w:pPr>
            <w:r w:rsidRPr="00403CB0">
              <w:t xml:space="preserve">Audit and Assurance </w:t>
            </w:r>
          </w:p>
          <w:p w14:paraId="2239EA5D" w14:textId="5EA2E4B0" w:rsidR="00BF0558" w:rsidRPr="006E377F" w:rsidRDefault="00403CB0" w:rsidP="00A70D16">
            <w:pPr>
              <w:pStyle w:val="TableTextBase"/>
              <w:spacing w:before="60" w:after="60"/>
              <w:rPr>
                <w:i/>
              </w:rPr>
            </w:pPr>
            <w:r w:rsidRPr="00403CB0">
              <w:t>Conducting assurance activities on the work resources of parliamentarians and the travel resources of MOP(S) staff</w:t>
            </w:r>
          </w:p>
        </w:tc>
        <w:tc>
          <w:tcPr>
            <w:tcW w:w="3118" w:type="dxa"/>
            <w:tcBorders>
              <w:top w:val="single" w:sz="4" w:space="0" w:color="auto"/>
              <w:left w:val="single" w:sz="4" w:space="0" w:color="auto"/>
              <w:bottom w:val="dotted" w:sz="4" w:space="0" w:color="auto"/>
            </w:tcBorders>
          </w:tcPr>
          <w:p w14:paraId="5E48C4AF" w14:textId="77777777" w:rsidR="00403CB0" w:rsidRPr="00403CB0" w:rsidRDefault="00403CB0" w:rsidP="00A70D16">
            <w:pPr>
              <w:pStyle w:val="TableTextBase"/>
              <w:spacing w:before="60" w:after="60"/>
            </w:pPr>
            <w:r w:rsidRPr="00403CB0">
              <w:t>Advice is provided in accordance with IPEA’s published service level standards, which include measurements for quality and timeliness.</w:t>
            </w:r>
          </w:p>
          <w:p w14:paraId="28AE5833" w14:textId="77777777" w:rsidR="00403CB0" w:rsidRPr="00403CB0" w:rsidRDefault="00403CB0" w:rsidP="00A70D16">
            <w:pPr>
              <w:pStyle w:val="TableTextBase"/>
              <w:spacing w:before="60" w:after="60"/>
            </w:pPr>
          </w:p>
          <w:p w14:paraId="437A6236" w14:textId="77777777" w:rsidR="00403CB0" w:rsidRPr="00403CB0" w:rsidRDefault="00403CB0" w:rsidP="00A70D16">
            <w:pPr>
              <w:pStyle w:val="TableTextBase"/>
              <w:spacing w:before="60" w:after="60"/>
            </w:pPr>
            <w:r w:rsidRPr="00403CB0">
              <w:t xml:space="preserve">Claims for travel expenses and allowances are processed in accordance with IPEA’s published service level standards, which include measurements for accuracy and timeliness. </w:t>
            </w:r>
          </w:p>
          <w:p w14:paraId="4916889C" w14:textId="77777777" w:rsidR="00403CB0" w:rsidRPr="00403CB0" w:rsidRDefault="00403CB0" w:rsidP="00A70D16">
            <w:pPr>
              <w:pStyle w:val="TableTextBase"/>
              <w:spacing w:before="60" w:after="60"/>
            </w:pPr>
          </w:p>
          <w:p w14:paraId="00839E18" w14:textId="77777777" w:rsidR="00403CB0" w:rsidRPr="00403CB0" w:rsidRDefault="00403CB0" w:rsidP="00A70D16">
            <w:pPr>
              <w:pStyle w:val="TableTextBase"/>
              <w:spacing w:before="60" w:after="60"/>
            </w:pPr>
            <w:r w:rsidRPr="00403CB0">
              <w:t>Reports relating to work expenses for parliamentarians and their staff are prepared and provided as per IPEA’s published service level standards.</w:t>
            </w:r>
          </w:p>
          <w:p w14:paraId="5454B4E4" w14:textId="77777777" w:rsidR="00403CB0" w:rsidRPr="00403CB0" w:rsidRDefault="00403CB0" w:rsidP="00A70D16">
            <w:pPr>
              <w:pStyle w:val="TableTextBase"/>
              <w:spacing w:before="60" w:after="60"/>
            </w:pPr>
          </w:p>
          <w:p w14:paraId="50AC752E" w14:textId="77777777" w:rsidR="00403CB0" w:rsidRPr="00403CB0" w:rsidRDefault="00403CB0" w:rsidP="00A70D16">
            <w:pPr>
              <w:pStyle w:val="TableTextBase"/>
              <w:spacing w:before="60" w:after="60"/>
            </w:pPr>
          </w:p>
          <w:p w14:paraId="03184FAA" w14:textId="77777777" w:rsidR="00403CB0" w:rsidRPr="00403CB0" w:rsidRDefault="00403CB0" w:rsidP="00A70D16">
            <w:pPr>
              <w:pStyle w:val="TableTextBase"/>
              <w:spacing w:before="60" w:after="60"/>
            </w:pPr>
          </w:p>
          <w:p w14:paraId="2239EA67" w14:textId="29B7542C" w:rsidR="00403CB0" w:rsidRPr="00E26C19" w:rsidRDefault="00403CB0" w:rsidP="00A70D16">
            <w:pPr>
              <w:pStyle w:val="TableTextBase"/>
              <w:spacing w:before="60" w:after="60"/>
            </w:pPr>
            <w:r w:rsidRPr="00403CB0">
              <w:t>All parliamentarians’ offices are subject to one or more forms of assurance activities during the financial year in accordance with IPEA’s published service level standards and procedures (protocols and factsheets).</w:t>
            </w:r>
          </w:p>
        </w:tc>
      </w:tr>
      <w:tr w:rsidR="00BF0558" w:rsidRPr="001C6402" w14:paraId="2239EA6D" w14:textId="77777777" w:rsidTr="004D5C6C">
        <w:trPr>
          <w:trHeight w:val="491"/>
        </w:trPr>
        <w:tc>
          <w:tcPr>
            <w:tcW w:w="1560" w:type="dxa"/>
            <w:tcBorders>
              <w:top w:val="dotted" w:sz="4" w:space="0" w:color="auto"/>
              <w:bottom w:val="dotted" w:sz="4" w:space="0" w:color="auto"/>
              <w:right w:val="single" w:sz="4" w:space="0" w:color="auto"/>
            </w:tcBorders>
          </w:tcPr>
          <w:p w14:paraId="2239EA69" w14:textId="77777777" w:rsidR="00BF0558" w:rsidRPr="001B2F81" w:rsidRDefault="00BF0558" w:rsidP="00A70D16">
            <w:pPr>
              <w:pStyle w:val="TableTextLeft"/>
              <w:spacing w:before="60" w:after="60"/>
            </w:pPr>
            <w:r w:rsidRPr="001B2F81">
              <w:t xml:space="preserve">Forward Estimates </w:t>
            </w:r>
          </w:p>
          <w:p w14:paraId="2239EA6A" w14:textId="77777777" w:rsidR="00BF0558" w:rsidRPr="001B2F81" w:rsidRDefault="00BF0558" w:rsidP="00A70D16">
            <w:pPr>
              <w:pStyle w:val="TableTextLeft"/>
              <w:spacing w:before="60" w:after="60"/>
              <w:rPr>
                <w:b/>
              </w:rPr>
            </w:pPr>
            <w:r w:rsidRPr="001B2F81">
              <w:t>202</w:t>
            </w:r>
            <w:r>
              <w:t>3</w:t>
            </w:r>
            <w:r w:rsidRPr="001B2F81">
              <w:t>-</w:t>
            </w:r>
            <w:r>
              <w:t>26</w:t>
            </w:r>
          </w:p>
        </w:tc>
        <w:tc>
          <w:tcPr>
            <w:tcW w:w="3118" w:type="dxa"/>
            <w:tcBorders>
              <w:top w:val="dotted" w:sz="4" w:space="0" w:color="auto"/>
              <w:left w:val="single" w:sz="4" w:space="0" w:color="auto"/>
              <w:bottom w:val="dotted" w:sz="4" w:space="0" w:color="auto"/>
              <w:right w:val="single" w:sz="4" w:space="0" w:color="auto"/>
            </w:tcBorders>
          </w:tcPr>
          <w:p w14:paraId="2239EA6B" w14:textId="77777777" w:rsidR="00BF0558" w:rsidRPr="00403CB0" w:rsidRDefault="00BF0558" w:rsidP="00A70D16">
            <w:pPr>
              <w:pStyle w:val="TableTextBase"/>
              <w:spacing w:before="60" w:after="60"/>
              <w:rPr>
                <w:b/>
              </w:rPr>
            </w:pPr>
            <w:r w:rsidRPr="00403CB0">
              <w:t>As per 2022-23</w:t>
            </w:r>
          </w:p>
        </w:tc>
        <w:tc>
          <w:tcPr>
            <w:tcW w:w="3118" w:type="dxa"/>
            <w:tcBorders>
              <w:top w:val="dotted" w:sz="4" w:space="0" w:color="auto"/>
              <w:left w:val="single" w:sz="4" w:space="0" w:color="auto"/>
              <w:bottom w:val="dotted" w:sz="4" w:space="0" w:color="auto"/>
            </w:tcBorders>
          </w:tcPr>
          <w:p w14:paraId="2239EA6C" w14:textId="77777777" w:rsidR="00BF0558" w:rsidRPr="00403CB0" w:rsidRDefault="00BF0558" w:rsidP="00A70D16">
            <w:pPr>
              <w:pStyle w:val="TableTextBase"/>
              <w:spacing w:before="60" w:after="60"/>
              <w:rPr>
                <w:b/>
              </w:rPr>
            </w:pPr>
            <w:r w:rsidRPr="00403CB0">
              <w:t>As per 2022-23</w:t>
            </w:r>
          </w:p>
        </w:tc>
      </w:tr>
      <w:tr w:rsidR="00BF0558" w:rsidRPr="006E377F" w14:paraId="2239EA6F" w14:textId="77777777" w:rsidTr="004D5C6C">
        <w:trPr>
          <w:trHeight w:val="291"/>
        </w:trPr>
        <w:tc>
          <w:tcPr>
            <w:tcW w:w="7796" w:type="dxa"/>
            <w:gridSpan w:val="3"/>
          </w:tcPr>
          <w:p w14:paraId="2239EA6E" w14:textId="77777777" w:rsidR="00BF0558" w:rsidRPr="006E377F" w:rsidRDefault="00BF0558" w:rsidP="00A70D16">
            <w:pPr>
              <w:pStyle w:val="TableTextLeft"/>
              <w:spacing w:before="60" w:after="60"/>
              <w:rPr>
                <w:rFonts w:eastAsia="Cambria"/>
                <w:bCs/>
                <w:iCs/>
                <w:spacing w:val="-6"/>
                <w:lang w:val="x-none"/>
              </w:rPr>
            </w:pPr>
            <w:r w:rsidRPr="006E377F">
              <w:t>Material changes to Program 1.1 resulting from October 2022-23 Budget Measures:</w:t>
            </w:r>
            <w:r w:rsidRPr="006E377F">
              <w:rPr>
                <w:bCs/>
                <w:iCs/>
                <w:spacing w:val="-6"/>
              </w:rPr>
              <w:t xml:space="preserve">  Nil</w:t>
            </w:r>
          </w:p>
        </w:tc>
      </w:tr>
    </w:tbl>
    <w:p w14:paraId="2239EA70" w14:textId="77777777" w:rsidR="00BF0558" w:rsidRPr="006913EB" w:rsidRDefault="00BF0558" w:rsidP="004D5C6C">
      <w:pPr>
        <w:pStyle w:val="Heading2"/>
      </w:pPr>
      <w:r w:rsidRPr="006913EB">
        <w:br w:type="page"/>
      </w:r>
      <w:bookmarkStart w:id="294" w:name="_Toc116742541"/>
      <w:bookmarkStart w:id="295" w:name="_Toc117070832"/>
      <w:bookmarkStart w:id="296" w:name="_Toc117071087"/>
      <w:bookmarkStart w:id="297" w:name="_Toc117071646"/>
      <w:bookmarkStart w:id="298" w:name="_Toc117078122"/>
      <w:r w:rsidRPr="006913EB">
        <w:lastRenderedPageBreak/>
        <w:t>Section 3: Budgeted financial statements</w:t>
      </w:r>
      <w:bookmarkEnd w:id="294"/>
      <w:bookmarkEnd w:id="295"/>
      <w:bookmarkEnd w:id="296"/>
      <w:bookmarkEnd w:id="297"/>
      <w:bookmarkEnd w:id="298"/>
    </w:p>
    <w:p w14:paraId="2239EA71" w14:textId="533B2C8D" w:rsidR="00BF0558" w:rsidRPr="000D57CB" w:rsidRDefault="00AA0155" w:rsidP="00C31227">
      <w:pPr>
        <w:rPr>
          <w:szCs w:val="19"/>
        </w:rPr>
      </w:pPr>
      <w:r w:rsidRPr="00AA0155">
        <w:rPr>
          <w:szCs w:val="19"/>
        </w:rPr>
        <w:t>Section 3 presents budgeted financial statements which provide a comprehensive snapshot of entity finances for the 2022-23 budget year, including the impact of budget measures and resourcing on financial statements</w:t>
      </w:r>
      <w:r w:rsidR="00BF0558" w:rsidRPr="000D57CB">
        <w:rPr>
          <w:szCs w:val="19"/>
        </w:rPr>
        <w:t>.</w:t>
      </w:r>
    </w:p>
    <w:p w14:paraId="2239EA72" w14:textId="77777777" w:rsidR="00BF0558" w:rsidRPr="005328A9" w:rsidRDefault="00BF0558" w:rsidP="004D5C6C">
      <w:pPr>
        <w:pStyle w:val="Heading3"/>
      </w:pPr>
      <w:bookmarkStart w:id="299" w:name="_Toc116742542"/>
      <w:bookmarkStart w:id="300" w:name="_Toc117070833"/>
      <w:bookmarkStart w:id="301" w:name="_Toc117071088"/>
      <w:bookmarkStart w:id="302" w:name="_Toc117071647"/>
      <w:bookmarkStart w:id="303" w:name="_Toc117078123"/>
      <w:r w:rsidRPr="005328A9">
        <w:t>3.1</w:t>
      </w:r>
      <w:r w:rsidRPr="005328A9">
        <w:tab/>
        <w:t>Budgeted financial statements</w:t>
      </w:r>
      <w:bookmarkEnd w:id="299"/>
      <w:bookmarkEnd w:id="300"/>
      <w:bookmarkEnd w:id="301"/>
      <w:bookmarkEnd w:id="302"/>
      <w:bookmarkEnd w:id="303"/>
    </w:p>
    <w:p w14:paraId="2239EA73" w14:textId="77777777" w:rsidR="00BF0558" w:rsidRDefault="00BF0558" w:rsidP="004D5C6C">
      <w:pPr>
        <w:pStyle w:val="Heading4"/>
      </w:pPr>
      <w:r>
        <w:t>3.1.1</w:t>
      </w:r>
      <w:r>
        <w:tab/>
        <w:t>Differences between entity resourcing and financial statements</w:t>
      </w:r>
    </w:p>
    <w:p w14:paraId="2239EA74" w14:textId="77777777" w:rsidR="00BF0558" w:rsidRDefault="00BF0558" w:rsidP="004D5C6C">
      <w:pPr>
        <w:pStyle w:val="ExampleText0"/>
        <w:spacing w:after="160"/>
        <w:rPr>
          <w:i w:val="0"/>
          <w:color w:val="auto"/>
        </w:rPr>
      </w:pPr>
      <w:r w:rsidRPr="00D61375">
        <w:rPr>
          <w:i w:val="0"/>
          <w:color w:val="auto"/>
        </w:rPr>
        <w:t>No material differences exist between entity resourcing and the financial statements.</w:t>
      </w:r>
    </w:p>
    <w:p w14:paraId="2239EA75" w14:textId="77777777" w:rsidR="00BF0558" w:rsidRDefault="00BF0558" w:rsidP="004D5C6C">
      <w:pPr>
        <w:pStyle w:val="Heading4"/>
      </w:pPr>
      <w:r>
        <w:t>3.1.2</w:t>
      </w:r>
      <w:r>
        <w:tab/>
        <w:t>Explanatory notes and analysis of budgeted financial statements</w:t>
      </w:r>
    </w:p>
    <w:p w14:paraId="2239EA76" w14:textId="77777777" w:rsidR="00BF0558" w:rsidRPr="00DC2C41" w:rsidRDefault="00BF0558" w:rsidP="004D5C6C">
      <w:pPr>
        <w:pStyle w:val="ExampleText0"/>
        <w:spacing w:after="160"/>
        <w:rPr>
          <w:b/>
          <w:i w:val="0"/>
          <w:color w:val="auto"/>
        </w:rPr>
      </w:pPr>
      <w:r w:rsidRPr="00DC2C41">
        <w:rPr>
          <w:b/>
          <w:i w:val="0"/>
          <w:color w:val="auto"/>
        </w:rPr>
        <w:t>Departmental</w:t>
      </w:r>
    </w:p>
    <w:p w14:paraId="2239EA77" w14:textId="00B5492B" w:rsidR="00BF0558" w:rsidRPr="00DC2C41" w:rsidRDefault="00AA0155" w:rsidP="00C31227">
      <w:pPr>
        <w:pStyle w:val="ExampleText0"/>
        <w:spacing w:after="160"/>
        <w:rPr>
          <w:i w:val="0"/>
          <w:color w:val="auto"/>
        </w:rPr>
      </w:pPr>
      <w:r w:rsidRPr="00AA0155">
        <w:rPr>
          <w:i w:val="0"/>
          <w:color w:val="auto"/>
        </w:rPr>
        <w:t>IPEA is budgeting for a break-even result for 2022-23 and across the forward estimates.  Expenses and revenue from government increased in 2021-22 and 2022-23 due to additional funding being provided due to the delay of the implementation of the Parliamentary Expenses Management System</w:t>
      </w:r>
      <w:r w:rsidR="00BF0558" w:rsidRPr="00DC2C41">
        <w:rPr>
          <w:i w:val="0"/>
          <w:color w:val="auto"/>
        </w:rPr>
        <w:t xml:space="preserve">. </w:t>
      </w:r>
    </w:p>
    <w:p w14:paraId="2239EA78" w14:textId="1BD14C4B" w:rsidR="00BF0558" w:rsidRDefault="00BF0558" w:rsidP="004D5C6C">
      <w:pPr>
        <w:pStyle w:val="ExampleText0"/>
        <w:spacing w:after="160"/>
        <w:rPr>
          <w:b/>
          <w:i w:val="0"/>
          <w:color w:val="auto"/>
        </w:rPr>
      </w:pPr>
      <w:r w:rsidRPr="00DC2C41">
        <w:rPr>
          <w:b/>
          <w:i w:val="0"/>
          <w:color w:val="auto"/>
        </w:rPr>
        <w:t>Administered</w:t>
      </w:r>
    </w:p>
    <w:p w14:paraId="43E4B143" w14:textId="77777777" w:rsidR="00020187" w:rsidRDefault="00AA0155" w:rsidP="00DB22D8">
      <w:pPr>
        <w:pStyle w:val="ExampleText0"/>
        <w:spacing w:after="160"/>
        <w:rPr>
          <w:b/>
          <w:i w:val="0"/>
          <w:color w:val="auto"/>
        </w:rPr>
      </w:pPr>
      <w:r w:rsidRPr="00AA0155">
        <w:rPr>
          <w:i w:val="0"/>
          <w:color w:val="auto"/>
        </w:rPr>
        <w:t>In the schedule of budgeted income and expenses, the administered supplier expenses reflect estimated work and travel expenses for current and former parliamentarians and MOP(S) staff.</w:t>
      </w:r>
      <w:r w:rsidR="00020187">
        <w:rPr>
          <w:b/>
          <w:i w:val="0"/>
          <w:color w:val="auto"/>
        </w:rPr>
        <w:br w:type="page"/>
      </w:r>
    </w:p>
    <w:p w14:paraId="2239EA7A" w14:textId="4135B16E" w:rsidR="00BF0558" w:rsidRPr="00020187" w:rsidRDefault="00440BBB" w:rsidP="00020187">
      <w:pPr>
        <w:pStyle w:val="Heading3"/>
      </w:pPr>
      <w:bookmarkStart w:id="304" w:name="_Toc117071648"/>
      <w:bookmarkStart w:id="305" w:name="_Toc117078124"/>
      <w:r w:rsidRPr="00020187">
        <w:lastRenderedPageBreak/>
        <w:t>3.2</w:t>
      </w:r>
      <w:r w:rsidR="00BF0558" w:rsidRPr="00440BBB">
        <w:tab/>
        <w:t>Budgeted financial statements tables</w:t>
      </w:r>
      <w:bookmarkEnd w:id="304"/>
      <w:bookmarkEnd w:id="305"/>
    </w:p>
    <w:p w14:paraId="047651EC" w14:textId="4DA64FFC" w:rsidR="006B5058" w:rsidRPr="006B5058" w:rsidRDefault="00BF0558" w:rsidP="004D5C6C">
      <w:pPr>
        <w:pStyle w:val="TableHeading"/>
      </w:pPr>
      <w:r w:rsidRPr="00E855E0">
        <w:t>Table</w:t>
      </w:r>
      <w:r>
        <w:t xml:space="preserve"> 3.</w:t>
      </w:r>
      <w:r w:rsidRPr="00E855E0">
        <w:t>1</w:t>
      </w:r>
      <w:r>
        <w:t>:</w:t>
      </w:r>
      <w:r w:rsidRPr="00E855E0">
        <w:t xml:space="preserve"> Comprehensive income statement (showing net cost of services)</w:t>
      </w:r>
      <w:r>
        <w:t xml:space="preserve"> </w:t>
      </w:r>
      <w:r w:rsidRPr="006B5058">
        <w:t>for the period ended 30 June</w:t>
      </w:r>
      <w:r w:rsidR="00A44088" w:rsidRPr="00A44088">
        <w:rPr>
          <w:noProof/>
          <w:lang w:eastAsia="zh-CN"/>
        </w:rPr>
        <w:drawing>
          <wp:inline distT="0" distB="0" distL="0" distR="0" wp14:anchorId="68A54673" wp14:editId="58050A93">
            <wp:extent cx="4895850" cy="2996236"/>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4895850" cy="2996236"/>
                    </a:xfrm>
                    <a:prstGeom prst="rect">
                      <a:avLst/>
                    </a:prstGeom>
                    <a:noFill/>
                    <a:ln>
                      <a:noFill/>
                    </a:ln>
                  </pic:spPr>
                </pic:pic>
              </a:graphicData>
            </a:graphic>
          </wp:inline>
        </w:drawing>
      </w:r>
    </w:p>
    <w:p w14:paraId="334AA56E" w14:textId="78D8FBFD" w:rsidR="004C16D8" w:rsidRDefault="00BF0558" w:rsidP="00A44088">
      <w:pPr>
        <w:pStyle w:val="TableGraphic"/>
        <w:spacing w:before="30"/>
        <w:ind w:right="0"/>
        <w:rPr>
          <w:rFonts w:ascii="Arial" w:hAnsi="Arial" w:cs="Arial"/>
          <w:sz w:val="16"/>
          <w:szCs w:val="16"/>
        </w:rPr>
      </w:pPr>
      <w:r w:rsidRPr="003947B3">
        <w:rPr>
          <w:rFonts w:ascii="Arial" w:hAnsi="Arial" w:cs="Arial"/>
          <w:noProof/>
          <w:sz w:val="16"/>
          <w:szCs w:val="16"/>
        </w:rPr>
        <w:t xml:space="preserve"> </w:t>
      </w:r>
      <w:r w:rsidRPr="003947B3">
        <w:rPr>
          <w:rFonts w:ascii="Arial" w:hAnsi="Arial" w:cs="Arial"/>
          <w:sz w:val="16"/>
          <w:szCs w:val="16"/>
        </w:rPr>
        <w:t>Prepared on Australian Accounting Standards basis.</w:t>
      </w:r>
      <w:r w:rsidR="004C16D8">
        <w:rPr>
          <w:rFonts w:ascii="Arial" w:hAnsi="Arial" w:cs="Arial"/>
          <w:sz w:val="16"/>
          <w:szCs w:val="16"/>
        </w:rPr>
        <w:br w:type="page"/>
      </w:r>
    </w:p>
    <w:p w14:paraId="2DEB2CAE" w14:textId="1C24083D" w:rsidR="00A44088" w:rsidRPr="00A44088" w:rsidRDefault="00BF0558" w:rsidP="00A44088">
      <w:pPr>
        <w:pStyle w:val="TableGraphic"/>
        <w:spacing w:before="30"/>
        <w:ind w:left="284" w:right="0" w:hanging="284"/>
        <w:rPr>
          <w:rFonts w:ascii="Arial" w:hAnsi="Arial"/>
          <w:b/>
          <w:sz w:val="20"/>
        </w:rPr>
      </w:pPr>
      <w:r w:rsidRPr="004C16D8">
        <w:rPr>
          <w:rFonts w:ascii="Arial" w:hAnsi="Arial"/>
          <w:b/>
          <w:sz w:val="20"/>
        </w:rPr>
        <w:lastRenderedPageBreak/>
        <w:t>Table 3.2: Budgeted departmental balance sheet (as at 30 June)</w:t>
      </w:r>
    </w:p>
    <w:p w14:paraId="5A2FE074" w14:textId="2B1479F7" w:rsidR="00043835" w:rsidRDefault="00A44088" w:rsidP="004D5C6C">
      <w:pPr>
        <w:pStyle w:val="TableGraphic"/>
        <w:rPr>
          <w:rFonts w:ascii="Arial" w:hAnsi="Arial" w:cs="Arial"/>
          <w:sz w:val="16"/>
          <w:szCs w:val="16"/>
        </w:rPr>
      </w:pPr>
      <w:r w:rsidRPr="00A44088">
        <w:rPr>
          <w:rFonts w:ascii="Arial" w:hAnsi="Arial" w:cs="Arial"/>
          <w:noProof/>
          <w:sz w:val="16"/>
          <w:szCs w:val="16"/>
          <w:lang w:eastAsia="zh-CN"/>
        </w:rPr>
        <w:drawing>
          <wp:inline distT="0" distB="0" distL="0" distR="0" wp14:anchorId="79B26079" wp14:editId="133D3D73">
            <wp:extent cx="4895850" cy="3865145"/>
            <wp:effectExtent l="0" t="0" r="0" b="254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895850" cy="3865145"/>
                    </a:xfrm>
                    <a:prstGeom prst="rect">
                      <a:avLst/>
                    </a:prstGeom>
                    <a:noFill/>
                    <a:ln>
                      <a:noFill/>
                    </a:ln>
                  </pic:spPr>
                </pic:pic>
              </a:graphicData>
            </a:graphic>
          </wp:inline>
        </w:drawing>
      </w:r>
    </w:p>
    <w:p w14:paraId="2239EA7F" w14:textId="78150A0F" w:rsidR="00BF0558" w:rsidRPr="00C4754A" w:rsidRDefault="00BF0558" w:rsidP="00A44088">
      <w:pPr>
        <w:pStyle w:val="TableGraphic"/>
        <w:spacing w:before="30"/>
        <w:ind w:left="284" w:right="0" w:hanging="284"/>
        <w:rPr>
          <w:rFonts w:ascii="Arial" w:hAnsi="Arial" w:cs="Arial"/>
          <w:b/>
          <w:sz w:val="16"/>
          <w:szCs w:val="16"/>
        </w:rPr>
      </w:pPr>
      <w:r w:rsidRPr="00C4754A">
        <w:rPr>
          <w:rFonts w:ascii="Arial" w:hAnsi="Arial" w:cs="Arial"/>
          <w:sz w:val="16"/>
          <w:szCs w:val="16"/>
        </w:rPr>
        <w:t>Prepared on Australian Accounting Standards basis.</w:t>
      </w:r>
    </w:p>
    <w:p w14:paraId="28BB979D" w14:textId="77777777" w:rsidR="001900D1" w:rsidRDefault="00BF0558" w:rsidP="00A44088">
      <w:pPr>
        <w:pStyle w:val="ChartandTableFootnote"/>
        <w:ind w:left="284" w:hanging="284"/>
        <w:rPr>
          <w:rFonts w:cs="Arial"/>
        </w:rPr>
      </w:pPr>
      <w:r w:rsidRPr="004111A7">
        <w:rPr>
          <w:rFonts w:cs="Arial"/>
        </w:rPr>
        <w:t>*‘Equity’ is the residual interest in assets after deduction of liabilities.</w:t>
      </w:r>
      <w:r w:rsidR="001900D1">
        <w:rPr>
          <w:rFonts w:cs="Arial"/>
        </w:rPr>
        <w:br w:type="page"/>
      </w:r>
    </w:p>
    <w:p w14:paraId="10C3C621" w14:textId="40EFBAA8" w:rsidR="00A44088" w:rsidRDefault="00BF0558" w:rsidP="008C79DC">
      <w:pPr>
        <w:pStyle w:val="TableHeading"/>
      </w:pPr>
      <w:r w:rsidRPr="001900D1">
        <w:lastRenderedPageBreak/>
        <w:t>Table 3.3: Departmental statement of changes in equity — summary of</w:t>
      </w:r>
      <w:r w:rsidR="001900D1" w:rsidRPr="001900D1">
        <w:t xml:space="preserve"> </w:t>
      </w:r>
      <w:r w:rsidRPr="001900D1">
        <w:t>movement (Budget year 2022-23)</w:t>
      </w:r>
    </w:p>
    <w:p w14:paraId="47D8A276" w14:textId="0D5A47F5" w:rsidR="008C79DC" w:rsidRPr="008C79DC" w:rsidRDefault="008C79DC" w:rsidP="008C79DC">
      <w:pPr>
        <w:pStyle w:val="TableGraphic"/>
      </w:pPr>
      <w:r w:rsidRPr="008C79DC">
        <w:rPr>
          <w:noProof/>
          <w:lang w:eastAsia="zh-CN"/>
        </w:rPr>
        <w:drawing>
          <wp:inline distT="0" distB="0" distL="0" distR="0" wp14:anchorId="7E4DE78F" wp14:editId="2DA60EF4">
            <wp:extent cx="4895850" cy="19227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895850" cy="1922734"/>
                    </a:xfrm>
                    <a:prstGeom prst="rect">
                      <a:avLst/>
                    </a:prstGeom>
                    <a:noFill/>
                    <a:ln>
                      <a:noFill/>
                    </a:ln>
                  </pic:spPr>
                </pic:pic>
              </a:graphicData>
            </a:graphic>
          </wp:inline>
        </w:drawing>
      </w:r>
    </w:p>
    <w:p w14:paraId="37708C99" w14:textId="68725FB5" w:rsidR="00E80107" w:rsidRDefault="002B4844" w:rsidP="002B4844">
      <w:pPr>
        <w:pStyle w:val="TableGraphic"/>
      </w:pPr>
      <w:r w:rsidRPr="002B4844">
        <w:rPr>
          <w:rFonts w:ascii="Arial" w:hAnsi="Arial" w:cs="Arial"/>
          <w:sz w:val="16"/>
          <w:szCs w:val="16"/>
        </w:rPr>
        <w:t>Prepared on Australian Accounting Standards basis.</w:t>
      </w:r>
      <w:r w:rsidR="00E80107">
        <w:br w:type="page"/>
      </w:r>
    </w:p>
    <w:p w14:paraId="1D7F6726" w14:textId="64861C87" w:rsidR="008179C7" w:rsidRDefault="00BF0558" w:rsidP="00A44088">
      <w:pPr>
        <w:pStyle w:val="TableHeading"/>
      </w:pP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14:paraId="2239EA88" w14:textId="6F7FC128" w:rsidR="00BF0558" w:rsidRPr="008179C7" w:rsidRDefault="008179C7" w:rsidP="008179C7">
      <w:pPr>
        <w:pStyle w:val="TableGraphic"/>
        <w:spacing w:before="30"/>
        <w:ind w:right="0"/>
        <w:rPr>
          <w:rFonts w:ascii="Arial" w:hAnsi="Arial" w:cs="Arial"/>
        </w:rPr>
      </w:pPr>
      <w:r w:rsidRPr="008179C7">
        <w:rPr>
          <w:noProof/>
          <w:lang w:eastAsia="zh-CN"/>
        </w:rPr>
        <w:drawing>
          <wp:inline distT="0" distB="0" distL="0" distR="0" wp14:anchorId="17FCBEB4" wp14:editId="6C020AF9">
            <wp:extent cx="4895850" cy="2874628"/>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4895850" cy="2874628"/>
                    </a:xfrm>
                    <a:prstGeom prst="rect">
                      <a:avLst/>
                    </a:prstGeom>
                    <a:noFill/>
                    <a:ln>
                      <a:noFill/>
                    </a:ln>
                  </pic:spPr>
                </pic:pic>
              </a:graphicData>
            </a:graphic>
          </wp:inline>
        </w:drawing>
      </w:r>
      <w:r w:rsidR="00BF0558" w:rsidRPr="008179C7">
        <w:rPr>
          <w:rFonts w:ascii="Arial" w:hAnsi="Arial" w:cs="Arial"/>
          <w:sz w:val="16"/>
          <w:szCs w:val="16"/>
        </w:rPr>
        <w:t>Prepared on Australian Accounting Standards basis.</w:t>
      </w:r>
    </w:p>
    <w:p w14:paraId="2239EA89" w14:textId="77777777" w:rsidR="00BF0558" w:rsidRPr="00132F9E" w:rsidRDefault="00BF0558" w:rsidP="00A44088">
      <w:pPr>
        <w:pStyle w:val="NoSpacing"/>
        <w:spacing w:before="30"/>
        <w:rPr>
          <w:rFonts w:ascii="Arial" w:hAnsi="Arial" w:cs="Arial"/>
          <w:sz w:val="16"/>
          <w:szCs w:val="16"/>
        </w:rPr>
      </w:pPr>
    </w:p>
    <w:p w14:paraId="2239EA8A" w14:textId="77777777" w:rsidR="00BF0558" w:rsidRPr="00A00283" w:rsidRDefault="00BF0558">
      <w:pPr>
        <w:pStyle w:val="TableHeading"/>
      </w:pPr>
      <w:r>
        <w:br w:type="page"/>
      </w:r>
      <w:r w:rsidRPr="00D30CBA">
        <w:lastRenderedPageBreak/>
        <w:t>Table</w:t>
      </w:r>
      <w:r>
        <w:t xml:space="preserve"> 3.5</w:t>
      </w:r>
      <w:r w:rsidRPr="00D30CBA">
        <w:t xml:space="preserve">: </w:t>
      </w:r>
      <w:r>
        <w:t>Departmental capital budget statement (for the period ended 30 June)</w:t>
      </w:r>
    </w:p>
    <w:p w14:paraId="2239EA8B" w14:textId="77777777" w:rsidR="00BF0558" w:rsidRDefault="00BF0558" w:rsidP="004D5C6C">
      <w:pPr>
        <w:pStyle w:val="TableGraphic"/>
      </w:pPr>
    </w:p>
    <w:p w14:paraId="2239EA8C" w14:textId="77777777" w:rsidR="00BF0558" w:rsidRPr="002F217C" w:rsidRDefault="00BF0558" w:rsidP="004D5C6C">
      <w:pPr>
        <w:rPr>
          <w:szCs w:val="19"/>
        </w:rPr>
      </w:pPr>
      <w:r w:rsidRPr="002F217C">
        <w:rPr>
          <w:szCs w:val="19"/>
        </w:rPr>
        <w:t>IPEA does not have any budgeted capital expenditure.</w:t>
      </w:r>
    </w:p>
    <w:p w14:paraId="2239EA8D" w14:textId="77777777" w:rsidR="00BF0558" w:rsidRDefault="00BF0558" w:rsidP="004D5C6C"/>
    <w:p w14:paraId="2239EA8E" w14:textId="77777777" w:rsidR="00BF0558" w:rsidRDefault="00BF0558" w:rsidP="004D5C6C">
      <w:pPr>
        <w:pStyle w:val="TableHeading"/>
      </w:pPr>
      <w:r w:rsidRPr="00D30CBA">
        <w:t>Table</w:t>
      </w:r>
      <w:r>
        <w:t xml:space="preserve"> 3.6</w:t>
      </w:r>
      <w:r w:rsidRPr="00D30CBA">
        <w:t xml:space="preserve">: </w:t>
      </w:r>
      <w:r>
        <w:t>Statement of departmental asset movements (Budget year 2022-23)</w:t>
      </w:r>
    </w:p>
    <w:p w14:paraId="2239EA8F" w14:textId="77777777" w:rsidR="00BF0558" w:rsidRPr="002F217C" w:rsidRDefault="00BF0558" w:rsidP="004D5C6C">
      <w:pPr>
        <w:pStyle w:val="TableGraphic"/>
        <w:spacing w:before="240" w:after="160" w:line="240" w:lineRule="exact"/>
        <w:rPr>
          <w:szCs w:val="19"/>
        </w:rPr>
      </w:pPr>
    </w:p>
    <w:p w14:paraId="544A6966" w14:textId="77777777" w:rsidR="009721A9" w:rsidRDefault="00BF0558" w:rsidP="009721A9">
      <w:r w:rsidRPr="002F217C">
        <w:rPr>
          <w:szCs w:val="19"/>
        </w:rPr>
        <w:t>IPEA does not have any</w:t>
      </w:r>
      <w:r w:rsidR="00CE3744">
        <w:rPr>
          <w:szCs w:val="19"/>
        </w:rPr>
        <w:t xml:space="preserve"> budgeted non-financial ass</w:t>
      </w:r>
      <w:r w:rsidR="009721A9">
        <w:rPr>
          <w:szCs w:val="19"/>
        </w:rPr>
        <w:t xml:space="preserve">et </w:t>
      </w:r>
      <w:r w:rsidR="009721A9">
        <w:t>movements.</w:t>
      </w:r>
      <w:r w:rsidR="009721A9">
        <w:br w:type="page"/>
      </w:r>
    </w:p>
    <w:p w14:paraId="2239EA93" w14:textId="143CA7B5" w:rsidR="00BF0558" w:rsidRDefault="00BF0558" w:rsidP="009721A9">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r w:rsidR="00A44088" w:rsidRPr="00A44088">
        <w:rPr>
          <w:b w:val="0"/>
        </w:rPr>
        <w:t xml:space="preserve"> </w:t>
      </w:r>
      <w:r w:rsidR="00A44088" w:rsidRPr="00A44088">
        <w:rPr>
          <w:noProof/>
          <w:lang w:eastAsia="zh-CN"/>
        </w:rPr>
        <w:drawing>
          <wp:inline distT="0" distB="0" distL="0" distR="0" wp14:anchorId="458654BA" wp14:editId="2023D2D4">
            <wp:extent cx="4895850" cy="2349049"/>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895850" cy="2349049"/>
                    </a:xfrm>
                    <a:prstGeom prst="rect">
                      <a:avLst/>
                    </a:prstGeom>
                    <a:noFill/>
                    <a:ln>
                      <a:noFill/>
                    </a:ln>
                  </pic:spPr>
                </pic:pic>
              </a:graphicData>
            </a:graphic>
          </wp:inline>
        </w:drawing>
      </w:r>
    </w:p>
    <w:p w14:paraId="2239EA95" w14:textId="7C20F7AE" w:rsidR="00BF0558" w:rsidRPr="00933A7D" w:rsidRDefault="00BF0558" w:rsidP="00A44088">
      <w:pPr>
        <w:pStyle w:val="ChartandTableFootnote"/>
      </w:pPr>
      <w:r w:rsidRPr="00E4582E">
        <w:t>Prepared on Australian Accounting Standards basis</w:t>
      </w:r>
      <w:r>
        <w:t>.</w:t>
      </w:r>
    </w:p>
    <w:p w14:paraId="2239EA96" w14:textId="77777777" w:rsidR="00BF0558" w:rsidRPr="00FD522D" w:rsidRDefault="00BF0558" w:rsidP="004D5C6C"/>
    <w:p w14:paraId="2239EA97" w14:textId="120A46A2" w:rsidR="00BF0558" w:rsidRDefault="00BF0558" w:rsidP="004D5C6C">
      <w:pPr>
        <w:pStyle w:val="TableHeading"/>
      </w:pPr>
      <w:r>
        <w:br w:type="page"/>
      </w: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r w:rsidR="00D05C46" w:rsidRPr="00D05C46">
        <w:rPr>
          <w:b w:val="0"/>
        </w:rPr>
        <w:t xml:space="preserve"> </w:t>
      </w:r>
      <w:r w:rsidR="00690171" w:rsidRPr="00690171">
        <w:rPr>
          <w:b w:val="0"/>
          <w:noProof/>
          <w:lang w:eastAsia="zh-CN"/>
        </w:rPr>
        <w:drawing>
          <wp:inline distT="0" distB="0" distL="0" distR="0" wp14:anchorId="490238E7" wp14:editId="2A2F2CB1">
            <wp:extent cx="4895850" cy="3349792"/>
            <wp:effectExtent l="0" t="0" r="0" b="317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895850" cy="3349792"/>
                    </a:xfrm>
                    <a:prstGeom prst="rect">
                      <a:avLst/>
                    </a:prstGeom>
                    <a:noFill/>
                    <a:ln>
                      <a:noFill/>
                    </a:ln>
                  </pic:spPr>
                </pic:pic>
              </a:graphicData>
            </a:graphic>
          </wp:inline>
        </w:drawing>
      </w:r>
    </w:p>
    <w:p w14:paraId="2239EA99" w14:textId="51183C59" w:rsidR="00BF0558" w:rsidRPr="00B7521F" w:rsidRDefault="00BF0558" w:rsidP="00690171">
      <w:pPr>
        <w:pStyle w:val="ChartandTableFootnote"/>
      </w:pPr>
      <w:r w:rsidRPr="00B7521F">
        <w:t>Prepared on Australian Accounting Standards basis.</w:t>
      </w:r>
    </w:p>
    <w:p w14:paraId="2239EA9A" w14:textId="77777777" w:rsidR="00BF0558" w:rsidRPr="00B7521F" w:rsidRDefault="00BF0558" w:rsidP="004D5C6C">
      <w:pPr>
        <w:pStyle w:val="SingleParagraph"/>
        <w:rPr>
          <w:rFonts w:ascii="Arial" w:hAnsi="Arial" w:cs="Arial"/>
          <w:sz w:val="16"/>
          <w:szCs w:val="16"/>
        </w:rPr>
      </w:pPr>
    </w:p>
    <w:p w14:paraId="2239EA9D" w14:textId="01D119D0" w:rsidR="00BF0558" w:rsidRPr="00690171" w:rsidRDefault="00BF0558" w:rsidP="00690171">
      <w:pPr>
        <w:pStyle w:val="TableHeading"/>
        <w:spacing w:before="30" w:after="0"/>
      </w:pPr>
      <w:r>
        <w:br w:type="page"/>
      </w:r>
      <w:r>
        <w:lastRenderedPageBreak/>
        <w:t xml:space="preserve">Table 3.9: </w:t>
      </w:r>
      <w:r w:rsidRPr="00C41D55">
        <w:t xml:space="preserve">Schedule of </w:t>
      </w:r>
      <w:r>
        <w:t xml:space="preserve">budgeted administered cash flows </w:t>
      </w:r>
      <w:r w:rsidRPr="00C41D55">
        <w:t>(for</w:t>
      </w:r>
      <w:r>
        <w:t> the </w:t>
      </w:r>
      <w:r w:rsidRPr="00C41D55">
        <w:t>period ended 30 June)</w:t>
      </w:r>
      <w:r w:rsidR="00690171" w:rsidRPr="00690171">
        <w:rPr>
          <w:b w:val="0"/>
        </w:rPr>
        <w:t xml:space="preserve"> </w:t>
      </w:r>
      <w:r w:rsidR="00690171" w:rsidRPr="00690171">
        <w:rPr>
          <w:noProof/>
          <w:lang w:eastAsia="zh-CN"/>
        </w:rPr>
        <w:drawing>
          <wp:inline distT="0" distB="0" distL="0" distR="0" wp14:anchorId="05D90DF5" wp14:editId="5798D7F6">
            <wp:extent cx="4895850" cy="3104101"/>
            <wp:effectExtent l="0" t="0" r="0" b="127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4895850" cy="3104101"/>
                    </a:xfrm>
                    <a:prstGeom prst="rect">
                      <a:avLst/>
                    </a:prstGeom>
                    <a:noFill/>
                    <a:ln>
                      <a:noFill/>
                    </a:ln>
                  </pic:spPr>
                </pic:pic>
              </a:graphicData>
            </a:graphic>
          </wp:inline>
        </w:drawing>
      </w:r>
      <w:r w:rsidRPr="00690171">
        <w:rPr>
          <w:b w:val="0"/>
          <w:color w:val="000000"/>
          <w:sz w:val="16"/>
        </w:rPr>
        <w:t>Prepared on Australian Accounting Standards basis.</w:t>
      </w:r>
    </w:p>
    <w:p w14:paraId="2239EA9E" w14:textId="77777777" w:rsidR="00BF0558" w:rsidRDefault="00BF0558" w:rsidP="004D5C6C">
      <w:pPr>
        <w:pStyle w:val="TableHeading"/>
      </w:pPr>
      <w:r>
        <w:br w:type="page"/>
      </w:r>
      <w:r w:rsidRPr="00D30CBA">
        <w:lastRenderedPageBreak/>
        <w:t>Table</w:t>
      </w:r>
      <w:r>
        <w:t xml:space="preserve"> 3.10</w:t>
      </w:r>
      <w:r w:rsidRPr="00D30CBA">
        <w:t xml:space="preserve">: </w:t>
      </w:r>
      <w:r>
        <w:t>Schedule of administered capital budget statement (for the period ended 30 June)</w:t>
      </w:r>
    </w:p>
    <w:p w14:paraId="2239EA9F" w14:textId="77777777" w:rsidR="00BF0558" w:rsidRDefault="00BF0558" w:rsidP="004D5C6C">
      <w:pPr>
        <w:rPr>
          <w:sz w:val="20"/>
        </w:rPr>
      </w:pPr>
      <w:r w:rsidRPr="002F217C">
        <w:rPr>
          <w:szCs w:val="19"/>
        </w:rPr>
        <w:t>IPEA has no budgeted capital expenditure on behalf of Government.</w:t>
      </w:r>
    </w:p>
    <w:p w14:paraId="2239EAA0" w14:textId="77777777" w:rsidR="00BF0558" w:rsidRDefault="00BF0558" w:rsidP="004D5C6C"/>
    <w:p w14:paraId="2239EAA1" w14:textId="77777777" w:rsidR="00BF0558" w:rsidRPr="00C17B32" w:rsidRDefault="00BF0558" w:rsidP="004D5C6C">
      <w:pPr>
        <w:pStyle w:val="TableHeading"/>
        <w:keepNext w:val="0"/>
        <w:spacing w:after="0" w:line="260" w:lineRule="exact"/>
        <w:jc w:val="both"/>
      </w:pPr>
      <w:r>
        <w:t>Table 3.11: Statement of administered asset movements (Budget year 2022-23)</w:t>
      </w:r>
    </w:p>
    <w:p w14:paraId="6B681161" w14:textId="77777777" w:rsidR="00592CEE" w:rsidRDefault="00BF0558" w:rsidP="00592CEE">
      <w:pPr>
        <w:rPr>
          <w:szCs w:val="19"/>
        </w:rPr>
        <w:sectPr w:rsidR="00592CEE" w:rsidSect="004D5C6C">
          <w:headerReference w:type="even" r:id="rId195"/>
          <w:headerReference w:type="default" r:id="rId196"/>
          <w:footerReference w:type="even" r:id="rId197"/>
          <w:footerReference w:type="default" r:id="rId198"/>
          <w:headerReference w:type="first" r:id="rId199"/>
          <w:footerReference w:type="first" r:id="rId200"/>
          <w:pgSz w:w="11906" w:h="16838" w:code="9"/>
          <w:pgMar w:top="2835" w:right="2098" w:bottom="2466" w:left="2098" w:header="1814" w:footer="1814" w:gutter="0"/>
          <w:cols w:space="708"/>
          <w:titlePg/>
          <w:docGrid w:linePitch="360"/>
        </w:sectPr>
      </w:pPr>
      <w:r w:rsidRPr="002F217C">
        <w:rPr>
          <w:szCs w:val="19"/>
        </w:rPr>
        <w:t>IPEA has no budgeted non-financial assets administered on behalf of Government.</w:t>
      </w:r>
      <w:bookmarkStart w:id="306" w:name="_Toc190766151"/>
      <w:bookmarkStart w:id="307" w:name="_Toc444523519"/>
      <w:bookmarkStart w:id="308" w:name="_Toc65243503"/>
      <w:bookmarkStart w:id="309" w:name="_Toc97893024"/>
      <w:bookmarkStart w:id="310" w:name="_Toc116465553"/>
      <w:bookmarkEnd w:id="263"/>
    </w:p>
    <w:p w14:paraId="2239EAB5" w14:textId="705C4188" w:rsidR="00653120" w:rsidRPr="00592CEE" w:rsidRDefault="00653120" w:rsidP="00592CEE">
      <w:pPr>
        <w:pStyle w:val="Heading1"/>
      </w:pPr>
      <w:r w:rsidRPr="00834F9A">
        <w:lastRenderedPageBreak/>
        <w:t>Portfolio glossary</w:t>
      </w:r>
      <w:bookmarkEnd w:id="306"/>
      <w:bookmarkEnd w:id="307"/>
      <w:bookmarkEnd w:id="308"/>
      <w:bookmarkEnd w:id="309"/>
      <w:bookmarkEnd w:id="310"/>
    </w:p>
    <w:tbl>
      <w:tblPr>
        <w:tblW w:w="0" w:type="auto"/>
        <w:tblInd w:w="-34" w:type="dxa"/>
        <w:tblLook w:val="01E0" w:firstRow="1" w:lastRow="1" w:firstColumn="1" w:lastColumn="1" w:noHBand="0" w:noVBand="0"/>
      </w:tblPr>
      <w:tblGrid>
        <w:gridCol w:w="2253"/>
        <w:gridCol w:w="5491"/>
      </w:tblGrid>
      <w:tr w:rsidR="00653120" w:rsidRPr="00EE6DAA" w14:paraId="2239EAB8" w14:textId="77777777" w:rsidTr="00C6675C">
        <w:trPr>
          <w:tblHeader/>
        </w:trPr>
        <w:tc>
          <w:tcPr>
            <w:tcW w:w="2253" w:type="dxa"/>
          </w:tcPr>
          <w:p w14:paraId="2239EAB6" w14:textId="77777777" w:rsidR="00653120" w:rsidRPr="00EE6DAA" w:rsidRDefault="00653120" w:rsidP="00C6675C">
            <w:pPr>
              <w:pStyle w:val="TableColumnHeadingLeft"/>
              <w:spacing w:before="120" w:after="120"/>
              <w:rPr>
                <w:rFonts w:cs="Arial"/>
                <w:szCs w:val="16"/>
              </w:rPr>
            </w:pPr>
            <w:r w:rsidRPr="00EE6DAA">
              <w:rPr>
                <w:rFonts w:cs="Arial"/>
                <w:szCs w:val="16"/>
              </w:rPr>
              <w:t>Term</w:t>
            </w:r>
          </w:p>
        </w:tc>
        <w:tc>
          <w:tcPr>
            <w:tcW w:w="5491" w:type="dxa"/>
          </w:tcPr>
          <w:p w14:paraId="2239EAB7" w14:textId="77777777" w:rsidR="00653120" w:rsidRPr="00EE6DAA" w:rsidRDefault="00653120" w:rsidP="00C6675C">
            <w:pPr>
              <w:pStyle w:val="TableColumnHeadingLeft"/>
              <w:spacing w:before="120" w:after="120"/>
              <w:rPr>
                <w:rFonts w:cs="Arial"/>
                <w:szCs w:val="16"/>
              </w:rPr>
            </w:pPr>
            <w:r w:rsidRPr="00EE6DAA">
              <w:rPr>
                <w:rFonts w:cs="Arial"/>
                <w:szCs w:val="16"/>
              </w:rPr>
              <w:t>Meaning</w:t>
            </w:r>
          </w:p>
        </w:tc>
      </w:tr>
      <w:tr w:rsidR="00653120" w:rsidRPr="00EE6DAA" w14:paraId="2239EABB" w14:textId="77777777" w:rsidTr="00C6675C">
        <w:tc>
          <w:tcPr>
            <w:tcW w:w="2253" w:type="dxa"/>
          </w:tcPr>
          <w:p w14:paraId="2239EAB9"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Accumulated Depreciation</w:t>
            </w:r>
          </w:p>
        </w:tc>
        <w:tc>
          <w:tcPr>
            <w:tcW w:w="5491" w:type="dxa"/>
          </w:tcPr>
          <w:p w14:paraId="2239EABA"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The aggregate depreciation recorded for a particular depreciating asset.</w:t>
            </w:r>
          </w:p>
        </w:tc>
      </w:tr>
      <w:tr w:rsidR="00653120" w:rsidRPr="00EE6DAA" w14:paraId="2239EABE" w14:textId="77777777" w:rsidTr="00C6675C">
        <w:tc>
          <w:tcPr>
            <w:tcW w:w="2253" w:type="dxa"/>
          </w:tcPr>
          <w:p w14:paraId="2239EABC"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Administered Items</w:t>
            </w:r>
          </w:p>
        </w:tc>
        <w:tc>
          <w:tcPr>
            <w:tcW w:w="5491" w:type="dxa"/>
          </w:tcPr>
          <w:p w14:paraId="2239EABD"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Expenses, revenues, assets or liabilities managed by entities on behalf of the Commonwealth. Entities do not control administered items. Administered expenses include grants, subsidies and benefits. In many cases, administered expenses fund the delivery of third party outputs.</w:t>
            </w:r>
          </w:p>
        </w:tc>
      </w:tr>
      <w:tr w:rsidR="00653120" w:rsidRPr="00EE6DAA" w14:paraId="2239EAC1" w14:textId="77777777" w:rsidTr="00C6675C">
        <w:tc>
          <w:tcPr>
            <w:tcW w:w="2253" w:type="dxa"/>
          </w:tcPr>
          <w:p w14:paraId="2239EABF"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Additional Estimates</w:t>
            </w:r>
          </w:p>
        </w:tc>
        <w:tc>
          <w:tcPr>
            <w:tcW w:w="5491" w:type="dxa"/>
          </w:tcPr>
          <w:p w14:paraId="2239EAC0"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 xml:space="preserve">Where amounts appropriated at Budget time are insufficient, Parliament may appropriate more funds to portfolios through the Additional Estimates Acts. </w:t>
            </w:r>
          </w:p>
        </w:tc>
      </w:tr>
      <w:tr w:rsidR="00653120" w:rsidRPr="00EE6DAA" w14:paraId="2239EAC4" w14:textId="77777777" w:rsidTr="00C6675C">
        <w:tc>
          <w:tcPr>
            <w:tcW w:w="2253" w:type="dxa"/>
          </w:tcPr>
          <w:p w14:paraId="2239EAC2"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Additional Estimates Bills or Acts</w:t>
            </w:r>
          </w:p>
        </w:tc>
        <w:tc>
          <w:tcPr>
            <w:tcW w:w="5491" w:type="dxa"/>
          </w:tcPr>
          <w:p w14:paraId="2239EAC3" w14:textId="5E69C3ED"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These are Appropriation Bills (No. 3) and (No .4) and a separate Bill for the Parliamentary Departments ((Parliamentary Departments) Bill (No.</w:t>
            </w:r>
            <w:r w:rsidR="006E0FD3">
              <w:rPr>
                <w:rFonts w:ascii="Arial" w:hAnsi="Arial" w:cs="Arial"/>
                <w:sz w:val="16"/>
                <w:szCs w:val="16"/>
              </w:rPr>
              <w:t xml:space="preserve"> </w:t>
            </w:r>
            <w:r w:rsidRPr="00EE6DAA">
              <w:rPr>
                <w:rFonts w:ascii="Arial" w:hAnsi="Arial" w:cs="Arial"/>
                <w:sz w:val="16"/>
                <w:szCs w:val="16"/>
              </w:rPr>
              <w:t>2)). These Bills are introduced into Parliament after the Budget Bills.</w:t>
            </w:r>
          </w:p>
        </w:tc>
      </w:tr>
      <w:tr w:rsidR="009F125C" w:rsidRPr="00EE6DAA" w14:paraId="5BE75AAF" w14:textId="77777777" w:rsidTr="00C6675C">
        <w:tc>
          <w:tcPr>
            <w:tcW w:w="2253" w:type="dxa"/>
          </w:tcPr>
          <w:p w14:paraId="45065FD3" w14:textId="33B60ACD" w:rsidR="009F125C" w:rsidRPr="00EE6DAA" w:rsidRDefault="009F125C" w:rsidP="00C6675C">
            <w:pPr>
              <w:spacing w:beforeLines="40" w:before="96" w:after="120"/>
              <w:rPr>
                <w:rFonts w:ascii="Arial" w:hAnsi="Arial" w:cs="Arial"/>
                <w:sz w:val="16"/>
                <w:szCs w:val="16"/>
              </w:rPr>
            </w:pPr>
            <w:r>
              <w:rPr>
                <w:rFonts w:ascii="Arial" w:hAnsi="Arial" w:cs="Arial"/>
                <w:sz w:val="16"/>
                <w:szCs w:val="16"/>
              </w:rPr>
              <w:t>ADF Super</w:t>
            </w:r>
          </w:p>
        </w:tc>
        <w:tc>
          <w:tcPr>
            <w:tcW w:w="5491" w:type="dxa"/>
          </w:tcPr>
          <w:p w14:paraId="2096FFFD" w14:textId="0B4F85E2" w:rsidR="009F125C" w:rsidRPr="00EE6DAA" w:rsidRDefault="009F125C" w:rsidP="00C6675C">
            <w:pPr>
              <w:spacing w:beforeLines="40" w:before="96" w:after="120"/>
              <w:rPr>
                <w:rFonts w:ascii="Arial" w:hAnsi="Arial" w:cs="Arial"/>
                <w:sz w:val="16"/>
                <w:szCs w:val="16"/>
              </w:rPr>
            </w:pPr>
            <w:r>
              <w:rPr>
                <w:rFonts w:ascii="Arial" w:hAnsi="Arial" w:cs="Arial"/>
                <w:sz w:val="16"/>
                <w:szCs w:val="16"/>
              </w:rPr>
              <w:t>Australian Defence Force Superannuation Scheme.</w:t>
            </w:r>
          </w:p>
        </w:tc>
      </w:tr>
      <w:tr w:rsidR="007D7E8E" w:rsidRPr="00EE6DAA" w14:paraId="14D5A7F1" w14:textId="77777777" w:rsidTr="00C6675C">
        <w:tc>
          <w:tcPr>
            <w:tcW w:w="2253" w:type="dxa"/>
          </w:tcPr>
          <w:p w14:paraId="0BDE4F54" w14:textId="527C32F9" w:rsidR="007D7E8E" w:rsidRDefault="007D7E8E" w:rsidP="00C6675C">
            <w:pPr>
              <w:spacing w:beforeLines="40" w:before="96" w:after="120"/>
              <w:rPr>
                <w:rFonts w:ascii="Arial" w:hAnsi="Arial" w:cs="Arial"/>
                <w:sz w:val="16"/>
                <w:szCs w:val="16"/>
              </w:rPr>
            </w:pPr>
            <w:r>
              <w:rPr>
                <w:rFonts w:ascii="Arial" w:hAnsi="Arial" w:cs="Arial"/>
                <w:sz w:val="16"/>
                <w:szCs w:val="16"/>
              </w:rPr>
              <w:t>ADF Cover</w:t>
            </w:r>
          </w:p>
        </w:tc>
        <w:tc>
          <w:tcPr>
            <w:tcW w:w="5491" w:type="dxa"/>
          </w:tcPr>
          <w:p w14:paraId="6A95EDEE" w14:textId="52271BE4" w:rsidR="007D7E8E" w:rsidRDefault="007D7E8E" w:rsidP="00C6675C">
            <w:pPr>
              <w:spacing w:beforeLines="40" w:before="96" w:after="120"/>
              <w:rPr>
                <w:rFonts w:ascii="Arial" w:hAnsi="Arial" w:cs="Arial"/>
                <w:sz w:val="16"/>
                <w:szCs w:val="16"/>
              </w:rPr>
            </w:pPr>
            <w:r>
              <w:rPr>
                <w:rFonts w:ascii="Arial" w:hAnsi="Arial" w:cs="Arial"/>
                <w:sz w:val="16"/>
                <w:szCs w:val="16"/>
              </w:rPr>
              <w:t>Australian Defence Force Cover Scheme</w:t>
            </w:r>
            <w:r w:rsidR="000832E4">
              <w:rPr>
                <w:rFonts w:ascii="Arial" w:hAnsi="Arial" w:cs="Arial"/>
                <w:sz w:val="16"/>
                <w:szCs w:val="16"/>
              </w:rPr>
              <w:t>.</w:t>
            </w:r>
          </w:p>
        </w:tc>
      </w:tr>
      <w:tr w:rsidR="009F125C" w:rsidRPr="00EE6DAA" w14:paraId="3F7B1682" w14:textId="77777777" w:rsidTr="00C6675C">
        <w:tc>
          <w:tcPr>
            <w:tcW w:w="2253" w:type="dxa"/>
          </w:tcPr>
          <w:p w14:paraId="72E266F2" w14:textId="7B8C70EF" w:rsidR="009F125C" w:rsidRPr="00EE6DAA" w:rsidRDefault="009F125C" w:rsidP="00C6675C">
            <w:pPr>
              <w:spacing w:beforeLines="40" w:before="96" w:after="120"/>
              <w:rPr>
                <w:rFonts w:ascii="Arial" w:hAnsi="Arial" w:cs="Arial"/>
                <w:sz w:val="16"/>
                <w:szCs w:val="16"/>
              </w:rPr>
            </w:pPr>
            <w:r>
              <w:rPr>
                <w:rFonts w:ascii="Arial" w:hAnsi="Arial" w:cs="Arial"/>
                <w:sz w:val="16"/>
                <w:szCs w:val="16"/>
              </w:rPr>
              <w:t>AEC</w:t>
            </w:r>
          </w:p>
        </w:tc>
        <w:tc>
          <w:tcPr>
            <w:tcW w:w="5491" w:type="dxa"/>
          </w:tcPr>
          <w:p w14:paraId="72945483" w14:textId="04A62300" w:rsidR="009F125C" w:rsidRPr="00EE6DAA" w:rsidRDefault="009F125C" w:rsidP="00C6675C">
            <w:pPr>
              <w:spacing w:beforeLines="40" w:before="96" w:after="120"/>
              <w:rPr>
                <w:rFonts w:ascii="Arial" w:hAnsi="Arial" w:cs="Arial"/>
                <w:sz w:val="16"/>
                <w:szCs w:val="16"/>
              </w:rPr>
            </w:pPr>
            <w:r>
              <w:rPr>
                <w:rFonts w:ascii="Arial" w:hAnsi="Arial" w:cs="Arial"/>
                <w:sz w:val="16"/>
                <w:szCs w:val="16"/>
              </w:rPr>
              <w:t>Australian Electoral Commission.</w:t>
            </w:r>
          </w:p>
        </w:tc>
      </w:tr>
      <w:tr w:rsidR="007A0406" w:rsidRPr="00EE6DAA" w14:paraId="33C0BFD4" w14:textId="77777777" w:rsidTr="00C6675C">
        <w:tc>
          <w:tcPr>
            <w:tcW w:w="2253" w:type="dxa"/>
          </w:tcPr>
          <w:p w14:paraId="7EDD21C2" w14:textId="20C4F83C" w:rsidR="007A0406" w:rsidRPr="00EE6DAA" w:rsidRDefault="007A0406" w:rsidP="00C6675C">
            <w:pPr>
              <w:spacing w:beforeLines="40" w:before="96" w:after="120"/>
              <w:rPr>
                <w:rFonts w:ascii="Arial" w:hAnsi="Arial" w:cs="Arial"/>
                <w:sz w:val="16"/>
                <w:szCs w:val="16"/>
              </w:rPr>
            </w:pPr>
            <w:r>
              <w:rPr>
                <w:rFonts w:ascii="Arial" w:hAnsi="Arial" w:cs="Arial"/>
                <w:sz w:val="16"/>
                <w:szCs w:val="16"/>
              </w:rPr>
              <w:t>ANAO</w:t>
            </w:r>
          </w:p>
        </w:tc>
        <w:tc>
          <w:tcPr>
            <w:tcW w:w="5491" w:type="dxa"/>
          </w:tcPr>
          <w:p w14:paraId="04650D6D" w14:textId="180B904A" w:rsidR="007A0406" w:rsidRPr="00EE6DAA" w:rsidRDefault="007A0406" w:rsidP="00C6675C">
            <w:pPr>
              <w:spacing w:beforeLines="40" w:before="96" w:after="120"/>
              <w:rPr>
                <w:rFonts w:ascii="Arial" w:hAnsi="Arial" w:cs="Arial"/>
                <w:sz w:val="16"/>
                <w:szCs w:val="16"/>
              </w:rPr>
            </w:pPr>
            <w:r>
              <w:rPr>
                <w:rFonts w:ascii="Arial" w:hAnsi="Arial" w:cs="Arial"/>
                <w:sz w:val="16"/>
                <w:szCs w:val="16"/>
              </w:rPr>
              <w:t>Australian National Audit Office</w:t>
            </w:r>
            <w:r w:rsidR="000832E4">
              <w:rPr>
                <w:rFonts w:ascii="Arial" w:hAnsi="Arial" w:cs="Arial"/>
                <w:sz w:val="16"/>
                <w:szCs w:val="16"/>
              </w:rPr>
              <w:t>.</w:t>
            </w:r>
          </w:p>
        </w:tc>
      </w:tr>
      <w:tr w:rsidR="00653120" w:rsidRPr="00EE6DAA" w14:paraId="2239EAC7" w14:textId="77777777" w:rsidTr="00C6675C">
        <w:tc>
          <w:tcPr>
            <w:tcW w:w="2253" w:type="dxa"/>
          </w:tcPr>
          <w:p w14:paraId="2239EAC5"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Appropriation</w:t>
            </w:r>
          </w:p>
        </w:tc>
        <w:tc>
          <w:tcPr>
            <w:tcW w:w="5491" w:type="dxa"/>
          </w:tcPr>
          <w:p w14:paraId="2239EAC6"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 xml:space="preserve">A law of the Australian Parliament that provides authority for Commonwealth entities to spend money from the Consolidated Revenue Fund for a particular purpose. Entities may not spend money without an appropriation authorising that expenditure and, where necessary, other legislation authorising the specified purpose. </w:t>
            </w:r>
          </w:p>
        </w:tc>
      </w:tr>
      <w:tr w:rsidR="007D7E8E" w:rsidRPr="00EE6DAA" w14:paraId="417B84E1" w14:textId="77777777" w:rsidTr="00C6675C">
        <w:tc>
          <w:tcPr>
            <w:tcW w:w="2253" w:type="dxa"/>
          </w:tcPr>
          <w:p w14:paraId="748A9ED0" w14:textId="38540A8D" w:rsidR="007D7E8E" w:rsidRPr="00EE6DAA" w:rsidRDefault="007D7E8E" w:rsidP="00C6675C">
            <w:pPr>
              <w:spacing w:beforeLines="40" w:before="96" w:after="120"/>
              <w:rPr>
                <w:rFonts w:ascii="Arial" w:hAnsi="Arial" w:cs="Arial"/>
                <w:sz w:val="16"/>
                <w:szCs w:val="16"/>
              </w:rPr>
            </w:pPr>
            <w:r>
              <w:rPr>
                <w:rFonts w:ascii="Arial" w:hAnsi="Arial" w:cs="Arial"/>
                <w:sz w:val="16"/>
                <w:szCs w:val="16"/>
              </w:rPr>
              <w:t>APRA</w:t>
            </w:r>
          </w:p>
        </w:tc>
        <w:tc>
          <w:tcPr>
            <w:tcW w:w="5491" w:type="dxa"/>
          </w:tcPr>
          <w:p w14:paraId="04FB8DCC" w14:textId="33A74F0F" w:rsidR="007D7E8E" w:rsidRPr="00EE6DAA" w:rsidRDefault="007D7E8E" w:rsidP="00C6675C">
            <w:pPr>
              <w:spacing w:beforeLines="40" w:before="96" w:after="120"/>
              <w:rPr>
                <w:rFonts w:ascii="Arial" w:hAnsi="Arial" w:cs="Arial"/>
                <w:sz w:val="16"/>
                <w:szCs w:val="16"/>
              </w:rPr>
            </w:pPr>
            <w:r>
              <w:rPr>
                <w:rFonts w:ascii="Arial" w:hAnsi="Arial" w:cs="Arial"/>
                <w:sz w:val="16"/>
                <w:szCs w:val="16"/>
              </w:rPr>
              <w:t>Australian Prudential Regulation Authority</w:t>
            </w:r>
            <w:r w:rsidR="000832E4">
              <w:rPr>
                <w:rFonts w:ascii="Arial" w:hAnsi="Arial" w:cs="Arial"/>
                <w:sz w:val="16"/>
                <w:szCs w:val="16"/>
              </w:rPr>
              <w:t>.</w:t>
            </w:r>
          </w:p>
        </w:tc>
      </w:tr>
      <w:tr w:rsidR="002076B4" w:rsidRPr="00EE6DAA" w14:paraId="69DE0A59" w14:textId="77777777" w:rsidTr="00C6675C">
        <w:tc>
          <w:tcPr>
            <w:tcW w:w="2253" w:type="dxa"/>
          </w:tcPr>
          <w:p w14:paraId="587EA558" w14:textId="25B545BC" w:rsidR="002076B4" w:rsidRPr="00EE6DAA" w:rsidRDefault="002076B4" w:rsidP="00C6675C">
            <w:pPr>
              <w:spacing w:beforeLines="40" w:before="96" w:after="120"/>
              <w:rPr>
                <w:rFonts w:ascii="Arial" w:hAnsi="Arial" w:cs="Arial"/>
                <w:sz w:val="16"/>
                <w:szCs w:val="16"/>
              </w:rPr>
            </w:pPr>
            <w:r>
              <w:rPr>
                <w:rFonts w:ascii="Arial" w:hAnsi="Arial" w:cs="Arial"/>
                <w:sz w:val="16"/>
                <w:szCs w:val="16"/>
              </w:rPr>
              <w:t>APS</w:t>
            </w:r>
          </w:p>
        </w:tc>
        <w:tc>
          <w:tcPr>
            <w:tcW w:w="5491" w:type="dxa"/>
          </w:tcPr>
          <w:p w14:paraId="0D9A0C7F" w14:textId="1D162AA3" w:rsidR="002076B4" w:rsidRPr="00EE6DAA" w:rsidRDefault="002076B4" w:rsidP="00C6675C">
            <w:pPr>
              <w:spacing w:beforeLines="40" w:before="96" w:after="120"/>
              <w:rPr>
                <w:rFonts w:ascii="Arial" w:hAnsi="Arial" w:cs="Arial"/>
                <w:sz w:val="16"/>
                <w:szCs w:val="16"/>
              </w:rPr>
            </w:pPr>
            <w:r>
              <w:rPr>
                <w:rFonts w:ascii="Arial" w:hAnsi="Arial" w:cs="Arial"/>
                <w:sz w:val="16"/>
                <w:szCs w:val="16"/>
              </w:rPr>
              <w:t>Australian Public Service</w:t>
            </w:r>
            <w:r w:rsidR="000832E4">
              <w:rPr>
                <w:rFonts w:ascii="Arial" w:hAnsi="Arial" w:cs="Arial"/>
                <w:sz w:val="16"/>
                <w:szCs w:val="16"/>
              </w:rPr>
              <w:t>.</w:t>
            </w:r>
          </w:p>
        </w:tc>
      </w:tr>
      <w:tr w:rsidR="00653120" w:rsidRPr="00EE6DAA" w14:paraId="2239EACA" w14:textId="77777777" w:rsidTr="00C6675C">
        <w:tc>
          <w:tcPr>
            <w:tcW w:w="2253" w:type="dxa"/>
          </w:tcPr>
          <w:p w14:paraId="2239EAC8"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Annual Appropriation</w:t>
            </w:r>
          </w:p>
        </w:tc>
        <w:tc>
          <w:tcPr>
            <w:tcW w:w="5491" w:type="dxa"/>
          </w:tcPr>
          <w:p w14:paraId="2239EAC9"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Two appropriation Bills are introduced into Parliament in May and comprise the Budget. Further Bills are introduced later in the financial year as part of the Additional Estimates. Parliamentary departments have their own appropriations.</w:t>
            </w:r>
          </w:p>
        </w:tc>
      </w:tr>
      <w:tr w:rsidR="007D7E8E" w:rsidRPr="00EE6DAA" w14:paraId="6F357EDD" w14:textId="77777777" w:rsidTr="00C6675C">
        <w:tc>
          <w:tcPr>
            <w:tcW w:w="2253" w:type="dxa"/>
          </w:tcPr>
          <w:p w14:paraId="0051AD85" w14:textId="269F995B" w:rsidR="007D7E8E" w:rsidRPr="00EE6DAA" w:rsidRDefault="007D7E8E" w:rsidP="00C6675C">
            <w:pPr>
              <w:spacing w:beforeLines="40" w:before="96" w:after="120"/>
              <w:rPr>
                <w:rFonts w:ascii="Arial" w:hAnsi="Arial" w:cs="Arial"/>
                <w:sz w:val="16"/>
                <w:szCs w:val="16"/>
              </w:rPr>
            </w:pPr>
            <w:r>
              <w:rPr>
                <w:rFonts w:ascii="Arial" w:hAnsi="Arial" w:cs="Arial"/>
                <w:sz w:val="16"/>
                <w:szCs w:val="16"/>
              </w:rPr>
              <w:t>ASIC</w:t>
            </w:r>
          </w:p>
        </w:tc>
        <w:tc>
          <w:tcPr>
            <w:tcW w:w="5491" w:type="dxa"/>
          </w:tcPr>
          <w:p w14:paraId="587A8462" w14:textId="4F09FCB1" w:rsidR="007D7E8E" w:rsidRPr="00EE6DAA" w:rsidRDefault="007D7E8E" w:rsidP="00C6675C">
            <w:pPr>
              <w:spacing w:beforeLines="40" w:before="96" w:after="120"/>
              <w:rPr>
                <w:rFonts w:ascii="Arial" w:hAnsi="Arial" w:cs="Arial"/>
                <w:sz w:val="16"/>
                <w:szCs w:val="16"/>
              </w:rPr>
            </w:pPr>
            <w:r>
              <w:rPr>
                <w:rFonts w:ascii="Arial" w:hAnsi="Arial" w:cs="Arial"/>
                <w:sz w:val="16"/>
                <w:szCs w:val="16"/>
              </w:rPr>
              <w:t>Australian Securities and Investment Commission.</w:t>
            </w:r>
          </w:p>
        </w:tc>
      </w:tr>
      <w:tr w:rsidR="007A0406" w:rsidRPr="00EE6DAA" w14:paraId="49084C3A" w14:textId="77777777" w:rsidTr="00C6675C">
        <w:tc>
          <w:tcPr>
            <w:tcW w:w="2253" w:type="dxa"/>
          </w:tcPr>
          <w:p w14:paraId="1ED5EA37" w14:textId="7099619B" w:rsidR="007A0406" w:rsidRPr="00EE6DAA" w:rsidRDefault="007A0406" w:rsidP="00C6675C">
            <w:pPr>
              <w:spacing w:beforeLines="40" w:before="96" w:after="120"/>
              <w:rPr>
                <w:rFonts w:ascii="Arial" w:hAnsi="Arial" w:cs="Arial"/>
                <w:sz w:val="16"/>
                <w:szCs w:val="16"/>
              </w:rPr>
            </w:pPr>
            <w:r>
              <w:rPr>
                <w:rFonts w:ascii="Arial" w:hAnsi="Arial" w:cs="Arial"/>
                <w:sz w:val="16"/>
                <w:szCs w:val="16"/>
              </w:rPr>
              <w:t>ATSILSFF</w:t>
            </w:r>
          </w:p>
        </w:tc>
        <w:tc>
          <w:tcPr>
            <w:tcW w:w="5491" w:type="dxa"/>
          </w:tcPr>
          <w:p w14:paraId="0F86FF99" w14:textId="64A0A743" w:rsidR="007A0406" w:rsidRPr="00EE6DAA" w:rsidRDefault="007A0406" w:rsidP="00C6675C">
            <w:pPr>
              <w:spacing w:beforeLines="40" w:before="96" w:after="120"/>
              <w:rPr>
                <w:rFonts w:ascii="Arial" w:hAnsi="Arial" w:cs="Arial"/>
                <w:sz w:val="16"/>
                <w:szCs w:val="16"/>
              </w:rPr>
            </w:pPr>
            <w:r>
              <w:rPr>
                <w:rFonts w:ascii="Arial" w:hAnsi="Arial" w:cs="Arial"/>
                <w:sz w:val="16"/>
                <w:szCs w:val="16"/>
              </w:rPr>
              <w:t>Aboriginal and Torres Strait Islander Land and Sea Future Fund.</w:t>
            </w:r>
          </w:p>
        </w:tc>
      </w:tr>
      <w:tr w:rsidR="00653120" w:rsidRPr="00EE6DAA" w14:paraId="2239EACD" w14:textId="77777777" w:rsidTr="00C6675C">
        <w:tc>
          <w:tcPr>
            <w:tcW w:w="2253" w:type="dxa"/>
          </w:tcPr>
          <w:p w14:paraId="2239EACB"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Capital Expenditure</w:t>
            </w:r>
          </w:p>
        </w:tc>
        <w:tc>
          <w:tcPr>
            <w:tcW w:w="5491" w:type="dxa"/>
          </w:tcPr>
          <w:p w14:paraId="2239EACC"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Expenditure by an entity on capital projects, for example purchasing a building.</w:t>
            </w:r>
          </w:p>
        </w:tc>
      </w:tr>
      <w:tr w:rsidR="00653120" w:rsidRPr="00EE6DAA" w14:paraId="2239EAD0" w14:textId="77777777" w:rsidTr="00C6675C">
        <w:tblPrEx>
          <w:tblLook w:val="0000" w:firstRow="0" w:lastRow="0" w:firstColumn="0" w:lastColumn="0" w:noHBand="0" w:noVBand="0"/>
        </w:tblPrEx>
        <w:trPr>
          <w:cantSplit/>
          <w:trHeight w:val="567"/>
        </w:trPr>
        <w:tc>
          <w:tcPr>
            <w:tcW w:w="2253" w:type="dxa"/>
          </w:tcPr>
          <w:p w14:paraId="2239EACE"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lastRenderedPageBreak/>
              <w:t>Charter of Budget Honesty Act</w:t>
            </w:r>
          </w:p>
        </w:tc>
        <w:tc>
          <w:tcPr>
            <w:tcW w:w="5491" w:type="dxa"/>
          </w:tcPr>
          <w:p w14:paraId="2239EACF"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 xml:space="preserve">The </w:t>
            </w:r>
            <w:r w:rsidRPr="00EE6DAA">
              <w:rPr>
                <w:rFonts w:ascii="Arial" w:hAnsi="Arial" w:cs="Arial"/>
                <w:i/>
                <w:sz w:val="16"/>
                <w:szCs w:val="16"/>
              </w:rPr>
              <w:t>Charter of Budget Honesty Act 1998</w:t>
            </w:r>
            <w:r w:rsidRPr="00EE6DAA">
              <w:rPr>
                <w:rFonts w:ascii="Arial" w:hAnsi="Arial" w:cs="Arial"/>
                <w:sz w:val="16"/>
                <w:szCs w:val="16"/>
              </w:rPr>
              <w:t xml:space="preserve"> provides a legislative framework for the conduct and reporting of fiscal policy. </w:t>
            </w:r>
          </w:p>
        </w:tc>
      </w:tr>
      <w:tr w:rsidR="0016721E" w:rsidRPr="00EE6DAA" w14:paraId="5A850DE5" w14:textId="77777777" w:rsidTr="00C6675C">
        <w:tblPrEx>
          <w:tblLook w:val="0000" w:firstRow="0" w:lastRow="0" w:firstColumn="0" w:lastColumn="0" w:noHBand="0" w:noVBand="0"/>
        </w:tblPrEx>
        <w:trPr>
          <w:cantSplit/>
          <w:trHeight w:val="567"/>
        </w:trPr>
        <w:tc>
          <w:tcPr>
            <w:tcW w:w="2253" w:type="dxa"/>
          </w:tcPr>
          <w:p w14:paraId="3F96CD50" w14:textId="276BD2D9" w:rsidR="0016721E" w:rsidRPr="00EE6DAA" w:rsidRDefault="0016721E" w:rsidP="00C6675C">
            <w:pPr>
              <w:spacing w:beforeLines="40" w:before="96" w:after="120"/>
              <w:rPr>
                <w:rFonts w:ascii="Arial" w:hAnsi="Arial" w:cs="Arial"/>
                <w:sz w:val="16"/>
                <w:szCs w:val="16"/>
              </w:rPr>
            </w:pPr>
            <w:r>
              <w:rPr>
                <w:rFonts w:ascii="Arial" w:hAnsi="Arial" w:cs="Arial"/>
                <w:sz w:val="16"/>
                <w:szCs w:val="16"/>
              </w:rPr>
              <w:t>COMCAR</w:t>
            </w:r>
          </w:p>
        </w:tc>
        <w:tc>
          <w:tcPr>
            <w:tcW w:w="5491" w:type="dxa"/>
          </w:tcPr>
          <w:p w14:paraId="174F5BE5" w14:textId="3BDA5DF6" w:rsidR="0016721E" w:rsidRPr="00EE6DAA" w:rsidRDefault="0016721E" w:rsidP="0016721E">
            <w:pPr>
              <w:spacing w:beforeLines="40" w:before="96" w:after="120"/>
              <w:rPr>
                <w:rFonts w:ascii="Arial" w:hAnsi="Arial" w:cs="Arial"/>
                <w:sz w:val="16"/>
                <w:szCs w:val="16"/>
              </w:rPr>
            </w:pPr>
            <w:r w:rsidRPr="0016721E">
              <w:rPr>
                <w:rFonts w:ascii="Arial" w:hAnsi="Arial" w:cs="Arial"/>
                <w:sz w:val="16"/>
                <w:szCs w:val="16"/>
              </w:rPr>
              <w:t>COMCAR is par</w:t>
            </w:r>
            <w:r>
              <w:rPr>
                <w:rFonts w:ascii="Arial" w:hAnsi="Arial" w:cs="Arial"/>
                <w:sz w:val="16"/>
                <w:szCs w:val="16"/>
              </w:rPr>
              <w:t xml:space="preserve">t of the Department of Finance </w:t>
            </w:r>
            <w:r w:rsidRPr="0016721E">
              <w:rPr>
                <w:rFonts w:ascii="Arial" w:hAnsi="Arial" w:cs="Arial"/>
                <w:sz w:val="16"/>
                <w:szCs w:val="16"/>
              </w:rPr>
              <w:t>which provides high quality, secure and confidential car-with-driver and other ground transport services to the Governor</w:t>
            </w:r>
            <w:r w:rsidRPr="0016721E">
              <w:rPr>
                <w:rFonts w:ascii="Cambria Math" w:hAnsi="Cambria Math" w:cs="Cambria Math"/>
                <w:sz w:val="16"/>
                <w:szCs w:val="16"/>
              </w:rPr>
              <w:t>‑</w:t>
            </w:r>
            <w:r w:rsidRPr="0016721E">
              <w:rPr>
                <w:rFonts w:ascii="Arial" w:hAnsi="Arial" w:cs="Arial"/>
                <w:sz w:val="16"/>
                <w:szCs w:val="16"/>
              </w:rPr>
              <w:t>General, Prime Minister, parliamentarians, members of the Federal Judiciary and other high office holders.</w:t>
            </w:r>
          </w:p>
        </w:tc>
      </w:tr>
      <w:tr w:rsidR="009F125C" w:rsidRPr="00EE6DAA" w14:paraId="67ACBA7E" w14:textId="77777777" w:rsidTr="009F125C">
        <w:tblPrEx>
          <w:tblLook w:val="0000" w:firstRow="0" w:lastRow="0" w:firstColumn="0" w:lastColumn="0" w:noHBand="0" w:noVBand="0"/>
        </w:tblPrEx>
        <w:trPr>
          <w:cantSplit/>
          <w:trHeight w:val="397"/>
        </w:trPr>
        <w:tc>
          <w:tcPr>
            <w:tcW w:w="2253" w:type="dxa"/>
          </w:tcPr>
          <w:p w14:paraId="1C9BF1E7" w14:textId="7323FA41" w:rsidR="009F125C" w:rsidRDefault="009F125C" w:rsidP="00C6675C">
            <w:pPr>
              <w:spacing w:beforeLines="40" w:before="96" w:after="120"/>
              <w:rPr>
                <w:rFonts w:ascii="Arial" w:hAnsi="Arial" w:cs="Arial"/>
                <w:sz w:val="16"/>
                <w:szCs w:val="16"/>
              </w:rPr>
            </w:pPr>
            <w:r>
              <w:rPr>
                <w:rFonts w:ascii="Arial" w:hAnsi="Arial" w:cs="Arial"/>
                <w:sz w:val="16"/>
                <w:szCs w:val="16"/>
              </w:rPr>
              <w:t>CSC</w:t>
            </w:r>
          </w:p>
        </w:tc>
        <w:tc>
          <w:tcPr>
            <w:tcW w:w="5491" w:type="dxa"/>
          </w:tcPr>
          <w:p w14:paraId="259BDE52" w14:textId="45B9B212" w:rsidR="009F125C" w:rsidRPr="0016721E" w:rsidRDefault="009F125C" w:rsidP="0016721E">
            <w:pPr>
              <w:spacing w:beforeLines="40" w:before="96" w:after="120"/>
              <w:rPr>
                <w:rFonts w:ascii="Arial" w:hAnsi="Arial" w:cs="Arial"/>
                <w:sz w:val="16"/>
                <w:szCs w:val="16"/>
              </w:rPr>
            </w:pPr>
            <w:r>
              <w:rPr>
                <w:rFonts w:ascii="Arial" w:hAnsi="Arial" w:cs="Arial"/>
                <w:sz w:val="16"/>
                <w:szCs w:val="16"/>
              </w:rPr>
              <w:t>Commonwealth Superannuation Corporation.</w:t>
            </w:r>
          </w:p>
        </w:tc>
      </w:tr>
      <w:tr w:rsidR="009F125C" w:rsidRPr="00EE6DAA" w14:paraId="63B84505" w14:textId="77777777" w:rsidTr="009F125C">
        <w:tblPrEx>
          <w:tblLook w:val="0000" w:firstRow="0" w:lastRow="0" w:firstColumn="0" w:lastColumn="0" w:noHBand="0" w:noVBand="0"/>
        </w:tblPrEx>
        <w:trPr>
          <w:cantSplit/>
          <w:trHeight w:val="397"/>
        </w:trPr>
        <w:tc>
          <w:tcPr>
            <w:tcW w:w="2253" w:type="dxa"/>
          </w:tcPr>
          <w:p w14:paraId="343394E2" w14:textId="553CAD33" w:rsidR="009F125C" w:rsidRDefault="009F125C" w:rsidP="00C6675C">
            <w:pPr>
              <w:spacing w:beforeLines="40" w:before="96" w:after="120"/>
              <w:rPr>
                <w:rFonts w:ascii="Arial" w:hAnsi="Arial" w:cs="Arial"/>
                <w:sz w:val="16"/>
                <w:szCs w:val="16"/>
              </w:rPr>
            </w:pPr>
            <w:r>
              <w:rPr>
                <w:rFonts w:ascii="Arial" w:hAnsi="Arial" w:cs="Arial"/>
                <w:sz w:val="16"/>
                <w:szCs w:val="16"/>
              </w:rPr>
              <w:t>CSS</w:t>
            </w:r>
          </w:p>
        </w:tc>
        <w:tc>
          <w:tcPr>
            <w:tcW w:w="5491" w:type="dxa"/>
          </w:tcPr>
          <w:p w14:paraId="39E36576" w14:textId="625A9038" w:rsidR="009F125C" w:rsidRDefault="009F125C" w:rsidP="0016721E">
            <w:pPr>
              <w:spacing w:beforeLines="40" w:before="96" w:after="120"/>
              <w:rPr>
                <w:rFonts w:ascii="Arial" w:hAnsi="Arial" w:cs="Arial"/>
                <w:sz w:val="16"/>
                <w:szCs w:val="16"/>
              </w:rPr>
            </w:pPr>
            <w:r>
              <w:rPr>
                <w:rFonts w:ascii="Arial" w:hAnsi="Arial" w:cs="Arial"/>
                <w:sz w:val="16"/>
                <w:szCs w:val="16"/>
              </w:rPr>
              <w:t>Commonwealth Superannuation Scheme.</w:t>
            </w:r>
          </w:p>
        </w:tc>
      </w:tr>
      <w:tr w:rsidR="00653120" w:rsidRPr="00EE6DAA" w14:paraId="2239EAD3" w14:textId="77777777" w:rsidTr="00C6675C">
        <w:tblPrEx>
          <w:tblLook w:val="0000" w:firstRow="0" w:lastRow="0" w:firstColumn="0" w:lastColumn="0" w:noHBand="0" w:noVBand="0"/>
        </w:tblPrEx>
        <w:trPr>
          <w:cantSplit/>
          <w:trHeight w:val="567"/>
        </w:trPr>
        <w:tc>
          <w:tcPr>
            <w:tcW w:w="2253" w:type="dxa"/>
          </w:tcPr>
          <w:p w14:paraId="2239EAD1"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Departmental Items</w:t>
            </w:r>
          </w:p>
        </w:tc>
        <w:tc>
          <w:tcPr>
            <w:tcW w:w="5491" w:type="dxa"/>
          </w:tcPr>
          <w:p w14:paraId="2239EAD2"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 xml:space="preserve">Assets, liabilities, revenues and expenses that are controlled by the entity in providing its outputs. Departmental items would generally include computers, plant and equipment assets used by agencies in providing goods and services and most employee expenses, supplier costs and other administrative expenses incurred. </w:t>
            </w:r>
          </w:p>
        </w:tc>
      </w:tr>
      <w:tr w:rsidR="00653120" w:rsidRPr="00EE6DAA" w14:paraId="2239EAD6" w14:textId="77777777" w:rsidTr="00C6675C">
        <w:tblPrEx>
          <w:tblLook w:val="0000" w:firstRow="0" w:lastRow="0" w:firstColumn="0" w:lastColumn="0" w:noHBand="0" w:noVBand="0"/>
        </w:tblPrEx>
        <w:trPr>
          <w:cantSplit/>
          <w:trHeight w:val="845"/>
        </w:trPr>
        <w:tc>
          <w:tcPr>
            <w:tcW w:w="2253" w:type="dxa"/>
          </w:tcPr>
          <w:p w14:paraId="2239EAD4"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Depreciation and Amortisation</w:t>
            </w:r>
          </w:p>
        </w:tc>
        <w:tc>
          <w:tcPr>
            <w:tcW w:w="5491" w:type="dxa"/>
          </w:tcPr>
          <w:p w14:paraId="2239EAD5"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Apportionment of an asset’s capital value as an expense over its estimated useful life to take account of normal usage, obsolescence, or the passage of time.</w:t>
            </w:r>
          </w:p>
        </w:tc>
      </w:tr>
      <w:tr w:rsidR="00B65359" w:rsidRPr="00EE6DAA" w14:paraId="58F90EA9" w14:textId="77777777" w:rsidTr="00B65359">
        <w:tblPrEx>
          <w:tblLook w:val="0000" w:firstRow="0" w:lastRow="0" w:firstColumn="0" w:lastColumn="0" w:noHBand="0" w:noVBand="0"/>
        </w:tblPrEx>
        <w:trPr>
          <w:cantSplit/>
          <w:trHeight w:val="397"/>
        </w:trPr>
        <w:tc>
          <w:tcPr>
            <w:tcW w:w="2253" w:type="dxa"/>
          </w:tcPr>
          <w:p w14:paraId="39A490ED" w14:textId="7D44FAE1" w:rsidR="00B65359" w:rsidRPr="00EE6DAA" w:rsidRDefault="00B65359" w:rsidP="00C6675C">
            <w:pPr>
              <w:spacing w:beforeLines="40" w:before="96" w:after="120"/>
              <w:rPr>
                <w:rFonts w:ascii="Arial" w:hAnsi="Arial" w:cs="Arial"/>
                <w:sz w:val="16"/>
                <w:szCs w:val="16"/>
              </w:rPr>
            </w:pPr>
            <w:r>
              <w:rPr>
                <w:rFonts w:ascii="Arial" w:hAnsi="Arial" w:cs="Arial"/>
                <w:sz w:val="16"/>
                <w:szCs w:val="16"/>
              </w:rPr>
              <w:t>DCAF</w:t>
            </w:r>
          </w:p>
        </w:tc>
        <w:tc>
          <w:tcPr>
            <w:tcW w:w="5491" w:type="dxa"/>
          </w:tcPr>
          <w:p w14:paraId="7958A684" w14:textId="6BE53D18" w:rsidR="00B65359" w:rsidRPr="00EE6DAA" w:rsidRDefault="00B65359" w:rsidP="00C6675C">
            <w:pPr>
              <w:spacing w:beforeLines="40" w:before="96" w:after="120"/>
              <w:rPr>
                <w:rFonts w:ascii="Arial" w:hAnsi="Arial" w:cs="Arial"/>
                <w:sz w:val="16"/>
                <w:szCs w:val="16"/>
              </w:rPr>
            </w:pPr>
            <w:r>
              <w:rPr>
                <w:rFonts w:ascii="Arial" w:hAnsi="Arial" w:cs="Arial"/>
                <w:sz w:val="16"/>
                <w:szCs w:val="16"/>
              </w:rPr>
              <w:t>DisabilityCare Australia Fund.</w:t>
            </w:r>
          </w:p>
        </w:tc>
      </w:tr>
      <w:tr w:rsidR="007D7E8E" w:rsidRPr="00EE6DAA" w14:paraId="571FC698" w14:textId="77777777" w:rsidTr="00B65359">
        <w:tblPrEx>
          <w:tblLook w:val="0000" w:firstRow="0" w:lastRow="0" w:firstColumn="0" w:lastColumn="0" w:noHBand="0" w:noVBand="0"/>
        </w:tblPrEx>
        <w:trPr>
          <w:cantSplit/>
          <w:trHeight w:val="397"/>
        </w:trPr>
        <w:tc>
          <w:tcPr>
            <w:tcW w:w="2253" w:type="dxa"/>
          </w:tcPr>
          <w:p w14:paraId="12F34A93" w14:textId="3F35F531" w:rsidR="007D7E8E" w:rsidRDefault="007D7E8E" w:rsidP="00C6675C">
            <w:pPr>
              <w:spacing w:beforeLines="40" w:before="96" w:after="120"/>
              <w:rPr>
                <w:rFonts w:ascii="Arial" w:hAnsi="Arial" w:cs="Arial"/>
                <w:sz w:val="16"/>
                <w:szCs w:val="16"/>
              </w:rPr>
            </w:pPr>
            <w:r>
              <w:rPr>
                <w:rFonts w:ascii="Arial" w:hAnsi="Arial" w:cs="Arial"/>
                <w:sz w:val="16"/>
                <w:szCs w:val="16"/>
              </w:rPr>
              <w:t>DFRB</w:t>
            </w:r>
          </w:p>
        </w:tc>
        <w:tc>
          <w:tcPr>
            <w:tcW w:w="5491" w:type="dxa"/>
          </w:tcPr>
          <w:p w14:paraId="1A80B801" w14:textId="6DC706B2" w:rsidR="007D7E8E" w:rsidRDefault="007D7E8E" w:rsidP="00C6675C">
            <w:pPr>
              <w:spacing w:beforeLines="40" w:before="96" w:after="120"/>
              <w:rPr>
                <w:rFonts w:ascii="Arial" w:hAnsi="Arial" w:cs="Arial"/>
                <w:sz w:val="16"/>
                <w:szCs w:val="16"/>
              </w:rPr>
            </w:pPr>
            <w:r>
              <w:rPr>
                <w:rFonts w:ascii="Arial" w:hAnsi="Arial" w:cs="Arial"/>
                <w:sz w:val="16"/>
                <w:szCs w:val="16"/>
              </w:rPr>
              <w:t>Defence Forces Retirement Benefits Scheme.</w:t>
            </w:r>
          </w:p>
        </w:tc>
      </w:tr>
      <w:tr w:rsidR="007D7E8E" w:rsidRPr="00EE6DAA" w14:paraId="2C6A6295" w14:textId="77777777" w:rsidTr="00B65359">
        <w:tblPrEx>
          <w:tblLook w:val="0000" w:firstRow="0" w:lastRow="0" w:firstColumn="0" w:lastColumn="0" w:noHBand="0" w:noVBand="0"/>
        </w:tblPrEx>
        <w:trPr>
          <w:cantSplit/>
          <w:trHeight w:val="397"/>
        </w:trPr>
        <w:tc>
          <w:tcPr>
            <w:tcW w:w="2253" w:type="dxa"/>
          </w:tcPr>
          <w:p w14:paraId="6C1BC662" w14:textId="19D3C094" w:rsidR="007D7E8E" w:rsidRDefault="007D7E8E" w:rsidP="00C6675C">
            <w:pPr>
              <w:spacing w:beforeLines="40" w:before="96" w:after="120"/>
              <w:rPr>
                <w:rFonts w:ascii="Arial" w:hAnsi="Arial" w:cs="Arial"/>
                <w:sz w:val="16"/>
                <w:szCs w:val="16"/>
              </w:rPr>
            </w:pPr>
            <w:r>
              <w:rPr>
                <w:rFonts w:ascii="Arial" w:hAnsi="Arial" w:cs="Arial"/>
                <w:sz w:val="16"/>
                <w:szCs w:val="16"/>
              </w:rPr>
              <w:t>DFRDB</w:t>
            </w:r>
          </w:p>
        </w:tc>
        <w:tc>
          <w:tcPr>
            <w:tcW w:w="5491" w:type="dxa"/>
          </w:tcPr>
          <w:p w14:paraId="009698A3" w14:textId="4413E661" w:rsidR="007D7E8E" w:rsidRDefault="007D7E8E" w:rsidP="00C6675C">
            <w:pPr>
              <w:spacing w:beforeLines="40" w:before="96" w:after="120"/>
              <w:rPr>
                <w:rFonts w:ascii="Arial" w:hAnsi="Arial" w:cs="Arial"/>
                <w:sz w:val="16"/>
                <w:szCs w:val="16"/>
              </w:rPr>
            </w:pPr>
            <w:r>
              <w:rPr>
                <w:rFonts w:ascii="Arial" w:hAnsi="Arial" w:cs="Arial"/>
                <w:sz w:val="16"/>
                <w:szCs w:val="16"/>
              </w:rPr>
              <w:t>Defence Force Retirement and Death Benefits Scheme.</w:t>
            </w:r>
          </w:p>
        </w:tc>
      </w:tr>
      <w:tr w:rsidR="007D7E8E" w:rsidRPr="00EE6DAA" w14:paraId="7220194D" w14:textId="77777777" w:rsidTr="00B65359">
        <w:tblPrEx>
          <w:tblLook w:val="0000" w:firstRow="0" w:lastRow="0" w:firstColumn="0" w:lastColumn="0" w:noHBand="0" w:noVBand="0"/>
        </w:tblPrEx>
        <w:trPr>
          <w:cantSplit/>
          <w:trHeight w:val="397"/>
        </w:trPr>
        <w:tc>
          <w:tcPr>
            <w:tcW w:w="2253" w:type="dxa"/>
          </w:tcPr>
          <w:p w14:paraId="689DF771" w14:textId="74299135" w:rsidR="007D7E8E" w:rsidRDefault="007D7E8E" w:rsidP="00C6675C">
            <w:pPr>
              <w:spacing w:beforeLines="40" w:before="96" w:after="120"/>
              <w:rPr>
                <w:rFonts w:ascii="Arial" w:hAnsi="Arial" w:cs="Arial"/>
                <w:sz w:val="16"/>
                <w:szCs w:val="16"/>
              </w:rPr>
            </w:pPr>
            <w:r>
              <w:rPr>
                <w:rFonts w:ascii="Arial" w:hAnsi="Arial" w:cs="Arial"/>
                <w:sz w:val="16"/>
                <w:szCs w:val="16"/>
              </w:rPr>
              <w:t>DFSPB</w:t>
            </w:r>
          </w:p>
        </w:tc>
        <w:tc>
          <w:tcPr>
            <w:tcW w:w="5491" w:type="dxa"/>
          </w:tcPr>
          <w:p w14:paraId="0F2AA59C" w14:textId="64DF4FC9" w:rsidR="007D7E8E" w:rsidRPr="007D7E8E" w:rsidRDefault="007D7E8E" w:rsidP="00C6675C">
            <w:pPr>
              <w:spacing w:beforeLines="40" w:before="96" w:after="120"/>
            </w:pPr>
            <w:r w:rsidRPr="007D7E8E">
              <w:rPr>
                <w:rFonts w:ascii="Arial" w:hAnsi="Arial" w:cs="Arial"/>
                <w:sz w:val="16"/>
                <w:szCs w:val="16"/>
              </w:rPr>
              <w:t>Defence Force</w:t>
            </w:r>
            <w:r>
              <w:rPr>
                <w:rFonts w:ascii="Arial" w:hAnsi="Arial" w:cs="Arial"/>
                <w:sz w:val="16"/>
                <w:szCs w:val="16"/>
              </w:rPr>
              <w:t xml:space="preserve"> (Superannuation) (Productivity Benefit) Scheme</w:t>
            </w:r>
          </w:p>
        </w:tc>
      </w:tr>
      <w:tr w:rsidR="00CE7EF0" w:rsidRPr="00EE6DAA" w14:paraId="1DCFA7C5" w14:textId="77777777" w:rsidTr="00B65359">
        <w:tblPrEx>
          <w:tblLook w:val="0000" w:firstRow="0" w:lastRow="0" w:firstColumn="0" w:lastColumn="0" w:noHBand="0" w:noVBand="0"/>
        </w:tblPrEx>
        <w:trPr>
          <w:cantSplit/>
          <w:trHeight w:val="397"/>
        </w:trPr>
        <w:tc>
          <w:tcPr>
            <w:tcW w:w="2253" w:type="dxa"/>
          </w:tcPr>
          <w:p w14:paraId="59759519" w14:textId="3EFC0C6E" w:rsidR="00CE7EF0" w:rsidRDefault="00CE7EF0" w:rsidP="00C6675C">
            <w:pPr>
              <w:spacing w:beforeLines="40" w:before="96" w:after="120"/>
              <w:rPr>
                <w:rFonts w:ascii="Arial" w:hAnsi="Arial" w:cs="Arial"/>
                <w:sz w:val="16"/>
                <w:szCs w:val="16"/>
              </w:rPr>
            </w:pPr>
            <w:r>
              <w:rPr>
                <w:rFonts w:ascii="Arial" w:hAnsi="Arial" w:cs="Arial"/>
                <w:sz w:val="16"/>
                <w:szCs w:val="16"/>
              </w:rPr>
              <w:t>DTA</w:t>
            </w:r>
          </w:p>
        </w:tc>
        <w:tc>
          <w:tcPr>
            <w:tcW w:w="5491" w:type="dxa"/>
          </w:tcPr>
          <w:p w14:paraId="0EE5B7FA" w14:textId="11864196" w:rsidR="00CE7EF0" w:rsidRPr="007D7E8E" w:rsidRDefault="00CE7EF0" w:rsidP="00C6675C">
            <w:pPr>
              <w:spacing w:beforeLines="40" w:before="96" w:after="120"/>
              <w:rPr>
                <w:rFonts w:ascii="Arial" w:hAnsi="Arial" w:cs="Arial"/>
                <w:sz w:val="16"/>
                <w:szCs w:val="16"/>
              </w:rPr>
            </w:pPr>
            <w:r>
              <w:rPr>
                <w:rFonts w:ascii="Arial" w:hAnsi="Arial" w:cs="Arial"/>
                <w:sz w:val="16"/>
                <w:szCs w:val="16"/>
              </w:rPr>
              <w:t>Digital Transformation Agency</w:t>
            </w:r>
            <w:r w:rsidR="000832E4">
              <w:rPr>
                <w:rFonts w:ascii="Arial" w:hAnsi="Arial" w:cs="Arial"/>
                <w:sz w:val="16"/>
                <w:szCs w:val="16"/>
              </w:rPr>
              <w:t>.</w:t>
            </w:r>
          </w:p>
        </w:tc>
      </w:tr>
      <w:tr w:rsidR="006342FE" w:rsidRPr="00EE6DAA" w14:paraId="0E14D065" w14:textId="77777777" w:rsidTr="00B65359">
        <w:tblPrEx>
          <w:tblLook w:val="0000" w:firstRow="0" w:lastRow="0" w:firstColumn="0" w:lastColumn="0" w:noHBand="0" w:noVBand="0"/>
        </w:tblPrEx>
        <w:trPr>
          <w:cantSplit/>
          <w:trHeight w:val="397"/>
        </w:trPr>
        <w:tc>
          <w:tcPr>
            <w:tcW w:w="2253" w:type="dxa"/>
          </w:tcPr>
          <w:p w14:paraId="6CF7B458" w14:textId="674B949B" w:rsidR="006342FE" w:rsidRDefault="006342FE" w:rsidP="00C6675C">
            <w:pPr>
              <w:spacing w:beforeLines="40" w:before="96" w:after="120"/>
              <w:rPr>
                <w:rFonts w:ascii="Arial" w:hAnsi="Arial" w:cs="Arial"/>
                <w:sz w:val="16"/>
                <w:szCs w:val="16"/>
              </w:rPr>
            </w:pPr>
            <w:r>
              <w:rPr>
                <w:rFonts w:ascii="Arial" w:hAnsi="Arial" w:cs="Arial"/>
                <w:sz w:val="16"/>
                <w:szCs w:val="16"/>
              </w:rPr>
              <w:t>Electoral Act</w:t>
            </w:r>
          </w:p>
        </w:tc>
        <w:tc>
          <w:tcPr>
            <w:tcW w:w="5491" w:type="dxa"/>
          </w:tcPr>
          <w:p w14:paraId="75CE8016" w14:textId="23DC050F" w:rsidR="006342FE" w:rsidRPr="00B02924" w:rsidRDefault="006342FE" w:rsidP="00C6675C">
            <w:pPr>
              <w:spacing w:beforeLines="40" w:before="96" w:after="120"/>
              <w:rPr>
                <w:rFonts w:ascii="Arial" w:hAnsi="Arial" w:cs="Arial"/>
                <w:sz w:val="16"/>
                <w:szCs w:val="16"/>
              </w:rPr>
            </w:pPr>
            <w:r w:rsidRPr="00B02924">
              <w:rPr>
                <w:rFonts w:ascii="Arial" w:hAnsi="Arial" w:cs="Arial"/>
                <w:i/>
                <w:sz w:val="16"/>
                <w:szCs w:val="16"/>
              </w:rPr>
              <w:t>Commonwealth Electoral Act 1918</w:t>
            </w:r>
            <w:r w:rsidR="000832E4" w:rsidRPr="00B02924">
              <w:rPr>
                <w:rFonts w:ascii="Arial" w:hAnsi="Arial" w:cs="Arial"/>
                <w:i/>
                <w:sz w:val="16"/>
                <w:szCs w:val="16"/>
              </w:rPr>
              <w:t>.</w:t>
            </w:r>
          </w:p>
        </w:tc>
      </w:tr>
      <w:tr w:rsidR="00653120" w:rsidRPr="00EE6DAA" w14:paraId="2239EAD9" w14:textId="77777777" w:rsidTr="00B65359">
        <w:tblPrEx>
          <w:tblLook w:val="0000" w:firstRow="0" w:lastRow="0" w:firstColumn="0" w:lastColumn="0" w:noHBand="0" w:noVBand="0"/>
        </w:tblPrEx>
        <w:trPr>
          <w:cantSplit/>
          <w:trHeight w:val="397"/>
        </w:trPr>
        <w:tc>
          <w:tcPr>
            <w:tcW w:w="2253" w:type="dxa"/>
          </w:tcPr>
          <w:p w14:paraId="2239EAD7"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Equity or Net Assets</w:t>
            </w:r>
          </w:p>
        </w:tc>
        <w:tc>
          <w:tcPr>
            <w:tcW w:w="5491" w:type="dxa"/>
          </w:tcPr>
          <w:p w14:paraId="2239EAD8"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Residual interest in the assets of an entity after deduction of its liabilities.</w:t>
            </w:r>
          </w:p>
        </w:tc>
      </w:tr>
      <w:tr w:rsidR="00B65359" w:rsidRPr="00EE6DAA" w14:paraId="219D8ED0" w14:textId="77777777" w:rsidTr="00C6675C">
        <w:tblPrEx>
          <w:tblLook w:val="0000" w:firstRow="0" w:lastRow="0" w:firstColumn="0" w:lastColumn="0" w:noHBand="0" w:noVBand="0"/>
        </w:tblPrEx>
        <w:trPr>
          <w:cantSplit/>
        </w:trPr>
        <w:tc>
          <w:tcPr>
            <w:tcW w:w="2253" w:type="dxa"/>
          </w:tcPr>
          <w:p w14:paraId="60D654D8" w14:textId="3A8DC9CE" w:rsidR="00B65359" w:rsidRPr="00EE6DAA" w:rsidRDefault="00B65359" w:rsidP="00C6675C">
            <w:pPr>
              <w:spacing w:beforeLines="40" w:before="96" w:after="120"/>
              <w:rPr>
                <w:rFonts w:ascii="Arial" w:hAnsi="Arial" w:cs="Arial"/>
                <w:sz w:val="16"/>
                <w:szCs w:val="16"/>
              </w:rPr>
            </w:pPr>
            <w:r>
              <w:rPr>
                <w:rFonts w:ascii="Arial" w:hAnsi="Arial" w:cs="Arial"/>
                <w:sz w:val="16"/>
                <w:szCs w:val="16"/>
              </w:rPr>
              <w:t>ERC</w:t>
            </w:r>
          </w:p>
        </w:tc>
        <w:tc>
          <w:tcPr>
            <w:tcW w:w="5491" w:type="dxa"/>
          </w:tcPr>
          <w:p w14:paraId="1981BF88" w14:textId="38C47FF3" w:rsidR="00B65359" w:rsidRPr="00EE6DAA" w:rsidRDefault="00B65359" w:rsidP="00C6675C">
            <w:pPr>
              <w:spacing w:beforeLines="40" w:before="96" w:after="120"/>
              <w:rPr>
                <w:rFonts w:ascii="Arial" w:hAnsi="Arial" w:cs="Arial"/>
                <w:sz w:val="16"/>
                <w:szCs w:val="16"/>
              </w:rPr>
            </w:pPr>
            <w:r>
              <w:rPr>
                <w:rFonts w:ascii="Arial" w:hAnsi="Arial" w:cs="Arial"/>
                <w:sz w:val="16"/>
                <w:szCs w:val="16"/>
              </w:rPr>
              <w:t>Expenditure Review Committee</w:t>
            </w:r>
            <w:r w:rsidR="000832E4">
              <w:rPr>
                <w:rFonts w:ascii="Arial" w:hAnsi="Arial" w:cs="Arial"/>
                <w:sz w:val="16"/>
                <w:szCs w:val="16"/>
              </w:rPr>
              <w:t>.</w:t>
            </w:r>
          </w:p>
        </w:tc>
      </w:tr>
      <w:tr w:rsidR="007A0406" w:rsidRPr="00EE6DAA" w14:paraId="3EDA4B19" w14:textId="77777777" w:rsidTr="00C6675C">
        <w:tblPrEx>
          <w:tblLook w:val="0000" w:firstRow="0" w:lastRow="0" w:firstColumn="0" w:lastColumn="0" w:noHBand="0" w:noVBand="0"/>
        </w:tblPrEx>
        <w:trPr>
          <w:cantSplit/>
        </w:trPr>
        <w:tc>
          <w:tcPr>
            <w:tcW w:w="2253" w:type="dxa"/>
          </w:tcPr>
          <w:p w14:paraId="794E8D2A" w14:textId="0CAA046A" w:rsidR="007A0406" w:rsidRPr="00EE6DAA" w:rsidRDefault="007A0406" w:rsidP="00C6675C">
            <w:pPr>
              <w:spacing w:beforeLines="40" w:before="96" w:after="120"/>
              <w:rPr>
                <w:rFonts w:ascii="Arial" w:hAnsi="Arial" w:cs="Arial"/>
                <w:sz w:val="16"/>
                <w:szCs w:val="16"/>
              </w:rPr>
            </w:pPr>
            <w:r>
              <w:rPr>
                <w:rFonts w:ascii="Arial" w:hAnsi="Arial" w:cs="Arial"/>
                <w:sz w:val="16"/>
                <w:szCs w:val="16"/>
              </w:rPr>
              <w:t>ERF</w:t>
            </w:r>
          </w:p>
        </w:tc>
        <w:tc>
          <w:tcPr>
            <w:tcW w:w="5491" w:type="dxa"/>
          </w:tcPr>
          <w:p w14:paraId="558A89EE" w14:textId="10B73204" w:rsidR="007A0406" w:rsidRPr="00EE6DAA" w:rsidRDefault="007A0406" w:rsidP="00C6675C">
            <w:pPr>
              <w:spacing w:beforeLines="40" w:before="96" w:after="120"/>
              <w:rPr>
                <w:rFonts w:ascii="Arial" w:hAnsi="Arial" w:cs="Arial"/>
                <w:sz w:val="16"/>
                <w:szCs w:val="16"/>
              </w:rPr>
            </w:pPr>
            <w:r>
              <w:rPr>
                <w:rFonts w:ascii="Arial" w:hAnsi="Arial" w:cs="Arial"/>
                <w:sz w:val="16"/>
                <w:szCs w:val="16"/>
              </w:rPr>
              <w:t>Emergency Response Fund</w:t>
            </w:r>
            <w:r w:rsidR="000832E4">
              <w:rPr>
                <w:rFonts w:ascii="Arial" w:hAnsi="Arial" w:cs="Arial"/>
                <w:sz w:val="16"/>
                <w:szCs w:val="16"/>
              </w:rPr>
              <w:t>.</w:t>
            </w:r>
          </w:p>
        </w:tc>
      </w:tr>
      <w:tr w:rsidR="00653120" w:rsidRPr="00EE6DAA" w14:paraId="2239EADC" w14:textId="77777777" w:rsidTr="00C6675C">
        <w:tblPrEx>
          <w:tblLook w:val="0000" w:firstRow="0" w:lastRow="0" w:firstColumn="0" w:lastColumn="0" w:noHBand="0" w:noVBand="0"/>
        </w:tblPrEx>
        <w:trPr>
          <w:cantSplit/>
        </w:trPr>
        <w:tc>
          <w:tcPr>
            <w:tcW w:w="2253" w:type="dxa"/>
          </w:tcPr>
          <w:p w14:paraId="2239EADA" w14:textId="400902EA" w:rsidR="00653120" w:rsidRPr="00EE6DAA" w:rsidRDefault="00CE7EF0" w:rsidP="00C6675C">
            <w:pPr>
              <w:spacing w:beforeLines="40" w:before="96" w:after="120"/>
              <w:rPr>
                <w:rFonts w:ascii="Arial" w:hAnsi="Arial" w:cs="Arial"/>
                <w:sz w:val="16"/>
                <w:szCs w:val="16"/>
              </w:rPr>
            </w:pPr>
            <w:r>
              <w:rPr>
                <w:rFonts w:ascii="Arial" w:hAnsi="Arial" w:cs="Arial"/>
                <w:sz w:val="16"/>
                <w:szCs w:val="16"/>
              </w:rPr>
              <w:t>Expense</w:t>
            </w:r>
          </w:p>
        </w:tc>
        <w:tc>
          <w:tcPr>
            <w:tcW w:w="5491" w:type="dxa"/>
          </w:tcPr>
          <w:p w14:paraId="2239EADB"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 xml:space="preserve">Total value of all of the resources consumed in producing goods and services or the loss of future economic benefits in the form of reductions in assets or increases in liabilities of an entity. </w:t>
            </w:r>
          </w:p>
        </w:tc>
      </w:tr>
      <w:tr w:rsidR="00653120" w:rsidRPr="00EE6DAA" w14:paraId="2239EADF" w14:textId="77777777" w:rsidTr="00C6675C">
        <w:tblPrEx>
          <w:tblLook w:val="0000" w:firstRow="0" w:lastRow="0" w:firstColumn="0" w:lastColumn="0" w:noHBand="0" w:noVBand="0"/>
        </w:tblPrEx>
        <w:trPr>
          <w:cantSplit/>
        </w:trPr>
        <w:tc>
          <w:tcPr>
            <w:tcW w:w="2253" w:type="dxa"/>
          </w:tcPr>
          <w:p w14:paraId="2239EADD"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lastRenderedPageBreak/>
              <w:br w:type="page"/>
              <w:t>Fair Value</w:t>
            </w:r>
          </w:p>
        </w:tc>
        <w:tc>
          <w:tcPr>
            <w:tcW w:w="5491" w:type="dxa"/>
          </w:tcPr>
          <w:p w14:paraId="2239EADE"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B65359" w:rsidRPr="00EE6DAA" w14:paraId="28287B84" w14:textId="77777777" w:rsidTr="00B65359">
        <w:tblPrEx>
          <w:tblLook w:val="0000" w:firstRow="0" w:lastRow="0" w:firstColumn="0" w:lastColumn="0" w:noHBand="0" w:noVBand="0"/>
        </w:tblPrEx>
        <w:trPr>
          <w:cantSplit/>
          <w:trHeight w:val="397"/>
        </w:trPr>
        <w:tc>
          <w:tcPr>
            <w:tcW w:w="2253" w:type="dxa"/>
          </w:tcPr>
          <w:p w14:paraId="31C540D9" w14:textId="475B8142" w:rsidR="00B65359" w:rsidRPr="00EE6DAA" w:rsidRDefault="00B65359" w:rsidP="00C6675C">
            <w:pPr>
              <w:spacing w:beforeLines="40" w:before="96" w:after="120"/>
              <w:rPr>
                <w:rFonts w:ascii="Arial" w:hAnsi="Arial" w:cs="Arial"/>
                <w:sz w:val="16"/>
                <w:szCs w:val="16"/>
              </w:rPr>
            </w:pPr>
            <w:r>
              <w:rPr>
                <w:rFonts w:ascii="Arial" w:hAnsi="Arial" w:cs="Arial"/>
                <w:sz w:val="16"/>
                <w:szCs w:val="16"/>
              </w:rPr>
              <w:t>FBO</w:t>
            </w:r>
          </w:p>
        </w:tc>
        <w:tc>
          <w:tcPr>
            <w:tcW w:w="5491" w:type="dxa"/>
          </w:tcPr>
          <w:p w14:paraId="77558DA9" w14:textId="13EC8264" w:rsidR="00B65359" w:rsidRPr="00EE6DAA" w:rsidRDefault="00B65359" w:rsidP="00C6675C">
            <w:pPr>
              <w:spacing w:beforeLines="40" w:before="96" w:after="120"/>
              <w:rPr>
                <w:rFonts w:ascii="Arial" w:hAnsi="Arial" w:cs="Arial"/>
                <w:sz w:val="16"/>
                <w:szCs w:val="16"/>
              </w:rPr>
            </w:pPr>
            <w:r>
              <w:rPr>
                <w:rFonts w:ascii="Arial" w:hAnsi="Arial" w:cs="Arial"/>
                <w:sz w:val="16"/>
                <w:szCs w:val="16"/>
              </w:rPr>
              <w:t>Final Budget Outcome.</w:t>
            </w:r>
          </w:p>
        </w:tc>
      </w:tr>
      <w:tr w:rsidR="007A0406" w:rsidRPr="00EE6DAA" w14:paraId="7063E7FA" w14:textId="77777777" w:rsidTr="00B65359">
        <w:tblPrEx>
          <w:tblLook w:val="0000" w:firstRow="0" w:lastRow="0" w:firstColumn="0" w:lastColumn="0" w:noHBand="0" w:noVBand="0"/>
        </w:tblPrEx>
        <w:trPr>
          <w:cantSplit/>
          <w:trHeight w:val="397"/>
        </w:trPr>
        <w:tc>
          <w:tcPr>
            <w:tcW w:w="2253" w:type="dxa"/>
          </w:tcPr>
          <w:p w14:paraId="2B7C8645" w14:textId="3446C2AC" w:rsidR="007A0406" w:rsidRDefault="007A0406" w:rsidP="00C6675C">
            <w:pPr>
              <w:spacing w:beforeLines="40" w:before="96" w:after="120"/>
              <w:rPr>
                <w:rFonts w:ascii="Arial" w:hAnsi="Arial" w:cs="Arial"/>
                <w:sz w:val="16"/>
                <w:szCs w:val="16"/>
              </w:rPr>
            </w:pPr>
            <w:r>
              <w:rPr>
                <w:rFonts w:ascii="Arial" w:hAnsi="Arial" w:cs="Arial"/>
                <w:sz w:val="16"/>
                <w:szCs w:val="16"/>
              </w:rPr>
              <w:t>FDF</w:t>
            </w:r>
          </w:p>
        </w:tc>
        <w:tc>
          <w:tcPr>
            <w:tcW w:w="5491" w:type="dxa"/>
          </w:tcPr>
          <w:p w14:paraId="6337D7EF" w14:textId="4E445679" w:rsidR="007A0406" w:rsidRDefault="007A0406" w:rsidP="00C6675C">
            <w:pPr>
              <w:spacing w:beforeLines="40" w:before="96" w:after="120"/>
              <w:rPr>
                <w:rFonts w:ascii="Arial" w:hAnsi="Arial" w:cs="Arial"/>
                <w:sz w:val="16"/>
                <w:szCs w:val="16"/>
              </w:rPr>
            </w:pPr>
            <w:r>
              <w:rPr>
                <w:rFonts w:ascii="Arial" w:hAnsi="Arial" w:cs="Arial"/>
                <w:sz w:val="16"/>
                <w:szCs w:val="16"/>
              </w:rPr>
              <w:t>Future Drought Fund</w:t>
            </w:r>
            <w:r w:rsidR="000832E4">
              <w:rPr>
                <w:rFonts w:ascii="Arial" w:hAnsi="Arial" w:cs="Arial"/>
                <w:sz w:val="16"/>
                <w:szCs w:val="16"/>
              </w:rPr>
              <w:t>.</w:t>
            </w:r>
          </w:p>
        </w:tc>
      </w:tr>
      <w:tr w:rsidR="00CE7EF0" w:rsidRPr="00EE6DAA" w14:paraId="596DB6C2" w14:textId="77777777" w:rsidTr="00B65359">
        <w:tblPrEx>
          <w:tblLook w:val="0000" w:firstRow="0" w:lastRow="0" w:firstColumn="0" w:lastColumn="0" w:noHBand="0" w:noVBand="0"/>
        </w:tblPrEx>
        <w:trPr>
          <w:cantSplit/>
          <w:trHeight w:val="397"/>
        </w:trPr>
        <w:tc>
          <w:tcPr>
            <w:tcW w:w="2253" w:type="dxa"/>
          </w:tcPr>
          <w:p w14:paraId="6D9FEBCA" w14:textId="5FB35E7F" w:rsidR="00CE7EF0" w:rsidRDefault="00CE7EF0" w:rsidP="00C6675C">
            <w:pPr>
              <w:spacing w:beforeLines="40" w:before="96" w:after="120"/>
              <w:rPr>
                <w:rFonts w:ascii="Arial" w:hAnsi="Arial" w:cs="Arial"/>
                <w:sz w:val="16"/>
                <w:szCs w:val="16"/>
              </w:rPr>
            </w:pPr>
            <w:r>
              <w:rPr>
                <w:rFonts w:ascii="Arial" w:hAnsi="Arial" w:cs="Arial"/>
                <w:sz w:val="16"/>
                <w:szCs w:val="16"/>
              </w:rPr>
              <w:t>FFMA</w:t>
            </w:r>
          </w:p>
        </w:tc>
        <w:tc>
          <w:tcPr>
            <w:tcW w:w="5491" w:type="dxa"/>
          </w:tcPr>
          <w:p w14:paraId="2B25850B" w14:textId="03C59FFD" w:rsidR="00CE7EF0" w:rsidRDefault="00CE7EF0" w:rsidP="00C6675C">
            <w:pPr>
              <w:spacing w:beforeLines="40" w:before="96" w:after="120"/>
              <w:rPr>
                <w:rFonts w:ascii="Arial" w:hAnsi="Arial" w:cs="Arial"/>
                <w:sz w:val="16"/>
                <w:szCs w:val="16"/>
              </w:rPr>
            </w:pPr>
            <w:r>
              <w:rPr>
                <w:rFonts w:ascii="Arial" w:hAnsi="Arial" w:cs="Arial"/>
                <w:sz w:val="16"/>
                <w:szCs w:val="16"/>
              </w:rPr>
              <w:t>Future Fund Management Agency.</w:t>
            </w:r>
          </w:p>
        </w:tc>
      </w:tr>
      <w:tr w:rsidR="00BB5356" w:rsidRPr="00EE6DAA" w14:paraId="708F3F5F" w14:textId="77777777" w:rsidTr="00B65359">
        <w:tblPrEx>
          <w:tblLook w:val="0000" w:firstRow="0" w:lastRow="0" w:firstColumn="0" w:lastColumn="0" w:noHBand="0" w:noVBand="0"/>
        </w:tblPrEx>
        <w:trPr>
          <w:cantSplit/>
          <w:trHeight w:val="397"/>
        </w:trPr>
        <w:tc>
          <w:tcPr>
            <w:tcW w:w="2253" w:type="dxa"/>
          </w:tcPr>
          <w:p w14:paraId="1B85B7EA" w14:textId="575A5E9C" w:rsidR="00BB5356" w:rsidRPr="00EE6DAA" w:rsidRDefault="00BB5356" w:rsidP="00C6675C">
            <w:pPr>
              <w:spacing w:beforeLines="40" w:before="96" w:after="120"/>
              <w:rPr>
                <w:rFonts w:ascii="Arial" w:hAnsi="Arial" w:cs="Arial"/>
                <w:sz w:val="16"/>
                <w:szCs w:val="16"/>
              </w:rPr>
            </w:pPr>
            <w:r>
              <w:rPr>
                <w:rFonts w:ascii="Arial" w:hAnsi="Arial" w:cs="Arial"/>
                <w:sz w:val="16"/>
                <w:szCs w:val="16"/>
              </w:rPr>
              <w:t>GST</w:t>
            </w:r>
          </w:p>
        </w:tc>
        <w:tc>
          <w:tcPr>
            <w:tcW w:w="5491" w:type="dxa"/>
          </w:tcPr>
          <w:p w14:paraId="73ED457A" w14:textId="7C3D8F48" w:rsidR="00BB5356" w:rsidRPr="00EE6DAA" w:rsidRDefault="00BB5356" w:rsidP="00C6675C">
            <w:pPr>
              <w:spacing w:beforeLines="40" w:before="96" w:after="120"/>
              <w:rPr>
                <w:rFonts w:ascii="Arial" w:hAnsi="Arial" w:cs="Arial"/>
                <w:sz w:val="16"/>
                <w:szCs w:val="16"/>
              </w:rPr>
            </w:pPr>
            <w:r>
              <w:rPr>
                <w:rFonts w:ascii="Arial" w:hAnsi="Arial" w:cs="Arial"/>
                <w:sz w:val="16"/>
                <w:szCs w:val="16"/>
              </w:rPr>
              <w:t>Goods and Services Tax</w:t>
            </w:r>
            <w:r w:rsidR="00B96D54">
              <w:rPr>
                <w:rFonts w:ascii="Arial" w:hAnsi="Arial" w:cs="Arial"/>
                <w:sz w:val="16"/>
                <w:szCs w:val="16"/>
              </w:rPr>
              <w:t>.</w:t>
            </w:r>
          </w:p>
        </w:tc>
      </w:tr>
      <w:tr w:rsidR="002076B4" w:rsidRPr="00EE6DAA" w14:paraId="17118ACE" w14:textId="77777777" w:rsidTr="00B65359">
        <w:tblPrEx>
          <w:tblLook w:val="0000" w:firstRow="0" w:lastRow="0" w:firstColumn="0" w:lastColumn="0" w:noHBand="0" w:noVBand="0"/>
        </w:tblPrEx>
        <w:trPr>
          <w:cantSplit/>
          <w:trHeight w:val="397"/>
        </w:trPr>
        <w:tc>
          <w:tcPr>
            <w:tcW w:w="2253" w:type="dxa"/>
          </w:tcPr>
          <w:p w14:paraId="535F859D" w14:textId="6072295B" w:rsidR="002076B4" w:rsidRPr="00EE6DAA" w:rsidRDefault="002076B4" w:rsidP="00C6675C">
            <w:pPr>
              <w:spacing w:beforeLines="40" w:before="96" w:after="120"/>
              <w:rPr>
                <w:rFonts w:ascii="Arial" w:hAnsi="Arial" w:cs="Arial"/>
                <w:sz w:val="16"/>
                <w:szCs w:val="16"/>
              </w:rPr>
            </w:pPr>
            <w:r>
              <w:rPr>
                <w:rFonts w:ascii="Arial" w:hAnsi="Arial" w:cs="Arial"/>
                <w:sz w:val="16"/>
                <w:szCs w:val="16"/>
              </w:rPr>
              <w:t>ICT</w:t>
            </w:r>
          </w:p>
        </w:tc>
        <w:tc>
          <w:tcPr>
            <w:tcW w:w="5491" w:type="dxa"/>
          </w:tcPr>
          <w:p w14:paraId="1295C775" w14:textId="28C8F04B" w:rsidR="002076B4" w:rsidRPr="00EE6DAA" w:rsidRDefault="002076B4" w:rsidP="00C6675C">
            <w:pPr>
              <w:spacing w:beforeLines="40" w:before="96" w:after="120"/>
              <w:rPr>
                <w:rFonts w:ascii="Arial" w:hAnsi="Arial" w:cs="Arial"/>
                <w:sz w:val="16"/>
                <w:szCs w:val="16"/>
              </w:rPr>
            </w:pPr>
            <w:r>
              <w:rPr>
                <w:rFonts w:ascii="Arial" w:hAnsi="Arial" w:cs="Arial"/>
                <w:sz w:val="16"/>
                <w:szCs w:val="16"/>
              </w:rPr>
              <w:t>Information and Communication Technology</w:t>
            </w:r>
            <w:r w:rsidR="00B96D54">
              <w:rPr>
                <w:rFonts w:ascii="Arial" w:hAnsi="Arial" w:cs="Arial"/>
                <w:sz w:val="16"/>
                <w:szCs w:val="16"/>
              </w:rPr>
              <w:t>.</w:t>
            </w:r>
          </w:p>
        </w:tc>
      </w:tr>
      <w:tr w:rsidR="001A3997" w:rsidRPr="00EE6DAA" w14:paraId="69E9AF94" w14:textId="77777777" w:rsidTr="00B65359">
        <w:tblPrEx>
          <w:tblLook w:val="0000" w:firstRow="0" w:lastRow="0" w:firstColumn="0" w:lastColumn="0" w:noHBand="0" w:noVBand="0"/>
        </w:tblPrEx>
        <w:trPr>
          <w:cantSplit/>
          <w:trHeight w:val="397"/>
        </w:trPr>
        <w:tc>
          <w:tcPr>
            <w:tcW w:w="2253" w:type="dxa"/>
          </w:tcPr>
          <w:p w14:paraId="657A3410" w14:textId="68911508" w:rsidR="001A3997" w:rsidRDefault="001A3997" w:rsidP="00C6675C">
            <w:pPr>
              <w:spacing w:beforeLines="40" w:before="96" w:after="120"/>
              <w:rPr>
                <w:rFonts w:ascii="Arial" w:hAnsi="Arial" w:cs="Arial"/>
                <w:sz w:val="16"/>
                <w:szCs w:val="16"/>
              </w:rPr>
            </w:pPr>
            <w:r>
              <w:rPr>
                <w:rFonts w:ascii="Arial" w:hAnsi="Arial" w:cs="Arial"/>
                <w:sz w:val="16"/>
                <w:szCs w:val="16"/>
              </w:rPr>
              <w:t>IPEA</w:t>
            </w:r>
          </w:p>
        </w:tc>
        <w:tc>
          <w:tcPr>
            <w:tcW w:w="5491" w:type="dxa"/>
          </w:tcPr>
          <w:p w14:paraId="1C2C4898" w14:textId="6B1F2ECB" w:rsidR="001A3997" w:rsidRDefault="001A3997" w:rsidP="00C6675C">
            <w:pPr>
              <w:spacing w:beforeLines="40" w:before="96" w:after="120"/>
              <w:rPr>
                <w:rFonts w:ascii="Arial" w:hAnsi="Arial" w:cs="Arial"/>
                <w:sz w:val="16"/>
                <w:szCs w:val="16"/>
              </w:rPr>
            </w:pPr>
            <w:r>
              <w:rPr>
                <w:rFonts w:ascii="Arial" w:hAnsi="Arial" w:cs="Arial"/>
                <w:sz w:val="16"/>
                <w:szCs w:val="16"/>
              </w:rPr>
              <w:t>Independent Parliamentary Expenses Authority.</w:t>
            </w:r>
          </w:p>
        </w:tc>
      </w:tr>
      <w:tr w:rsidR="001A3997" w:rsidRPr="00EE6DAA" w14:paraId="171FA8D7" w14:textId="77777777" w:rsidTr="00B65359">
        <w:tblPrEx>
          <w:tblLook w:val="0000" w:firstRow="0" w:lastRow="0" w:firstColumn="0" w:lastColumn="0" w:noHBand="0" w:noVBand="0"/>
        </w:tblPrEx>
        <w:trPr>
          <w:cantSplit/>
          <w:trHeight w:val="397"/>
        </w:trPr>
        <w:tc>
          <w:tcPr>
            <w:tcW w:w="2253" w:type="dxa"/>
          </w:tcPr>
          <w:p w14:paraId="656C6CDE" w14:textId="4A15841A" w:rsidR="001A3997" w:rsidRDefault="001A3997" w:rsidP="00C6675C">
            <w:pPr>
              <w:spacing w:beforeLines="40" w:before="96" w:after="120"/>
              <w:rPr>
                <w:rFonts w:ascii="Arial" w:hAnsi="Arial" w:cs="Arial"/>
                <w:sz w:val="16"/>
                <w:szCs w:val="16"/>
              </w:rPr>
            </w:pPr>
            <w:r>
              <w:rPr>
                <w:rFonts w:ascii="Arial" w:hAnsi="Arial" w:cs="Arial"/>
                <w:sz w:val="16"/>
                <w:szCs w:val="16"/>
              </w:rPr>
              <w:t>IPEA Act</w:t>
            </w:r>
          </w:p>
        </w:tc>
        <w:tc>
          <w:tcPr>
            <w:tcW w:w="5491" w:type="dxa"/>
          </w:tcPr>
          <w:p w14:paraId="0B996761" w14:textId="5DF8F92A" w:rsidR="001A3997" w:rsidRPr="001A3997" w:rsidRDefault="001A3997" w:rsidP="00C6675C">
            <w:pPr>
              <w:spacing w:beforeLines="40" w:before="96" w:after="120"/>
              <w:rPr>
                <w:rFonts w:ascii="Arial" w:hAnsi="Arial" w:cs="Arial"/>
                <w:i/>
                <w:sz w:val="16"/>
                <w:szCs w:val="16"/>
              </w:rPr>
            </w:pPr>
            <w:r w:rsidRPr="001A3997">
              <w:rPr>
                <w:rFonts w:ascii="Arial" w:hAnsi="Arial" w:cs="Arial"/>
                <w:i/>
                <w:sz w:val="16"/>
                <w:szCs w:val="16"/>
              </w:rPr>
              <w:t>Independent Parliamentary Expenses Authority Act 2017</w:t>
            </w:r>
            <w:r w:rsidR="000832E4" w:rsidRPr="000832E4">
              <w:rPr>
                <w:rFonts w:ascii="Arial" w:hAnsi="Arial" w:cs="Arial"/>
                <w:sz w:val="16"/>
                <w:szCs w:val="16"/>
              </w:rPr>
              <w:t>.</w:t>
            </w:r>
          </w:p>
        </w:tc>
      </w:tr>
      <w:tr w:rsidR="007A0406" w:rsidRPr="00EE6DAA" w14:paraId="1D2F975D" w14:textId="77777777" w:rsidTr="00B65359">
        <w:tblPrEx>
          <w:tblLook w:val="0000" w:firstRow="0" w:lastRow="0" w:firstColumn="0" w:lastColumn="0" w:noHBand="0" w:noVBand="0"/>
        </w:tblPrEx>
        <w:trPr>
          <w:cantSplit/>
          <w:trHeight w:val="397"/>
        </w:trPr>
        <w:tc>
          <w:tcPr>
            <w:tcW w:w="2253" w:type="dxa"/>
          </w:tcPr>
          <w:p w14:paraId="37577D42" w14:textId="18E3BD47" w:rsidR="007A0406" w:rsidRDefault="007A0406" w:rsidP="00C6675C">
            <w:pPr>
              <w:spacing w:beforeLines="40" w:before="96" w:after="120"/>
              <w:rPr>
                <w:rFonts w:ascii="Arial" w:hAnsi="Arial" w:cs="Arial"/>
                <w:sz w:val="16"/>
                <w:szCs w:val="16"/>
              </w:rPr>
            </w:pPr>
            <w:r>
              <w:rPr>
                <w:rFonts w:ascii="Arial" w:hAnsi="Arial" w:cs="Arial"/>
                <w:sz w:val="16"/>
                <w:szCs w:val="16"/>
              </w:rPr>
              <w:t>JCPAA</w:t>
            </w:r>
          </w:p>
        </w:tc>
        <w:tc>
          <w:tcPr>
            <w:tcW w:w="5491" w:type="dxa"/>
          </w:tcPr>
          <w:p w14:paraId="326D10F0" w14:textId="12239FBB" w:rsidR="007A0406" w:rsidRDefault="007A0406" w:rsidP="00C6675C">
            <w:pPr>
              <w:spacing w:beforeLines="40" w:before="96" w:after="120"/>
              <w:rPr>
                <w:rFonts w:ascii="Arial" w:hAnsi="Arial" w:cs="Arial"/>
                <w:sz w:val="16"/>
                <w:szCs w:val="16"/>
              </w:rPr>
            </w:pPr>
            <w:r>
              <w:rPr>
                <w:rFonts w:ascii="Arial" w:hAnsi="Arial" w:cs="Arial"/>
                <w:sz w:val="16"/>
                <w:szCs w:val="16"/>
              </w:rPr>
              <w:t>Joint Committee of Public Accounts and Audit.</w:t>
            </w:r>
          </w:p>
        </w:tc>
      </w:tr>
      <w:tr w:rsidR="00653120" w:rsidRPr="00EE6DAA" w14:paraId="2239EAE2" w14:textId="77777777" w:rsidTr="00B65359">
        <w:tblPrEx>
          <w:tblLook w:val="0000" w:firstRow="0" w:lastRow="0" w:firstColumn="0" w:lastColumn="0" w:noHBand="0" w:noVBand="0"/>
        </w:tblPrEx>
        <w:trPr>
          <w:cantSplit/>
          <w:trHeight w:val="397"/>
        </w:trPr>
        <w:tc>
          <w:tcPr>
            <w:tcW w:w="2253" w:type="dxa"/>
          </w:tcPr>
          <w:p w14:paraId="2239EAE0"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Measure</w:t>
            </w:r>
          </w:p>
        </w:tc>
        <w:tc>
          <w:tcPr>
            <w:tcW w:w="5491" w:type="dxa"/>
          </w:tcPr>
          <w:p w14:paraId="2239EAE1"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 xml:space="preserve">A new policy or savings decision of the government with financial impacts. </w:t>
            </w:r>
          </w:p>
        </w:tc>
      </w:tr>
      <w:tr w:rsidR="00B65359" w:rsidRPr="00EE6DAA" w14:paraId="393D58BF" w14:textId="77777777" w:rsidTr="00B65359">
        <w:tblPrEx>
          <w:tblLook w:val="0000" w:firstRow="0" w:lastRow="0" w:firstColumn="0" w:lastColumn="0" w:noHBand="0" w:noVBand="0"/>
        </w:tblPrEx>
        <w:trPr>
          <w:cantSplit/>
          <w:trHeight w:val="397"/>
        </w:trPr>
        <w:tc>
          <w:tcPr>
            <w:tcW w:w="2253" w:type="dxa"/>
          </w:tcPr>
          <w:p w14:paraId="2774C5FF" w14:textId="381C4670" w:rsidR="00B65359" w:rsidRDefault="00B65359" w:rsidP="00C6675C">
            <w:pPr>
              <w:spacing w:beforeLines="40" w:before="96" w:after="120"/>
              <w:rPr>
                <w:rFonts w:ascii="Arial" w:hAnsi="Arial" w:cs="Arial"/>
                <w:sz w:val="16"/>
                <w:szCs w:val="16"/>
              </w:rPr>
            </w:pPr>
            <w:r>
              <w:rPr>
                <w:rFonts w:ascii="Arial" w:hAnsi="Arial" w:cs="Arial"/>
                <w:sz w:val="16"/>
                <w:szCs w:val="16"/>
              </w:rPr>
              <w:t>MFS</w:t>
            </w:r>
          </w:p>
        </w:tc>
        <w:tc>
          <w:tcPr>
            <w:tcW w:w="5491" w:type="dxa"/>
          </w:tcPr>
          <w:p w14:paraId="45DC8DEB" w14:textId="3BE0EB4E" w:rsidR="00B65359" w:rsidRDefault="00B65359" w:rsidP="00C6675C">
            <w:pPr>
              <w:spacing w:beforeLines="40" w:before="96" w:after="120"/>
              <w:rPr>
                <w:rFonts w:ascii="Arial" w:hAnsi="Arial" w:cs="Arial"/>
                <w:sz w:val="16"/>
                <w:szCs w:val="16"/>
              </w:rPr>
            </w:pPr>
            <w:r>
              <w:rPr>
                <w:rFonts w:ascii="Arial" w:hAnsi="Arial" w:cs="Arial"/>
                <w:sz w:val="16"/>
                <w:szCs w:val="16"/>
              </w:rPr>
              <w:t>Monthly Financial Statements</w:t>
            </w:r>
            <w:r w:rsidR="000832E4">
              <w:rPr>
                <w:rFonts w:ascii="Arial" w:hAnsi="Arial" w:cs="Arial"/>
                <w:sz w:val="16"/>
                <w:szCs w:val="16"/>
              </w:rPr>
              <w:t>.</w:t>
            </w:r>
          </w:p>
        </w:tc>
      </w:tr>
      <w:tr w:rsidR="006342FE" w:rsidRPr="00EE6DAA" w14:paraId="6CC5E06D" w14:textId="77777777" w:rsidTr="00B65359">
        <w:tblPrEx>
          <w:tblLook w:val="0000" w:firstRow="0" w:lastRow="0" w:firstColumn="0" w:lastColumn="0" w:noHBand="0" w:noVBand="0"/>
        </w:tblPrEx>
        <w:trPr>
          <w:cantSplit/>
          <w:trHeight w:val="397"/>
        </w:trPr>
        <w:tc>
          <w:tcPr>
            <w:tcW w:w="2253" w:type="dxa"/>
          </w:tcPr>
          <w:p w14:paraId="5A11A9A6" w14:textId="1C1860E3" w:rsidR="006342FE" w:rsidRDefault="006342FE" w:rsidP="00C6675C">
            <w:pPr>
              <w:spacing w:beforeLines="40" w:before="96" w:after="120"/>
              <w:rPr>
                <w:rFonts w:ascii="Arial" w:hAnsi="Arial" w:cs="Arial"/>
                <w:sz w:val="16"/>
                <w:szCs w:val="16"/>
              </w:rPr>
            </w:pPr>
            <w:r>
              <w:rPr>
                <w:rFonts w:ascii="Arial" w:hAnsi="Arial" w:cs="Arial"/>
                <w:sz w:val="16"/>
                <w:szCs w:val="16"/>
              </w:rPr>
              <w:t>MOP(S) Act</w:t>
            </w:r>
          </w:p>
        </w:tc>
        <w:tc>
          <w:tcPr>
            <w:tcW w:w="5491" w:type="dxa"/>
          </w:tcPr>
          <w:p w14:paraId="72A63180" w14:textId="3E5A3BB7" w:rsidR="006342FE" w:rsidRPr="006342FE" w:rsidRDefault="006342FE" w:rsidP="00C6675C">
            <w:pPr>
              <w:spacing w:beforeLines="40" w:before="96" w:after="120"/>
              <w:rPr>
                <w:rFonts w:ascii="Arial" w:hAnsi="Arial" w:cs="Arial"/>
                <w:i/>
                <w:sz w:val="16"/>
                <w:szCs w:val="16"/>
              </w:rPr>
            </w:pPr>
            <w:r w:rsidRPr="006342FE">
              <w:rPr>
                <w:rFonts w:ascii="Arial" w:hAnsi="Arial" w:cs="Arial"/>
                <w:i/>
                <w:sz w:val="16"/>
                <w:szCs w:val="16"/>
              </w:rPr>
              <w:t>Members of Parliament (Staff) Act 1984</w:t>
            </w:r>
            <w:r w:rsidR="000832E4" w:rsidRPr="000832E4">
              <w:rPr>
                <w:rFonts w:ascii="Arial" w:hAnsi="Arial" w:cs="Arial"/>
                <w:sz w:val="16"/>
                <w:szCs w:val="16"/>
              </w:rPr>
              <w:t>.</w:t>
            </w:r>
          </w:p>
        </w:tc>
      </w:tr>
      <w:tr w:rsidR="00B65359" w:rsidRPr="00EE6DAA" w14:paraId="196AF67E" w14:textId="77777777" w:rsidTr="00B65359">
        <w:tblPrEx>
          <w:tblLook w:val="0000" w:firstRow="0" w:lastRow="0" w:firstColumn="0" w:lastColumn="0" w:noHBand="0" w:noVBand="0"/>
        </w:tblPrEx>
        <w:trPr>
          <w:cantSplit/>
          <w:trHeight w:val="397"/>
        </w:trPr>
        <w:tc>
          <w:tcPr>
            <w:tcW w:w="2253" w:type="dxa"/>
          </w:tcPr>
          <w:p w14:paraId="4F90C6BA" w14:textId="7FBDEE8F" w:rsidR="00B65359" w:rsidRDefault="00B65359" w:rsidP="00C6675C">
            <w:pPr>
              <w:spacing w:beforeLines="40" w:before="96" w:after="120"/>
              <w:rPr>
                <w:rFonts w:ascii="Arial" w:hAnsi="Arial" w:cs="Arial"/>
                <w:sz w:val="16"/>
                <w:szCs w:val="16"/>
              </w:rPr>
            </w:pPr>
            <w:r>
              <w:rPr>
                <w:rFonts w:ascii="Arial" w:hAnsi="Arial" w:cs="Arial"/>
                <w:sz w:val="16"/>
                <w:szCs w:val="16"/>
              </w:rPr>
              <w:t>MRFF</w:t>
            </w:r>
          </w:p>
        </w:tc>
        <w:tc>
          <w:tcPr>
            <w:tcW w:w="5491" w:type="dxa"/>
          </w:tcPr>
          <w:p w14:paraId="0024A8C3" w14:textId="727E14CB" w:rsidR="00B65359" w:rsidRDefault="00B65359" w:rsidP="00C6675C">
            <w:pPr>
              <w:spacing w:beforeLines="40" w:before="96" w:after="120"/>
              <w:rPr>
                <w:rFonts w:ascii="Arial" w:hAnsi="Arial" w:cs="Arial"/>
                <w:sz w:val="16"/>
                <w:szCs w:val="16"/>
              </w:rPr>
            </w:pPr>
            <w:r>
              <w:rPr>
                <w:rFonts w:ascii="Arial" w:hAnsi="Arial" w:cs="Arial"/>
                <w:sz w:val="16"/>
                <w:szCs w:val="16"/>
              </w:rPr>
              <w:t>Medical Research Future Fund.</w:t>
            </w:r>
          </w:p>
        </w:tc>
      </w:tr>
      <w:tr w:rsidR="009F125C" w:rsidRPr="00EE6DAA" w14:paraId="3897AF1C" w14:textId="77777777" w:rsidTr="00B65359">
        <w:tblPrEx>
          <w:tblLook w:val="0000" w:firstRow="0" w:lastRow="0" w:firstColumn="0" w:lastColumn="0" w:noHBand="0" w:noVBand="0"/>
        </w:tblPrEx>
        <w:trPr>
          <w:cantSplit/>
          <w:trHeight w:val="397"/>
        </w:trPr>
        <w:tc>
          <w:tcPr>
            <w:tcW w:w="2253" w:type="dxa"/>
          </w:tcPr>
          <w:p w14:paraId="3AD4BCD9" w14:textId="494A45AA" w:rsidR="009F125C" w:rsidRDefault="009F125C" w:rsidP="00C6675C">
            <w:pPr>
              <w:spacing w:beforeLines="40" w:before="96" w:after="120"/>
              <w:rPr>
                <w:rFonts w:ascii="Arial" w:hAnsi="Arial" w:cs="Arial"/>
                <w:sz w:val="16"/>
                <w:szCs w:val="16"/>
              </w:rPr>
            </w:pPr>
            <w:r>
              <w:rPr>
                <w:rFonts w:ascii="Arial" w:hAnsi="Arial" w:cs="Arial"/>
                <w:sz w:val="16"/>
                <w:szCs w:val="16"/>
              </w:rPr>
              <w:t>MSBS</w:t>
            </w:r>
          </w:p>
        </w:tc>
        <w:tc>
          <w:tcPr>
            <w:tcW w:w="5491" w:type="dxa"/>
          </w:tcPr>
          <w:p w14:paraId="0E5D9E89" w14:textId="16B35F40" w:rsidR="009F125C" w:rsidRDefault="009F125C" w:rsidP="00C6675C">
            <w:pPr>
              <w:spacing w:beforeLines="40" w:before="96" w:after="120"/>
              <w:rPr>
                <w:rFonts w:ascii="Arial" w:hAnsi="Arial" w:cs="Arial"/>
                <w:sz w:val="16"/>
                <w:szCs w:val="16"/>
              </w:rPr>
            </w:pPr>
            <w:r>
              <w:rPr>
                <w:rFonts w:ascii="Arial" w:hAnsi="Arial" w:cs="Arial"/>
                <w:sz w:val="16"/>
                <w:szCs w:val="16"/>
              </w:rPr>
              <w:t>Military Superannuation and Benefits Scheme.</w:t>
            </w:r>
          </w:p>
        </w:tc>
      </w:tr>
      <w:tr w:rsidR="00B65359" w:rsidRPr="00EE6DAA" w14:paraId="15A4FB67" w14:textId="77777777" w:rsidTr="00B65359">
        <w:tblPrEx>
          <w:tblLook w:val="0000" w:firstRow="0" w:lastRow="0" w:firstColumn="0" w:lastColumn="0" w:noHBand="0" w:noVBand="0"/>
        </w:tblPrEx>
        <w:trPr>
          <w:cantSplit/>
          <w:trHeight w:val="397"/>
        </w:trPr>
        <w:tc>
          <w:tcPr>
            <w:tcW w:w="2253" w:type="dxa"/>
          </w:tcPr>
          <w:p w14:paraId="2D7558BE" w14:textId="34675544" w:rsidR="00B65359" w:rsidRPr="00EE6DAA" w:rsidRDefault="00B65359" w:rsidP="00C6675C">
            <w:pPr>
              <w:spacing w:beforeLines="40" w:before="96" w:after="120"/>
              <w:rPr>
                <w:rFonts w:ascii="Arial" w:hAnsi="Arial" w:cs="Arial"/>
                <w:sz w:val="16"/>
                <w:szCs w:val="16"/>
              </w:rPr>
            </w:pPr>
            <w:r>
              <w:rPr>
                <w:rFonts w:ascii="Arial" w:hAnsi="Arial" w:cs="Arial"/>
                <w:sz w:val="16"/>
                <w:szCs w:val="16"/>
              </w:rPr>
              <w:t>MYEFO</w:t>
            </w:r>
          </w:p>
        </w:tc>
        <w:tc>
          <w:tcPr>
            <w:tcW w:w="5491" w:type="dxa"/>
          </w:tcPr>
          <w:p w14:paraId="09DA4565" w14:textId="7DD20528" w:rsidR="00B65359" w:rsidRPr="00EE6DAA" w:rsidRDefault="00B65359" w:rsidP="00C6675C">
            <w:pPr>
              <w:spacing w:beforeLines="40" w:before="96" w:after="120"/>
              <w:rPr>
                <w:rFonts w:ascii="Arial" w:hAnsi="Arial" w:cs="Arial"/>
                <w:sz w:val="16"/>
                <w:szCs w:val="16"/>
              </w:rPr>
            </w:pPr>
            <w:r>
              <w:rPr>
                <w:rFonts w:ascii="Arial" w:hAnsi="Arial" w:cs="Arial"/>
                <w:sz w:val="16"/>
                <w:szCs w:val="16"/>
              </w:rPr>
              <w:t>Mid-Year Economic and Fiscal Outlook</w:t>
            </w:r>
            <w:r w:rsidR="000832E4">
              <w:rPr>
                <w:rFonts w:ascii="Arial" w:hAnsi="Arial" w:cs="Arial"/>
                <w:sz w:val="16"/>
                <w:szCs w:val="16"/>
              </w:rPr>
              <w:t>.</w:t>
            </w:r>
          </w:p>
        </w:tc>
      </w:tr>
      <w:tr w:rsidR="00653120" w:rsidRPr="00EE6DAA" w14:paraId="2239EAE5" w14:textId="77777777" w:rsidTr="00B65359">
        <w:tblPrEx>
          <w:tblLook w:val="0000" w:firstRow="0" w:lastRow="0" w:firstColumn="0" w:lastColumn="0" w:noHBand="0" w:noVBand="0"/>
        </w:tblPrEx>
        <w:trPr>
          <w:cantSplit/>
          <w:trHeight w:val="397"/>
        </w:trPr>
        <w:tc>
          <w:tcPr>
            <w:tcW w:w="2253" w:type="dxa"/>
          </w:tcPr>
          <w:p w14:paraId="2239EAE3"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Operating Result</w:t>
            </w:r>
          </w:p>
        </w:tc>
        <w:tc>
          <w:tcPr>
            <w:tcW w:w="5491" w:type="dxa"/>
          </w:tcPr>
          <w:p w14:paraId="2239EAE4"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Equals income less expense.</w:t>
            </w:r>
          </w:p>
        </w:tc>
      </w:tr>
      <w:tr w:rsidR="00653120" w:rsidRPr="00EE6DAA" w14:paraId="2239EAE8" w14:textId="77777777" w:rsidTr="00C6675C">
        <w:tblPrEx>
          <w:tblLook w:val="0000" w:firstRow="0" w:lastRow="0" w:firstColumn="0" w:lastColumn="0" w:noHBand="0" w:noVBand="0"/>
        </w:tblPrEx>
        <w:trPr>
          <w:cantSplit/>
          <w:trHeight w:val="283"/>
        </w:trPr>
        <w:tc>
          <w:tcPr>
            <w:tcW w:w="2253" w:type="dxa"/>
          </w:tcPr>
          <w:p w14:paraId="2239EAE6"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Outcomes</w:t>
            </w:r>
          </w:p>
        </w:tc>
        <w:tc>
          <w:tcPr>
            <w:tcW w:w="5491" w:type="dxa"/>
          </w:tcPr>
          <w:p w14:paraId="2239EAE7" w14:textId="77777777" w:rsidR="00653120" w:rsidRPr="00EE6DAA" w:rsidRDefault="00653120" w:rsidP="00C6675C">
            <w:pPr>
              <w:spacing w:beforeLines="40" w:before="96" w:after="120"/>
              <w:rPr>
                <w:rFonts w:ascii="Arial" w:hAnsi="Arial" w:cs="Arial"/>
                <w:sz w:val="16"/>
                <w:szCs w:val="16"/>
              </w:rPr>
            </w:pPr>
            <w:r w:rsidRPr="00EE6DAA">
              <w:rPr>
                <w:rFonts w:ascii="Arial" w:hAnsi="Arial" w:cs="Arial"/>
                <w:sz w:val="16"/>
                <w:szCs w:val="16"/>
              </w:rPr>
              <w:t>The government's objectives in each portfolio area. Outcomes are desired results, impacts or consequences for the Australian community influenced by the actions of the Australian Government. Actual outcomes are the results or impacts actually achieved.</w:t>
            </w:r>
          </w:p>
        </w:tc>
      </w:tr>
      <w:tr w:rsidR="007A0406" w:rsidRPr="00EE6DAA" w14:paraId="4844A27D" w14:textId="77777777" w:rsidTr="00C6675C">
        <w:tblPrEx>
          <w:tblLook w:val="0000" w:firstRow="0" w:lastRow="0" w:firstColumn="0" w:lastColumn="0" w:noHBand="0" w:noVBand="0"/>
        </w:tblPrEx>
        <w:trPr>
          <w:cantSplit/>
          <w:trHeight w:val="283"/>
        </w:trPr>
        <w:tc>
          <w:tcPr>
            <w:tcW w:w="2253" w:type="dxa"/>
          </w:tcPr>
          <w:p w14:paraId="229FBC03" w14:textId="164EEDCF" w:rsidR="007A0406" w:rsidRPr="00EE6DAA" w:rsidRDefault="007A0406" w:rsidP="00C6675C">
            <w:pPr>
              <w:spacing w:beforeLines="40" w:before="96" w:after="120"/>
              <w:rPr>
                <w:rFonts w:ascii="Arial" w:hAnsi="Arial" w:cs="Arial"/>
                <w:sz w:val="16"/>
                <w:szCs w:val="16"/>
              </w:rPr>
            </w:pPr>
            <w:r>
              <w:rPr>
                <w:rFonts w:ascii="Arial" w:hAnsi="Arial" w:cs="Arial"/>
                <w:sz w:val="16"/>
                <w:szCs w:val="16"/>
              </w:rPr>
              <w:t>PEMS</w:t>
            </w:r>
          </w:p>
        </w:tc>
        <w:tc>
          <w:tcPr>
            <w:tcW w:w="5491" w:type="dxa"/>
          </w:tcPr>
          <w:p w14:paraId="64FC909C" w14:textId="2E08FC50" w:rsidR="007A0406" w:rsidRPr="00EE6DAA" w:rsidRDefault="007A0406" w:rsidP="00C6675C">
            <w:pPr>
              <w:spacing w:beforeLines="40" w:before="96" w:after="120"/>
              <w:rPr>
                <w:rFonts w:ascii="Arial" w:hAnsi="Arial" w:cs="Arial"/>
                <w:sz w:val="16"/>
                <w:szCs w:val="16"/>
              </w:rPr>
            </w:pPr>
            <w:r>
              <w:rPr>
                <w:rFonts w:ascii="Arial" w:hAnsi="Arial" w:cs="Arial"/>
                <w:sz w:val="16"/>
                <w:szCs w:val="16"/>
              </w:rPr>
              <w:t>Parliamentary Expenses Management System.</w:t>
            </w:r>
          </w:p>
        </w:tc>
      </w:tr>
      <w:tr w:rsidR="009F125C" w:rsidRPr="00EE6DAA" w14:paraId="3FF6B814" w14:textId="77777777" w:rsidTr="00C6675C">
        <w:tblPrEx>
          <w:tblLook w:val="0000" w:firstRow="0" w:lastRow="0" w:firstColumn="0" w:lastColumn="0" w:noHBand="0" w:noVBand="0"/>
        </w:tblPrEx>
        <w:trPr>
          <w:cantSplit/>
          <w:trHeight w:val="283"/>
        </w:trPr>
        <w:tc>
          <w:tcPr>
            <w:tcW w:w="2253" w:type="dxa"/>
          </w:tcPr>
          <w:p w14:paraId="2ADE7BFF" w14:textId="0383F1B5" w:rsidR="009F125C" w:rsidRDefault="009F125C" w:rsidP="009F125C">
            <w:pPr>
              <w:spacing w:beforeLines="40" w:before="96" w:after="120"/>
              <w:rPr>
                <w:rFonts w:ascii="Arial" w:hAnsi="Arial" w:cs="Arial"/>
                <w:sz w:val="16"/>
                <w:szCs w:val="16"/>
              </w:rPr>
            </w:pPr>
            <w:r w:rsidRPr="00EE6DAA">
              <w:rPr>
                <w:rFonts w:ascii="Arial" w:hAnsi="Arial" w:cs="Arial"/>
                <w:sz w:val="16"/>
                <w:szCs w:val="16"/>
              </w:rPr>
              <w:t xml:space="preserve">PGPA Act </w:t>
            </w:r>
          </w:p>
        </w:tc>
        <w:tc>
          <w:tcPr>
            <w:tcW w:w="5491" w:type="dxa"/>
          </w:tcPr>
          <w:p w14:paraId="3447C253" w14:textId="77DC6B04" w:rsidR="009F125C" w:rsidRDefault="009F125C" w:rsidP="009F125C">
            <w:pPr>
              <w:spacing w:beforeLines="40" w:before="96" w:after="120"/>
              <w:rPr>
                <w:rFonts w:ascii="Arial" w:hAnsi="Arial" w:cs="Arial"/>
                <w:sz w:val="16"/>
                <w:szCs w:val="16"/>
              </w:rPr>
            </w:pPr>
            <w:r w:rsidRPr="00EE6DAA">
              <w:rPr>
                <w:rFonts w:ascii="Arial" w:hAnsi="Arial" w:cs="Arial"/>
                <w:i/>
                <w:sz w:val="16"/>
                <w:szCs w:val="16"/>
              </w:rPr>
              <w:t>Public Governance, Performance and Accountability Act 2013</w:t>
            </w:r>
            <w:r>
              <w:rPr>
                <w:rFonts w:ascii="Arial" w:hAnsi="Arial" w:cs="Arial"/>
                <w:sz w:val="16"/>
                <w:szCs w:val="16"/>
              </w:rPr>
              <w:t>.</w:t>
            </w:r>
          </w:p>
        </w:tc>
      </w:tr>
      <w:tr w:rsidR="007D7E8E" w:rsidRPr="00EE6DAA" w14:paraId="66664C86" w14:textId="77777777" w:rsidTr="00C6675C">
        <w:tblPrEx>
          <w:tblLook w:val="0000" w:firstRow="0" w:lastRow="0" w:firstColumn="0" w:lastColumn="0" w:noHBand="0" w:noVBand="0"/>
        </w:tblPrEx>
        <w:trPr>
          <w:cantSplit/>
          <w:trHeight w:val="283"/>
        </w:trPr>
        <w:tc>
          <w:tcPr>
            <w:tcW w:w="2253" w:type="dxa"/>
          </w:tcPr>
          <w:p w14:paraId="15CF7900" w14:textId="75CC7509" w:rsidR="007D7E8E" w:rsidRPr="00EE6DAA" w:rsidRDefault="007D7E8E" w:rsidP="009F125C">
            <w:pPr>
              <w:spacing w:beforeLines="40" w:before="96" w:after="120"/>
              <w:rPr>
                <w:rFonts w:ascii="Arial" w:hAnsi="Arial" w:cs="Arial"/>
                <w:sz w:val="16"/>
                <w:szCs w:val="16"/>
              </w:rPr>
            </w:pPr>
            <w:r>
              <w:rPr>
                <w:rFonts w:ascii="Arial" w:hAnsi="Arial" w:cs="Arial"/>
                <w:sz w:val="16"/>
                <w:szCs w:val="16"/>
              </w:rPr>
              <w:t>PNG</w:t>
            </w:r>
          </w:p>
        </w:tc>
        <w:tc>
          <w:tcPr>
            <w:tcW w:w="5491" w:type="dxa"/>
          </w:tcPr>
          <w:p w14:paraId="5361B4EA" w14:textId="78562A70" w:rsidR="007D7E8E" w:rsidRPr="007D7E8E" w:rsidRDefault="007D7E8E" w:rsidP="009F125C">
            <w:pPr>
              <w:spacing w:beforeLines="40" w:before="96" w:after="120"/>
              <w:rPr>
                <w:rFonts w:ascii="Arial" w:hAnsi="Arial" w:cs="Arial"/>
                <w:sz w:val="16"/>
                <w:szCs w:val="16"/>
              </w:rPr>
            </w:pPr>
            <w:r>
              <w:rPr>
                <w:rFonts w:ascii="Arial" w:hAnsi="Arial" w:cs="Arial"/>
                <w:sz w:val="16"/>
                <w:szCs w:val="16"/>
              </w:rPr>
              <w:t>Papua New Guinea Scheme</w:t>
            </w:r>
            <w:r w:rsidR="000832E4">
              <w:rPr>
                <w:rFonts w:ascii="Arial" w:hAnsi="Arial" w:cs="Arial"/>
                <w:sz w:val="16"/>
                <w:szCs w:val="16"/>
              </w:rPr>
              <w:t>.</w:t>
            </w:r>
          </w:p>
        </w:tc>
      </w:tr>
      <w:tr w:rsidR="009F125C" w:rsidRPr="00EE6DAA" w14:paraId="2239EAEB" w14:textId="77777777" w:rsidTr="00C6675C">
        <w:tblPrEx>
          <w:tblLook w:val="0000" w:firstRow="0" w:lastRow="0" w:firstColumn="0" w:lastColumn="0" w:noHBand="0" w:noVBand="0"/>
        </w:tblPrEx>
        <w:trPr>
          <w:cantSplit/>
          <w:trHeight w:val="627"/>
        </w:trPr>
        <w:tc>
          <w:tcPr>
            <w:tcW w:w="2253" w:type="dxa"/>
          </w:tcPr>
          <w:p w14:paraId="2239EAE9" w14:textId="77777777" w:rsidR="009F125C" w:rsidRPr="00EE6DAA" w:rsidRDefault="009F125C" w:rsidP="009F125C">
            <w:pPr>
              <w:spacing w:beforeLines="40" w:before="96" w:after="120"/>
              <w:ind w:left="65" w:hanging="65"/>
              <w:rPr>
                <w:rFonts w:ascii="Arial" w:hAnsi="Arial" w:cs="Arial"/>
                <w:sz w:val="16"/>
                <w:szCs w:val="16"/>
              </w:rPr>
            </w:pPr>
            <w:r w:rsidRPr="00EE6DAA">
              <w:rPr>
                <w:rFonts w:ascii="Arial" w:hAnsi="Arial" w:cs="Arial"/>
                <w:sz w:val="16"/>
                <w:szCs w:val="16"/>
              </w:rPr>
              <w:lastRenderedPageBreak/>
              <w:t>Portfolio</w:t>
            </w:r>
          </w:p>
        </w:tc>
        <w:tc>
          <w:tcPr>
            <w:tcW w:w="5491" w:type="dxa"/>
          </w:tcPr>
          <w:p w14:paraId="2239EAEA" w14:textId="77777777" w:rsidR="009F125C" w:rsidRPr="00EE6DAA" w:rsidRDefault="009F125C" w:rsidP="009F125C">
            <w:pPr>
              <w:spacing w:beforeLines="40" w:before="96" w:after="120"/>
              <w:rPr>
                <w:rFonts w:ascii="Arial" w:hAnsi="Arial" w:cs="Arial"/>
                <w:sz w:val="16"/>
                <w:szCs w:val="16"/>
              </w:rPr>
            </w:pPr>
            <w:r w:rsidRPr="00EE6DAA">
              <w:rPr>
                <w:rFonts w:ascii="Arial" w:hAnsi="Arial" w:cs="Arial"/>
                <w:sz w:val="16"/>
                <w:szCs w:val="16"/>
              </w:rPr>
              <w:t>A Minister’s area of responsibility as a member of Cabinet. A portfolio consists of one or more Departments of State and a number of entities with similar general objectives and outcomes.</w:t>
            </w:r>
          </w:p>
        </w:tc>
      </w:tr>
      <w:tr w:rsidR="009F125C" w:rsidRPr="00EE6DAA" w14:paraId="2275E2A3" w14:textId="77777777" w:rsidTr="00B65359">
        <w:tblPrEx>
          <w:tblLook w:val="0000" w:firstRow="0" w:lastRow="0" w:firstColumn="0" w:lastColumn="0" w:noHBand="0" w:noVBand="0"/>
        </w:tblPrEx>
        <w:trPr>
          <w:cantSplit/>
          <w:trHeight w:val="397"/>
        </w:trPr>
        <w:tc>
          <w:tcPr>
            <w:tcW w:w="2253" w:type="dxa"/>
          </w:tcPr>
          <w:p w14:paraId="071F5ADC" w14:textId="1BB651B5" w:rsidR="009F125C" w:rsidRPr="00EE6DAA" w:rsidRDefault="009F125C" w:rsidP="009F125C">
            <w:pPr>
              <w:spacing w:beforeLines="40" w:before="96" w:after="120"/>
              <w:rPr>
                <w:rFonts w:ascii="Arial" w:hAnsi="Arial" w:cs="Arial"/>
                <w:sz w:val="16"/>
                <w:szCs w:val="16"/>
              </w:rPr>
            </w:pPr>
            <w:r>
              <w:rPr>
                <w:rFonts w:ascii="Arial" w:hAnsi="Arial" w:cs="Arial"/>
                <w:sz w:val="16"/>
                <w:szCs w:val="16"/>
              </w:rPr>
              <w:t>PSCP</w:t>
            </w:r>
          </w:p>
        </w:tc>
        <w:tc>
          <w:tcPr>
            <w:tcW w:w="5491" w:type="dxa"/>
          </w:tcPr>
          <w:p w14:paraId="58ED4B7D" w14:textId="47D422A5" w:rsidR="009F125C" w:rsidRPr="006342FE" w:rsidRDefault="009F125C" w:rsidP="009F125C">
            <w:pPr>
              <w:spacing w:beforeLines="40" w:before="96" w:after="120"/>
              <w:rPr>
                <w:rFonts w:ascii="Arial" w:hAnsi="Arial" w:cs="Arial"/>
                <w:sz w:val="16"/>
                <w:szCs w:val="16"/>
              </w:rPr>
            </w:pPr>
            <w:r>
              <w:rPr>
                <w:rFonts w:ascii="Arial" w:hAnsi="Arial" w:cs="Arial"/>
                <w:sz w:val="16"/>
                <w:szCs w:val="16"/>
              </w:rPr>
              <w:t>Property Services Coordinated Procurement.</w:t>
            </w:r>
          </w:p>
        </w:tc>
      </w:tr>
      <w:tr w:rsidR="009F125C" w:rsidRPr="00EE6DAA" w14:paraId="32DF65C0" w14:textId="77777777" w:rsidTr="00B65359">
        <w:tblPrEx>
          <w:tblLook w:val="0000" w:firstRow="0" w:lastRow="0" w:firstColumn="0" w:lastColumn="0" w:noHBand="0" w:noVBand="0"/>
        </w:tblPrEx>
        <w:trPr>
          <w:cantSplit/>
          <w:trHeight w:val="397"/>
        </w:trPr>
        <w:tc>
          <w:tcPr>
            <w:tcW w:w="2253" w:type="dxa"/>
          </w:tcPr>
          <w:p w14:paraId="01B2CCEE" w14:textId="26ED60AD" w:rsidR="009F125C" w:rsidRDefault="009F125C" w:rsidP="009F125C">
            <w:pPr>
              <w:spacing w:beforeLines="40" w:before="96" w:after="120"/>
              <w:rPr>
                <w:rFonts w:ascii="Arial" w:hAnsi="Arial" w:cs="Arial"/>
                <w:sz w:val="16"/>
                <w:szCs w:val="16"/>
              </w:rPr>
            </w:pPr>
            <w:r>
              <w:rPr>
                <w:rFonts w:ascii="Arial" w:hAnsi="Arial" w:cs="Arial"/>
                <w:sz w:val="16"/>
                <w:szCs w:val="16"/>
              </w:rPr>
              <w:t>PSS</w:t>
            </w:r>
          </w:p>
        </w:tc>
        <w:tc>
          <w:tcPr>
            <w:tcW w:w="5491" w:type="dxa"/>
          </w:tcPr>
          <w:p w14:paraId="436C755E" w14:textId="2A8C7137" w:rsidR="009F125C" w:rsidRDefault="009F125C" w:rsidP="009F125C">
            <w:pPr>
              <w:spacing w:beforeLines="40" w:before="96" w:after="120"/>
              <w:rPr>
                <w:rFonts w:ascii="Arial" w:hAnsi="Arial" w:cs="Arial"/>
                <w:sz w:val="16"/>
                <w:szCs w:val="16"/>
              </w:rPr>
            </w:pPr>
            <w:r>
              <w:rPr>
                <w:rFonts w:ascii="Arial" w:hAnsi="Arial" w:cs="Arial"/>
                <w:sz w:val="16"/>
                <w:szCs w:val="16"/>
              </w:rPr>
              <w:t>Public Sector Superannuation Scheme.</w:t>
            </w:r>
          </w:p>
        </w:tc>
      </w:tr>
      <w:tr w:rsidR="009F125C" w:rsidRPr="00EE6DAA" w14:paraId="5A973484" w14:textId="77777777" w:rsidTr="00B65359">
        <w:tblPrEx>
          <w:tblLook w:val="0000" w:firstRow="0" w:lastRow="0" w:firstColumn="0" w:lastColumn="0" w:noHBand="0" w:noVBand="0"/>
        </w:tblPrEx>
        <w:trPr>
          <w:cantSplit/>
          <w:trHeight w:val="397"/>
        </w:trPr>
        <w:tc>
          <w:tcPr>
            <w:tcW w:w="2253" w:type="dxa"/>
          </w:tcPr>
          <w:p w14:paraId="5CB353F1" w14:textId="144C553F" w:rsidR="009F125C" w:rsidRDefault="009F125C" w:rsidP="009F125C">
            <w:pPr>
              <w:spacing w:beforeLines="40" w:before="96" w:after="120"/>
              <w:rPr>
                <w:rFonts w:ascii="Arial" w:hAnsi="Arial" w:cs="Arial"/>
                <w:sz w:val="16"/>
                <w:szCs w:val="16"/>
              </w:rPr>
            </w:pPr>
            <w:r>
              <w:rPr>
                <w:rFonts w:ascii="Arial" w:hAnsi="Arial" w:cs="Arial"/>
                <w:sz w:val="16"/>
                <w:szCs w:val="16"/>
              </w:rPr>
              <w:t>PSSap</w:t>
            </w:r>
          </w:p>
        </w:tc>
        <w:tc>
          <w:tcPr>
            <w:tcW w:w="5491" w:type="dxa"/>
          </w:tcPr>
          <w:p w14:paraId="66A81E17" w14:textId="77EE2CF0" w:rsidR="009F125C" w:rsidRDefault="009F125C" w:rsidP="009F125C">
            <w:pPr>
              <w:spacing w:beforeLines="40" w:before="96" w:after="120"/>
              <w:rPr>
                <w:rFonts w:ascii="Arial" w:hAnsi="Arial" w:cs="Arial"/>
                <w:sz w:val="16"/>
                <w:szCs w:val="16"/>
              </w:rPr>
            </w:pPr>
            <w:r>
              <w:rPr>
                <w:rFonts w:ascii="Arial" w:hAnsi="Arial" w:cs="Arial"/>
                <w:sz w:val="16"/>
                <w:szCs w:val="16"/>
              </w:rPr>
              <w:t>Public Sector Superannuation Scheme Accumulation Plan</w:t>
            </w:r>
            <w:r w:rsidR="000832E4">
              <w:rPr>
                <w:rFonts w:ascii="Arial" w:hAnsi="Arial" w:cs="Arial"/>
                <w:sz w:val="16"/>
                <w:szCs w:val="16"/>
              </w:rPr>
              <w:t>.</w:t>
            </w:r>
          </w:p>
        </w:tc>
      </w:tr>
      <w:tr w:rsidR="009F125C" w:rsidRPr="00EE6DAA" w14:paraId="2239EAF2" w14:textId="77777777" w:rsidTr="00C6675C">
        <w:tblPrEx>
          <w:tblLook w:val="0000" w:firstRow="0" w:lastRow="0" w:firstColumn="0" w:lastColumn="0" w:noHBand="0" w:noVBand="0"/>
        </w:tblPrEx>
        <w:trPr>
          <w:cantSplit/>
          <w:trHeight w:val="663"/>
        </w:trPr>
        <w:tc>
          <w:tcPr>
            <w:tcW w:w="2253" w:type="dxa"/>
          </w:tcPr>
          <w:p w14:paraId="2239EAF0" w14:textId="77777777" w:rsidR="009F125C" w:rsidRPr="00EE6DAA" w:rsidRDefault="009F125C" w:rsidP="009F125C">
            <w:pPr>
              <w:spacing w:beforeLines="40" w:before="96" w:after="120"/>
              <w:rPr>
                <w:rFonts w:ascii="Arial" w:hAnsi="Arial" w:cs="Arial"/>
                <w:sz w:val="16"/>
                <w:szCs w:val="16"/>
              </w:rPr>
            </w:pPr>
            <w:r w:rsidRPr="00EE6DAA">
              <w:rPr>
                <w:rFonts w:ascii="Arial" w:hAnsi="Arial" w:cs="Arial"/>
                <w:sz w:val="16"/>
                <w:szCs w:val="16"/>
              </w:rPr>
              <w:t>Revenue</w:t>
            </w:r>
          </w:p>
        </w:tc>
        <w:tc>
          <w:tcPr>
            <w:tcW w:w="5491" w:type="dxa"/>
          </w:tcPr>
          <w:p w14:paraId="2239EAF1" w14:textId="77777777" w:rsidR="009F125C" w:rsidRPr="00EE6DAA" w:rsidRDefault="009F125C" w:rsidP="009F125C">
            <w:pPr>
              <w:spacing w:beforeLines="40" w:before="96" w:after="120"/>
              <w:rPr>
                <w:rFonts w:ascii="Arial" w:hAnsi="Arial" w:cs="Arial"/>
                <w:sz w:val="16"/>
                <w:szCs w:val="16"/>
              </w:rPr>
            </w:pPr>
            <w:r w:rsidRPr="00EE6DAA">
              <w:rPr>
                <w:rFonts w:ascii="Arial" w:hAnsi="Arial" w:cs="Arial"/>
                <w:sz w:val="16"/>
                <w:szCs w:val="16"/>
              </w:rPr>
              <w:t>Total value of resources earned or received to cover the production of goods and services or increases in future economic benefits in the form of increases in assets or reductions in liabilities of an entity.</w:t>
            </w:r>
          </w:p>
        </w:tc>
      </w:tr>
      <w:tr w:rsidR="00CE7EF0" w:rsidRPr="00EE6DAA" w14:paraId="65952905" w14:textId="77777777" w:rsidTr="00CE7EF0">
        <w:tblPrEx>
          <w:tblLook w:val="0000" w:firstRow="0" w:lastRow="0" w:firstColumn="0" w:lastColumn="0" w:noHBand="0" w:noVBand="0"/>
        </w:tblPrEx>
        <w:trPr>
          <w:cantSplit/>
          <w:trHeight w:val="454"/>
        </w:trPr>
        <w:tc>
          <w:tcPr>
            <w:tcW w:w="2253" w:type="dxa"/>
          </w:tcPr>
          <w:p w14:paraId="532F0F67" w14:textId="540BCC1D" w:rsidR="00CE7EF0" w:rsidRPr="00EE6DAA" w:rsidRDefault="00CE7EF0" w:rsidP="009F125C">
            <w:pPr>
              <w:spacing w:beforeLines="40" w:before="96" w:after="120"/>
              <w:rPr>
                <w:rFonts w:ascii="Arial" w:hAnsi="Arial" w:cs="Arial"/>
                <w:sz w:val="16"/>
                <w:szCs w:val="16"/>
              </w:rPr>
            </w:pPr>
            <w:r>
              <w:rPr>
                <w:rFonts w:ascii="Arial" w:hAnsi="Arial" w:cs="Arial"/>
                <w:sz w:val="16"/>
                <w:szCs w:val="16"/>
              </w:rPr>
              <w:t>ROU</w:t>
            </w:r>
          </w:p>
        </w:tc>
        <w:tc>
          <w:tcPr>
            <w:tcW w:w="5491" w:type="dxa"/>
          </w:tcPr>
          <w:p w14:paraId="4F6EB7FC" w14:textId="04A6D814" w:rsidR="00CE7EF0" w:rsidRPr="00EE6DAA" w:rsidRDefault="00CE7EF0" w:rsidP="00CE7EF0">
            <w:pPr>
              <w:spacing w:beforeLines="40" w:before="96" w:after="120"/>
              <w:rPr>
                <w:rFonts w:ascii="Arial" w:hAnsi="Arial" w:cs="Arial"/>
                <w:sz w:val="16"/>
                <w:szCs w:val="16"/>
              </w:rPr>
            </w:pPr>
            <w:r w:rsidRPr="00CE7EF0">
              <w:rPr>
                <w:rFonts w:ascii="Arial" w:hAnsi="Arial" w:cs="Arial"/>
                <w:sz w:val="16"/>
                <w:szCs w:val="16"/>
              </w:rPr>
              <w:t xml:space="preserve">Right-of-Use (ROU) assets under </w:t>
            </w:r>
            <w:r>
              <w:rPr>
                <w:rFonts w:ascii="Arial" w:hAnsi="Arial" w:cs="Arial"/>
                <w:sz w:val="16"/>
                <w:szCs w:val="16"/>
              </w:rPr>
              <w:t xml:space="preserve">Australian Accounting Standard </w:t>
            </w:r>
            <w:r>
              <w:rPr>
                <w:rFonts w:ascii="Arial" w:hAnsi="Arial" w:cs="Arial"/>
                <w:sz w:val="16"/>
                <w:szCs w:val="16"/>
              </w:rPr>
              <w:br/>
            </w:r>
            <w:r w:rsidRPr="00CE7EF0">
              <w:rPr>
                <w:rFonts w:ascii="Arial" w:hAnsi="Arial" w:cs="Arial"/>
                <w:sz w:val="16"/>
                <w:szCs w:val="16"/>
              </w:rPr>
              <w:t xml:space="preserve">AASB 16 </w:t>
            </w:r>
            <w:r w:rsidRPr="00CE7EF0">
              <w:rPr>
                <w:rFonts w:ascii="Arial" w:hAnsi="Arial" w:cs="Arial"/>
                <w:i/>
                <w:sz w:val="16"/>
                <w:szCs w:val="16"/>
              </w:rPr>
              <w:t>Leases</w:t>
            </w:r>
            <w:r>
              <w:rPr>
                <w:rFonts w:ascii="Arial" w:hAnsi="Arial" w:cs="Arial"/>
                <w:i/>
                <w:sz w:val="16"/>
                <w:szCs w:val="16"/>
              </w:rPr>
              <w:t>.</w:t>
            </w:r>
          </w:p>
        </w:tc>
      </w:tr>
      <w:tr w:rsidR="009F125C" w:rsidRPr="00EE6DAA" w14:paraId="29A42823" w14:textId="77777777" w:rsidTr="006342FE">
        <w:tblPrEx>
          <w:tblLook w:val="0000" w:firstRow="0" w:lastRow="0" w:firstColumn="0" w:lastColumn="0" w:noHBand="0" w:noVBand="0"/>
        </w:tblPrEx>
        <w:trPr>
          <w:cantSplit/>
          <w:trHeight w:val="397"/>
        </w:trPr>
        <w:tc>
          <w:tcPr>
            <w:tcW w:w="2253" w:type="dxa"/>
          </w:tcPr>
          <w:p w14:paraId="1E0197DC" w14:textId="5715C3F4" w:rsidR="009F125C" w:rsidRPr="00EE6DAA" w:rsidRDefault="009F125C" w:rsidP="009F125C">
            <w:pPr>
              <w:spacing w:beforeLines="40" w:before="96" w:after="120"/>
              <w:rPr>
                <w:rFonts w:ascii="Arial" w:hAnsi="Arial" w:cs="Arial"/>
                <w:sz w:val="16"/>
                <w:szCs w:val="16"/>
              </w:rPr>
            </w:pPr>
            <w:r>
              <w:rPr>
                <w:rFonts w:ascii="Arial" w:hAnsi="Arial" w:cs="Arial"/>
                <w:sz w:val="16"/>
                <w:szCs w:val="16"/>
              </w:rPr>
              <w:t>SDO</w:t>
            </w:r>
          </w:p>
        </w:tc>
        <w:tc>
          <w:tcPr>
            <w:tcW w:w="5491" w:type="dxa"/>
          </w:tcPr>
          <w:p w14:paraId="3E2B9948" w14:textId="6148ACB2" w:rsidR="009F125C" w:rsidRPr="00EE6DAA" w:rsidRDefault="009F125C" w:rsidP="009F125C">
            <w:pPr>
              <w:spacing w:beforeLines="40" w:before="96" w:after="120"/>
              <w:rPr>
                <w:rFonts w:ascii="Arial" w:hAnsi="Arial" w:cs="Arial"/>
                <w:sz w:val="16"/>
                <w:szCs w:val="16"/>
              </w:rPr>
            </w:pPr>
            <w:r>
              <w:rPr>
                <w:rFonts w:ascii="Arial" w:hAnsi="Arial" w:cs="Arial"/>
                <w:sz w:val="16"/>
                <w:szCs w:val="16"/>
              </w:rPr>
              <w:t>Service Delivery Office.</w:t>
            </w:r>
          </w:p>
        </w:tc>
      </w:tr>
      <w:tr w:rsidR="009F125C" w:rsidRPr="00EE6DAA" w14:paraId="2239EAF5" w14:textId="77777777" w:rsidTr="00C6675C">
        <w:tblPrEx>
          <w:tblLook w:val="0000" w:firstRow="0" w:lastRow="0" w:firstColumn="0" w:lastColumn="0" w:noHBand="0" w:noVBand="0"/>
        </w:tblPrEx>
        <w:trPr>
          <w:cantSplit/>
          <w:trHeight w:val="663"/>
        </w:trPr>
        <w:tc>
          <w:tcPr>
            <w:tcW w:w="2253" w:type="dxa"/>
          </w:tcPr>
          <w:p w14:paraId="2239EAF3" w14:textId="77777777" w:rsidR="009F125C" w:rsidRPr="00EE6DAA" w:rsidRDefault="009F125C" w:rsidP="009F125C">
            <w:pPr>
              <w:spacing w:beforeLines="40" w:before="96" w:after="120"/>
              <w:rPr>
                <w:rFonts w:ascii="Arial" w:hAnsi="Arial" w:cs="Arial"/>
                <w:sz w:val="16"/>
                <w:szCs w:val="16"/>
              </w:rPr>
            </w:pPr>
            <w:r w:rsidRPr="00EE6DAA">
              <w:rPr>
                <w:rFonts w:ascii="Arial" w:hAnsi="Arial" w:cs="Arial"/>
                <w:sz w:val="16"/>
                <w:szCs w:val="16"/>
              </w:rPr>
              <w:t>Special Accounts</w:t>
            </w:r>
          </w:p>
        </w:tc>
        <w:tc>
          <w:tcPr>
            <w:tcW w:w="5491" w:type="dxa"/>
          </w:tcPr>
          <w:p w14:paraId="2239EAF4" w14:textId="77777777" w:rsidR="009F125C" w:rsidRPr="00EE6DAA" w:rsidRDefault="009F125C" w:rsidP="009F125C">
            <w:pPr>
              <w:spacing w:beforeLines="40" w:before="96" w:after="120"/>
              <w:rPr>
                <w:rFonts w:ascii="Arial" w:hAnsi="Arial" w:cs="Arial"/>
                <w:sz w:val="16"/>
                <w:szCs w:val="16"/>
              </w:rPr>
            </w:pPr>
            <w:r w:rsidRPr="00EE6DAA">
              <w:rPr>
                <w:rFonts w:ascii="Arial" w:hAnsi="Arial" w:cs="Arial"/>
                <w:sz w:val="16"/>
                <w:szCs w:val="16"/>
              </w:rPr>
              <w:t xml:space="preserve">A type of </w:t>
            </w:r>
            <w:hyperlink r:id="rId201" w:anchor="special_appropriation" w:history="1">
              <w:r w:rsidRPr="00EE6DAA">
                <w:rPr>
                  <w:rFonts w:ascii="Arial" w:hAnsi="Arial" w:cs="Arial"/>
                  <w:sz w:val="16"/>
                  <w:szCs w:val="16"/>
                </w:rPr>
                <w:t>special appropriation</w:t>
              </w:r>
            </w:hyperlink>
            <w:r w:rsidRPr="00EE6DAA">
              <w:rPr>
                <w:rFonts w:ascii="Arial" w:hAnsi="Arial" w:cs="Arial"/>
                <w:sz w:val="16"/>
                <w:szCs w:val="16"/>
              </w:rPr>
              <w:t>, limited by amount, criteria or time, which may be established under sections 78 and 80 of the PGPA Act.</w:t>
            </w:r>
          </w:p>
        </w:tc>
      </w:tr>
      <w:tr w:rsidR="009F125C" w:rsidRPr="00EE6DAA" w14:paraId="2239EAF8" w14:textId="77777777" w:rsidTr="00C6675C">
        <w:tblPrEx>
          <w:tblLook w:val="0000" w:firstRow="0" w:lastRow="0" w:firstColumn="0" w:lastColumn="0" w:noHBand="0" w:noVBand="0"/>
        </w:tblPrEx>
        <w:trPr>
          <w:cantSplit/>
          <w:trHeight w:val="350"/>
        </w:trPr>
        <w:tc>
          <w:tcPr>
            <w:tcW w:w="2253" w:type="dxa"/>
          </w:tcPr>
          <w:p w14:paraId="2239EAF6" w14:textId="77777777" w:rsidR="009F125C" w:rsidRPr="00EE6DAA" w:rsidRDefault="009F125C" w:rsidP="009F125C">
            <w:pPr>
              <w:spacing w:beforeLines="40" w:before="96" w:after="120"/>
              <w:rPr>
                <w:rFonts w:ascii="Arial" w:hAnsi="Arial" w:cs="Arial"/>
                <w:sz w:val="16"/>
                <w:szCs w:val="16"/>
              </w:rPr>
            </w:pPr>
            <w:r w:rsidRPr="00EE6DAA">
              <w:rPr>
                <w:rFonts w:ascii="Arial" w:hAnsi="Arial" w:cs="Arial"/>
                <w:sz w:val="16"/>
                <w:szCs w:val="16"/>
              </w:rPr>
              <w:t xml:space="preserve">Special Appropriations </w:t>
            </w:r>
          </w:p>
        </w:tc>
        <w:tc>
          <w:tcPr>
            <w:tcW w:w="5491" w:type="dxa"/>
          </w:tcPr>
          <w:p w14:paraId="2239EAF7" w14:textId="77777777" w:rsidR="009F125C" w:rsidRPr="00EE6DAA" w:rsidRDefault="009F125C" w:rsidP="009F125C">
            <w:pPr>
              <w:spacing w:beforeLines="40" w:before="96" w:after="120"/>
              <w:rPr>
                <w:rFonts w:ascii="Arial" w:hAnsi="Arial" w:cs="Arial"/>
                <w:sz w:val="16"/>
                <w:szCs w:val="16"/>
              </w:rPr>
            </w:pPr>
            <w:r w:rsidRPr="00EE6DAA">
              <w:rPr>
                <w:rFonts w:ascii="Arial" w:hAnsi="Arial" w:cs="Arial"/>
                <w:sz w:val="16"/>
                <w:szCs w:val="16"/>
              </w:rPr>
              <w:t xml:space="preserve">Authority within an Act (other than an </w:t>
            </w:r>
            <w:hyperlink r:id="rId202" w:anchor="annual_appropriations" w:history="1">
              <w:r w:rsidRPr="00EE6DAA">
                <w:rPr>
                  <w:rFonts w:ascii="Arial" w:hAnsi="Arial" w:cs="Arial"/>
                  <w:sz w:val="16"/>
                  <w:szCs w:val="16"/>
                </w:rPr>
                <w:t>annual Appropriation</w:t>
              </w:r>
            </w:hyperlink>
            <w:r w:rsidRPr="00EE6DAA">
              <w:rPr>
                <w:rFonts w:ascii="Arial" w:hAnsi="Arial" w:cs="Arial"/>
                <w:sz w:val="16"/>
                <w:szCs w:val="16"/>
              </w:rPr>
              <w:t xml:space="preserve"> Act) to spend money from the </w:t>
            </w:r>
            <w:hyperlink r:id="rId203" w:anchor="crf" w:history="1">
              <w:r w:rsidRPr="00EE6DAA">
                <w:rPr>
                  <w:rFonts w:ascii="Arial" w:hAnsi="Arial" w:cs="Arial"/>
                  <w:sz w:val="16"/>
                  <w:szCs w:val="16"/>
                </w:rPr>
                <w:t>Consolidated Revenue Fund</w:t>
              </w:r>
            </w:hyperlink>
            <w:r w:rsidRPr="00EE6DAA">
              <w:rPr>
                <w:rFonts w:ascii="Arial" w:hAnsi="Arial" w:cs="Arial"/>
                <w:sz w:val="16"/>
                <w:szCs w:val="16"/>
              </w:rPr>
              <w:t xml:space="preserve"> for particular purposes. </w:t>
            </w:r>
            <w:r w:rsidRPr="00EE6DAA">
              <w:rPr>
                <w:rFonts w:ascii="Arial" w:hAnsi="Arial" w:cs="Arial"/>
                <w:i/>
                <w:sz w:val="16"/>
                <w:szCs w:val="16"/>
              </w:rPr>
              <w:t>The Social Security (Administration) Act 1999</w:t>
            </w:r>
            <w:r w:rsidRPr="00EE6DAA">
              <w:rPr>
                <w:rFonts w:ascii="Arial" w:hAnsi="Arial" w:cs="Arial"/>
                <w:sz w:val="16"/>
                <w:szCs w:val="16"/>
              </w:rPr>
              <w:t>, for example, contains several special appropriations to make social security payments. Special appropriations support around 80% of all government expenditure each year.</w:t>
            </w:r>
          </w:p>
        </w:tc>
      </w:tr>
      <w:tr w:rsidR="009F125C" w:rsidRPr="00EE6DAA" w14:paraId="2423C3A7" w14:textId="77777777" w:rsidTr="00B65359">
        <w:tblPrEx>
          <w:tblLook w:val="0000" w:firstRow="0" w:lastRow="0" w:firstColumn="0" w:lastColumn="0" w:noHBand="0" w:noVBand="0"/>
        </w:tblPrEx>
        <w:trPr>
          <w:cantSplit/>
          <w:trHeight w:val="397"/>
        </w:trPr>
        <w:tc>
          <w:tcPr>
            <w:tcW w:w="2253" w:type="dxa"/>
          </w:tcPr>
          <w:p w14:paraId="63DF1AEA" w14:textId="1FEDCD6C" w:rsidR="009F125C" w:rsidRPr="00EE6DAA" w:rsidRDefault="009F125C" w:rsidP="009F125C">
            <w:pPr>
              <w:spacing w:beforeLines="40" w:before="96" w:after="120"/>
              <w:rPr>
                <w:rFonts w:ascii="Arial" w:hAnsi="Arial" w:cs="Arial"/>
                <w:sz w:val="16"/>
                <w:szCs w:val="16"/>
              </w:rPr>
            </w:pPr>
            <w:r>
              <w:rPr>
                <w:rFonts w:ascii="Arial" w:hAnsi="Arial" w:cs="Arial"/>
                <w:sz w:val="16"/>
                <w:szCs w:val="16"/>
              </w:rPr>
              <w:t>WoAG</w:t>
            </w:r>
          </w:p>
        </w:tc>
        <w:tc>
          <w:tcPr>
            <w:tcW w:w="5491" w:type="dxa"/>
          </w:tcPr>
          <w:p w14:paraId="01188144" w14:textId="1BEA0D13" w:rsidR="009F125C" w:rsidRPr="00EE6DAA" w:rsidRDefault="009F125C" w:rsidP="009F125C">
            <w:pPr>
              <w:spacing w:beforeLines="40" w:before="96" w:after="120"/>
              <w:rPr>
                <w:rFonts w:ascii="Arial" w:hAnsi="Arial" w:cs="Arial"/>
                <w:sz w:val="16"/>
                <w:szCs w:val="16"/>
              </w:rPr>
            </w:pPr>
            <w:r>
              <w:rPr>
                <w:rFonts w:ascii="Arial" w:hAnsi="Arial" w:cs="Arial"/>
                <w:sz w:val="16"/>
                <w:szCs w:val="16"/>
              </w:rPr>
              <w:t>Whole of Australian Government.</w:t>
            </w:r>
          </w:p>
        </w:tc>
      </w:tr>
    </w:tbl>
    <w:p w14:paraId="57F75726" w14:textId="77777777" w:rsidR="00653120" w:rsidRPr="00A67AF5" w:rsidRDefault="00653120" w:rsidP="00A67AF5">
      <w:pPr>
        <w:tabs>
          <w:tab w:val="left" w:pos="776"/>
        </w:tabs>
        <w:rPr>
          <w:szCs w:val="19"/>
        </w:rPr>
        <w:sectPr w:rsidR="00653120" w:rsidRPr="00A67AF5" w:rsidSect="00592CEE">
          <w:footerReference w:type="even" r:id="rId204"/>
          <w:headerReference w:type="first" r:id="rId205"/>
          <w:footerReference w:type="first" r:id="rId206"/>
          <w:type w:val="oddPage"/>
          <w:pgSz w:w="11906" w:h="16838" w:code="9"/>
          <w:pgMar w:top="2835" w:right="2098" w:bottom="2466" w:left="2098" w:header="1814" w:footer="1814" w:gutter="0"/>
          <w:cols w:space="708"/>
          <w:titlePg/>
          <w:docGrid w:linePitch="360"/>
        </w:sectPr>
      </w:pPr>
    </w:p>
    <w:p w14:paraId="2239EAFA" w14:textId="77777777" w:rsidR="000C3B86" w:rsidRPr="000C3B86" w:rsidRDefault="000C3B86" w:rsidP="00FE2DE2"/>
    <w:sectPr w:rsidR="000C3B86" w:rsidRPr="000C3B86" w:rsidSect="00503FD8">
      <w:headerReference w:type="even" r:id="rId207"/>
      <w:headerReference w:type="default" r:id="rId208"/>
      <w:headerReference w:type="first" r:id="rId209"/>
      <w:footerReference w:type="first" r:id="rId210"/>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9EB9D" w14:textId="77777777" w:rsidR="008B04B6" w:rsidRDefault="008B04B6" w:rsidP="00C07DEC">
      <w:r>
        <w:separator/>
      </w:r>
    </w:p>
  </w:endnote>
  <w:endnote w:type="continuationSeparator" w:id="0">
    <w:p w14:paraId="2239EB9E" w14:textId="77777777" w:rsidR="008B04B6" w:rsidRDefault="008B04B6"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8E25" w14:textId="035BCDC3" w:rsidR="008B04B6" w:rsidRPr="00B41839" w:rsidRDefault="008B04B6" w:rsidP="00B41839">
    <w:pPr>
      <w:pStyle w:val="Footer"/>
      <w:pBdr>
        <w:top w:val="single" w:sz="4" w:space="1" w:color="auto"/>
      </w:pBdr>
      <w:spacing w:after="120"/>
      <w:rPr>
        <w:rFonts w:ascii="Helvetica" w:hAnsi="Helvetica" w:cs="Helvetica"/>
        <w:sz w:val="22"/>
        <w:szCs w:val="22"/>
      </w:rPr>
    </w:pPr>
    <w:r w:rsidRPr="00DA1003">
      <w:rPr>
        <w:rFonts w:ascii="Helvetica" w:hAnsi="Helvetica" w:cs="Helvetica"/>
        <w:sz w:val="22"/>
        <w:szCs w:val="22"/>
      </w:rPr>
      <w:t xml:space="preserve">02 6277 7400  |  Parliament House Canberra ACT 2600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C5" w14:textId="2A172A83" w:rsidR="008B04B6" w:rsidRPr="008B5B65" w:rsidRDefault="008B04B6" w:rsidP="00642377">
    <w:pPr>
      <w:pStyle w:val="FooterEven"/>
      <w:rPr>
        <w:rStyle w:val="PageNumber"/>
        <w:rFonts w:cs="Times New Roman"/>
        <w:color w:val="000000"/>
      </w:rPr>
    </w:pPr>
    <w:r w:rsidRPr="001C6402">
      <w:rPr>
        <w:rStyle w:val="PageNumber"/>
        <w:rFonts w:cs="Times New Roman"/>
        <w:b/>
        <w:bCs/>
        <w:color w:val="000000"/>
      </w:rPr>
      <w:t xml:space="preserve">Page </w:t>
    </w:r>
    <w:r w:rsidRPr="001C6402">
      <w:rPr>
        <w:rStyle w:val="PageNumber"/>
        <w:rFonts w:cs="Times New Roman"/>
        <w:b/>
        <w:bCs/>
        <w:color w:val="000000"/>
      </w:rPr>
      <w:fldChar w:fldCharType="begin"/>
    </w:r>
    <w:r w:rsidRPr="001C6402">
      <w:rPr>
        <w:rStyle w:val="PageNumber"/>
        <w:rFonts w:cs="Times New Roman"/>
        <w:b/>
        <w:bCs/>
        <w:color w:val="000000"/>
      </w:rPr>
      <w:instrText xml:space="preserve"> PAGE </w:instrText>
    </w:r>
    <w:r w:rsidRPr="001C6402">
      <w:rPr>
        <w:rStyle w:val="PageNumber"/>
        <w:rFonts w:cs="Times New Roman"/>
        <w:b/>
        <w:bCs/>
        <w:color w:val="000000"/>
      </w:rPr>
      <w:fldChar w:fldCharType="separate"/>
    </w:r>
    <w:r w:rsidR="00F5323E">
      <w:rPr>
        <w:rStyle w:val="PageNumber"/>
        <w:rFonts w:cs="Times New Roman"/>
        <w:b/>
        <w:bCs/>
        <w:noProof/>
        <w:color w:val="000000"/>
      </w:rPr>
      <w:t>4</w:t>
    </w:r>
    <w:r w:rsidRPr="001C6402">
      <w:rPr>
        <w:rStyle w:val="PageNumber"/>
        <w:rFonts w:cs="Times New Roman"/>
        <w:b/>
        <w:bCs/>
        <w:color w:val="000000"/>
      </w:rPr>
      <w:fldChar w:fldCharType="end"/>
    </w:r>
    <w:r w:rsidRPr="001C6402">
      <w:rPr>
        <w:rStyle w:val="PageNumber"/>
        <w:rFonts w:cs="Times New Roman"/>
        <w:color w:val="000000"/>
      </w:rPr>
      <w:t xml:space="preserve">  |  </w:t>
    </w:r>
    <w:r w:rsidRPr="001C6402">
      <w:rPr>
        <w:rStyle w:val="PageNumber"/>
        <w:rFonts w:cs="Times New Roman"/>
        <w:color w:val="000000"/>
      </w:rPr>
      <w:fldChar w:fldCharType="begin"/>
    </w:r>
    <w:r w:rsidRPr="001C6402">
      <w:rPr>
        <w:rStyle w:val="PageNumber"/>
        <w:rFonts w:cs="Times New Roman"/>
        <w:color w:val="000000"/>
      </w:rPr>
      <w:instrText xml:space="preserve"> STYLEREF  "Heading 1"  \* MERGEFORMAT </w:instrText>
    </w:r>
    <w:r w:rsidRPr="001C6402">
      <w:rPr>
        <w:rStyle w:val="PageNumber"/>
        <w:rFonts w:cs="Times New Roman"/>
        <w:color w:val="000000"/>
      </w:rPr>
      <w:fldChar w:fldCharType="separate"/>
    </w:r>
    <w:r w:rsidR="00F5323E">
      <w:rPr>
        <w:rStyle w:val="PageNumber"/>
        <w:rFonts w:cs="Times New Roman"/>
        <w:noProof/>
        <w:color w:val="000000"/>
      </w:rPr>
      <w:t>Finance Portfolio overview</w:t>
    </w:r>
    <w:r w:rsidRPr="001C6402">
      <w:rPr>
        <w:rStyle w:val="PageNumber"/>
        <w:rFonts w:cs="Times New Roman"/>
        <w:color w:val="000000"/>
      </w:rPr>
      <w:fldChar w:fldCharType="end"/>
    </w:r>
    <w:r w:rsidRPr="001C6402">
      <w:rPr>
        <w:rStyle w:val="PageNumber"/>
        <w:rFonts w:cs="Times New Roman"/>
        <w:color w:val="00000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C7" w14:textId="6DDCF22F" w:rsidR="008B04B6" w:rsidRPr="00B628E8" w:rsidRDefault="008B04B6" w:rsidP="00B628E8">
    <w:pPr>
      <w:pStyle w:val="FooterOdd"/>
      <w:rPr>
        <w:b/>
        <w:bCs/>
      </w:rPr>
    </w:pPr>
    <w:r>
      <w:rPr>
        <w:rStyle w:val="PageNumber"/>
        <w:rFonts w:cs="Times New Roman"/>
      </w:rPr>
      <w:fldChar w:fldCharType="begin"/>
    </w:r>
    <w:r>
      <w:rPr>
        <w:rStyle w:val="PageNumber"/>
        <w:rFonts w:cs="Times New Roman"/>
      </w:rPr>
      <w:instrText xml:space="preserve"> STYLEREF  "Heading 1"  \* MERGEFORMAT </w:instrText>
    </w:r>
    <w:r>
      <w:rPr>
        <w:rStyle w:val="PageNumber"/>
        <w:rFonts w:cs="Times New Roman"/>
      </w:rPr>
      <w:fldChar w:fldCharType="separate"/>
    </w:r>
    <w:r w:rsidR="00F5323E">
      <w:rPr>
        <w:rStyle w:val="PageNumber"/>
        <w:rFonts w:cs="Times New Roman"/>
        <w:noProof/>
      </w:rPr>
      <w:t>Finance Portfolio overview</w:t>
    </w:r>
    <w:r>
      <w:rPr>
        <w:rStyle w:val="PageNumber"/>
        <w:rFonts w:cs="Times New Roman"/>
      </w:rPr>
      <w:fldChar w:fldCharType="end"/>
    </w:r>
    <w:r w:rsidRPr="00B628E8">
      <w:rPr>
        <w:rStyle w:val="PageNumber"/>
        <w:rFonts w:cs="Times New Roman"/>
      </w:rPr>
      <w:t xml:space="preserve"> </w:t>
    </w:r>
    <w:r>
      <w:rPr>
        <w:rStyle w:val="PageNumber"/>
        <w:rFonts w:cs="Times New Roman"/>
      </w:rPr>
      <w:t xml:space="preserve"> </w:t>
    </w:r>
    <w:r w:rsidRPr="00B628E8">
      <w:rPr>
        <w:rStyle w:val="PageNumber"/>
        <w:rFonts w:cs="Times New Roman"/>
      </w:rPr>
      <w:t xml:space="preserve">| </w:t>
    </w:r>
    <w:r>
      <w:rPr>
        <w:rStyle w:val="PageNumber"/>
        <w:rFonts w:cs="Times New Roman"/>
      </w:rPr>
      <w:t xml:space="preserve"> </w:t>
    </w:r>
    <w:r w:rsidRPr="00B628E8">
      <w:rPr>
        <w:rStyle w:val="PageNumber"/>
        <w:rFonts w:cs="Times New Roman"/>
        <w:b/>
        <w:bCs/>
      </w:rPr>
      <w:t xml:space="preserve">Page </w:t>
    </w:r>
    <w:r w:rsidRPr="00B628E8">
      <w:rPr>
        <w:rStyle w:val="PageNumber"/>
        <w:rFonts w:cs="Times New Roman"/>
        <w:b/>
        <w:bCs/>
      </w:rPr>
      <w:fldChar w:fldCharType="begin"/>
    </w:r>
    <w:r w:rsidRPr="00B628E8">
      <w:rPr>
        <w:rStyle w:val="PageNumber"/>
        <w:rFonts w:cs="Times New Roman"/>
        <w:b/>
        <w:bCs/>
      </w:rPr>
      <w:instrText xml:space="preserve"> PAGE </w:instrText>
    </w:r>
    <w:r w:rsidRPr="00B628E8">
      <w:rPr>
        <w:rStyle w:val="PageNumber"/>
        <w:rFonts w:cs="Times New Roman"/>
        <w:b/>
        <w:bCs/>
      </w:rPr>
      <w:fldChar w:fldCharType="separate"/>
    </w:r>
    <w:r w:rsidR="00F5323E">
      <w:rPr>
        <w:rStyle w:val="PageNumber"/>
        <w:rFonts w:cs="Times New Roman"/>
        <w:b/>
        <w:bCs/>
        <w:noProof/>
      </w:rPr>
      <w:t>3</w:t>
    </w:r>
    <w:r w:rsidRPr="00B628E8">
      <w:rPr>
        <w:rStyle w:val="PageNumber"/>
        <w:rFonts w:cs="Times New Roman"/>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C8" w14:textId="1E13583A" w:rsidR="008B04B6" w:rsidRPr="0022513F" w:rsidRDefault="008B04B6" w:rsidP="0022513F">
    <w:pPr>
      <w:pStyle w:val="FooterOdd"/>
      <w:rPr>
        <w:b/>
        <w:bCs/>
      </w:rPr>
    </w:pPr>
    <w:r>
      <w:rPr>
        <w:rStyle w:val="PageNumber"/>
        <w:rFonts w:cs="Times New Roman"/>
      </w:rPr>
      <w:fldChar w:fldCharType="begin"/>
    </w:r>
    <w:r>
      <w:rPr>
        <w:rStyle w:val="PageNumber"/>
        <w:rFonts w:cs="Times New Roman"/>
      </w:rPr>
      <w:instrText xml:space="preserve"> STYLEREF  "Heading 1"  \* MERGEFORMAT </w:instrText>
    </w:r>
    <w:r>
      <w:rPr>
        <w:rStyle w:val="PageNumber"/>
        <w:rFonts w:cs="Times New Roman"/>
      </w:rPr>
      <w:fldChar w:fldCharType="separate"/>
    </w:r>
    <w:r w:rsidR="00F5323E">
      <w:rPr>
        <w:rStyle w:val="PageNumber"/>
        <w:rFonts w:cs="Times New Roman"/>
        <w:noProof/>
      </w:rPr>
      <w:t>Finance Portfolio overview</w:t>
    </w:r>
    <w:r>
      <w:rPr>
        <w:rStyle w:val="PageNumber"/>
        <w:rFonts w:cs="Times New Roman"/>
      </w:rPr>
      <w:fldChar w:fldCharType="end"/>
    </w:r>
    <w:r w:rsidRPr="00B628E8">
      <w:rPr>
        <w:rStyle w:val="PageNumber"/>
        <w:rFonts w:cs="Times New Roman"/>
      </w:rPr>
      <w:t xml:space="preserve"> </w:t>
    </w:r>
    <w:r>
      <w:rPr>
        <w:rStyle w:val="PageNumber"/>
        <w:rFonts w:cs="Times New Roman"/>
      </w:rPr>
      <w:t xml:space="preserve"> </w:t>
    </w:r>
    <w:r w:rsidRPr="00B628E8">
      <w:rPr>
        <w:rStyle w:val="PageNumber"/>
        <w:rFonts w:cs="Times New Roman"/>
      </w:rPr>
      <w:t xml:space="preserve">| </w:t>
    </w:r>
    <w:r>
      <w:rPr>
        <w:rStyle w:val="PageNumber"/>
        <w:rFonts w:cs="Times New Roman"/>
      </w:rPr>
      <w:t xml:space="preserve"> </w:t>
    </w:r>
    <w:r w:rsidRPr="00B628E8">
      <w:rPr>
        <w:rStyle w:val="PageNumber"/>
        <w:rFonts w:cs="Times New Roman"/>
        <w:b/>
        <w:bCs/>
      </w:rPr>
      <w:t xml:space="preserve">Page </w:t>
    </w:r>
    <w:r w:rsidRPr="00B628E8">
      <w:rPr>
        <w:rStyle w:val="PageNumber"/>
        <w:rFonts w:cs="Times New Roman"/>
        <w:b/>
        <w:bCs/>
      </w:rPr>
      <w:fldChar w:fldCharType="begin"/>
    </w:r>
    <w:r w:rsidRPr="00B628E8">
      <w:rPr>
        <w:rStyle w:val="PageNumber"/>
        <w:rFonts w:cs="Times New Roman"/>
        <w:b/>
        <w:bCs/>
      </w:rPr>
      <w:instrText xml:space="preserve"> PAGE </w:instrText>
    </w:r>
    <w:r w:rsidRPr="00B628E8">
      <w:rPr>
        <w:rStyle w:val="PageNumber"/>
        <w:rFonts w:cs="Times New Roman"/>
        <w:b/>
        <w:bCs/>
      </w:rPr>
      <w:fldChar w:fldCharType="separate"/>
    </w:r>
    <w:r w:rsidR="00F5323E">
      <w:rPr>
        <w:rStyle w:val="PageNumber"/>
        <w:rFonts w:cs="Times New Roman"/>
        <w:b/>
        <w:bCs/>
        <w:noProof/>
      </w:rPr>
      <w:t>5</w:t>
    </w:r>
    <w:r w:rsidRPr="00B628E8">
      <w:rPr>
        <w:rStyle w:val="PageNumber"/>
        <w:rFonts w:cs="Times New Roman"/>
        <w:b/>
        <w:bC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868E" w14:textId="77777777" w:rsidR="008B04B6" w:rsidRPr="00BC4422" w:rsidRDefault="008B04B6" w:rsidP="00BC442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C9" w14:textId="77777777" w:rsidR="008B04B6" w:rsidRPr="001808A4" w:rsidRDefault="008B04B6" w:rsidP="0049200C">
    <w:pPr>
      <w:pStyle w:val="FooterBase"/>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CA" w14:textId="00C73F4F" w:rsidR="008B04B6" w:rsidRPr="003606D1" w:rsidRDefault="008B04B6" w:rsidP="003606D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32046" w14:textId="2D68B388" w:rsidR="008B04B6" w:rsidRPr="00D944EA" w:rsidRDefault="008B04B6" w:rsidP="00D944EA">
    <w:pPr>
      <w:pStyle w:val="FooterEven"/>
      <w:rPr>
        <w:rStyle w:val="PageNumber"/>
        <w:rFonts w:cs="Times New Roman"/>
        <w:color w:val="000000"/>
      </w:rPr>
    </w:pPr>
    <w:r w:rsidRPr="001C6402">
      <w:rPr>
        <w:rStyle w:val="PageNumber"/>
        <w:rFonts w:cs="Times New Roman"/>
        <w:b/>
        <w:bCs/>
        <w:color w:val="000000"/>
      </w:rPr>
      <w:t xml:space="preserve">Page </w:t>
    </w:r>
    <w:r w:rsidRPr="001C6402">
      <w:rPr>
        <w:rStyle w:val="PageNumber"/>
        <w:rFonts w:cs="Times New Roman"/>
        <w:b/>
        <w:bCs/>
        <w:color w:val="000000"/>
      </w:rPr>
      <w:fldChar w:fldCharType="begin"/>
    </w:r>
    <w:r w:rsidRPr="001C6402">
      <w:rPr>
        <w:rStyle w:val="PageNumber"/>
        <w:rFonts w:cs="Times New Roman"/>
        <w:b/>
        <w:bCs/>
        <w:color w:val="000000"/>
      </w:rPr>
      <w:instrText xml:space="preserve"> PAGE </w:instrText>
    </w:r>
    <w:r w:rsidRPr="001C6402">
      <w:rPr>
        <w:rStyle w:val="PageNumber"/>
        <w:rFonts w:cs="Times New Roman"/>
        <w:b/>
        <w:bCs/>
        <w:color w:val="000000"/>
      </w:rPr>
      <w:fldChar w:fldCharType="separate"/>
    </w:r>
    <w:r w:rsidR="00F5323E">
      <w:rPr>
        <w:rStyle w:val="PageNumber"/>
        <w:rFonts w:cs="Times New Roman"/>
        <w:b/>
        <w:bCs/>
        <w:noProof/>
        <w:color w:val="000000"/>
      </w:rPr>
      <w:t>14</w:t>
    </w:r>
    <w:r w:rsidRPr="001C6402">
      <w:rPr>
        <w:rStyle w:val="PageNumber"/>
        <w:rFonts w:cs="Times New Roman"/>
        <w:b/>
        <w:bCs/>
        <w:color w:val="000000"/>
      </w:rPr>
      <w:fldChar w:fldCharType="end"/>
    </w:r>
    <w:r w:rsidRPr="001C6402">
      <w:rPr>
        <w:rStyle w:val="PageNumber"/>
        <w:rFonts w:cs="Times New Roman"/>
        <w:color w:val="000000"/>
      </w:rPr>
      <w:t xml:space="preserve">  |  </w:t>
    </w:r>
    <w:r w:rsidRPr="001C6402">
      <w:rPr>
        <w:rStyle w:val="PageNumber"/>
        <w:rFonts w:cs="Times New Roman"/>
        <w:color w:val="000000"/>
      </w:rPr>
      <w:fldChar w:fldCharType="begin"/>
    </w:r>
    <w:r w:rsidRPr="001C6402">
      <w:rPr>
        <w:rStyle w:val="PageNumber"/>
        <w:rFonts w:cs="Times New Roman"/>
        <w:color w:val="000000"/>
      </w:rPr>
      <w:instrText xml:space="preserve"> STYLEREF  "Heading 1"  \* MERGEFORMAT </w:instrText>
    </w:r>
    <w:r w:rsidRPr="001C6402">
      <w:rPr>
        <w:rStyle w:val="PageNumber"/>
        <w:rFonts w:cs="Times New Roman"/>
        <w:color w:val="000000"/>
      </w:rPr>
      <w:fldChar w:fldCharType="separate"/>
    </w:r>
    <w:r w:rsidR="00F5323E">
      <w:rPr>
        <w:rStyle w:val="PageNumber"/>
        <w:rFonts w:cs="Times New Roman"/>
        <w:noProof/>
        <w:color w:val="000000"/>
      </w:rPr>
      <w:t>Department of Finance</w:t>
    </w:r>
    <w:r w:rsidRPr="001C6402">
      <w:rPr>
        <w:rStyle w:val="PageNumber"/>
        <w:rFonts w:cs="Times New Roman"/>
        <w:color w:val="000000"/>
      </w:rPr>
      <w:fldChar w:fldCharType="end"/>
    </w:r>
    <w:r w:rsidRPr="001C6402">
      <w:rPr>
        <w:rStyle w:val="PageNumber"/>
        <w:rFonts w:cs="Times New Roman"/>
        <w:color w:val="00000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A5EB" w14:textId="66EC0CCE" w:rsidR="008B04B6" w:rsidRPr="00750795" w:rsidRDefault="008B04B6" w:rsidP="00750795">
    <w:pPr>
      <w:pStyle w:val="Footer"/>
      <w:rPr>
        <w:rStyle w:val="PageNumber"/>
        <w:rFonts w:cs="Times New Roman"/>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F9" w14:textId="2B6ADA0F" w:rsidR="008B04B6" w:rsidRPr="001D0C78" w:rsidRDefault="008B04B6" w:rsidP="001D0C78">
    <w:pPr>
      <w:pStyle w:val="Footer"/>
      <w:tabs>
        <w:tab w:val="clear" w:pos="8306"/>
      </w:tabs>
      <w:jc w:val="left"/>
    </w:pPr>
    <w:r>
      <w:tab/>
    </w:r>
    <w: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0C" w14:textId="58ABA910" w:rsidR="008B04B6" w:rsidRPr="0047110B" w:rsidRDefault="008B04B6" w:rsidP="004D5C6C">
    <w:pPr>
      <w:pStyle w:val="FooterOdd"/>
      <w:rPr>
        <w:rStyle w:val="PageNumber"/>
        <w:rFonts w:cs="Times New Roman"/>
        <w:noProof/>
      </w:rPr>
    </w:pPr>
    <w:r w:rsidRPr="0047110B">
      <w:rPr>
        <w:rStyle w:val="PageNumber"/>
        <w:rFonts w:cs="Times New Roman"/>
        <w:noProof/>
      </w:rPr>
      <w:fldChar w:fldCharType="begin"/>
    </w:r>
    <w:r w:rsidRPr="0047110B">
      <w:rPr>
        <w:rStyle w:val="PageNumber"/>
        <w:rFonts w:cs="Times New Roman"/>
        <w:noProof/>
      </w:rPr>
      <w:instrText xml:space="preserve"> STYLEREF  "Heading 1"  \* MERGEFORMAT </w:instrText>
    </w:r>
    <w:r w:rsidRPr="0047110B">
      <w:rPr>
        <w:rStyle w:val="PageNumber"/>
        <w:rFonts w:cs="Times New Roman"/>
        <w:noProof/>
      </w:rPr>
      <w:fldChar w:fldCharType="separate"/>
    </w:r>
    <w:r w:rsidR="00F5323E">
      <w:rPr>
        <w:rStyle w:val="PageNumber"/>
        <w:rFonts w:cs="Times New Roman"/>
        <w:noProof/>
      </w:rPr>
      <w:t>Australian Electoral Commission</w:t>
    </w:r>
    <w:r w:rsidRPr="0047110B">
      <w:rPr>
        <w:rStyle w:val="PageNumber"/>
        <w:rFonts w:cs="Times New Roman"/>
        <w:noProof/>
      </w:rPr>
      <w:fldChar w:fldCharType="end"/>
    </w:r>
    <w:r w:rsidRPr="0047110B">
      <w:rPr>
        <w:rStyle w:val="PageNumber"/>
        <w:rFonts w:cs="Times New Roman"/>
        <w:noProof/>
      </w:rPr>
      <w:t xml:space="preserve"> </w:t>
    </w:r>
    <w:r w:rsidRPr="00DB32F6">
      <w:rPr>
        <w:rStyle w:val="PageNumber"/>
        <w:rFonts w:cs="Times New Roman"/>
        <w:noProof/>
      </w:rPr>
      <w:t xml:space="preserve"> |</w:t>
    </w:r>
    <w:r w:rsidRPr="00DB32F6">
      <w:rPr>
        <w:rStyle w:val="PageNumber"/>
        <w:rFonts w:cs="Times New Roman"/>
        <w:b/>
        <w:noProof/>
      </w:rPr>
      <w:t xml:space="preserve">  Page </w:t>
    </w:r>
    <w:r w:rsidRPr="00DB32F6">
      <w:rPr>
        <w:rStyle w:val="PageNumber"/>
        <w:rFonts w:cs="Times New Roman"/>
        <w:b/>
        <w:noProof/>
      </w:rPr>
      <w:fldChar w:fldCharType="begin"/>
    </w:r>
    <w:r w:rsidRPr="00DB32F6">
      <w:rPr>
        <w:rStyle w:val="PageNumber"/>
        <w:rFonts w:cs="Times New Roman"/>
        <w:b/>
        <w:noProof/>
      </w:rPr>
      <w:instrText xml:space="preserve"> PAGE  \* Arabic </w:instrText>
    </w:r>
    <w:r w:rsidRPr="00DB32F6">
      <w:rPr>
        <w:rStyle w:val="PageNumber"/>
        <w:rFonts w:cs="Times New Roman"/>
        <w:b/>
        <w:noProof/>
      </w:rPr>
      <w:fldChar w:fldCharType="separate"/>
    </w:r>
    <w:r w:rsidR="00F5323E">
      <w:rPr>
        <w:rStyle w:val="PageNumber"/>
        <w:rFonts w:cs="Times New Roman"/>
        <w:b/>
        <w:noProof/>
      </w:rPr>
      <w:t>101</w:t>
    </w:r>
    <w:r w:rsidRPr="00DB32F6">
      <w:rPr>
        <w:rStyle w:val="PageNumber"/>
        <w:rFonts w:cs="Times New Roman"/>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A5" w14:textId="77777777" w:rsidR="008B04B6" w:rsidRDefault="008B04B6" w:rsidP="0066280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D6BDA" w14:textId="77B6763B" w:rsidR="008B04B6" w:rsidRPr="001D0C78" w:rsidRDefault="008B04B6" w:rsidP="001D0C78">
    <w:pPr>
      <w:pStyle w:val="FooterOdd"/>
      <w:rPr>
        <w:noProof/>
        <w:color w:val="auto"/>
      </w:rPr>
    </w:pPr>
    <w:r w:rsidRPr="0047110B">
      <w:rPr>
        <w:rStyle w:val="PageNumber"/>
        <w:rFonts w:cs="Times New Roman"/>
        <w:noProof/>
      </w:rPr>
      <w:fldChar w:fldCharType="begin"/>
    </w:r>
    <w:r w:rsidRPr="0047110B">
      <w:rPr>
        <w:rStyle w:val="PageNumber"/>
        <w:rFonts w:cs="Times New Roman"/>
        <w:noProof/>
      </w:rPr>
      <w:instrText xml:space="preserve"> STYLEREF  "Heading 1"  \* MERGEFORMAT </w:instrText>
    </w:r>
    <w:r w:rsidRPr="0047110B">
      <w:rPr>
        <w:rStyle w:val="PageNumber"/>
        <w:rFonts w:cs="Times New Roman"/>
        <w:noProof/>
      </w:rPr>
      <w:fldChar w:fldCharType="separate"/>
    </w:r>
    <w:r w:rsidR="00F5323E">
      <w:rPr>
        <w:rStyle w:val="PageNumber"/>
        <w:rFonts w:cs="Times New Roman"/>
        <w:noProof/>
      </w:rPr>
      <w:t>Australian Electoral Commission</w:t>
    </w:r>
    <w:r w:rsidRPr="0047110B">
      <w:rPr>
        <w:rStyle w:val="PageNumber"/>
        <w:rFonts w:cs="Times New Roman"/>
        <w:noProof/>
      </w:rPr>
      <w:fldChar w:fldCharType="end"/>
    </w:r>
    <w:r w:rsidRPr="0047110B">
      <w:rPr>
        <w:rStyle w:val="PageNumber"/>
        <w:rFonts w:cs="Times New Roman"/>
        <w:noProof/>
      </w:rPr>
      <w:t xml:space="preserve"> </w:t>
    </w:r>
    <w:r w:rsidRPr="00DB32F6">
      <w:rPr>
        <w:rStyle w:val="PageNumber"/>
        <w:rFonts w:cs="Times New Roman"/>
        <w:noProof/>
      </w:rPr>
      <w:t xml:space="preserve"> |</w:t>
    </w:r>
    <w:r w:rsidRPr="00DB32F6">
      <w:rPr>
        <w:rStyle w:val="PageNumber"/>
        <w:rFonts w:cs="Times New Roman"/>
        <w:b/>
        <w:noProof/>
      </w:rPr>
      <w:t xml:space="preserve">  Page </w:t>
    </w:r>
    <w:r w:rsidRPr="00DB32F6">
      <w:rPr>
        <w:rStyle w:val="PageNumber"/>
        <w:rFonts w:cs="Times New Roman"/>
        <w:b/>
        <w:noProof/>
      </w:rPr>
      <w:fldChar w:fldCharType="begin"/>
    </w:r>
    <w:r w:rsidRPr="00DB32F6">
      <w:rPr>
        <w:rStyle w:val="PageNumber"/>
        <w:rFonts w:cs="Times New Roman"/>
        <w:b/>
        <w:noProof/>
      </w:rPr>
      <w:instrText xml:space="preserve"> PAGE  \* Arabic </w:instrText>
    </w:r>
    <w:r w:rsidRPr="00DB32F6">
      <w:rPr>
        <w:rStyle w:val="PageNumber"/>
        <w:rFonts w:cs="Times New Roman"/>
        <w:b/>
        <w:noProof/>
      </w:rPr>
      <w:fldChar w:fldCharType="separate"/>
    </w:r>
    <w:r w:rsidR="00F5323E">
      <w:rPr>
        <w:rStyle w:val="PageNumber"/>
        <w:rFonts w:cs="Times New Roman"/>
        <w:b/>
        <w:noProof/>
      </w:rPr>
      <w:t>81</w:t>
    </w:r>
    <w:r w:rsidRPr="00DB32F6">
      <w:rPr>
        <w:rStyle w:val="PageNumber"/>
        <w:rFonts w:cs="Times New Roman"/>
        <w:b/>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11" w14:textId="77777777" w:rsidR="008B04B6" w:rsidRPr="001808A4" w:rsidRDefault="008B04B6" w:rsidP="004D5C6C">
    <w:pPr>
      <w:pStyle w:val="FooterBase"/>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13" w14:textId="77777777" w:rsidR="008B04B6" w:rsidRPr="00D64A5F" w:rsidRDefault="008B04B6" w:rsidP="00D64A5F">
    <w:pPr>
      <w:pStyle w:val="Footer"/>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2C" w14:textId="44D0CD00" w:rsidR="008B04B6" w:rsidRDefault="008B04B6" w:rsidP="00C6675C">
    <w:pPr>
      <w:pStyle w:val="FooterEven"/>
    </w:pPr>
    <w:r w:rsidRPr="00434130">
      <w:rPr>
        <w:rStyle w:val="PageNumber"/>
        <w:b/>
        <w:bCs/>
        <w:color w:val="000000"/>
      </w:rPr>
      <w:t xml:space="preserve">Page </w:t>
    </w:r>
    <w:r w:rsidRPr="00434130">
      <w:rPr>
        <w:rStyle w:val="PageNumber"/>
        <w:b/>
        <w:bCs/>
        <w:color w:val="000000"/>
      </w:rPr>
      <w:fldChar w:fldCharType="begin"/>
    </w:r>
    <w:r w:rsidRPr="00434130">
      <w:rPr>
        <w:rStyle w:val="PageNumber"/>
        <w:b/>
        <w:bCs/>
        <w:color w:val="000000"/>
      </w:rPr>
      <w:instrText xml:space="preserve"> PAGE </w:instrText>
    </w:r>
    <w:r w:rsidRPr="00434130">
      <w:rPr>
        <w:rStyle w:val="PageNumber"/>
        <w:b/>
        <w:bCs/>
        <w:color w:val="000000"/>
      </w:rPr>
      <w:fldChar w:fldCharType="separate"/>
    </w:r>
    <w:r w:rsidR="00F5323E">
      <w:rPr>
        <w:rStyle w:val="PageNumber"/>
        <w:b/>
        <w:bCs/>
        <w:noProof/>
        <w:color w:val="000000"/>
      </w:rPr>
      <w:t>166</w:t>
    </w:r>
    <w:r w:rsidRPr="00434130">
      <w:rPr>
        <w:rStyle w:val="PageNumber"/>
        <w:b/>
        <w:bCs/>
        <w:color w:val="000000"/>
      </w:rPr>
      <w:fldChar w:fldCharType="end"/>
    </w:r>
    <w:r w:rsidRPr="00434130">
      <w:rPr>
        <w:rStyle w:val="PageNumber"/>
        <w:color w:val="000000"/>
      </w:rPr>
      <w:t xml:space="preserve">  |  </w:t>
    </w:r>
    <w:r w:rsidRPr="00434130">
      <w:rPr>
        <w:rStyle w:val="PageNumber"/>
        <w:color w:val="000000"/>
      </w:rPr>
      <w:fldChar w:fldCharType="begin"/>
    </w:r>
    <w:r w:rsidRPr="00434130">
      <w:rPr>
        <w:rStyle w:val="PageNumber"/>
        <w:color w:val="000000"/>
      </w:rPr>
      <w:instrText xml:space="preserve"> STYLEREF  "Heading 1"  \* MERGEFORMAT </w:instrText>
    </w:r>
    <w:r w:rsidRPr="00434130">
      <w:rPr>
        <w:rStyle w:val="PageNumber"/>
        <w:color w:val="000000"/>
      </w:rPr>
      <w:fldChar w:fldCharType="separate"/>
    </w:r>
    <w:r w:rsidR="00F5323E">
      <w:rPr>
        <w:rStyle w:val="PageNumber"/>
        <w:noProof/>
        <w:color w:val="000000"/>
      </w:rPr>
      <w:t>Future Fund Management Agency</w:t>
    </w:r>
    <w:r w:rsidRPr="00434130">
      <w:rPr>
        <w:rStyle w:val="PageNumber"/>
        <w:color w:val="000000"/>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2D" w14:textId="312A3594" w:rsidR="008B04B6" w:rsidRPr="00E4422C" w:rsidRDefault="008B04B6" w:rsidP="00E4422C">
    <w:pPr>
      <w:pStyle w:val="FooterOdd"/>
      <w:rPr>
        <w:rStyle w:val="PageNumber"/>
      </w:rPr>
    </w:pPr>
    <w:r>
      <w:rPr>
        <w:rStyle w:val="PageNumber"/>
      </w:rPr>
      <w:t xml:space="preserve">Commonwealth Superannuation Corporation </w:t>
    </w:r>
    <w:r w:rsidRPr="00B628E8">
      <w:rPr>
        <w:rStyle w:val="PageNumber"/>
      </w:rPr>
      <w:t xml:space="preserve"> |</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123</w:t>
    </w:r>
    <w:r w:rsidRPr="00B628E8">
      <w:rPr>
        <w:rStyle w:val="PageNumber"/>
        <w:b/>
        <w:bCs/>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32" w14:textId="5B9E39F3" w:rsidR="008B04B6" w:rsidRPr="00190FED" w:rsidRDefault="008B04B6" w:rsidP="00190FED">
    <w:pPr>
      <w:pStyle w:val="FooterOdd"/>
      <w:rPr>
        <w:rFonts w:cs="Arial"/>
        <w:color w:val="auto"/>
      </w:rPr>
    </w:pPr>
    <w:r>
      <w:rPr>
        <w:rStyle w:val="PageNumber"/>
      </w:rPr>
      <w:t xml:space="preserve">Commonwealth Superannuation Corporation </w:t>
    </w:r>
    <w:r w:rsidRPr="00B628E8">
      <w:rPr>
        <w:rStyle w:val="PageNumber"/>
      </w:rPr>
      <w:t xml:space="preserve"> |</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107</w:t>
    </w:r>
    <w:r w:rsidRPr="00B628E8">
      <w:rPr>
        <w:rStyle w:val="PageNumber"/>
        <w:b/>
        <w:bCs/>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F95EE" w14:textId="2D73782E" w:rsidR="008B04B6" w:rsidRPr="00190FED" w:rsidRDefault="008B04B6" w:rsidP="00190FE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87D4" w14:textId="0C6EBED1" w:rsidR="008B04B6" w:rsidRPr="009D3004" w:rsidRDefault="008B04B6" w:rsidP="009D3004">
    <w:pPr>
      <w:pStyle w:val="Footer"/>
      <w:rPr>
        <w:rStyle w:val="PageNumber"/>
        <w:rFonts w:cs="Times New Roman"/>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34" w14:textId="5ACB7F68" w:rsidR="008B04B6" w:rsidRPr="005B0955" w:rsidRDefault="008B04B6" w:rsidP="005B095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46" w14:textId="05EC2377" w:rsidR="008B04B6" w:rsidRPr="00B628E8" w:rsidRDefault="008B04B6" w:rsidP="00B628E8">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Future Fund Management Agency</w:t>
    </w:r>
    <w:r>
      <w:rPr>
        <w:rStyle w:val="PageNumber"/>
      </w:rPr>
      <w:fldChar w:fldCharType="end"/>
    </w:r>
    <w:r>
      <w:rPr>
        <w:rStyle w:val="PageNumber"/>
      </w:rPr>
      <w:t xml:space="preserve"> </w:t>
    </w:r>
    <w:r w:rsidRPr="00B628E8">
      <w:rPr>
        <w:rStyle w:val="PageNumber"/>
      </w:rPr>
      <w:t xml:space="preserve"> |</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155</w:t>
    </w:r>
    <w:r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AD" w14:textId="5631A410" w:rsidR="008B04B6" w:rsidRPr="007F7051" w:rsidRDefault="008B04B6" w:rsidP="003F0C8B">
    <w:pPr>
      <w:pStyle w:val="FooterEven"/>
      <w:rPr>
        <w:rStyle w:val="PageNumber"/>
        <w:rFonts w:cs="Times New Roman"/>
      </w:rPr>
    </w:pPr>
    <w:r w:rsidRPr="003F0C8B">
      <w:rPr>
        <w:rStyle w:val="PageNumber"/>
        <w:rFonts w:cs="Times New Roman"/>
        <w:b/>
      </w:rPr>
      <w:t xml:space="preserve">Page </w:t>
    </w:r>
    <w:r w:rsidRPr="003F0C8B">
      <w:rPr>
        <w:rStyle w:val="PageNumber"/>
        <w:rFonts w:cs="Times New Roman"/>
        <w:b/>
        <w:bCs/>
      </w:rPr>
      <w:fldChar w:fldCharType="begin"/>
    </w:r>
    <w:r w:rsidRPr="003F0C8B">
      <w:rPr>
        <w:rStyle w:val="PageNumber"/>
        <w:rFonts w:cs="Times New Roman"/>
        <w:b/>
      </w:rPr>
      <w:instrText xml:space="preserve"> PAGE </w:instrText>
    </w:r>
    <w:r w:rsidRPr="003F0C8B">
      <w:rPr>
        <w:rStyle w:val="PageNumber"/>
        <w:rFonts w:cs="Times New Roman"/>
        <w:b/>
        <w:bCs/>
      </w:rPr>
      <w:fldChar w:fldCharType="separate"/>
    </w:r>
    <w:r w:rsidR="00F5323E">
      <w:rPr>
        <w:rStyle w:val="PageNumber"/>
        <w:rFonts w:cs="Times New Roman"/>
        <w:b/>
        <w:noProof/>
      </w:rPr>
      <w:t>iv</w:t>
    </w:r>
    <w:r w:rsidRPr="003F0C8B">
      <w:rPr>
        <w:rStyle w:val="PageNumber"/>
        <w:rFonts w:cs="Times New Roman"/>
        <w:b/>
        <w:bCs/>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24B3" w14:textId="0E140136" w:rsidR="008B04B6" w:rsidRPr="009A301C" w:rsidRDefault="008B04B6" w:rsidP="009A301C">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Digital Transformation Agency</w:t>
    </w:r>
    <w:r>
      <w:rPr>
        <w:rStyle w:val="PageNumber"/>
      </w:rPr>
      <w:fldChar w:fldCharType="end"/>
    </w:r>
    <w:r>
      <w:rPr>
        <w:rStyle w:val="PageNumber"/>
      </w:rPr>
      <w:t xml:space="preserve"> </w:t>
    </w:r>
    <w:r w:rsidRPr="00B628E8">
      <w:rPr>
        <w:rStyle w:val="PageNumber"/>
      </w:rPr>
      <w:t xml:space="preserve"> |</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129</w:t>
    </w:r>
    <w:r w:rsidRPr="00B628E8">
      <w:rPr>
        <w:rStyle w:val="PageNumber"/>
        <w:b/>
        <w:bCs/>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CA50" w14:textId="5C5E4C2D" w:rsidR="008B04B6" w:rsidRPr="00DF3619" w:rsidRDefault="008B04B6" w:rsidP="00DF361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4B" w14:textId="1B8ADC9E" w:rsidR="008B04B6" w:rsidRPr="00C431FB" w:rsidRDefault="008B04B6" w:rsidP="009D02FE">
    <w:pPr>
      <w:pStyle w:val="BodyTex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55" w14:textId="3ADC9A27" w:rsidR="008B04B6" w:rsidRPr="00E64492" w:rsidRDefault="008B04B6" w:rsidP="00E64492">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Future Fund Management Agency</w:t>
    </w:r>
    <w:r>
      <w:rPr>
        <w:rStyle w:val="PageNumber"/>
      </w:rPr>
      <w:fldChar w:fldCharType="end"/>
    </w:r>
    <w:r>
      <w:rPr>
        <w:rStyle w:val="PageNumber"/>
      </w:rPr>
      <w:t xml:space="preserve"> </w:t>
    </w:r>
    <w:r w:rsidRPr="00B628E8">
      <w:rPr>
        <w:rStyle w:val="PageNumber"/>
      </w:rPr>
      <w:t xml:space="preserve"> |</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157</w:t>
    </w:r>
    <w:r w:rsidRPr="00B628E8">
      <w:rPr>
        <w:rStyle w:val="PageNumber"/>
        <w:b/>
        <w:bCs/>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5C" w14:textId="334B577E" w:rsidR="008B04B6" w:rsidRPr="00B628E8" w:rsidRDefault="008B04B6" w:rsidP="004D5C6C">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Future Fund Management Agency</w:t>
    </w:r>
    <w:r>
      <w:rPr>
        <w:rStyle w:val="PageNumber"/>
      </w:rPr>
      <w:fldChar w:fldCharType="end"/>
    </w:r>
    <w:r>
      <w:rPr>
        <w:rStyle w:val="PageNumber"/>
      </w:rPr>
      <w:t xml:space="preserve"> </w:t>
    </w:r>
    <w:r w:rsidRPr="00B628E8">
      <w:rPr>
        <w:rStyle w:val="PageNumber"/>
      </w:rPr>
      <w:t xml:space="preserve"> |</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167</w:t>
    </w:r>
    <w:r w:rsidRPr="00B628E8">
      <w:rPr>
        <w:rStyle w:val="PageNumber"/>
        <w:b/>
        <w:bC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66" w14:textId="0C71F3C1" w:rsidR="008B04B6" w:rsidRPr="003F0C8B" w:rsidRDefault="008B04B6" w:rsidP="004D5C6C">
    <w:pPr>
      <w:pStyle w:val="FooterEven"/>
      <w:rPr>
        <w:rStyle w:val="PageNumber"/>
      </w:rPr>
    </w:pPr>
    <w:r w:rsidRPr="003F0C8B">
      <w:rPr>
        <w:rStyle w:val="PageNumber"/>
        <w:b/>
      </w:rPr>
      <w:t xml:space="preserve">Page </w:t>
    </w:r>
    <w:r w:rsidRPr="003F0C8B">
      <w:rPr>
        <w:rStyle w:val="PageNumber"/>
        <w:b/>
        <w:bCs/>
      </w:rPr>
      <w:fldChar w:fldCharType="begin"/>
    </w:r>
    <w:r w:rsidRPr="003F0C8B">
      <w:rPr>
        <w:rStyle w:val="PageNumber"/>
        <w:b/>
      </w:rPr>
      <w:instrText xml:space="preserve"> PAGE </w:instrText>
    </w:r>
    <w:r w:rsidRPr="003F0C8B">
      <w:rPr>
        <w:rStyle w:val="PageNumber"/>
        <w:b/>
        <w:bCs/>
      </w:rPr>
      <w:fldChar w:fldCharType="separate"/>
    </w:r>
    <w:r w:rsidR="00F5323E">
      <w:rPr>
        <w:rStyle w:val="PageNumber"/>
        <w:b/>
        <w:noProof/>
      </w:rPr>
      <w:t>180</w:t>
    </w:r>
    <w:r w:rsidRPr="003F0C8B">
      <w:rPr>
        <w:rStyle w:val="PageNumber"/>
        <w:b/>
        <w:bCs/>
      </w:rPr>
      <w:fldChar w:fldCharType="end"/>
    </w:r>
    <w:r w:rsidRPr="003F0C8B">
      <w:rPr>
        <w:rStyle w:val="PageNumber"/>
      </w:rPr>
      <w:t xml:space="preserve"> </w:t>
    </w:r>
    <w:r>
      <w:rPr>
        <w:rStyle w:val="PageNumber"/>
      </w:rPr>
      <w:t xml:space="preserve"> </w:t>
    </w:r>
    <w:r w:rsidRPr="003F0C8B">
      <w:rPr>
        <w:rStyle w:val="PageNumber"/>
      </w:rPr>
      <w:t>|</w:t>
    </w:r>
    <w:r>
      <w:rPr>
        <w:rStyle w:val="PageNumber"/>
      </w:rPr>
      <w:t xml:space="preserve"> </w:t>
    </w:r>
    <w:r w:rsidRPr="003F0C8B">
      <w:rPr>
        <w:rStyle w:val="PageNumber"/>
      </w:rPr>
      <w:t xml:space="preserve"> </w:t>
    </w: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Independent Parliamentary Expenses Authority</w:t>
    </w:r>
    <w:r>
      <w:rPr>
        <w:rStyle w:val="PageNumber"/>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67" w14:textId="5D216C32" w:rsidR="008B04B6" w:rsidRPr="00B628E8" w:rsidRDefault="008B04B6" w:rsidP="004D5C6C">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Independent Parliamentary Expenses Authority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181</w:t>
    </w:r>
    <w:r w:rsidRPr="00B628E8">
      <w:rPr>
        <w:rStyle w:val="PageNumber"/>
        <w:b/>
        <w:bCs/>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6C" w14:textId="401B2E11" w:rsidR="008B04B6" w:rsidRPr="00275445" w:rsidRDefault="008B04B6" w:rsidP="00275445">
    <w:pPr>
      <w:pStyle w:val="FooterEven"/>
      <w:rPr>
        <w:rStyle w:val="PageNumber"/>
      </w:rPr>
    </w:pPr>
    <w:r w:rsidRPr="003F0C8B">
      <w:rPr>
        <w:rStyle w:val="PageNumber"/>
        <w:b/>
      </w:rPr>
      <w:t xml:space="preserve">Page </w:t>
    </w:r>
    <w:r w:rsidRPr="003F0C8B">
      <w:rPr>
        <w:rStyle w:val="PageNumber"/>
        <w:b/>
        <w:bCs/>
      </w:rPr>
      <w:fldChar w:fldCharType="begin"/>
    </w:r>
    <w:r w:rsidRPr="003F0C8B">
      <w:rPr>
        <w:rStyle w:val="PageNumber"/>
        <w:b/>
      </w:rPr>
      <w:instrText xml:space="preserve"> PAGE </w:instrText>
    </w:r>
    <w:r w:rsidRPr="003F0C8B">
      <w:rPr>
        <w:rStyle w:val="PageNumber"/>
        <w:b/>
        <w:bCs/>
      </w:rPr>
      <w:fldChar w:fldCharType="separate"/>
    </w:r>
    <w:r w:rsidR="00F5323E">
      <w:rPr>
        <w:rStyle w:val="PageNumber"/>
        <w:b/>
        <w:noProof/>
      </w:rPr>
      <w:t>168</w:t>
    </w:r>
    <w:r w:rsidRPr="003F0C8B">
      <w:rPr>
        <w:rStyle w:val="PageNumber"/>
        <w:b/>
        <w:bCs/>
      </w:rPr>
      <w:fldChar w:fldCharType="end"/>
    </w:r>
    <w:r w:rsidRPr="003F0C8B">
      <w:rPr>
        <w:rStyle w:val="PageNumber"/>
      </w:rPr>
      <w:t xml:space="preserve"> </w:t>
    </w:r>
    <w:r>
      <w:rPr>
        <w:rStyle w:val="PageNumber"/>
      </w:rPr>
      <w:t xml:space="preserve"> </w:t>
    </w:r>
    <w:r w:rsidRPr="003F0C8B">
      <w:rPr>
        <w:rStyle w:val="PageNumber"/>
      </w:rPr>
      <w:t>|</w:t>
    </w:r>
    <w:r>
      <w:rPr>
        <w:rStyle w:val="PageNumber"/>
      </w:rPr>
      <w:t xml:space="preserve"> </w:t>
    </w:r>
    <w:r w:rsidRPr="003F0C8B">
      <w:rPr>
        <w:rStyle w:val="PageNumber"/>
      </w:rPr>
      <w:t xml:space="preserve"> </w:t>
    </w: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Future Fund Management Agency</w:t>
    </w:r>
    <w:r>
      <w:rPr>
        <w:rStyle w:val="PageNumber"/>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84522" w14:textId="0780B2BA" w:rsidR="008B04B6" w:rsidRPr="007270E4" w:rsidRDefault="008B04B6" w:rsidP="007270E4">
    <w:pPr>
      <w:pStyle w:val="Footer"/>
      <w:rPr>
        <w:rStyle w:val="PageNumber"/>
        <w:rFonts w:cs="Times New Roman"/>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71" w14:textId="1ED1C3FE" w:rsidR="008B04B6" w:rsidRPr="0021749D" w:rsidRDefault="008B04B6" w:rsidP="002174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AF" w14:textId="77777777" w:rsidR="008B04B6" w:rsidRPr="004F1212" w:rsidRDefault="008B04B6" w:rsidP="004342F8">
    <w:pPr>
      <w:pStyle w:val="Footer"/>
      <w:rPr>
        <w:rStyle w:val="PageNumber"/>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7B" w14:textId="0F6AB347" w:rsidR="008B04B6" w:rsidRPr="00BE0C74" w:rsidRDefault="008B04B6" w:rsidP="00BE0C74">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Independent Parliamentary Expenses Authority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177</w:t>
    </w:r>
    <w:r w:rsidRPr="00B628E8">
      <w:rPr>
        <w:rStyle w:val="PageNumber"/>
        <w:b/>
        <w:bCs/>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8C" w14:textId="5F146B03" w:rsidR="008B04B6" w:rsidRPr="003F0C8B" w:rsidRDefault="008B04B6" w:rsidP="004D5C6C">
    <w:pPr>
      <w:pStyle w:val="FooterEven"/>
      <w:rPr>
        <w:rStyle w:val="PageNumber"/>
      </w:rPr>
    </w:pPr>
    <w:r w:rsidRPr="003F0C8B">
      <w:rPr>
        <w:rStyle w:val="PageNumber"/>
        <w:b/>
      </w:rPr>
      <w:t xml:space="preserve">Page </w:t>
    </w:r>
    <w:r w:rsidRPr="003F0C8B">
      <w:rPr>
        <w:rStyle w:val="PageNumber"/>
        <w:b/>
        <w:bCs/>
      </w:rPr>
      <w:fldChar w:fldCharType="begin"/>
    </w:r>
    <w:r w:rsidRPr="003F0C8B">
      <w:rPr>
        <w:rStyle w:val="PageNumber"/>
        <w:b/>
      </w:rPr>
      <w:instrText xml:space="preserve"> PAGE </w:instrText>
    </w:r>
    <w:r w:rsidRPr="003F0C8B">
      <w:rPr>
        <w:rStyle w:val="PageNumber"/>
        <w:b/>
        <w:bCs/>
      </w:rPr>
      <w:fldChar w:fldCharType="separate"/>
    </w:r>
    <w:r w:rsidR="00F5323E">
      <w:rPr>
        <w:rStyle w:val="PageNumber"/>
        <w:b/>
        <w:noProof/>
      </w:rPr>
      <w:t>194</w:t>
    </w:r>
    <w:r w:rsidRPr="003F0C8B">
      <w:rPr>
        <w:rStyle w:val="PageNumber"/>
        <w:b/>
        <w:bCs/>
      </w:rPr>
      <w:fldChar w:fldCharType="end"/>
    </w:r>
    <w:r w:rsidRPr="003F0C8B">
      <w:rPr>
        <w:rStyle w:val="PageNumber"/>
      </w:rPr>
      <w:t xml:space="preserve"> </w:t>
    </w:r>
    <w:r>
      <w:rPr>
        <w:rStyle w:val="PageNumber"/>
      </w:rPr>
      <w:t xml:space="preserve"> </w:t>
    </w:r>
    <w:r w:rsidRPr="003F0C8B">
      <w:rPr>
        <w:rStyle w:val="PageNumber"/>
      </w:rPr>
      <w:t>|</w:t>
    </w:r>
    <w:r>
      <w:rPr>
        <w:rStyle w:val="PageNumber"/>
      </w:rPr>
      <w:t xml:space="preserve"> </w:t>
    </w:r>
    <w:r w:rsidRPr="003F0C8B">
      <w:rPr>
        <w:rStyle w:val="PageNumber"/>
      </w:rPr>
      <w:t xml:space="preserve"> </w:t>
    </w: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Independent Parliamentary Expenses Authority</w:t>
    </w:r>
    <w:r>
      <w:rPr>
        <w:rStyle w:val="PageNumber"/>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8D" w14:textId="7D206CA9" w:rsidR="008B04B6" w:rsidRPr="00B628E8" w:rsidRDefault="008B04B6" w:rsidP="004D5C6C">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Portfolio glossary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199</w:t>
    </w:r>
    <w:r w:rsidRPr="00B628E8">
      <w:rPr>
        <w:rStyle w:val="PageNumber"/>
        <w:b/>
        <w:bCs/>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92" w14:textId="35EA84DB" w:rsidR="008B04B6" w:rsidRPr="00AE3DDE" w:rsidRDefault="008B04B6" w:rsidP="00AE3DDE">
    <w:pPr>
      <w:pStyle w:val="FooterEven"/>
      <w:rPr>
        <w:rStyle w:val="PageNumber"/>
      </w:rPr>
    </w:pPr>
    <w:r w:rsidRPr="003F0C8B">
      <w:rPr>
        <w:rStyle w:val="PageNumber"/>
        <w:b/>
      </w:rPr>
      <w:t xml:space="preserve">Page </w:t>
    </w:r>
    <w:r w:rsidRPr="003F0C8B">
      <w:rPr>
        <w:rStyle w:val="PageNumber"/>
        <w:b/>
        <w:bCs/>
      </w:rPr>
      <w:fldChar w:fldCharType="begin"/>
    </w:r>
    <w:r w:rsidRPr="003F0C8B">
      <w:rPr>
        <w:rStyle w:val="PageNumber"/>
        <w:b/>
      </w:rPr>
      <w:instrText xml:space="preserve"> PAGE </w:instrText>
    </w:r>
    <w:r w:rsidRPr="003F0C8B">
      <w:rPr>
        <w:rStyle w:val="PageNumber"/>
        <w:b/>
        <w:bCs/>
      </w:rPr>
      <w:fldChar w:fldCharType="separate"/>
    </w:r>
    <w:r w:rsidR="00F5323E">
      <w:rPr>
        <w:rStyle w:val="PageNumber"/>
        <w:b/>
        <w:noProof/>
      </w:rPr>
      <w:t>182</w:t>
    </w:r>
    <w:r w:rsidRPr="003F0C8B">
      <w:rPr>
        <w:rStyle w:val="PageNumber"/>
        <w:b/>
        <w:bCs/>
      </w:rPr>
      <w:fldChar w:fldCharType="end"/>
    </w:r>
    <w:r w:rsidRPr="003F0C8B">
      <w:rPr>
        <w:rStyle w:val="PageNumber"/>
      </w:rPr>
      <w:t xml:space="preserve"> </w:t>
    </w:r>
    <w:r>
      <w:rPr>
        <w:rStyle w:val="PageNumber"/>
      </w:rPr>
      <w:t xml:space="preserve"> </w:t>
    </w:r>
    <w:r w:rsidRPr="003F0C8B">
      <w:rPr>
        <w:rStyle w:val="PageNumber"/>
      </w:rPr>
      <w:t>|</w:t>
    </w:r>
    <w:r>
      <w:rPr>
        <w:rStyle w:val="PageNumber"/>
      </w:rPr>
      <w:t xml:space="preserve"> </w:t>
    </w:r>
    <w:r w:rsidRPr="003F0C8B">
      <w:rPr>
        <w:rStyle w:val="PageNumber"/>
      </w:rPr>
      <w:t xml:space="preserve"> </w:t>
    </w: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Independent Parliamentary Expenses Authority</w:t>
    </w:r>
    <w:r>
      <w:rPr>
        <w:rStyle w:val="PageNumber"/>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83FA" w14:textId="4EF030E6" w:rsidR="008B04B6" w:rsidRPr="003F0C8B" w:rsidRDefault="008B04B6" w:rsidP="004D5C6C">
    <w:pPr>
      <w:pStyle w:val="FooterEven"/>
      <w:rPr>
        <w:rStyle w:val="PageNumber"/>
      </w:rPr>
    </w:pPr>
    <w:r w:rsidRPr="003F0C8B">
      <w:rPr>
        <w:rStyle w:val="PageNumber"/>
        <w:b/>
      </w:rPr>
      <w:t xml:space="preserve">Page </w:t>
    </w:r>
    <w:r w:rsidRPr="003F0C8B">
      <w:rPr>
        <w:rStyle w:val="PageNumber"/>
        <w:b/>
        <w:bCs/>
      </w:rPr>
      <w:fldChar w:fldCharType="begin"/>
    </w:r>
    <w:r w:rsidRPr="003F0C8B">
      <w:rPr>
        <w:rStyle w:val="PageNumber"/>
        <w:b/>
      </w:rPr>
      <w:instrText xml:space="preserve"> PAGE </w:instrText>
    </w:r>
    <w:r w:rsidRPr="003F0C8B">
      <w:rPr>
        <w:rStyle w:val="PageNumber"/>
        <w:b/>
        <w:bCs/>
      </w:rPr>
      <w:fldChar w:fldCharType="separate"/>
    </w:r>
    <w:r w:rsidR="00F5323E">
      <w:rPr>
        <w:rStyle w:val="PageNumber"/>
        <w:b/>
        <w:noProof/>
      </w:rPr>
      <w:t>200</w:t>
    </w:r>
    <w:r w:rsidRPr="003F0C8B">
      <w:rPr>
        <w:rStyle w:val="PageNumber"/>
        <w:b/>
        <w:bCs/>
      </w:rPr>
      <w:fldChar w:fldCharType="end"/>
    </w:r>
    <w:r w:rsidRPr="003F0C8B">
      <w:rPr>
        <w:rStyle w:val="PageNumber"/>
      </w:rPr>
      <w:t xml:space="preserve"> </w:t>
    </w:r>
    <w:r>
      <w:rPr>
        <w:rStyle w:val="PageNumber"/>
      </w:rPr>
      <w:t xml:space="preserve"> </w:t>
    </w:r>
    <w:r w:rsidRPr="003F0C8B">
      <w:rPr>
        <w:rStyle w:val="PageNumber"/>
      </w:rPr>
      <w:t>|</w:t>
    </w:r>
    <w:r>
      <w:rPr>
        <w:rStyle w:val="PageNumber"/>
      </w:rPr>
      <w:t xml:space="preserve"> </w:t>
    </w:r>
    <w:r w:rsidRPr="003F0C8B">
      <w:rPr>
        <w:rStyle w:val="PageNumber"/>
      </w:rPr>
      <w:t xml:space="preserve"> </w:t>
    </w: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Portfolio glossary</w:t>
    </w:r>
    <w:r>
      <w:rPr>
        <w:rStyle w:val="PageNumber"/>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6D5B" w14:textId="26930F8F" w:rsidR="008B04B6" w:rsidRPr="00F14704" w:rsidRDefault="008B04B6" w:rsidP="00F14704">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F5323E">
      <w:rPr>
        <w:rStyle w:val="PageNumber"/>
        <w:noProof/>
      </w:rPr>
      <w:t>Portfolio glossary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sidR="00F5323E">
      <w:rPr>
        <w:rStyle w:val="PageNumber"/>
        <w:b/>
        <w:bCs/>
        <w:noProof/>
      </w:rPr>
      <w:t>197</w:t>
    </w:r>
    <w:r w:rsidRPr="00B628E8">
      <w:rPr>
        <w:rStyle w:val="PageNumber"/>
        <w:b/>
        <w:bCs/>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9A" w14:textId="4298BE3E" w:rsidR="008B04B6" w:rsidRPr="009E69CA" w:rsidRDefault="008B04B6" w:rsidP="00FE2DE2">
    <w:pPr>
      <w:pStyle w:val="BodyTex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4" w14:textId="25214112" w:rsidR="008B04B6" w:rsidRPr="003F0C8B" w:rsidRDefault="008B04B6" w:rsidP="003F0C8B">
    <w:pPr>
      <w:pStyle w:val="FooterEven"/>
      <w:rPr>
        <w:rStyle w:val="PageNumber"/>
        <w:rFonts w:cs="Times New Roman"/>
      </w:rPr>
    </w:pPr>
    <w:r w:rsidRPr="003F0C8B">
      <w:rPr>
        <w:rStyle w:val="PageNumber"/>
        <w:rFonts w:cs="Times New Roman"/>
        <w:b/>
      </w:rPr>
      <w:t xml:space="preserve">Page </w:t>
    </w:r>
    <w:r w:rsidRPr="003F0C8B">
      <w:rPr>
        <w:rStyle w:val="PageNumber"/>
        <w:rFonts w:cs="Times New Roman"/>
        <w:b/>
        <w:bCs/>
      </w:rPr>
      <w:fldChar w:fldCharType="begin"/>
    </w:r>
    <w:r w:rsidRPr="003F0C8B">
      <w:rPr>
        <w:rStyle w:val="PageNumber"/>
        <w:rFonts w:cs="Times New Roman"/>
        <w:b/>
      </w:rPr>
      <w:instrText xml:space="preserve"> PAGE </w:instrText>
    </w:r>
    <w:r w:rsidRPr="003F0C8B">
      <w:rPr>
        <w:rStyle w:val="PageNumber"/>
        <w:rFonts w:cs="Times New Roman"/>
        <w:b/>
        <w:bCs/>
      </w:rPr>
      <w:fldChar w:fldCharType="separate"/>
    </w:r>
    <w:r w:rsidR="00F5323E">
      <w:rPr>
        <w:rStyle w:val="PageNumber"/>
        <w:rFonts w:cs="Times New Roman"/>
        <w:b/>
        <w:noProof/>
      </w:rPr>
      <w:t>viii</w:t>
    </w:r>
    <w:r w:rsidRPr="003F0C8B">
      <w:rPr>
        <w:rStyle w:val="PageNumber"/>
        <w:rFonts w:cs="Times New Roman"/>
        <w:b/>
        <w:bCs/>
      </w:rPr>
      <w:fldChar w:fldCharType="end"/>
    </w:r>
    <w:r w:rsidRPr="003F0C8B">
      <w:rPr>
        <w:rStyle w:val="PageNumber"/>
        <w:rFonts w:cs="Times New Roman"/>
      </w:rPr>
      <w:t xml:space="preserve"> </w:t>
    </w:r>
    <w:r>
      <w:rPr>
        <w:rStyle w:val="PageNumber"/>
        <w:rFonts w:cs="Times New Roman"/>
      </w:rPr>
      <w:t xml:space="preserve"> </w:t>
    </w:r>
    <w:r w:rsidRPr="003F0C8B">
      <w:rPr>
        <w:rStyle w:val="PageNumber"/>
        <w:rFonts w:cs="Times New Roman"/>
      </w:rPr>
      <w:t>|</w:t>
    </w:r>
    <w:r>
      <w:rPr>
        <w:rStyle w:val="PageNumber"/>
        <w:rFonts w:cs="Times New Roman"/>
      </w:rPr>
      <w:t xml:space="preserve"> </w:t>
    </w:r>
    <w:r w:rsidRPr="003F0C8B">
      <w:rPr>
        <w:rStyle w:val="PageNumber"/>
        <w:rFonts w:cs="Times New Roman"/>
      </w:rPr>
      <w:t xml:space="preserve"> </w:t>
    </w:r>
    <w:r>
      <w:rPr>
        <w:rStyle w:val="PageNumber"/>
        <w:rFonts w:cs="Times New Roman"/>
      </w:rPr>
      <w:fldChar w:fldCharType="begin"/>
    </w:r>
    <w:r>
      <w:rPr>
        <w:rStyle w:val="PageNumber"/>
        <w:rFonts w:cs="Times New Roman"/>
      </w:rPr>
      <w:instrText xml:space="preserve"> STYLEREF  "Heading 1"  \* MERGEFORMAT </w:instrText>
    </w:r>
    <w:r>
      <w:rPr>
        <w:rStyle w:val="PageNumber"/>
        <w:rFonts w:cs="Times New Roman"/>
      </w:rPr>
      <w:fldChar w:fldCharType="separate"/>
    </w:r>
    <w:r w:rsidR="00F5323E">
      <w:rPr>
        <w:rStyle w:val="PageNumber"/>
        <w:rFonts w:cs="Times New Roman"/>
        <w:noProof/>
      </w:rPr>
      <w:t>User guide</w:t>
    </w:r>
    <w:r>
      <w:rPr>
        <w:rStyle w:val="PageNumber"/>
        <w:rFonts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5" w14:textId="5177D116" w:rsidR="008B04B6" w:rsidRPr="003606D1" w:rsidRDefault="008B04B6" w:rsidP="003606D1">
    <w:pPr>
      <w:pStyle w:val="FooterOdd"/>
      <w:rPr>
        <w:rStyle w:val="PageNumber"/>
        <w:rFonts w:cs="Times New Roman"/>
        <w:noProof/>
      </w:rPr>
    </w:pPr>
    <w:r w:rsidRPr="0047110B">
      <w:rPr>
        <w:rStyle w:val="PageNumber"/>
        <w:rFonts w:cs="Times New Roman"/>
        <w:noProof/>
      </w:rPr>
      <w:fldChar w:fldCharType="begin"/>
    </w:r>
    <w:r w:rsidRPr="0047110B">
      <w:rPr>
        <w:rStyle w:val="PageNumber"/>
        <w:rFonts w:cs="Times New Roman"/>
        <w:noProof/>
      </w:rPr>
      <w:instrText xml:space="preserve"> STYLEREF  "Heading 1"  \* MERGEFORMAT </w:instrText>
    </w:r>
    <w:r w:rsidRPr="0047110B">
      <w:rPr>
        <w:rStyle w:val="PageNumber"/>
        <w:rFonts w:cs="Times New Roman"/>
        <w:noProof/>
      </w:rPr>
      <w:fldChar w:fldCharType="separate"/>
    </w:r>
    <w:r w:rsidR="00F5323E">
      <w:rPr>
        <w:rStyle w:val="PageNumber"/>
        <w:rFonts w:cs="Times New Roman"/>
        <w:noProof/>
      </w:rPr>
      <w:t>Department of Finance</w:t>
    </w:r>
    <w:r w:rsidRPr="0047110B">
      <w:rPr>
        <w:rStyle w:val="PageNumber"/>
        <w:rFonts w:cs="Times New Roman"/>
        <w:noProof/>
      </w:rPr>
      <w:fldChar w:fldCharType="end"/>
    </w:r>
    <w:r w:rsidRPr="0047110B">
      <w:rPr>
        <w:rStyle w:val="PageNumber"/>
        <w:rFonts w:cs="Times New Roman"/>
        <w:noProof/>
      </w:rPr>
      <w:t xml:space="preserve"> </w:t>
    </w:r>
    <w:r w:rsidRPr="00DB32F6">
      <w:rPr>
        <w:rStyle w:val="PageNumber"/>
        <w:rFonts w:cs="Times New Roman"/>
        <w:noProof/>
      </w:rPr>
      <w:t xml:space="preserve"> |</w:t>
    </w:r>
    <w:r w:rsidRPr="00DB32F6">
      <w:rPr>
        <w:rStyle w:val="PageNumber"/>
        <w:rFonts w:cs="Times New Roman"/>
        <w:b/>
        <w:noProof/>
      </w:rPr>
      <w:t xml:space="preserve">  Page </w:t>
    </w:r>
    <w:r w:rsidRPr="00DB32F6">
      <w:rPr>
        <w:rStyle w:val="PageNumber"/>
        <w:rFonts w:cs="Times New Roman"/>
        <w:b/>
        <w:noProof/>
      </w:rPr>
      <w:fldChar w:fldCharType="begin"/>
    </w:r>
    <w:r w:rsidRPr="00DB32F6">
      <w:rPr>
        <w:rStyle w:val="PageNumber"/>
        <w:rFonts w:cs="Times New Roman"/>
        <w:b/>
        <w:noProof/>
      </w:rPr>
      <w:instrText xml:space="preserve"> PAGE  \* Arabic </w:instrText>
    </w:r>
    <w:r w:rsidRPr="00DB32F6">
      <w:rPr>
        <w:rStyle w:val="PageNumber"/>
        <w:rFonts w:cs="Times New Roman"/>
        <w:b/>
        <w:noProof/>
      </w:rPr>
      <w:fldChar w:fldCharType="separate"/>
    </w:r>
    <w:r w:rsidR="00F5323E">
      <w:rPr>
        <w:rStyle w:val="PageNumber"/>
        <w:rFonts w:cs="Times New Roman"/>
        <w:b/>
        <w:noProof/>
      </w:rPr>
      <w:t>13</w:t>
    </w:r>
    <w:r w:rsidRPr="00DB32F6">
      <w:rPr>
        <w:rStyle w:val="PageNumber"/>
        <w:rFonts w:cs="Times New Roman"/>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7" w14:textId="3116A4F1" w:rsidR="008B04B6" w:rsidRPr="00B628E8" w:rsidRDefault="008B04B6" w:rsidP="00B628E8">
    <w:pPr>
      <w:pStyle w:val="FooterOdd"/>
      <w:rPr>
        <w:b/>
        <w:bCs/>
      </w:rPr>
    </w:pPr>
    <w:r>
      <w:rPr>
        <w:rStyle w:val="PageNumber"/>
        <w:rFonts w:cs="Times New Roman"/>
      </w:rPr>
      <w:fldChar w:fldCharType="begin"/>
    </w:r>
    <w:r>
      <w:rPr>
        <w:rStyle w:val="PageNumber"/>
        <w:rFonts w:cs="Times New Roman"/>
      </w:rPr>
      <w:instrText xml:space="preserve"> STYLEREF  "Heading 1"  \* MERGEFORMAT </w:instrText>
    </w:r>
    <w:r>
      <w:rPr>
        <w:rStyle w:val="PageNumber"/>
        <w:rFonts w:cs="Times New Roman"/>
      </w:rPr>
      <w:fldChar w:fldCharType="separate"/>
    </w:r>
    <w:r w:rsidR="00F5323E">
      <w:rPr>
        <w:rStyle w:val="PageNumber"/>
        <w:rFonts w:cs="Times New Roman"/>
        <w:noProof/>
      </w:rPr>
      <w:t>User guide</w:t>
    </w:r>
    <w:r>
      <w:rPr>
        <w:rStyle w:val="PageNumber"/>
        <w:rFonts w:cs="Times New Roman"/>
      </w:rPr>
      <w:fldChar w:fldCharType="end"/>
    </w:r>
    <w:r w:rsidRPr="00B628E8">
      <w:rPr>
        <w:rStyle w:val="PageNumber"/>
        <w:rFonts w:cs="Times New Roman"/>
      </w:rPr>
      <w:t xml:space="preserve"> </w:t>
    </w:r>
    <w:r>
      <w:rPr>
        <w:rStyle w:val="PageNumber"/>
        <w:rFonts w:cs="Times New Roman"/>
      </w:rPr>
      <w:t xml:space="preserve"> </w:t>
    </w:r>
    <w:r w:rsidRPr="00B628E8">
      <w:rPr>
        <w:rStyle w:val="PageNumber"/>
        <w:rFonts w:cs="Times New Roman"/>
      </w:rPr>
      <w:t>|</w:t>
    </w:r>
    <w:r>
      <w:rPr>
        <w:rStyle w:val="PageNumber"/>
        <w:rFonts w:cs="Times New Roman"/>
      </w:rPr>
      <w:t xml:space="preserve"> </w:t>
    </w:r>
    <w:r w:rsidRPr="00B628E8">
      <w:rPr>
        <w:rStyle w:val="PageNumber"/>
        <w:rFonts w:cs="Times New Roman"/>
      </w:rPr>
      <w:t xml:space="preserve"> </w:t>
    </w:r>
    <w:r w:rsidRPr="00B628E8">
      <w:rPr>
        <w:rStyle w:val="PageNumber"/>
        <w:rFonts w:cs="Times New Roman"/>
        <w:b/>
        <w:bCs/>
      </w:rPr>
      <w:t xml:space="preserve">Page </w:t>
    </w:r>
    <w:r w:rsidRPr="00B628E8">
      <w:rPr>
        <w:rStyle w:val="PageNumber"/>
        <w:rFonts w:cs="Times New Roman"/>
        <w:b/>
        <w:bCs/>
      </w:rPr>
      <w:fldChar w:fldCharType="begin"/>
    </w:r>
    <w:r w:rsidRPr="00B628E8">
      <w:rPr>
        <w:rStyle w:val="PageNumber"/>
        <w:rFonts w:cs="Times New Roman"/>
        <w:b/>
        <w:bCs/>
      </w:rPr>
      <w:instrText xml:space="preserve"> PAGE </w:instrText>
    </w:r>
    <w:r w:rsidRPr="00B628E8">
      <w:rPr>
        <w:rStyle w:val="PageNumber"/>
        <w:rFonts w:cs="Times New Roman"/>
        <w:b/>
        <w:bCs/>
      </w:rPr>
      <w:fldChar w:fldCharType="separate"/>
    </w:r>
    <w:r w:rsidR="00F5323E">
      <w:rPr>
        <w:rStyle w:val="PageNumber"/>
        <w:rFonts w:cs="Times New Roman"/>
        <w:b/>
        <w:bCs/>
        <w:noProof/>
      </w:rPr>
      <w:t>vii</w:t>
    </w:r>
    <w:r w:rsidRPr="00B628E8">
      <w:rPr>
        <w:rStyle w:val="PageNumber"/>
        <w:rFonts w:cs="Times New Roman"/>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8" w14:textId="266F3ECC" w:rsidR="008B04B6" w:rsidRPr="001C6402" w:rsidRDefault="008B04B6" w:rsidP="00321DEB">
    <w:pPr>
      <w:pStyle w:val="FooterOdd"/>
      <w:rPr>
        <w:rStyle w:val="PageNumber"/>
        <w:rFonts w:cs="Times New Roman"/>
        <w:b/>
        <w:bCs/>
        <w:color w:val="000000"/>
      </w:rPr>
    </w:pPr>
    <w:r>
      <w:rPr>
        <w:rStyle w:val="PageNumber"/>
        <w:rFonts w:cs="Times New Roman"/>
      </w:rPr>
      <w:fldChar w:fldCharType="begin"/>
    </w:r>
    <w:r>
      <w:rPr>
        <w:rStyle w:val="PageNumber"/>
        <w:rFonts w:cs="Times New Roman"/>
      </w:rPr>
      <w:instrText xml:space="preserve"> STYLEREF  "Heading 1"  \* MERGEFORMAT </w:instrText>
    </w:r>
    <w:r>
      <w:rPr>
        <w:rStyle w:val="PageNumber"/>
        <w:rFonts w:cs="Times New Roman"/>
      </w:rPr>
      <w:fldChar w:fldCharType="separate"/>
    </w:r>
    <w:r w:rsidR="00F5323E">
      <w:rPr>
        <w:rStyle w:val="PageNumber"/>
        <w:rFonts w:cs="Times New Roman"/>
        <w:noProof/>
      </w:rPr>
      <w:t>User guide</w:t>
    </w:r>
    <w:r>
      <w:rPr>
        <w:rStyle w:val="PageNumber"/>
        <w:rFonts w:cs="Times New Roman"/>
      </w:rPr>
      <w:fldChar w:fldCharType="end"/>
    </w:r>
    <w:r w:rsidRPr="00B628E8">
      <w:rPr>
        <w:rStyle w:val="PageNumber"/>
        <w:rFonts w:cs="Times New Roman"/>
      </w:rPr>
      <w:t xml:space="preserve"> </w:t>
    </w:r>
    <w:r>
      <w:rPr>
        <w:rStyle w:val="PageNumber"/>
        <w:rFonts w:cs="Times New Roman"/>
      </w:rPr>
      <w:t xml:space="preserve"> </w:t>
    </w:r>
    <w:r w:rsidRPr="00B628E8">
      <w:rPr>
        <w:rStyle w:val="PageNumber"/>
        <w:rFonts w:cs="Times New Roman"/>
      </w:rPr>
      <w:t>|</w:t>
    </w:r>
    <w:r>
      <w:rPr>
        <w:rStyle w:val="PageNumber"/>
        <w:rFonts w:cs="Times New Roman"/>
      </w:rPr>
      <w:t xml:space="preserve"> </w:t>
    </w:r>
    <w:r w:rsidRPr="00B628E8">
      <w:rPr>
        <w:rStyle w:val="PageNumber"/>
        <w:rFonts w:cs="Times New Roman"/>
      </w:rPr>
      <w:t xml:space="preserve"> </w:t>
    </w:r>
    <w:r w:rsidRPr="00B628E8">
      <w:rPr>
        <w:rStyle w:val="PageNumber"/>
        <w:rFonts w:cs="Times New Roman"/>
        <w:b/>
        <w:bCs/>
      </w:rPr>
      <w:t xml:space="preserve">Page </w:t>
    </w:r>
    <w:r w:rsidRPr="00B628E8">
      <w:rPr>
        <w:rStyle w:val="PageNumber"/>
        <w:rFonts w:cs="Times New Roman"/>
        <w:b/>
        <w:bCs/>
      </w:rPr>
      <w:fldChar w:fldCharType="begin"/>
    </w:r>
    <w:r w:rsidRPr="00B628E8">
      <w:rPr>
        <w:rStyle w:val="PageNumber"/>
        <w:rFonts w:cs="Times New Roman"/>
        <w:b/>
        <w:bCs/>
      </w:rPr>
      <w:instrText xml:space="preserve"> PAGE </w:instrText>
    </w:r>
    <w:r w:rsidRPr="00B628E8">
      <w:rPr>
        <w:rStyle w:val="PageNumber"/>
        <w:rFonts w:cs="Times New Roman"/>
        <w:b/>
        <w:bCs/>
      </w:rPr>
      <w:fldChar w:fldCharType="separate"/>
    </w:r>
    <w:r w:rsidR="00F5323E">
      <w:rPr>
        <w:rStyle w:val="PageNumber"/>
        <w:rFonts w:cs="Times New Roman"/>
        <w:b/>
        <w:bCs/>
        <w:noProof/>
      </w:rPr>
      <w:t>ix</w:t>
    </w:r>
    <w:r w:rsidRPr="00B628E8">
      <w:rPr>
        <w:rStyle w:val="PageNumber"/>
        <w:rFonts w:cs="Times New Roman"/>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E" w14:textId="77777777" w:rsidR="008B04B6" w:rsidRPr="0049200C" w:rsidRDefault="008B04B6" w:rsidP="0049200C">
    <w:pPr>
      <w:pStyle w:val="FooterBase"/>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9EB9B" w14:textId="77777777" w:rsidR="008B04B6" w:rsidRDefault="008B04B6" w:rsidP="00C07DEC">
      <w:r>
        <w:separator/>
      </w:r>
    </w:p>
  </w:footnote>
  <w:footnote w:type="continuationSeparator" w:id="0">
    <w:p w14:paraId="2239EB9C" w14:textId="77777777" w:rsidR="008B04B6" w:rsidRDefault="008B04B6"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A0" w14:textId="77777777" w:rsidR="008B04B6" w:rsidRDefault="008B04B6">
    <w:pPr>
      <w:pStyle w:val="Header"/>
      <w:jc w:val="center"/>
    </w:pPr>
    <w:r w:rsidRPr="009D1442">
      <w:rPr>
        <w:noProof/>
        <w:lang w:eastAsia="zh-CN"/>
      </w:rPr>
      <w:drawing>
        <wp:inline distT="0" distB="0" distL="0" distR="0" wp14:anchorId="2239EC9B" wp14:editId="2239EC9C">
          <wp:extent cx="879475" cy="689610"/>
          <wp:effectExtent l="0" t="0" r="0" b="0"/>
          <wp:docPr id="154" name="Picture 94"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68961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B" w14:textId="26C8DD8B" w:rsidR="008B04B6" w:rsidRDefault="008B04B6" w:rsidP="004461A4">
    <w:pPr>
      <w:pStyle w:val="SecurityClassificationHeader"/>
    </w:pPr>
    <w:r>
      <w:fldChar w:fldCharType="begin"/>
    </w:r>
    <w:r>
      <w:instrText xml:space="preserve"> DOCPROPERTY SecurityClassification \* MERGEFORMAT </w:instrText>
    </w:r>
    <w:r>
      <w:fldChar w:fldCharType="separate"/>
    </w:r>
    <w:r w:rsidR="00E5337D">
      <w:rPr>
        <w:b w:val="0"/>
        <w:bCs/>
        <w:lang w:val="en-US"/>
      </w:rPr>
      <w:t>Error! Unknown document property name.</w:t>
    </w:r>
    <w:r>
      <w:fldChar w:fldCharType="end"/>
    </w:r>
  </w:p>
  <w:p w14:paraId="2239EBBC" w14:textId="42A2C59F" w:rsidR="008B04B6" w:rsidRDefault="008B04B6" w:rsidP="004461A4">
    <w:pPr>
      <w:pStyle w:val="DLMSecurityHeader"/>
    </w:pPr>
    <w:r>
      <w:fldChar w:fldCharType="begin"/>
    </w:r>
    <w:r>
      <w:instrText xml:space="preserve"> DOCPROPERTY DLMSecurityClassification \* MERGEFORMAT </w:instrText>
    </w:r>
    <w:r>
      <w:fldChar w:fldCharType="separate"/>
    </w:r>
    <w:r w:rsidR="00E5337D">
      <w:rPr>
        <w:b w:val="0"/>
        <w:bCs/>
        <w:lang w:val="en-US"/>
      </w:rPr>
      <w:t>Error! Unknown document property name.</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D" w14:textId="77777777" w:rsidR="008B04B6" w:rsidRPr="0049200C" w:rsidRDefault="008B04B6" w:rsidP="00FD522D">
    <w:pPr>
      <w:pStyle w:val="HeaderOd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BC0" w14:textId="77777777" w:rsidTr="001C6402">
      <w:trPr>
        <w:trHeight w:hRule="exact" w:val="340"/>
      </w:trPr>
      <w:tc>
        <w:tcPr>
          <w:tcW w:w="7797" w:type="dxa"/>
          <w:shd w:val="clear" w:color="auto" w:fill="auto"/>
        </w:tcPr>
        <w:p w14:paraId="2239EBBF" w14:textId="77777777" w:rsidR="008B04B6" w:rsidRDefault="008B04B6" w:rsidP="001C6402">
          <w:pPr>
            <w:pStyle w:val="HeaderEven"/>
            <w:spacing w:after="240" w:line="260" w:lineRule="exact"/>
            <w:ind w:left="-113"/>
            <w:jc w:val="both"/>
          </w:pPr>
          <w:r w:rsidRPr="00434130">
            <w:rPr>
              <w:noProof/>
              <w:position w:val="-6"/>
              <w:lang w:eastAsia="zh-CN"/>
            </w:rPr>
            <w:drawing>
              <wp:inline distT="0" distB="0" distL="0" distR="0" wp14:anchorId="2239ECA3" wp14:editId="2239ECA4">
                <wp:extent cx="1357630" cy="168910"/>
                <wp:effectExtent l="0" t="0" r="0" b="0"/>
                <wp:docPr id="4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68910"/>
                        </a:xfrm>
                        <a:prstGeom prst="rect">
                          <a:avLst/>
                        </a:prstGeom>
                        <a:noFill/>
                        <a:ln>
                          <a:noFill/>
                        </a:ln>
                      </pic:spPr>
                    </pic:pic>
                  </a:graphicData>
                </a:graphic>
              </wp:inline>
            </w:drawing>
          </w:r>
          <w:r>
            <w:t xml:space="preserve">  |  Portfolio Budget Statements</w:t>
          </w:r>
        </w:p>
      </w:tc>
    </w:tr>
  </w:tbl>
  <w:p w14:paraId="2239EBC1" w14:textId="77777777" w:rsidR="008B04B6" w:rsidRPr="00577DFB" w:rsidRDefault="008B04B6" w:rsidP="00577D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C2" w14:textId="139C466B" w:rsidR="008B04B6" w:rsidRDefault="008B04B6" w:rsidP="004461A4">
    <w:pPr>
      <w:pStyle w:val="SecurityClassificationHeader"/>
    </w:pPr>
    <w:r>
      <w:fldChar w:fldCharType="begin"/>
    </w:r>
    <w:r>
      <w:instrText xml:space="preserve"> DOCPROPERTY SecurityClassification \* MERGEFORMAT </w:instrText>
    </w:r>
    <w:r>
      <w:fldChar w:fldCharType="separate"/>
    </w:r>
    <w:r w:rsidR="00E5337D">
      <w:rPr>
        <w:b w:val="0"/>
        <w:bCs/>
        <w:lang w:val="en-US"/>
      </w:rPr>
      <w:t>Error! Unknown document property name.</w:t>
    </w:r>
    <w:r>
      <w:fldChar w:fldCharType="end"/>
    </w:r>
  </w:p>
  <w:p w14:paraId="2239EBC3" w14:textId="6DDD7758" w:rsidR="008B04B6" w:rsidRDefault="008B04B6" w:rsidP="004461A4">
    <w:pPr>
      <w:pStyle w:val="DLMSecurityHeader"/>
    </w:pPr>
    <w:r>
      <w:fldChar w:fldCharType="begin"/>
    </w:r>
    <w:r>
      <w:instrText xml:space="preserve"> DOCPROPERTY DLMSecurityClassification \* MERGEFORMAT </w:instrText>
    </w:r>
    <w:r>
      <w:fldChar w:fldCharType="separate"/>
    </w:r>
    <w:r w:rsidR="00E5337D">
      <w:rPr>
        <w:b w:val="0"/>
        <w:bCs/>
        <w:lang w:val="en-US"/>
      </w:rPr>
      <w:t>Error! Unknown document property name.</w:t>
    </w:r>
    <w:r>
      <w:fldChar w:fldCharType="end"/>
    </w:r>
  </w:p>
  <w:p w14:paraId="2239EBC4" w14:textId="77777777" w:rsidR="008B04B6" w:rsidRDefault="008B04B6" w:rsidP="00361259">
    <w:pPr>
      <w:pStyle w:val="HeaderOdd"/>
    </w:pPr>
    <w:r>
      <w:t>Portfolio overview</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037546D2" w14:textId="77777777" w:rsidTr="00BF7B5E">
      <w:trPr>
        <w:trHeight w:hRule="exact" w:val="340"/>
      </w:trPr>
      <w:tc>
        <w:tcPr>
          <w:tcW w:w="7797" w:type="dxa"/>
          <w:shd w:val="clear" w:color="auto" w:fill="auto"/>
        </w:tcPr>
        <w:p w14:paraId="4B72856B" w14:textId="77777777" w:rsidR="008B04B6" w:rsidRPr="00434130" w:rsidRDefault="008B04B6" w:rsidP="00C86050">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0EF4FEE5" wp14:editId="67E351DC">
                <wp:extent cx="1357630" cy="168910"/>
                <wp:effectExtent l="0" t="0" r="0" b="0"/>
                <wp:docPr id="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68910"/>
                        </a:xfrm>
                        <a:prstGeom prst="rect">
                          <a:avLst/>
                        </a:prstGeom>
                        <a:noFill/>
                        <a:ln>
                          <a:noFill/>
                        </a:ln>
                      </pic:spPr>
                    </pic:pic>
                  </a:graphicData>
                </a:graphic>
              </wp:inline>
            </w:drawing>
          </w:r>
        </w:p>
      </w:tc>
    </w:tr>
  </w:tbl>
  <w:p w14:paraId="2239EBC6" w14:textId="050CBED7" w:rsidR="008B04B6" w:rsidRPr="00C86050" w:rsidRDefault="008B04B6" w:rsidP="00C860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4989DCFE" w14:textId="77777777" w:rsidTr="00BF7B5E">
      <w:trPr>
        <w:trHeight w:hRule="exact" w:val="340"/>
      </w:trPr>
      <w:tc>
        <w:tcPr>
          <w:tcW w:w="7797" w:type="dxa"/>
          <w:shd w:val="clear" w:color="auto" w:fill="auto"/>
        </w:tcPr>
        <w:p w14:paraId="62D2BC2C" w14:textId="1B2A373E" w:rsidR="008B04B6" w:rsidRPr="00434130" w:rsidRDefault="008B04B6" w:rsidP="00C86050">
          <w:pPr>
            <w:pStyle w:val="HeaderOdd"/>
            <w:spacing w:after="240" w:line="260" w:lineRule="exact"/>
          </w:pPr>
        </w:p>
      </w:tc>
    </w:tr>
  </w:tbl>
  <w:p w14:paraId="48EFE386" w14:textId="77777777" w:rsidR="008B04B6" w:rsidRPr="00C86050" w:rsidRDefault="008B04B6" w:rsidP="00C860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EF" w14:textId="151CD598" w:rsidR="008B04B6" w:rsidRPr="00D944EA" w:rsidRDefault="008B04B6" w:rsidP="00922633">
    <w:pPr>
      <w:pStyle w:val="HeaderEven"/>
      <w:spacing w:after="240" w:line="260" w:lineRule="exact"/>
      <w:ind w:left="-113"/>
    </w:pPr>
    <w:r w:rsidRPr="00434130">
      <w:rPr>
        <w:noProof/>
        <w:position w:val="-6"/>
        <w:lang w:eastAsia="zh-CN"/>
      </w:rPr>
      <w:drawing>
        <wp:inline distT="0" distB="0" distL="0" distR="0" wp14:anchorId="5E55D4F0" wp14:editId="1DD6F386">
          <wp:extent cx="1357630" cy="16891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68910"/>
                  </a:xfrm>
                  <a:prstGeom prst="rect">
                    <a:avLst/>
                  </a:prstGeom>
                  <a:noFill/>
                  <a:ln>
                    <a:noFill/>
                  </a:ln>
                </pic:spPr>
              </pic:pic>
            </a:graphicData>
          </a:graphic>
        </wp:inline>
      </w:drawing>
    </w:r>
    <w:r>
      <w:t xml:space="preserve">  |  Portfolio Budget Statements</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F0" w14:textId="596D4A1C" w:rsidR="008B04B6" w:rsidRPr="00A86F02" w:rsidRDefault="008B04B6" w:rsidP="00A86F02">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6DE42FCB" wp14:editId="660A6AA4">
          <wp:extent cx="1357630" cy="168910"/>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68910"/>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3446" w14:textId="2B02B043" w:rsidR="008B04B6" w:rsidRPr="009F0E1A" w:rsidRDefault="008B04B6" w:rsidP="009F0E1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14:paraId="2239EBF6" w14:textId="77777777" w:rsidTr="00434130">
      <w:trPr>
        <w:trHeight w:hRule="exact" w:val="340"/>
      </w:trPr>
      <w:tc>
        <w:tcPr>
          <w:tcW w:w="7797" w:type="dxa"/>
          <w:shd w:val="clear" w:color="auto" w:fill="auto"/>
        </w:tcPr>
        <w:p w14:paraId="2239EBF5" w14:textId="77777777" w:rsidR="008B04B6" w:rsidRDefault="008B04B6" w:rsidP="007E7E5F">
          <w:pPr>
            <w:pStyle w:val="HeaderEven"/>
            <w:spacing w:after="240" w:line="260" w:lineRule="exact"/>
            <w:ind w:left="-113"/>
            <w:jc w:val="right"/>
          </w:pPr>
        </w:p>
      </w:tc>
    </w:tr>
  </w:tbl>
  <w:p w14:paraId="2239EBF7" w14:textId="77777777" w:rsidR="008B04B6" w:rsidRPr="00434130" w:rsidRDefault="008B04B6" w:rsidP="00434130">
    <w:pPr>
      <w:spacing w:before="0" w:after="0"/>
      <w:rPr>
        <w:vanish/>
      </w:rPr>
    </w:pPr>
  </w:p>
  <w:p w14:paraId="2239EBF8" w14:textId="77777777" w:rsidR="008B04B6" w:rsidRPr="000304FC" w:rsidRDefault="008B04B6" w:rsidP="00A02E1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A6" w14:textId="1668F3A1" w:rsidR="008B04B6" w:rsidRDefault="008B04B6" w:rsidP="004461A4">
    <w:pPr>
      <w:pStyle w:val="SecurityClassificationHeader"/>
    </w:pPr>
    <w:r>
      <w:fldChar w:fldCharType="begin"/>
    </w:r>
    <w:r>
      <w:instrText xml:space="preserve"> DOCPROPERTY SecurityClassification \* MERGEFORMAT </w:instrText>
    </w:r>
    <w:r>
      <w:fldChar w:fldCharType="separate"/>
    </w:r>
    <w:r w:rsidR="00E5337D">
      <w:rPr>
        <w:b w:val="0"/>
        <w:bCs/>
        <w:lang w:val="en-US"/>
      </w:rPr>
      <w:t>Error! Unknown document property name.</w:t>
    </w:r>
    <w:r>
      <w:fldChar w:fldCharType="end"/>
    </w:r>
  </w:p>
  <w:p w14:paraId="2239EBA7" w14:textId="753A0A70" w:rsidR="008B04B6" w:rsidRDefault="008B04B6" w:rsidP="004461A4">
    <w:pPr>
      <w:pStyle w:val="DLMSecurityHeader"/>
    </w:pPr>
    <w:r>
      <w:fldChar w:fldCharType="begin"/>
    </w:r>
    <w:r>
      <w:instrText xml:space="preserve"> DOCPROPERTY DLMSecurityClassification \* MERGEFORMAT </w:instrText>
    </w:r>
    <w:r>
      <w:fldChar w:fldCharType="separate"/>
    </w:r>
    <w:r w:rsidR="00E5337D">
      <w:rPr>
        <w:b w:val="0"/>
        <w:bCs/>
        <w:lang w:val="en-US"/>
      </w:rPr>
      <w:t>Error! Unknown document property name.</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07" w14:textId="77777777" w:rsidTr="004D5C6C">
      <w:trPr>
        <w:trHeight w:hRule="exact" w:val="340"/>
      </w:trPr>
      <w:tc>
        <w:tcPr>
          <w:tcW w:w="7797" w:type="dxa"/>
          <w:shd w:val="clear" w:color="auto" w:fill="auto"/>
        </w:tcPr>
        <w:p w14:paraId="2239EC06" w14:textId="77777777" w:rsidR="008B04B6" w:rsidRDefault="008B04B6" w:rsidP="004D5C6C">
          <w:pPr>
            <w:pStyle w:val="HeaderEven"/>
            <w:spacing w:after="240" w:line="260" w:lineRule="exact"/>
            <w:ind w:left="-113"/>
            <w:jc w:val="both"/>
          </w:pPr>
          <w:r w:rsidRPr="00434130">
            <w:rPr>
              <w:noProof/>
              <w:position w:val="-6"/>
              <w:lang w:eastAsia="zh-CN"/>
            </w:rPr>
            <w:drawing>
              <wp:inline distT="0" distB="0" distL="0" distR="0" wp14:anchorId="2239ECBD" wp14:editId="2239ECBE">
                <wp:extent cx="1352550" cy="171450"/>
                <wp:effectExtent l="0" t="0" r="0" b="0"/>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08" w14:textId="77777777" w:rsidR="008B04B6" w:rsidRPr="00F00984" w:rsidRDefault="008B04B6" w:rsidP="004D5C6C">
    <w:pPr>
      <w:pStyle w:val="HeaderEven"/>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0A" w14:textId="77777777" w:rsidTr="004D5C6C">
      <w:trPr>
        <w:trHeight w:hRule="exact" w:val="340"/>
      </w:trPr>
      <w:tc>
        <w:tcPr>
          <w:tcW w:w="7797" w:type="dxa"/>
          <w:shd w:val="clear" w:color="auto" w:fill="auto"/>
        </w:tcPr>
        <w:p w14:paraId="2239EC09" w14:textId="77777777" w:rsidR="008B04B6" w:rsidRPr="00434130" w:rsidRDefault="008B04B6" w:rsidP="004D5C6C">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CBF" wp14:editId="2239ECC0">
                <wp:extent cx="13525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0B" w14:textId="77777777" w:rsidR="008B04B6" w:rsidRDefault="008B04B6" w:rsidP="004D5C6C">
    <w:pPr>
      <w:pStyle w:val="HeaderOdd"/>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0BE3EFC0" w14:textId="77777777" w:rsidTr="00333377">
      <w:trPr>
        <w:trHeight w:hRule="exact" w:val="340"/>
      </w:trPr>
      <w:tc>
        <w:tcPr>
          <w:tcW w:w="7797" w:type="dxa"/>
          <w:shd w:val="clear" w:color="auto" w:fill="auto"/>
        </w:tcPr>
        <w:p w14:paraId="0E2711D6" w14:textId="77777777" w:rsidR="008B04B6" w:rsidRPr="00434130" w:rsidRDefault="008B04B6" w:rsidP="000F1504">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0E556C74" wp14:editId="7E2E6000">
                <wp:extent cx="13525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0F" w14:textId="19C27112" w:rsidR="008B04B6" w:rsidRPr="000F1504" w:rsidRDefault="008B04B6" w:rsidP="000F150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10" w14:textId="77777777" w:rsidR="008B04B6" w:rsidRPr="00F00984" w:rsidRDefault="008B04B6" w:rsidP="004D5C6C">
    <w:pPr>
      <w:pStyle w:val="HeaderEven"/>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55576862" w14:textId="77777777" w:rsidTr="008567E9">
      <w:trPr>
        <w:trHeight w:hRule="exact" w:val="340"/>
      </w:trPr>
      <w:tc>
        <w:tcPr>
          <w:tcW w:w="7797" w:type="dxa"/>
          <w:shd w:val="clear" w:color="auto" w:fill="auto"/>
        </w:tcPr>
        <w:p w14:paraId="72EBA64A" w14:textId="77777777" w:rsidR="008B04B6" w:rsidRDefault="008B04B6" w:rsidP="00535272">
          <w:pPr>
            <w:pStyle w:val="HeaderEven"/>
            <w:spacing w:after="240" w:line="260" w:lineRule="exact"/>
            <w:ind w:left="-113"/>
            <w:jc w:val="both"/>
          </w:pPr>
          <w:bookmarkStart w:id="176" w:name="_Hlk114482339"/>
          <w:r w:rsidRPr="00434130">
            <w:rPr>
              <w:noProof/>
              <w:position w:val="-6"/>
              <w:lang w:eastAsia="zh-CN"/>
            </w:rPr>
            <w:drawing>
              <wp:inline distT="0" distB="0" distL="0" distR="0" wp14:anchorId="2A9B3C35" wp14:editId="206197D8">
                <wp:extent cx="1352550" cy="171450"/>
                <wp:effectExtent l="0" t="0" r="0" b="0"/>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bookmarkEnd w:id="176"/>
        </w:p>
      </w:tc>
    </w:tr>
  </w:tbl>
  <w:p w14:paraId="154C490D" w14:textId="77777777" w:rsidR="008B04B6" w:rsidRPr="00F00984" w:rsidRDefault="008B04B6" w:rsidP="00535272">
    <w:pPr>
      <w:pStyle w:val="HeaderEven"/>
    </w:pPr>
  </w:p>
  <w:p w14:paraId="2239EC2A" w14:textId="1572DF42" w:rsidR="008B04B6" w:rsidRPr="00535272" w:rsidRDefault="008B04B6" w:rsidP="0053527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30354C64" w14:textId="77777777" w:rsidTr="00B86C78">
      <w:trPr>
        <w:trHeight w:hRule="exact" w:val="340"/>
      </w:trPr>
      <w:tc>
        <w:tcPr>
          <w:tcW w:w="7797" w:type="dxa"/>
          <w:shd w:val="clear" w:color="auto" w:fill="auto"/>
        </w:tcPr>
        <w:p w14:paraId="7C179829" w14:textId="77777777" w:rsidR="008B04B6" w:rsidRPr="00434130" w:rsidRDefault="008B04B6" w:rsidP="00897B39">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78C6DCE2" wp14:editId="0014B7E0">
                <wp:extent cx="1352550" cy="171450"/>
                <wp:effectExtent l="0" t="0" r="0" b="0"/>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2B" w14:textId="426BE8F4" w:rsidR="008B04B6" w:rsidRPr="00897B39" w:rsidRDefault="008B04B6" w:rsidP="00897B3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1A10EA47" w14:textId="77777777" w:rsidTr="002E5144">
      <w:trPr>
        <w:trHeight w:hRule="exact" w:val="340"/>
      </w:trPr>
      <w:tc>
        <w:tcPr>
          <w:tcW w:w="7797" w:type="dxa"/>
          <w:shd w:val="clear" w:color="auto" w:fill="auto"/>
        </w:tcPr>
        <w:p w14:paraId="717113C9" w14:textId="77777777" w:rsidR="008B04B6" w:rsidRPr="00434130" w:rsidRDefault="008B04B6" w:rsidP="001853D7">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73BEFB26" wp14:editId="00B5DADE">
                <wp:extent cx="1352550" cy="171450"/>
                <wp:effectExtent l="0" t="0" r="0" b="0"/>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30" w14:textId="38D2DDC9" w:rsidR="008B04B6" w:rsidRPr="001853D7" w:rsidRDefault="008B04B6" w:rsidP="001853D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7BC00B1D" w14:textId="77777777" w:rsidTr="008567E9">
      <w:trPr>
        <w:trHeight w:hRule="exact" w:val="340"/>
      </w:trPr>
      <w:tc>
        <w:tcPr>
          <w:tcW w:w="7797" w:type="dxa"/>
          <w:shd w:val="clear" w:color="auto" w:fill="auto"/>
        </w:tcPr>
        <w:p w14:paraId="03269F75" w14:textId="556EC3C3" w:rsidR="008B04B6" w:rsidRPr="00434130" w:rsidRDefault="008B04B6" w:rsidP="002C27BF">
          <w:pPr>
            <w:pStyle w:val="HeaderOdd"/>
            <w:spacing w:after="240" w:line="260" w:lineRule="exact"/>
          </w:pPr>
        </w:p>
      </w:tc>
    </w:tr>
  </w:tbl>
  <w:p w14:paraId="11775FE9" w14:textId="77777777" w:rsidR="008B04B6" w:rsidRPr="002C27BF" w:rsidRDefault="008B04B6" w:rsidP="002C27B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33" w14:textId="77777777" w:rsidR="008B04B6" w:rsidRPr="009D3004" w:rsidRDefault="008B04B6" w:rsidP="009D300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41" w14:textId="77777777" w:rsidTr="001C6402">
      <w:trPr>
        <w:trHeight w:hRule="exact" w:val="340"/>
      </w:trPr>
      <w:tc>
        <w:tcPr>
          <w:tcW w:w="7797" w:type="dxa"/>
          <w:shd w:val="clear" w:color="auto" w:fill="auto"/>
        </w:tcPr>
        <w:p w14:paraId="2239EC40" w14:textId="77777777" w:rsidR="008B04B6" w:rsidRDefault="008B04B6" w:rsidP="001C6402">
          <w:pPr>
            <w:pStyle w:val="HeaderEven"/>
            <w:spacing w:after="240" w:line="260" w:lineRule="exact"/>
            <w:ind w:left="-113"/>
            <w:jc w:val="both"/>
          </w:pPr>
          <w:r w:rsidRPr="00434130">
            <w:rPr>
              <w:noProof/>
              <w:position w:val="-6"/>
              <w:lang w:eastAsia="zh-CN"/>
            </w:rPr>
            <w:drawing>
              <wp:inline distT="0" distB="0" distL="0" distR="0" wp14:anchorId="2239ECEB" wp14:editId="2239ECEC">
                <wp:extent cx="1352550" cy="171450"/>
                <wp:effectExtent l="0" t="0" r="0" b="0"/>
                <wp:docPr id="44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42" w14:textId="77777777" w:rsidR="008B04B6" w:rsidRPr="00F00984" w:rsidRDefault="008B04B6" w:rsidP="00F00984">
    <w:pPr>
      <w:pStyle w:val="HeaderEven"/>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A8" w14:textId="245BF1F8" w:rsidR="008B04B6" w:rsidRDefault="008B04B6" w:rsidP="004461A4">
    <w:pPr>
      <w:pStyle w:val="SecurityClassificationHeader"/>
    </w:pPr>
    <w:r>
      <w:fldChar w:fldCharType="begin"/>
    </w:r>
    <w:r>
      <w:instrText xml:space="preserve"> DOCPROPERTY SecurityClassification \* MERGEFORMAT </w:instrText>
    </w:r>
    <w:r>
      <w:fldChar w:fldCharType="separate"/>
    </w:r>
    <w:r w:rsidR="00E5337D">
      <w:rPr>
        <w:b w:val="0"/>
        <w:bCs/>
        <w:lang w:val="en-US"/>
      </w:rPr>
      <w:t>Error! Unknown document property name.</w:t>
    </w:r>
    <w:r>
      <w:fldChar w:fldCharType="end"/>
    </w:r>
  </w:p>
  <w:p w14:paraId="2239EBA9" w14:textId="33A262DD" w:rsidR="008B04B6" w:rsidRDefault="008B04B6" w:rsidP="004461A4">
    <w:pPr>
      <w:pStyle w:val="DLMSecurityHeader"/>
    </w:pPr>
    <w:r>
      <w:fldChar w:fldCharType="begin"/>
    </w:r>
    <w:r>
      <w:instrText xml:space="preserve"> DOCPROPERTY DLMSecurityClassification \* MERGEFORMAT </w:instrText>
    </w:r>
    <w:r>
      <w:fldChar w:fldCharType="separate"/>
    </w:r>
    <w:r w:rsidR="00E5337D">
      <w:rPr>
        <w:b w:val="0"/>
        <w:bCs/>
        <w:lang w:val="en-US"/>
      </w:rPr>
      <w:t>Error! Unknown document property name.</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44" w14:textId="77777777" w:rsidTr="001C6402">
      <w:trPr>
        <w:trHeight w:hRule="exact" w:val="340"/>
      </w:trPr>
      <w:tc>
        <w:tcPr>
          <w:tcW w:w="7797" w:type="dxa"/>
          <w:shd w:val="clear" w:color="auto" w:fill="auto"/>
        </w:tcPr>
        <w:p w14:paraId="2239EC43" w14:textId="06DFE675" w:rsidR="008B04B6" w:rsidRPr="00434130" w:rsidRDefault="008B04B6" w:rsidP="001C6402">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CEF" wp14:editId="2239ECF0">
                <wp:extent cx="1352550" cy="171450"/>
                <wp:effectExtent l="0" t="0" r="0" b="0"/>
                <wp:docPr id="4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45" w14:textId="77777777" w:rsidR="008B04B6" w:rsidRDefault="008B04B6" w:rsidP="00F00984">
    <w:pPr>
      <w:pStyle w:val="HeaderOdd"/>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7295BDE6" w14:textId="77777777" w:rsidTr="00333377">
      <w:trPr>
        <w:trHeight w:hRule="exact" w:val="340"/>
      </w:trPr>
      <w:tc>
        <w:tcPr>
          <w:tcW w:w="7797" w:type="dxa"/>
          <w:shd w:val="clear" w:color="auto" w:fill="auto"/>
        </w:tcPr>
        <w:p w14:paraId="4BA42113" w14:textId="77777777" w:rsidR="008B04B6" w:rsidRPr="00434130" w:rsidRDefault="008B04B6" w:rsidP="004A3731">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0ED8FC78" wp14:editId="355A3095">
                <wp:extent cx="1352550" cy="171450"/>
                <wp:effectExtent l="0" t="0" r="0" b="0"/>
                <wp:docPr id="4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75A32540" w14:textId="77777777" w:rsidR="008B04B6" w:rsidRDefault="008B04B6" w:rsidP="004A3731">
    <w:pPr>
      <w:pStyle w:val="HeaderOdd"/>
    </w:pPr>
  </w:p>
  <w:p w14:paraId="2239EC49" w14:textId="77777777" w:rsidR="008B04B6" w:rsidRPr="004A3731" w:rsidRDefault="008B04B6" w:rsidP="004A373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4A" w14:textId="77777777" w:rsidR="008B04B6" w:rsidRPr="00F00984" w:rsidRDefault="008B04B6" w:rsidP="00695014">
    <w:pPr>
      <w:pStyle w:val="HeaderEven"/>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4D" w14:textId="77777777" w:rsidTr="004D5C6C">
      <w:trPr>
        <w:trHeight w:hRule="exact" w:val="340"/>
      </w:trPr>
      <w:tc>
        <w:tcPr>
          <w:tcW w:w="7797" w:type="dxa"/>
          <w:shd w:val="clear" w:color="auto" w:fill="auto"/>
        </w:tcPr>
        <w:p w14:paraId="2239EC4C" w14:textId="77777777" w:rsidR="008B04B6" w:rsidRDefault="008B04B6" w:rsidP="004D5C6C">
          <w:pPr>
            <w:pStyle w:val="HeaderEven"/>
            <w:spacing w:after="240" w:line="260" w:lineRule="exact"/>
            <w:ind w:left="-113"/>
            <w:jc w:val="both"/>
          </w:pPr>
          <w:r w:rsidRPr="00434130">
            <w:rPr>
              <w:noProof/>
              <w:position w:val="-6"/>
              <w:lang w:eastAsia="zh-CN"/>
            </w:rPr>
            <w:drawing>
              <wp:inline distT="0" distB="0" distL="0" distR="0" wp14:anchorId="2239ECF7" wp14:editId="2239ECF8">
                <wp:extent cx="1352550" cy="171450"/>
                <wp:effectExtent l="0" t="0" r="0" b="0"/>
                <wp:docPr id="4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4E" w14:textId="77777777" w:rsidR="008B04B6" w:rsidRPr="00F00984" w:rsidRDefault="008B04B6" w:rsidP="004D5C6C">
    <w:pPr>
      <w:pStyle w:val="HeaderEven"/>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50" w14:textId="77777777" w:rsidTr="004D5C6C">
      <w:trPr>
        <w:trHeight w:hRule="exact" w:val="340"/>
      </w:trPr>
      <w:tc>
        <w:tcPr>
          <w:tcW w:w="7797" w:type="dxa"/>
          <w:shd w:val="clear" w:color="auto" w:fill="auto"/>
        </w:tcPr>
        <w:p w14:paraId="2239EC4F" w14:textId="77777777" w:rsidR="008B04B6" w:rsidRPr="00434130" w:rsidRDefault="008B04B6" w:rsidP="004D5C6C">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CF9" wp14:editId="2239ECFA">
                <wp:extent cx="1352550" cy="171450"/>
                <wp:effectExtent l="0" t="0" r="0" b="0"/>
                <wp:docPr id="4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51" w14:textId="77777777" w:rsidR="008B04B6" w:rsidRDefault="008B04B6" w:rsidP="004D5C6C">
    <w:pPr>
      <w:pStyle w:val="HeaderOdd"/>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54" w14:textId="77777777" w:rsidR="008B04B6" w:rsidRPr="00E64492" w:rsidRDefault="008B04B6" w:rsidP="00E6449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57" w14:textId="77777777" w:rsidTr="004D5C6C">
      <w:trPr>
        <w:trHeight w:hRule="exact" w:val="340"/>
      </w:trPr>
      <w:tc>
        <w:tcPr>
          <w:tcW w:w="7797" w:type="dxa"/>
          <w:shd w:val="clear" w:color="auto" w:fill="auto"/>
        </w:tcPr>
        <w:p w14:paraId="2239EC56" w14:textId="77777777" w:rsidR="008B04B6" w:rsidRDefault="008B04B6" w:rsidP="004D5C6C">
          <w:pPr>
            <w:pStyle w:val="HeaderEven"/>
            <w:spacing w:after="240" w:line="260" w:lineRule="exact"/>
            <w:ind w:left="-113"/>
            <w:jc w:val="both"/>
          </w:pPr>
          <w:r w:rsidRPr="00434130">
            <w:rPr>
              <w:noProof/>
              <w:position w:val="-6"/>
              <w:lang w:eastAsia="zh-CN"/>
            </w:rPr>
            <w:drawing>
              <wp:inline distT="0" distB="0" distL="0" distR="0" wp14:anchorId="2239ECFD" wp14:editId="2239ECFE">
                <wp:extent cx="1352550" cy="171450"/>
                <wp:effectExtent l="0" t="0" r="0" b="0"/>
                <wp:docPr id="4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58" w14:textId="77777777" w:rsidR="008B04B6" w:rsidRPr="00F00984" w:rsidRDefault="008B04B6" w:rsidP="004D5C6C">
    <w:pPr>
      <w:pStyle w:val="HeaderEven"/>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5A" w14:textId="77777777" w:rsidTr="004D5C6C">
      <w:trPr>
        <w:trHeight w:hRule="exact" w:val="340"/>
      </w:trPr>
      <w:tc>
        <w:tcPr>
          <w:tcW w:w="7797" w:type="dxa"/>
          <w:shd w:val="clear" w:color="auto" w:fill="auto"/>
        </w:tcPr>
        <w:p w14:paraId="2239EC59" w14:textId="77777777" w:rsidR="008B04B6" w:rsidRPr="00434130" w:rsidRDefault="008B04B6" w:rsidP="004D5C6C">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CFF" wp14:editId="2239ED00">
                <wp:extent cx="1352550" cy="171450"/>
                <wp:effectExtent l="0" t="0" r="0" b="0"/>
                <wp:docPr id="45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5B" w14:textId="31925C1B" w:rsidR="008B04B6" w:rsidRDefault="008B04B6" w:rsidP="009716CC">
    <w:pPr>
      <w:pStyle w:val="HeaderOdd"/>
      <w:tabs>
        <w:tab w:val="left" w:pos="1684"/>
      </w:tabs>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5E" w14:textId="77777777" w:rsidTr="004D5C6C">
      <w:trPr>
        <w:trHeight w:hRule="exact" w:val="340"/>
      </w:trPr>
      <w:tc>
        <w:tcPr>
          <w:tcW w:w="7797" w:type="dxa"/>
          <w:shd w:val="clear" w:color="auto" w:fill="auto"/>
        </w:tcPr>
        <w:p w14:paraId="2239EC5D" w14:textId="77777777" w:rsidR="008B04B6" w:rsidRPr="00434130" w:rsidRDefault="008B04B6" w:rsidP="004D5C6C">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D01" wp14:editId="2239ED02">
                <wp:extent cx="1352550" cy="171450"/>
                <wp:effectExtent l="0" t="0" r="0" b="0"/>
                <wp:docPr id="4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5F" w14:textId="77777777" w:rsidR="008B04B6" w:rsidRPr="00F00984" w:rsidRDefault="008B04B6" w:rsidP="004D5C6C">
    <w:pPr>
      <w:pStyle w:val="HeaderEven"/>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61" w14:textId="77777777" w:rsidTr="004D5C6C">
      <w:trPr>
        <w:trHeight w:hRule="exact" w:val="340"/>
      </w:trPr>
      <w:tc>
        <w:tcPr>
          <w:tcW w:w="7797" w:type="dxa"/>
          <w:shd w:val="clear" w:color="auto" w:fill="auto"/>
        </w:tcPr>
        <w:p w14:paraId="2239EC60" w14:textId="77777777" w:rsidR="008B04B6" w:rsidRDefault="008B04B6" w:rsidP="004D5C6C">
          <w:pPr>
            <w:pStyle w:val="HeaderEven"/>
            <w:spacing w:after="240" w:line="260" w:lineRule="exact"/>
            <w:ind w:left="-113"/>
            <w:jc w:val="both"/>
          </w:pPr>
          <w:r w:rsidRPr="00434130">
            <w:rPr>
              <w:noProof/>
              <w:position w:val="-6"/>
              <w:lang w:eastAsia="zh-CN"/>
            </w:rPr>
            <w:drawing>
              <wp:inline distT="0" distB="0" distL="0" distR="0" wp14:anchorId="2239ED03" wp14:editId="2239ED04">
                <wp:extent cx="1352550" cy="171450"/>
                <wp:effectExtent l="0" t="0" r="0" b="0"/>
                <wp:docPr id="4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62" w14:textId="77777777" w:rsidR="008B04B6" w:rsidRPr="000304FC" w:rsidRDefault="008B04B6" w:rsidP="00C06F4A">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BAB" w14:textId="77777777" w:rsidTr="001C6402">
      <w:trPr>
        <w:trHeight w:hRule="exact" w:val="340"/>
      </w:trPr>
      <w:tc>
        <w:tcPr>
          <w:tcW w:w="7797" w:type="dxa"/>
          <w:shd w:val="clear" w:color="auto" w:fill="auto"/>
        </w:tcPr>
        <w:p w14:paraId="2239EBAA" w14:textId="77777777" w:rsidR="008B04B6" w:rsidRDefault="008B04B6" w:rsidP="001C6402">
          <w:pPr>
            <w:pStyle w:val="HeaderEven"/>
            <w:spacing w:after="240" w:line="260" w:lineRule="exact"/>
            <w:ind w:left="-113"/>
            <w:jc w:val="both"/>
          </w:pPr>
          <w:r w:rsidRPr="00434130">
            <w:rPr>
              <w:noProof/>
              <w:position w:val="-6"/>
              <w:lang w:eastAsia="zh-CN"/>
            </w:rPr>
            <w:drawing>
              <wp:inline distT="0" distB="0" distL="0" distR="0" wp14:anchorId="2239EC9D" wp14:editId="2239EC9E">
                <wp:extent cx="1357630" cy="168910"/>
                <wp:effectExtent l="0" t="0" r="0" b="0"/>
                <wp:docPr id="3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68910"/>
                        </a:xfrm>
                        <a:prstGeom prst="rect">
                          <a:avLst/>
                        </a:prstGeom>
                        <a:noFill/>
                        <a:ln>
                          <a:noFill/>
                        </a:ln>
                      </pic:spPr>
                    </pic:pic>
                  </a:graphicData>
                </a:graphic>
              </wp:inline>
            </w:drawing>
          </w:r>
          <w:r>
            <w:t xml:space="preserve">  |  Portfolio Budget Statements</w:t>
          </w:r>
        </w:p>
      </w:tc>
    </w:tr>
  </w:tbl>
  <w:p w14:paraId="2239EBAC" w14:textId="77777777" w:rsidR="008B04B6" w:rsidRPr="0049200C" w:rsidRDefault="008B04B6" w:rsidP="00081CBC">
    <w:pPr>
      <w:pStyle w:val="HeaderEven"/>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64" w14:textId="77777777" w:rsidTr="004D5C6C">
      <w:trPr>
        <w:trHeight w:hRule="exact" w:val="340"/>
      </w:trPr>
      <w:tc>
        <w:tcPr>
          <w:tcW w:w="7797" w:type="dxa"/>
          <w:shd w:val="clear" w:color="auto" w:fill="auto"/>
        </w:tcPr>
        <w:p w14:paraId="2239EC63" w14:textId="77777777" w:rsidR="008B04B6" w:rsidRPr="00434130" w:rsidRDefault="008B04B6" w:rsidP="004D5C6C">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D05" wp14:editId="2239ED06">
                <wp:extent cx="1352550" cy="171450"/>
                <wp:effectExtent l="0" t="0" r="0" b="0"/>
                <wp:docPr id="46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65" w14:textId="6A499F46" w:rsidR="008B04B6" w:rsidRPr="000304FC" w:rsidRDefault="008B04B6" w:rsidP="00C06F4A">
    <w:pPr>
      <w:pStyle w:val="HeaderOdd"/>
      <w:tabs>
        <w:tab w:val="left" w:pos="1307"/>
      </w:tabs>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14:paraId="2239EC69" w14:textId="77777777" w:rsidTr="004D5C6C">
      <w:trPr>
        <w:trHeight w:hRule="exact" w:val="340"/>
      </w:trPr>
      <w:tc>
        <w:tcPr>
          <w:tcW w:w="7797" w:type="dxa"/>
          <w:shd w:val="clear" w:color="auto" w:fill="auto"/>
        </w:tcPr>
        <w:p w14:paraId="2239EC68" w14:textId="77777777" w:rsidR="008B04B6" w:rsidRDefault="008B04B6" w:rsidP="004D5C6C">
          <w:pPr>
            <w:pStyle w:val="HeaderEven"/>
            <w:spacing w:after="240" w:line="260" w:lineRule="exact"/>
            <w:ind w:left="-113"/>
            <w:jc w:val="both"/>
          </w:pPr>
          <w:r w:rsidRPr="00434130">
            <w:rPr>
              <w:noProof/>
              <w:position w:val="-6"/>
              <w:lang w:eastAsia="zh-CN"/>
            </w:rPr>
            <w:drawing>
              <wp:inline distT="0" distB="0" distL="0" distR="0" wp14:anchorId="2239ED07" wp14:editId="2239ED08">
                <wp:extent cx="1346200" cy="171450"/>
                <wp:effectExtent l="0" t="0" r="0" b="0"/>
                <wp:docPr id="4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71450"/>
                        </a:xfrm>
                        <a:prstGeom prst="rect">
                          <a:avLst/>
                        </a:prstGeom>
                        <a:noFill/>
                        <a:ln>
                          <a:noFill/>
                        </a:ln>
                      </pic:spPr>
                    </pic:pic>
                  </a:graphicData>
                </a:graphic>
              </wp:inline>
            </w:drawing>
          </w:r>
          <w:r>
            <w:t xml:space="preserve">  |  Portfolio Budget Statements</w:t>
          </w:r>
        </w:p>
      </w:tc>
    </w:tr>
  </w:tbl>
  <w:p w14:paraId="2239EC6B" w14:textId="77777777" w:rsidR="008B04B6" w:rsidRPr="000304FC" w:rsidRDefault="008B04B6" w:rsidP="004D5C6C">
    <w:pPr>
      <w:pStyle w:val="HeaderEven"/>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14:paraId="2239EC6E" w14:textId="77777777" w:rsidTr="004D5C6C">
      <w:trPr>
        <w:trHeight w:hRule="exact" w:val="340"/>
      </w:trPr>
      <w:tc>
        <w:tcPr>
          <w:tcW w:w="7797" w:type="dxa"/>
          <w:shd w:val="clear" w:color="auto" w:fill="auto"/>
        </w:tcPr>
        <w:p w14:paraId="2239EC6D" w14:textId="77777777" w:rsidR="008B04B6" w:rsidRDefault="008B04B6" w:rsidP="004D5C6C">
          <w:pPr>
            <w:pStyle w:val="HeaderEven"/>
            <w:spacing w:after="240" w:line="260" w:lineRule="exact"/>
            <w:ind w:left="-113"/>
            <w:jc w:val="both"/>
          </w:pPr>
        </w:p>
      </w:tc>
    </w:tr>
  </w:tbl>
  <w:p w14:paraId="2239EC6F" w14:textId="77777777" w:rsidR="008B04B6" w:rsidRPr="00434130" w:rsidRDefault="008B04B6" w:rsidP="004D5C6C">
    <w:pPr>
      <w:spacing w:after="0"/>
      <w:rPr>
        <w:vanish/>
      </w:rPr>
    </w:pPr>
  </w:p>
  <w:p w14:paraId="2239EC70" w14:textId="77777777" w:rsidR="008B04B6" w:rsidRPr="000304FC" w:rsidRDefault="008B04B6" w:rsidP="004D5C6C">
    <w:pPr>
      <w:pStyle w:val="HeaderEven"/>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73" w14:textId="77777777" w:rsidTr="004D5C6C">
      <w:trPr>
        <w:trHeight w:hRule="exact" w:val="340"/>
      </w:trPr>
      <w:tc>
        <w:tcPr>
          <w:tcW w:w="7797" w:type="dxa"/>
          <w:shd w:val="clear" w:color="auto" w:fill="auto"/>
        </w:tcPr>
        <w:p w14:paraId="2239EC72" w14:textId="77777777" w:rsidR="008B04B6" w:rsidRDefault="008B04B6" w:rsidP="004D5C6C">
          <w:pPr>
            <w:pStyle w:val="HeaderEven"/>
            <w:spacing w:after="240" w:line="260" w:lineRule="exact"/>
            <w:ind w:left="-113"/>
            <w:jc w:val="both"/>
          </w:pPr>
          <w:r w:rsidRPr="00434130">
            <w:rPr>
              <w:noProof/>
              <w:position w:val="-6"/>
              <w:lang w:eastAsia="zh-CN"/>
            </w:rPr>
            <w:drawing>
              <wp:inline distT="0" distB="0" distL="0" distR="0" wp14:anchorId="2239ED09" wp14:editId="2239ED0A">
                <wp:extent cx="1352550" cy="17145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74" w14:textId="77777777" w:rsidR="008B04B6" w:rsidRPr="00F00984" w:rsidRDefault="008B04B6" w:rsidP="004D5C6C">
    <w:pPr>
      <w:pStyle w:val="HeaderEven"/>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76" w14:textId="77777777" w:rsidTr="004D5C6C">
      <w:trPr>
        <w:trHeight w:hRule="exact" w:val="340"/>
      </w:trPr>
      <w:tc>
        <w:tcPr>
          <w:tcW w:w="7797" w:type="dxa"/>
          <w:shd w:val="clear" w:color="auto" w:fill="auto"/>
        </w:tcPr>
        <w:p w14:paraId="2239EC75" w14:textId="77777777" w:rsidR="008B04B6" w:rsidRPr="00434130" w:rsidRDefault="008B04B6" w:rsidP="004D5C6C">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D0B" wp14:editId="2239ED0C">
                <wp:extent cx="1352550" cy="171450"/>
                <wp:effectExtent l="0" t="0" r="0" b="0"/>
                <wp:docPr id="4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77" w14:textId="77777777" w:rsidR="008B04B6" w:rsidRDefault="008B04B6" w:rsidP="00B9521A">
    <w:pPr>
      <w:pStyle w:val="HeaderOdd"/>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50034CBC" w14:textId="77777777" w:rsidTr="008567E9">
      <w:trPr>
        <w:trHeight w:hRule="exact" w:val="340"/>
      </w:trPr>
      <w:tc>
        <w:tcPr>
          <w:tcW w:w="7797" w:type="dxa"/>
          <w:shd w:val="clear" w:color="auto" w:fill="auto"/>
        </w:tcPr>
        <w:p w14:paraId="0D63FD91" w14:textId="77777777" w:rsidR="008B04B6" w:rsidRPr="00434130" w:rsidRDefault="008B04B6" w:rsidP="00BE0C74">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08A946B2" wp14:editId="6109DB2D">
                <wp:extent cx="1352550" cy="171450"/>
                <wp:effectExtent l="0" t="0" r="0" b="0"/>
                <wp:docPr id="4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7A" w14:textId="6E3A8476" w:rsidR="008B04B6" w:rsidRPr="00BE0C74" w:rsidRDefault="008B04B6" w:rsidP="00BE0C7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87" w14:textId="77777777" w:rsidTr="004D5C6C">
      <w:trPr>
        <w:trHeight w:hRule="exact" w:val="340"/>
      </w:trPr>
      <w:tc>
        <w:tcPr>
          <w:tcW w:w="7797" w:type="dxa"/>
          <w:shd w:val="clear" w:color="auto" w:fill="auto"/>
        </w:tcPr>
        <w:p w14:paraId="2239EC86" w14:textId="77777777" w:rsidR="008B04B6" w:rsidRDefault="008B04B6" w:rsidP="004D5C6C">
          <w:pPr>
            <w:pStyle w:val="HeaderEven"/>
            <w:spacing w:after="240" w:line="260" w:lineRule="exact"/>
            <w:ind w:left="-113"/>
            <w:jc w:val="both"/>
          </w:pPr>
          <w:r w:rsidRPr="00434130">
            <w:rPr>
              <w:noProof/>
              <w:position w:val="-6"/>
              <w:lang w:eastAsia="zh-CN"/>
            </w:rPr>
            <w:drawing>
              <wp:inline distT="0" distB="0" distL="0" distR="0" wp14:anchorId="2239ED15" wp14:editId="2239ED16">
                <wp:extent cx="1352550" cy="171450"/>
                <wp:effectExtent l="0" t="0" r="0" b="0"/>
                <wp:docPr id="47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88" w14:textId="77777777" w:rsidR="008B04B6" w:rsidRPr="000304FC" w:rsidRDefault="008B04B6" w:rsidP="00B9521A">
    <w:pPr>
      <w:pStyle w:val="HeaderEven"/>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C8A" w14:textId="77777777" w:rsidTr="004D5C6C">
      <w:trPr>
        <w:trHeight w:hRule="exact" w:val="340"/>
      </w:trPr>
      <w:tc>
        <w:tcPr>
          <w:tcW w:w="7797" w:type="dxa"/>
          <w:shd w:val="clear" w:color="auto" w:fill="auto"/>
        </w:tcPr>
        <w:p w14:paraId="2239EC89" w14:textId="77777777" w:rsidR="008B04B6" w:rsidRPr="00434130" w:rsidRDefault="008B04B6" w:rsidP="004D5C6C">
          <w:pPr>
            <w:pStyle w:val="HeaderOdd"/>
            <w:spacing w:after="240" w:line="260" w:lineRule="exact"/>
          </w:pPr>
          <w:r w:rsidRPr="00434130">
            <w:t xml:space="preserve">Portfolio Budget Statements  |  </w:t>
          </w:r>
          <w:r w:rsidRPr="00434130">
            <w:rPr>
              <w:noProof/>
              <w:position w:val="-6"/>
              <w:lang w:eastAsia="zh-CN"/>
            </w:rPr>
            <w:drawing>
              <wp:inline distT="0" distB="0" distL="0" distR="0" wp14:anchorId="2239ED17" wp14:editId="2239ED18">
                <wp:extent cx="1352550" cy="171450"/>
                <wp:effectExtent l="0" t="0" r="0" b="0"/>
                <wp:docPr id="4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2239EC8B" w14:textId="41406132" w:rsidR="008B04B6" w:rsidRPr="000304FC" w:rsidRDefault="008B04B6" w:rsidP="006449E3">
    <w:pPr>
      <w:pStyle w:val="HeaderOdd"/>
      <w:tabs>
        <w:tab w:val="left" w:pos="1606"/>
      </w:tabs>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5BC62799" w14:textId="77777777" w:rsidTr="00BF7B5E">
      <w:trPr>
        <w:trHeight w:hRule="exact" w:val="340"/>
      </w:trPr>
      <w:tc>
        <w:tcPr>
          <w:tcW w:w="7797" w:type="dxa"/>
          <w:shd w:val="clear" w:color="auto" w:fill="auto"/>
        </w:tcPr>
        <w:p w14:paraId="7A3B9B6A" w14:textId="77777777" w:rsidR="008B04B6" w:rsidRDefault="008B04B6" w:rsidP="00AE3DDE">
          <w:pPr>
            <w:pStyle w:val="HeaderEven"/>
            <w:spacing w:after="240" w:line="260" w:lineRule="exact"/>
            <w:ind w:left="-113"/>
            <w:jc w:val="both"/>
          </w:pPr>
          <w:r w:rsidRPr="00434130">
            <w:rPr>
              <w:noProof/>
              <w:position w:val="-6"/>
              <w:lang w:eastAsia="zh-CN"/>
            </w:rPr>
            <w:drawing>
              <wp:inline distT="0" distB="0" distL="0" distR="0" wp14:anchorId="384273B3" wp14:editId="685D7F1A">
                <wp:extent cx="1352550" cy="171450"/>
                <wp:effectExtent l="0" t="0" r="0" b="0"/>
                <wp:docPr id="4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r>
            <w:t xml:space="preserve">  |  Portfolio Budget Statements</w:t>
          </w:r>
        </w:p>
      </w:tc>
    </w:tr>
  </w:tbl>
  <w:p w14:paraId="2239EC91" w14:textId="6A591EA0" w:rsidR="008B04B6" w:rsidRPr="00AE3DDE" w:rsidRDefault="008B04B6" w:rsidP="00AE3DD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395A77" w14:paraId="0E33EDE4" w14:textId="77777777" w:rsidTr="002502C2">
      <w:trPr>
        <w:trHeight w:hRule="exact" w:val="340"/>
      </w:trPr>
      <w:tc>
        <w:tcPr>
          <w:tcW w:w="7797" w:type="dxa"/>
          <w:shd w:val="clear" w:color="auto" w:fill="auto"/>
        </w:tcPr>
        <w:p w14:paraId="3DBCC73B" w14:textId="77777777" w:rsidR="008B04B6" w:rsidRPr="00434130" w:rsidRDefault="008B04B6" w:rsidP="00395A77">
          <w:pPr>
            <w:pStyle w:val="HeaderOdd"/>
            <w:spacing w:after="240" w:line="260" w:lineRule="exact"/>
          </w:pPr>
          <w:r w:rsidRPr="00434130">
            <w:t xml:space="preserve">Portfolio Budget Statements  |  </w:t>
          </w:r>
          <w:r w:rsidRPr="00395A77">
            <w:rPr>
              <w:noProof/>
              <w:lang w:eastAsia="zh-CN"/>
            </w:rPr>
            <w:drawing>
              <wp:inline distT="0" distB="0" distL="0" distR="0" wp14:anchorId="3F4FE2D4" wp14:editId="76BDB21C">
                <wp:extent cx="1352550" cy="171450"/>
                <wp:effectExtent l="0" t="0" r="0"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tc>
    </w:tr>
  </w:tbl>
  <w:p w14:paraId="5DD76BF2" w14:textId="2ADC202F" w:rsidR="008B04B6" w:rsidRPr="00395A77" w:rsidRDefault="008B04B6" w:rsidP="00395A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AE" w14:textId="77777777" w:rsidR="008B04B6" w:rsidRPr="0049200C" w:rsidRDefault="008B04B6" w:rsidP="000C4F54">
    <w:pPr>
      <w:pStyle w:val="HeaderOdd"/>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93" w14:textId="2AB8B63B" w:rsidR="008B04B6" w:rsidRDefault="008B04B6" w:rsidP="004461A4">
    <w:pPr>
      <w:pStyle w:val="SecurityClassificationHeader"/>
    </w:pPr>
    <w:r>
      <w:fldChar w:fldCharType="begin"/>
    </w:r>
    <w:r>
      <w:instrText xml:space="preserve"> DOCPROPERTY SecurityClassification \* MERGEFORMAT </w:instrText>
    </w:r>
    <w:r>
      <w:fldChar w:fldCharType="separate"/>
    </w:r>
    <w:r w:rsidR="00E5337D">
      <w:rPr>
        <w:b w:val="0"/>
        <w:bCs/>
        <w:lang w:val="en-US"/>
      </w:rPr>
      <w:t>Error! Unknown document property name.</w:t>
    </w:r>
    <w:r>
      <w:fldChar w:fldCharType="end"/>
    </w:r>
  </w:p>
  <w:p w14:paraId="2239EC94" w14:textId="77777777" w:rsidR="008B04B6" w:rsidRDefault="008B04B6" w:rsidP="004461A4">
    <w:pPr>
      <w:pStyle w:val="SecurityClassificationHeader"/>
    </w:pPr>
  </w:p>
  <w:p w14:paraId="2239EC95" w14:textId="77777777" w:rsidR="008B04B6" w:rsidRDefault="008B04B6" w:rsidP="00361259">
    <w:pPr>
      <w:pStyle w:val="HeaderEven"/>
    </w:pPr>
    <w:r>
      <w:t>Index</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96" w14:textId="696A8CB5" w:rsidR="008B04B6" w:rsidRDefault="008B04B6" w:rsidP="004461A4">
    <w:pPr>
      <w:pStyle w:val="SecurityClassificationHeader"/>
    </w:pPr>
    <w:r>
      <w:fldChar w:fldCharType="begin"/>
    </w:r>
    <w:r>
      <w:instrText xml:space="preserve"> DOCPROPERTY SecurityClassification \* MERGEFORMAT </w:instrText>
    </w:r>
    <w:r>
      <w:fldChar w:fldCharType="separate"/>
    </w:r>
    <w:r w:rsidR="00E5337D">
      <w:rPr>
        <w:b w:val="0"/>
        <w:bCs/>
        <w:lang w:val="en-US"/>
      </w:rPr>
      <w:t>Error! Unknown document property name.</w:t>
    </w:r>
    <w:r>
      <w:fldChar w:fldCharType="end"/>
    </w:r>
  </w:p>
  <w:p w14:paraId="2239EC97" w14:textId="1F2027A5" w:rsidR="008B04B6" w:rsidRDefault="008B04B6" w:rsidP="004461A4">
    <w:pPr>
      <w:pStyle w:val="DLMSecurityHeader"/>
    </w:pPr>
    <w:r>
      <w:fldChar w:fldCharType="begin"/>
    </w:r>
    <w:r>
      <w:instrText xml:space="preserve"> DOCPROPERTY DLMSecurityClassification \* MERGEFORMAT </w:instrText>
    </w:r>
    <w:r>
      <w:fldChar w:fldCharType="separate"/>
    </w:r>
    <w:r w:rsidR="00E5337D">
      <w:rPr>
        <w:b w:val="0"/>
        <w:bCs/>
        <w:lang w:val="en-US"/>
      </w:rPr>
      <w:t>Error! Unknown document property name.</w:t>
    </w:r>
    <w:r>
      <w:fldChar w:fldCharType="end"/>
    </w:r>
  </w:p>
  <w:p w14:paraId="2239EC98" w14:textId="77777777" w:rsidR="008B04B6" w:rsidRDefault="008B04B6" w:rsidP="00361259">
    <w:pPr>
      <w:pStyle w:val="HeaderOdd"/>
    </w:pPr>
    <w:r>
      <w:t>Index</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99" w14:textId="77777777" w:rsidR="008B04B6" w:rsidRPr="00970E65" w:rsidRDefault="008B04B6" w:rsidP="004461A4">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8B04B6" w:rsidRPr="001C6402" w14:paraId="2239EBB1" w14:textId="77777777" w:rsidTr="001C6402">
      <w:trPr>
        <w:trHeight w:hRule="exact" w:val="340"/>
      </w:trPr>
      <w:tc>
        <w:tcPr>
          <w:tcW w:w="7797" w:type="dxa"/>
          <w:shd w:val="clear" w:color="auto" w:fill="auto"/>
        </w:tcPr>
        <w:p w14:paraId="2239EBB0" w14:textId="77777777" w:rsidR="008B04B6" w:rsidRDefault="008B04B6" w:rsidP="001C6402">
          <w:pPr>
            <w:pStyle w:val="HeaderEven"/>
            <w:spacing w:after="240" w:line="260" w:lineRule="exact"/>
            <w:ind w:left="-113"/>
            <w:jc w:val="both"/>
          </w:pPr>
          <w:r w:rsidRPr="00434130">
            <w:rPr>
              <w:noProof/>
              <w:position w:val="-6"/>
              <w:lang w:eastAsia="zh-CN"/>
            </w:rPr>
            <w:drawing>
              <wp:inline distT="0" distB="0" distL="0" distR="0" wp14:anchorId="2239EC9F" wp14:editId="2239ECA0">
                <wp:extent cx="1357630" cy="168910"/>
                <wp:effectExtent l="0" t="0" r="0" b="0"/>
                <wp:docPr id="3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68910"/>
                        </a:xfrm>
                        <a:prstGeom prst="rect">
                          <a:avLst/>
                        </a:prstGeom>
                        <a:noFill/>
                        <a:ln>
                          <a:noFill/>
                        </a:ln>
                      </pic:spPr>
                    </pic:pic>
                  </a:graphicData>
                </a:graphic>
              </wp:inline>
            </w:drawing>
          </w:r>
          <w:r>
            <w:t xml:space="preserve">  |  October Portfolio Budget Statements</w:t>
          </w:r>
        </w:p>
      </w:tc>
    </w:tr>
  </w:tbl>
  <w:p w14:paraId="2239EBB2" w14:textId="77777777" w:rsidR="008B04B6" w:rsidRPr="004F1212" w:rsidRDefault="008B04B6" w:rsidP="003F0C8B">
    <w:pPr>
      <w:pStyle w:val="HeaderEven"/>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3" w14:textId="77777777" w:rsidR="008B04B6" w:rsidRDefault="008B04B6" w:rsidP="004F1212">
    <w:pPr>
      <w:pStyle w:val="HeaderEven"/>
    </w:pPr>
    <w:r w:rsidRPr="00F00984">
      <w:t>[Department abbreviation] Budget Statements</w:t>
    </w:r>
    <w:r>
      <w:rPr>
        <w:noProof/>
      </w:rPr>
      <w:t xml:space="preserve"> </w:t>
    </w:r>
    <w:r>
      <w:rPr>
        <w:noProof/>
        <w:lang w:eastAsia="zh-CN"/>
      </w:rPr>
      <mc:AlternateContent>
        <mc:Choice Requires="wps">
          <w:drawing>
            <wp:anchor distT="0" distB="0" distL="0" distR="0" simplePos="0" relativeHeight="251650560" behindDoc="0" locked="1" layoutInCell="0" allowOverlap="1" wp14:anchorId="2239ECA1" wp14:editId="2239ECA2">
              <wp:simplePos x="0" y="0"/>
              <wp:positionH relativeFrom="margin">
                <wp:align>center</wp:align>
              </wp:positionH>
              <wp:positionV relativeFrom="page">
                <wp:posOffset>512445</wp:posOffset>
              </wp:positionV>
              <wp:extent cx="4910455" cy="61531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wps:spPr>
                    <wps:txbx>
                      <w:txbxContent>
                        <w:p w14:paraId="2239ED2F" w14:textId="77777777" w:rsidR="008B04B6" w:rsidRDefault="008B04B6" w:rsidP="0049200C">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9ECA1" id="_x0000_t202" coordsize="21600,21600" o:spt="202" path="m,l,21600r21600,l21600,xe">
              <v:stroke joinstyle="miter"/>
              <v:path gradientshapeok="t" o:connecttype="rect"/>
            </v:shapetype>
            <v:shape id="Text Box 19" o:spid="_x0000_s1041" type="#_x0000_t202" style="position:absolute;margin-left:0;margin-top:40.35pt;width:386.65pt;height:48.45pt;z-index:2516505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" o:allowincell="f" filled="f" stroked="f">
              <v:textbox inset="0,0,0,0">
                <w:txbxContent>
                  <w:p w14:paraId="2239ED2F" w14:textId="77777777" w:rsidR="008B04B6" w:rsidRDefault="008B04B6" w:rsidP="0049200C">
                    <w:pPr>
                      <w:pStyle w:val="Classification"/>
                    </w:pPr>
                    <w:r>
                      <w:t xml:space="preserve">Protected: </w:t>
                    </w:r>
                    <w:r>
                      <w:br/>
                      <w:t>Sensitive: Cabinet</w:t>
                    </w:r>
                  </w:p>
                </w:txbxContent>
              </v:textbox>
              <w10:wrap type="square" anchorx="margin" anchory="page"/>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6" w14:textId="77777777" w:rsidR="008B04B6" w:rsidRDefault="008B04B6" w:rsidP="000C4F54">
    <w:pPr>
      <w:pStyle w:val="HeaderEven"/>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BB9" w14:textId="1A94086D" w:rsidR="008B04B6" w:rsidRDefault="008B04B6" w:rsidP="004461A4">
    <w:pPr>
      <w:pStyle w:val="SecurityClassificationHeader"/>
    </w:pPr>
    <w:r>
      <w:fldChar w:fldCharType="begin"/>
    </w:r>
    <w:r>
      <w:instrText xml:space="preserve"> DOCPROPERTY SecurityClassification \* MERGEFORMAT </w:instrText>
    </w:r>
    <w:r>
      <w:fldChar w:fldCharType="separate"/>
    </w:r>
    <w:r w:rsidR="00E5337D">
      <w:rPr>
        <w:b w:val="0"/>
        <w:bCs/>
        <w:lang w:val="en-US"/>
      </w:rPr>
      <w:t>Error! Unknown document property name.</w:t>
    </w:r>
    <w:r>
      <w:fldChar w:fldCharType="end"/>
    </w:r>
  </w:p>
  <w:p w14:paraId="2239EBBA" w14:textId="592495FA" w:rsidR="008B04B6" w:rsidRDefault="008B04B6" w:rsidP="004461A4">
    <w:pPr>
      <w:pStyle w:val="DLMSecurityHeader"/>
    </w:pPr>
    <w:r>
      <w:fldChar w:fldCharType="begin"/>
    </w:r>
    <w:r>
      <w:instrText xml:space="preserve"> DOCPROPERTY DLMSecurityClassification \* MERGEFORMAT </w:instrText>
    </w:r>
    <w:r>
      <w:fldChar w:fldCharType="separate"/>
    </w:r>
    <w:r w:rsidR="00E5337D">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E3D"/>
    <w:multiLevelType w:val="hybridMultilevel"/>
    <w:tmpl w:val="15907DF6"/>
    <w:lvl w:ilvl="0" w:tplc="D02E0BC6">
      <w:start w:val="1"/>
      <w:numFmt w:val="bullet"/>
      <w:lvlText w:val=""/>
      <w:lvlJc w:val="left"/>
      <w:pPr>
        <w:ind w:left="284" w:hanging="284"/>
      </w:pPr>
      <w:rPr>
        <w:rFonts w:ascii="Symbol" w:hAnsi="Symbol" w:hint="default"/>
      </w:rPr>
    </w:lvl>
    <w:lvl w:ilvl="1" w:tplc="89CCF3FC">
      <w:numFmt w:val="bullet"/>
      <w:lvlText w:val="-"/>
      <w:lvlJc w:val="left"/>
      <w:pPr>
        <w:ind w:left="1790" w:hanging="71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F4FD0"/>
    <w:multiLevelType w:val="hybridMultilevel"/>
    <w:tmpl w:val="34563F70"/>
    <w:lvl w:ilvl="0" w:tplc="D02E0BC6">
      <w:start w:val="1"/>
      <w:numFmt w:val="bullet"/>
      <w:lvlText w:val=""/>
      <w:lvlJc w:val="left"/>
      <w:pPr>
        <w:ind w:left="284" w:hanging="284"/>
      </w:pPr>
      <w:rPr>
        <w:rFonts w:ascii="Symbol" w:hAnsi="Symbol" w:hint="default"/>
      </w:rPr>
    </w:lvl>
    <w:lvl w:ilvl="1" w:tplc="5008C590">
      <w:start w:val="1"/>
      <w:numFmt w:val="bullet"/>
      <w:lvlText w:val=""/>
      <w:lvlJc w:val="left"/>
      <w:pPr>
        <w:ind w:left="284" w:hanging="284"/>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5531B4"/>
    <w:multiLevelType w:val="hybridMultilevel"/>
    <w:tmpl w:val="75F01A0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937DCE"/>
    <w:multiLevelType w:val="hybridMultilevel"/>
    <w:tmpl w:val="37E241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A1722"/>
    <w:multiLevelType w:val="hybridMultilevel"/>
    <w:tmpl w:val="BD76CA88"/>
    <w:lvl w:ilvl="0" w:tplc="D02E0BC6">
      <w:start w:val="1"/>
      <w:numFmt w:val="bullet"/>
      <w:lvlText w:val=""/>
      <w:lvlJc w:val="left"/>
      <w:pPr>
        <w:ind w:left="284" w:hanging="284"/>
      </w:pPr>
      <w:rPr>
        <w:rFonts w:ascii="Symbol" w:hAnsi="Symbol" w:hint="default"/>
      </w:rPr>
    </w:lvl>
    <w:lvl w:ilvl="1" w:tplc="7110CC52">
      <w:start w:val="1"/>
      <w:numFmt w:val="bullet"/>
      <w:lvlText w:val=""/>
      <w:lvlJc w:val="left"/>
      <w:pPr>
        <w:ind w:left="284" w:hanging="284"/>
      </w:pPr>
      <w:rPr>
        <w:rFonts w:ascii="Symbol" w:hAnsi="Symbol" w:hint="default"/>
      </w:rPr>
    </w:lvl>
    <w:lvl w:ilvl="2" w:tplc="42F4FDB8">
      <w:start w:val="98"/>
      <w:numFmt w:val="bullet"/>
      <w:lvlText w:val="-"/>
      <w:lvlJc w:val="left"/>
      <w:pPr>
        <w:ind w:left="2510" w:hanging="71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A4AEE"/>
    <w:multiLevelType w:val="hybridMultilevel"/>
    <w:tmpl w:val="A9E896D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CE31D0F"/>
    <w:multiLevelType w:val="hybridMultilevel"/>
    <w:tmpl w:val="0884FA8C"/>
    <w:lvl w:ilvl="0" w:tplc="55E25804">
      <w:start w:val="1"/>
      <w:numFmt w:val="bullet"/>
      <w:lvlText w:val=""/>
      <w:lvlJc w:val="left"/>
      <w:pPr>
        <w:ind w:left="284" w:hanging="284"/>
      </w:pPr>
      <w:rPr>
        <w:rFonts w:ascii="Symbol" w:hAnsi="Symbol" w:hint="default"/>
        <w:color w:val="auto"/>
        <w:sz w:val="16"/>
        <w:szCs w:val="16"/>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103296"/>
    <w:multiLevelType w:val="hybridMultilevel"/>
    <w:tmpl w:val="18BE706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5DE0C1F"/>
    <w:multiLevelType w:val="multilevel"/>
    <w:tmpl w:val="50901E9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0B2ABC"/>
    <w:multiLevelType w:val="hybridMultilevel"/>
    <w:tmpl w:val="83E0A74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8B6724"/>
    <w:multiLevelType w:val="multilevel"/>
    <w:tmpl w:val="16FADA92"/>
    <w:lvl w:ilvl="0">
      <w:start w:val="1"/>
      <w:numFmt w:val="bullet"/>
      <w:lvlText w:val=""/>
      <w:lvlJc w:val="left"/>
      <w:pPr>
        <w:tabs>
          <w:tab w:val="num" w:pos="284"/>
        </w:tabs>
        <w:ind w:left="284" w:hanging="284"/>
      </w:pPr>
      <w:rPr>
        <w:rFonts w:ascii="Symbol" w:hAnsi="Symbol" w:hint="default"/>
        <w:b w:val="0"/>
        <w:i w:val="0"/>
        <w:color w:val="000000"/>
        <w:sz w:val="10"/>
      </w:rPr>
    </w:lvl>
    <w:lvl w:ilvl="1">
      <w:start w:val="1"/>
      <w:numFmt w:val="bullet"/>
      <w:lvlText w:val="o"/>
      <w:lvlJc w:val="left"/>
      <w:pPr>
        <w:tabs>
          <w:tab w:val="num" w:pos="1134"/>
        </w:tabs>
        <w:ind w:left="1134" w:hanging="567"/>
      </w:pPr>
      <w:rPr>
        <w:rFonts w:ascii="Courier New" w:hAnsi="Courier New" w:cs="Courier New" w:hint="default"/>
        <w:b w:val="0"/>
        <w:i w:val="0"/>
        <w:color w:val="000000"/>
      </w:rPr>
    </w:lvl>
    <w:lvl w:ilvl="2">
      <w:start w:val="1"/>
      <w:numFmt w:val="decimal"/>
      <w:lvlText w:val="%3"/>
      <w:lvlJc w:val="left"/>
      <w:pPr>
        <w:tabs>
          <w:tab w:val="num" w:pos="1701"/>
        </w:tabs>
        <w:ind w:left="1701" w:hanging="567"/>
      </w:pPr>
      <w:rPr>
        <w:rFonts w:hint="default"/>
        <w:b w:val="0"/>
        <w:i w:val="0"/>
        <w:color w:val="000000"/>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4" w15:restartNumberingAfterBreak="0">
    <w:nsid w:val="19766C04"/>
    <w:multiLevelType w:val="multilevel"/>
    <w:tmpl w:val="36AE30DE"/>
    <w:lvl w:ilvl="0">
      <w:start w:val="1"/>
      <w:numFmt w:val="lowerLetter"/>
      <w:lvlText w:val="%1)"/>
      <w:lvlJc w:val="left"/>
      <w:pPr>
        <w:ind w:left="426" w:hanging="284"/>
      </w:pPr>
      <w:rPr>
        <w:rFonts w:hint="default"/>
        <w:b w:val="0"/>
        <w:i w:val="0"/>
        <w:color w:val="000000"/>
        <w:sz w:val="16"/>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5" w15:restartNumberingAfterBreak="0">
    <w:nsid w:val="19866559"/>
    <w:multiLevelType w:val="hybridMultilevel"/>
    <w:tmpl w:val="CE6491C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D185843"/>
    <w:multiLevelType w:val="multilevel"/>
    <w:tmpl w:val="C958F20E"/>
    <w:lvl w:ilvl="0">
      <w:start w:val="1"/>
      <w:numFmt w:val="lowerLetter"/>
      <w:lvlText w:val="%1)"/>
      <w:lvlJc w:val="left"/>
      <w:pPr>
        <w:ind w:left="426" w:hanging="284"/>
      </w:pPr>
      <w:rPr>
        <w:rFonts w:hint="default"/>
        <w:b w:val="0"/>
        <w:i w:val="0"/>
        <w:color w:val="000000"/>
        <w:sz w:val="16"/>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7" w15:restartNumberingAfterBreak="0">
    <w:nsid w:val="2277780D"/>
    <w:multiLevelType w:val="hybridMultilevel"/>
    <w:tmpl w:val="9EE2E3C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8" w15:restartNumberingAfterBreak="0">
    <w:nsid w:val="25BC5A6E"/>
    <w:multiLevelType w:val="hybridMultilevel"/>
    <w:tmpl w:val="EBACE4AA"/>
    <w:lvl w:ilvl="0" w:tplc="BF62B0CE">
      <w:start w:val="1"/>
      <w:numFmt w:val="bullet"/>
      <w:lvlText w:val=""/>
      <w:lvlJc w:val="left"/>
      <w:pPr>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4E4A8F"/>
    <w:multiLevelType w:val="hybridMultilevel"/>
    <w:tmpl w:val="8F7E7818"/>
    <w:lvl w:ilvl="0" w:tplc="07080BA6">
      <w:start w:val="1"/>
      <w:numFmt w:val="bullet"/>
      <w:lvlText w:val=""/>
      <w:lvlJc w:val="left"/>
      <w:pPr>
        <w:ind w:left="36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734E15"/>
    <w:multiLevelType w:val="hybridMultilevel"/>
    <w:tmpl w:val="4308FA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6997E42"/>
    <w:multiLevelType w:val="hybridMultilevel"/>
    <w:tmpl w:val="DCC6119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284065F4"/>
    <w:multiLevelType w:val="hybridMultilevel"/>
    <w:tmpl w:val="015A1918"/>
    <w:lvl w:ilvl="0" w:tplc="22F442E8">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B857E8"/>
    <w:multiLevelType w:val="multilevel"/>
    <w:tmpl w:val="3FE0FEEE"/>
    <w:lvl w:ilvl="0">
      <w:start w:val="1"/>
      <w:numFmt w:val="decimal"/>
      <w:lvlText w:val="%1"/>
      <w:lvlJc w:val="left"/>
      <w:pPr>
        <w:ind w:left="360" w:hanging="360"/>
      </w:pPr>
      <w:rPr>
        <w:rFonts w:hint="default"/>
      </w:rPr>
    </w:lvl>
    <w:lvl w:ilvl="1">
      <w:start w:val="1"/>
      <w:numFmt w:val="decimal"/>
      <w:lvlText w:val="%1.%2"/>
      <w:lvlJc w:val="left"/>
      <w:rPr>
        <w:rFonts w:ascii="Arial" w:hAnsi="Arial" w:cs="Arial" w:hint="default"/>
        <w:i w:val="0"/>
        <w:iCs/>
        <w:color w:val="auto"/>
        <w:sz w:val="16"/>
        <w:szCs w:val="16"/>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A1805E5"/>
    <w:multiLevelType w:val="hybridMultilevel"/>
    <w:tmpl w:val="B27264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4511D6"/>
    <w:multiLevelType w:val="multilevel"/>
    <w:tmpl w:val="C958F20E"/>
    <w:lvl w:ilvl="0">
      <w:start w:val="1"/>
      <w:numFmt w:val="lowerLetter"/>
      <w:lvlText w:val="%1)"/>
      <w:lvlJc w:val="left"/>
      <w:pPr>
        <w:ind w:left="426" w:hanging="284"/>
      </w:pPr>
      <w:rPr>
        <w:rFonts w:hint="default"/>
        <w:b w:val="0"/>
        <w:i w:val="0"/>
        <w:color w:val="000000"/>
        <w:sz w:val="16"/>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7"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2F256999"/>
    <w:multiLevelType w:val="multilevel"/>
    <w:tmpl w:val="DC2037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27D201C"/>
    <w:multiLevelType w:val="hybridMultilevel"/>
    <w:tmpl w:val="33966EB6"/>
    <w:lvl w:ilvl="0" w:tplc="E8AA6586">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27F5D4A"/>
    <w:multiLevelType w:val="hybridMultilevel"/>
    <w:tmpl w:val="5F5EF0C2"/>
    <w:lvl w:ilvl="0" w:tplc="086A1FC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7817E8"/>
    <w:multiLevelType w:val="hybridMultilevel"/>
    <w:tmpl w:val="A7608A4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4C111E4"/>
    <w:multiLevelType w:val="multilevel"/>
    <w:tmpl w:val="27E85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4F4303B"/>
    <w:multiLevelType w:val="multilevel"/>
    <w:tmpl w:val="0E4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303CE7"/>
    <w:multiLevelType w:val="multilevel"/>
    <w:tmpl w:val="C958F20E"/>
    <w:lvl w:ilvl="0">
      <w:start w:val="1"/>
      <w:numFmt w:val="lowerLetter"/>
      <w:lvlText w:val="%1)"/>
      <w:lvlJc w:val="left"/>
      <w:pPr>
        <w:ind w:left="426" w:hanging="284"/>
      </w:pPr>
      <w:rPr>
        <w:rFonts w:hint="default"/>
        <w:b w:val="0"/>
        <w:i w:val="0"/>
        <w:color w:val="000000"/>
        <w:sz w:val="16"/>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5"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7FB6309"/>
    <w:multiLevelType w:val="hybridMultilevel"/>
    <w:tmpl w:val="35906312"/>
    <w:lvl w:ilvl="0" w:tplc="00147F72">
      <w:numFmt w:val="bullet"/>
      <w:lvlText w:val=""/>
      <w:lvlJc w:val="left"/>
      <w:pPr>
        <w:ind w:left="465" w:hanging="358"/>
      </w:pPr>
      <w:rPr>
        <w:rFonts w:ascii="Symbol" w:eastAsia="Symbol" w:hAnsi="Symbol" w:cs="Symbol" w:hint="default"/>
        <w:w w:val="100"/>
        <w:sz w:val="16"/>
        <w:szCs w:val="16"/>
        <w:lang w:val="en-AU" w:eastAsia="en-US" w:bidi="ar-SA"/>
      </w:rPr>
    </w:lvl>
    <w:lvl w:ilvl="1" w:tplc="BA5E52C6">
      <w:numFmt w:val="bullet"/>
      <w:lvlText w:val="•"/>
      <w:lvlJc w:val="left"/>
      <w:pPr>
        <w:ind w:left="1017" w:hanging="358"/>
      </w:pPr>
      <w:rPr>
        <w:rFonts w:hint="default"/>
        <w:lang w:val="en-AU" w:eastAsia="en-US" w:bidi="ar-SA"/>
      </w:rPr>
    </w:lvl>
    <w:lvl w:ilvl="2" w:tplc="D0F4A838">
      <w:numFmt w:val="bullet"/>
      <w:lvlText w:val="•"/>
      <w:lvlJc w:val="left"/>
      <w:pPr>
        <w:ind w:left="1574" w:hanging="358"/>
      </w:pPr>
      <w:rPr>
        <w:rFonts w:hint="default"/>
        <w:lang w:val="en-AU" w:eastAsia="en-US" w:bidi="ar-SA"/>
      </w:rPr>
    </w:lvl>
    <w:lvl w:ilvl="3" w:tplc="E3BC2544">
      <w:numFmt w:val="bullet"/>
      <w:lvlText w:val="•"/>
      <w:lvlJc w:val="left"/>
      <w:pPr>
        <w:ind w:left="2131" w:hanging="358"/>
      </w:pPr>
      <w:rPr>
        <w:rFonts w:hint="default"/>
        <w:lang w:val="en-AU" w:eastAsia="en-US" w:bidi="ar-SA"/>
      </w:rPr>
    </w:lvl>
    <w:lvl w:ilvl="4" w:tplc="08C6E67E">
      <w:numFmt w:val="bullet"/>
      <w:lvlText w:val="•"/>
      <w:lvlJc w:val="left"/>
      <w:pPr>
        <w:ind w:left="2688" w:hanging="358"/>
      </w:pPr>
      <w:rPr>
        <w:rFonts w:hint="default"/>
        <w:lang w:val="en-AU" w:eastAsia="en-US" w:bidi="ar-SA"/>
      </w:rPr>
    </w:lvl>
    <w:lvl w:ilvl="5" w:tplc="ED847CB8">
      <w:numFmt w:val="bullet"/>
      <w:lvlText w:val="•"/>
      <w:lvlJc w:val="left"/>
      <w:pPr>
        <w:ind w:left="3245" w:hanging="358"/>
      </w:pPr>
      <w:rPr>
        <w:rFonts w:hint="default"/>
        <w:lang w:val="en-AU" w:eastAsia="en-US" w:bidi="ar-SA"/>
      </w:rPr>
    </w:lvl>
    <w:lvl w:ilvl="6" w:tplc="30EE96E4">
      <w:numFmt w:val="bullet"/>
      <w:lvlText w:val="•"/>
      <w:lvlJc w:val="left"/>
      <w:pPr>
        <w:ind w:left="3802" w:hanging="358"/>
      </w:pPr>
      <w:rPr>
        <w:rFonts w:hint="default"/>
        <w:lang w:val="en-AU" w:eastAsia="en-US" w:bidi="ar-SA"/>
      </w:rPr>
    </w:lvl>
    <w:lvl w:ilvl="7" w:tplc="4B3EF0D4">
      <w:numFmt w:val="bullet"/>
      <w:lvlText w:val="•"/>
      <w:lvlJc w:val="left"/>
      <w:pPr>
        <w:ind w:left="4359" w:hanging="358"/>
      </w:pPr>
      <w:rPr>
        <w:rFonts w:hint="default"/>
        <w:lang w:val="en-AU" w:eastAsia="en-US" w:bidi="ar-SA"/>
      </w:rPr>
    </w:lvl>
    <w:lvl w:ilvl="8" w:tplc="8F60BEE8">
      <w:numFmt w:val="bullet"/>
      <w:lvlText w:val="•"/>
      <w:lvlJc w:val="left"/>
      <w:pPr>
        <w:ind w:left="4916" w:hanging="358"/>
      </w:pPr>
      <w:rPr>
        <w:rFonts w:hint="default"/>
        <w:lang w:val="en-AU" w:eastAsia="en-US" w:bidi="ar-SA"/>
      </w:rPr>
    </w:lvl>
  </w:abstractNum>
  <w:abstractNum w:abstractNumId="37" w15:restartNumberingAfterBreak="0">
    <w:nsid w:val="38A30A68"/>
    <w:multiLevelType w:val="hybridMultilevel"/>
    <w:tmpl w:val="E3A6DDCC"/>
    <w:lvl w:ilvl="0" w:tplc="92D8F7F4">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B56C05"/>
    <w:multiLevelType w:val="hybridMultilevel"/>
    <w:tmpl w:val="AFBC560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AD23C76"/>
    <w:multiLevelType w:val="hybridMultilevel"/>
    <w:tmpl w:val="75F01A0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B2E19AC"/>
    <w:multiLevelType w:val="singleLevel"/>
    <w:tmpl w:val="0C090017"/>
    <w:lvl w:ilvl="0">
      <w:start w:val="1"/>
      <w:numFmt w:val="lowerLetter"/>
      <w:lvlText w:val="%1)"/>
      <w:lvlJc w:val="left"/>
      <w:pPr>
        <w:ind w:left="502" w:hanging="360"/>
      </w:pPr>
      <w:rPr>
        <w:b w:val="0"/>
        <w:i w:val="0"/>
        <w:color w:val="000000"/>
        <w:sz w:val="16"/>
      </w:rPr>
    </w:lvl>
  </w:abstractNum>
  <w:abstractNum w:abstractNumId="41" w15:restartNumberingAfterBreak="0">
    <w:nsid w:val="41BD24FD"/>
    <w:multiLevelType w:val="hybridMultilevel"/>
    <w:tmpl w:val="4308FA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43" w15:restartNumberingAfterBreak="0">
    <w:nsid w:val="456A47E8"/>
    <w:multiLevelType w:val="multilevel"/>
    <w:tmpl w:val="8D347D66"/>
    <w:lvl w:ilvl="0">
      <w:start w:val="1"/>
      <w:numFmt w:val="decimal"/>
      <w:lvlText w:val="%1"/>
      <w:lvlJc w:val="left"/>
      <w:pPr>
        <w:ind w:left="360" w:hanging="360"/>
      </w:pPr>
      <w:rPr>
        <w:rFonts w:ascii="Arial" w:hAnsi="Arial" w:cs="Arial" w:hint="default"/>
        <w:b w:val="0"/>
        <w:color w:val="auto"/>
        <w:sz w:val="16"/>
      </w:rPr>
    </w:lvl>
    <w:lvl w:ilvl="1">
      <w:start w:val="1"/>
      <w:numFmt w:val="decimal"/>
      <w:lvlText w:val="%1.%2"/>
      <w:lvlJc w:val="left"/>
      <w:pPr>
        <w:ind w:left="360" w:hanging="360"/>
      </w:pPr>
      <w:rPr>
        <w:rFonts w:ascii="Arial" w:hAnsi="Arial" w:cs="Arial" w:hint="default"/>
        <w:b w:val="0"/>
        <w:color w:val="auto"/>
        <w:sz w:val="16"/>
      </w:rPr>
    </w:lvl>
    <w:lvl w:ilvl="2">
      <w:start w:val="1"/>
      <w:numFmt w:val="decimal"/>
      <w:lvlText w:val="%1.%2.%3"/>
      <w:lvlJc w:val="left"/>
      <w:pPr>
        <w:ind w:left="720" w:hanging="720"/>
      </w:pPr>
      <w:rPr>
        <w:rFonts w:ascii="Arial" w:hAnsi="Arial" w:cs="Arial" w:hint="default"/>
        <w:b w:val="0"/>
        <w:color w:val="auto"/>
        <w:sz w:val="16"/>
      </w:rPr>
    </w:lvl>
    <w:lvl w:ilvl="3">
      <w:start w:val="1"/>
      <w:numFmt w:val="decimal"/>
      <w:lvlText w:val="%1.%2.%3.%4"/>
      <w:lvlJc w:val="left"/>
      <w:pPr>
        <w:ind w:left="720" w:hanging="720"/>
      </w:pPr>
      <w:rPr>
        <w:rFonts w:ascii="Arial" w:hAnsi="Arial" w:cs="Arial" w:hint="default"/>
        <w:b w:val="0"/>
        <w:color w:val="auto"/>
        <w:sz w:val="16"/>
      </w:rPr>
    </w:lvl>
    <w:lvl w:ilvl="4">
      <w:start w:val="1"/>
      <w:numFmt w:val="decimal"/>
      <w:lvlText w:val="%1.%2.%3.%4.%5"/>
      <w:lvlJc w:val="left"/>
      <w:pPr>
        <w:ind w:left="1080" w:hanging="1080"/>
      </w:pPr>
      <w:rPr>
        <w:rFonts w:ascii="Arial" w:hAnsi="Arial" w:cs="Arial" w:hint="default"/>
        <w:b w:val="0"/>
        <w:color w:val="auto"/>
        <w:sz w:val="16"/>
      </w:rPr>
    </w:lvl>
    <w:lvl w:ilvl="5">
      <w:start w:val="1"/>
      <w:numFmt w:val="decimal"/>
      <w:lvlText w:val="%1.%2.%3.%4.%5.%6"/>
      <w:lvlJc w:val="left"/>
      <w:pPr>
        <w:ind w:left="1080" w:hanging="1080"/>
      </w:pPr>
      <w:rPr>
        <w:rFonts w:ascii="Arial" w:hAnsi="Arial" w:cs="Arial" w:hint="default"/>
        <w:b w:val="0"/>
        <w:color w:val="auto"/>
        <w:sz w:val="16"/>
      </w:rPr>
    </w:lvl>
    <w:lvl w:ilvl="6">
      <w:start w:val="1"/>
      <w:numFmt w:val="decimal"/>
      <w:lvlText w:val="%1.%2.%3.%4.%5.%6.%7"/>
      <w:lvlJc w:val="left"/>
      <w:pPr>
        <w:ind w:left="1440" w:hanging="1440"/>
      </w:pPr>
      <w:rPr>
        <w:rFonts w:ascii="Arial" w:hAnsi="Arial" w:cs="Arial" w:hint="default"/>
        <w:b w:val="0"/>
        <w:color w:val="auto"/>
        <w:sz w:val="16"/>
      </w:rPr>
    </w:lvl>
    <w:lvl w:ilvl="7">
      <w:start w:val="1"/>
      <w:numFmt w:val="decimal"/>
      <w:lvlText w:val="%1.%2.%3.%4.%5.%6.%7.%8"/>
      <w:lvlJc w:val="left"/>
      <w:pPr>
        <w:ind w:left="1440" w:hanging="1440"/>
      </w:pPr>
      <w:rPr>
        <w:rFonts w:ascii="Arial" w:hAnsi="Arial" w:cs="Arial" w:hint="default"/>
        <w:b w:val="0"/>
        <w:color w:val="auto"/>
        <w:sz w:val="16"/>
      </w:rPr>
    </w:lvl>
    <w:lvl w:ilvl="8">
      <w:start w:val="1"/>
      <w:numFmt w:val="decimal"/>
      <w:lvlText w:val="%1.%2.%3.%4.%5.%6.%7.%8.%9"/>
      <w:lvlJc w:val="left"/>
      <w:pPr>
        <w:ind w:left="1440" w:hanging="1440"/>
      </w:pPr>
      <w:rPr>
        <w:rFonts w:ascii="Arial" w:hAnsi="Arial" w:cs="Arial" w:hint="default"/>
        <w:b w:val="0"/>
        <w:color w:val="auto"/>
        <w:sz w:val="16"/>
      </w:rPr>
    </w:lvl>
  </w:abstractNum>
  <w:abstractNum w:abstractNumId="44" w15:restartNumberingAfterBreak="0">
    <w:nsid w:val="47CC0FBF"/>
    <w:multiLevelType w:val="hybridMultilevel"/>
    <w:tmpl w:val="9FDADD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8DD7E77"/>
    <w:multiLevelType w:val="hybridMultilevel"/>
    <w:tmpl w:val="CE6491C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9644F28"/>
    <w:multiLevelType w:val="hybridMultilevel"/>
    <w:tmpl w:val="4308FA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4A6B3810"/>
    <w:multiLevelType w:val="hybridMultilevel"/>
    <w:tmpl w:val="DF46138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4B2A5E22"/>
    <w:multiLevelType w:val="hybridMultilevel"/>
    <w:tmpl w:val="0562EC80"/>
    <w:lvl w:ilvl="0" w:tplc="0C090017">
      <w:start w:val="1"/>
      <w:numFmt w:val="lowerLetter"/>
      <w:lvlText w:val="%1)"/>
      <w:lvlJc w:val="left"/>
      <w:pPr>
        <w:ind w:left="360" w:hanging="360"/>
      </w:pPr>
      <w:rPr>
        <w:sz w:val="16"/>
        <w:szCs w:val="16"/>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9" w15:restartNumberingAfterBreak="0">
    <w:nsid w:val="4D9F7F28"/>
    <w:multiLevelType w:val="hybridMultilevel"/>
    <w:tmpl w:val="39B2AC2C"/>
    <w:lvl w:ilvl="0" w:tplc="53F6865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4DD41512"/>
    <w:multiLevelType w:val="multilevel"/>
    <w:tmpl w:val="1E749B6C"/>
    <w:lvl w:ilvl="0">
      <w:start w:val="1"/>
      <w:numFmt w:val="lowerLetter"/>
      <w:lvlText w:val="%1)"/>
      <w:lvlJc w:val="left"/>
      <w:pPr>
        <w:ind w:left="426" w:hanging="284"/>
      </w:pPr>
      <w:rPr>
        <w:rFonts w:hint="default"/>
        <w:b w:val="0"/>
        <w:i w:val="0"/>
        <w:color w:val="000000"/>
        <w:sz w:val="16"/>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51" w15:restartNumberingAfterBreak="0">
    <w:nsid w:val="4EA6730C"/>
    <w:multiLevelType w:val="hybridMultilevel"/>
    <w:tmpl w:val="D4B81D2C"/>
    <w:lvl w:ilvl="0" w:tplc="7F7E978A">
      <w:start w:val="1"/>
      <w:numFmt w:val="lowerLetter"/>
      <w:lvlText w:val="%1)"/>
      <w:lvlJc w:val="left"/>
      <w:pPr>
        <w:ind w:left="360" w:hanging="360"/>
      </w:pPr>
      <w:rPr>
        <w:i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FB81DDB"/>
    <w:multiLevelType w:val="hybridMultilevel"/>
    <w:tmpl w:val="CC9C08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537D28BC"/>
    <w:multiLevelType w:val="hybridMultilevel"/>
    <w:tmpl w:val="CF1ABD9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4DD65D1"/>
    <w:multiLevelType w:val="multilevel"/>
    <w:tmpl w:val="7E10C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7DD7823"/>
    <w:multiLevelType w:val="hybridMultilevel"/>
    <w:tmpl w:val="D2BAE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7" w15:restartNumberingAfterBreak="0">
    <w:nsid w:val="5F3705E5"/>
    <w:multiLevelType w:val="hybridMultilevel"/>
    <w:tmpl w:val="8BF22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FE76B57"/>
    <w:multiLevelType w:val="hybridMultilevel"/>
    <w:tmpl w:val="7B807B76"/>
    <w:lvl w:ilvl="0" w:tplc="D1DA16E6">
      <w:start w:val="1"/>
      <w:numFmt w:val="bullet"/>
      <w:lvlText w:val=""/>
      <w:lvlJc w:val="left"/>
      <w:pPr>
        <w:ind w:left="284" w:hanging="284"/>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16D6337"/>
    <w:multiLevelType w:val="hybridMultilevel"/>
    <w:tmpl w:val="E08264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2B8784D"/>
    <w:multiLevelType w:val="hybridMultilevel"/>
    <w:tmpl w:val="0E54EF5A"/>
    <w:lvl w:ilvl="0" w:tplc="07080BA6">
      <w:start w:val="1"/>
      <w:numFmt w:val="bullet"/>
      <w:lvlText w:val=""/>
      <w:lvlJc w:val="left"/>
      <w:pPr>
        <w:ind w:left="360" w:hanging="360"/>
      </w:pPr>
      <w:rPr>
        <w:rFonts w:ascii="Symbol" w:hAnsi="Symbol" w:hint="default"/>
        <w:color w:val="auto"/>
        <w:sz w:val="16"/>
        <w:szCs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3DF1DA9"/>
    <w:multiLevelType w:val="hybridMultilevel"/>
    <w:tmpl w:val="18BE706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65BE6747"/>
    <w:multiLevelType w:val="multilevel"/>
    <w:tmpl w:val="CEB22E32"/>
    <w:lvl w:ilvl="0">
      <w:start w:val="1"/>
      <w:numFmt w:val="bullet"/>
      <w:lvlText w:val=""/>
      <w:lvlJc w:val="left"/>
      <w:pPr>
        <w:tabs>
          <w:tab w:val="num" w:pos="284"/>
        </w:tabs>
        <w:ind w:left="284" w:hanging="284"/>
      </w:pPr>
      <w:rPr>
        <w:rFonts w:ascii="Symbol" w:hAnsi="Symbol" w:hint="default"/>
        <w:b w:val="0"/>
        <w:i w:val="0"/>
        <w:color w:val="000000"/>
        <w:sz w:val="10"/>
      </w:rPr>
    </w:lvl>
    <w:lvl w:ilvl="1">
      <w:start w:val="1"/>
      <w:numFmt w:val="bullet"/>
      <w:lvlText w:val="o"/>
      <w:lvlJc w:val="left"/>
      <w:pPr>
        <w:tabs>
          <w:tab w:val="num" w:pos="1134"/>
        </w:tabs>
        <w:ind w:left="1134" w:hanging="567"/>
      </w:pPr>
      <w:rPr>
        <w:rFonts w:ascii="Courier New" w:hAnsi="Courier New" w:cs="Courier New" w:hint="default"/>
        <w:b w:val="0"/>
        <w:i w:val="0"/>
        <w:color w:val="000000"/>
      </w:rPr>
    </w:lvl>
    <w:lvl w:ilvl="2">
      <w:start w:val="1"/>
      <w:numFmt w:val="decimal"/>
      <w:lvlText w:val="%3"/>
      <w:lvlJc w:val="left"/>
      <w:pPr>
        <w:tabs>
          <w:tab w:val="num" w:pos="1701"/>
        </w:tabs>
        <w:ind w:left="1701" w:hanging="567"/>
      </w:pPr>
      <w:rPr>
        <w:rFonts w:hint="default"/>
        <w:b w:val="0"/>
        <w:i w:val="0"/>
        <w:color w:val="000000"/>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63" w15:restartNumberingAfterBreak="0">
    <w:nsid w:val="66173AAD"/>
    <w:multiLevelType w:val="hybridMultilevel"/>
    <w:tmpl w:val="18BE706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68206734"/>
    <w:multiLevelType w:val="hybridMultilevel"/>
    <w:tmpl w:val="0BDA21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6" w15:restartNumberingAfterBreak="0">
    <w:nsid w:val="69DF6A2A"/>
    <w:multiLevelType w:val="multilevel"/>
    <w:tmpl w:val="13088A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A4D6D20"/>
    <w:multiLevelType w:val="hybridMultilevel"/>
    <w:tmpl w:val="5F6ACAC6"/>
    <w:lvl w:ilvl="0" w:tplc="914C8B12">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AF759DD"/>
    <w:multiLevelType w:val="hybridMultilevel"/>
    <w:tmpl w:val="6AA80C9C"/>
    <w:lvl w:ilvl="0" w:tplc="112657A6">
      <w:start w:val="1"/>
      <w:numFmt w:val="bullet"/>
      <w:lvlText w:val=""/>
      <w:lvlJc w:val="left"/>
      <w:pPr>
        <w:ind w:left="284" w:hanging="284"/>
      </w:pPr>
      <w:rPr>
        <w:rFonts w:ascii="Symbol" w:hAnsi="Symbol" w:hint="default"/>
        <w:color w:val="auto"/>
        <w:sz w:val="16"/>
        <w:szCs w:val="16"/>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9" w15:restartNumberingAfterBreak="0">
    <w:nsid w:val="6B6957C0"/>
    <w:multiLevelType w:val="hybridMultilevel"/>
    <w:tmpl w:val="F808EADE"/>
    <w:lvl w:ilvl="0" w:tplc="5BBC9562">
      <w:start w:val="1"/>
      <w:numFmt w:val="bullet"/>
      <w:lvlText w:val=""/>
      <w:lvlJc w:val="left"/>
      <w:pPr>
        <w:ind w:left="502" w:hanging="360"/>
      </w:pPr>
      <w:rPr>
        <w:rFonts w:ascii="Symbol" w:hAnsi="Symbol" w:hint="default"/>
        <w:color w:val="auto"/>
        <w:sz w:val="16"/>
        <w:szCs w:val="16"/>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0" w15:restartNumberingAfterBreak="0">
    <w:nsid w:val="6C5C48D8"/>
    <w:multiLevelType w:val="hybridMultilevel"/>
    <w:tmpl w:val="4308FA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6C624117"/>
    <w:multiLevelType w:val="hybridMultilevel"/>
    <w:tmpl w:val="DCC6119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6D231ADE"/>
    <w:multiLevelType w:val="hybridMultilevel"/>
    <w:tmpl w:val="CC9C08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6F281644"/>
    <w:multiLevelType w:val="multilevel"/>
    <w:tmpl w:val="D2243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02518F4"/>
    <w:multiLevelType w:val="hybridMultilevel"/>
    <w:tmpl w:val="0E82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6B5BFB"/>
    <w:multiLevelType w:val="multilevel"/>
    <w:tmpl w:val="C958F20E"/>
    <w:lvl w:ilvl="0">
      <w:start w:val="1"/>
      <w:numFmt w:val="lowerLetter"/>
      <w:lvlText w:val="%1)"/>
      <w:lvlJc w:val="left"/>
      <w:pPr>
        <w:ind w:left="426" w:hanging="284"/>
      </w:pPr>
      <w:rPr>
        <w:rFonts w:hint="default"/>
        <w:b w:val="0"/>
        <w:i w:val="0"/>
        <w:color w:val="000000"/>
        <w:sz w:val="16"/>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6" w15:restartNumberingAfterBreak="0">
    <w:nsid w:val="72BD1831"/>
    <w:multiLevelType w:val="hybridMultilevel"/>
    <w:tmpl w:val="6AE41D02"/>
    <w:lvl w:ilvl="0" w:tplc="7D1C26F4">
      <w:start w:val="1"/>
      <w:numFmt w:val="bullet"/>
      <w:lvlText w:val=""/>
      <w:lvlJc w:val="left"/>
      <w:pPr>
        <w:ind w:left="284" w:hanging="284"/>
      </w:pPr>
      <w:rPr>
        <w:rFonts w:ascii="Symbol" w:hAnsi="Symbol" w:hint="default"/>
        <w:color w:val="auto"/>
        <w:sz w:val="16"/>
        <w:szCs w:val="16"/>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7" w15:restartNumberingAfterBreak="0">
    <w:nsid w:val="74094D2F"/>
    <w:multiLevelType w:val="multilevel"/>
    <w:tmpl w:val="C958F20E"/>
    <w:lvl w:ilvl="0">
      <w:start w:val="1"/>
      <w:numFmt w:val="lowerLetter"/>
      <w:lvlText w:val="%1)"/>
      <w:lvlJc w:val="left"/>
      <w:pPr>
        <w:ind w:left="426" w:hanging="284"/>
      </w:pPr>
      <w:rPr>
        <w:rFonts w:hint="default"/>
        <w:b w:val="0"/>
        <w:i w:val="0"/>
        <w:color w:val="000000"/>
        <w:sz w:val="16"/>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8" w15:restartNumberingAfterBreak="0">
    <w:nsid w:val="74CD2EB1"/>
    <w:multiLevelType w:val="multilevel"/>
    <w:tmpl w:val="34589BAE"/>
    <w:name w:val="ExampleTextBullet"/>
    <w:lvl w:ilvl="0">
      <w:start w:val="1"/>
      <w:numFmt w:val="decimal"/>
      <w:lvlRestart w:val="0"/>
      <w:lvlText w:val="•"/>
      <w:lvlJc w:val="left"/>
      <w:pPr>
        <w:tabs>
          <w:tab w:val="num" w:pos="284"/>
        </w:tabs>
        <w:ind w:left="284" w:hanging="284"/>
      </w:pPr>
      <w:rPr>
        <w:rFonts w:ascii="9999999" w:hAnsi="9999999"/>
        <w:b w:val="0"/>
        <w:i w:val="0"/>
        <w:color w:val="FF0000"/>
      </w:rPr>
    </w:lvl>
    <w:lvl w:ilvl="1">
      <w:start w:val="1"/>
      <w:numFmt w:val="decimal"/>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9" w15:restartNumberingAfterBreak="0">
    <w:nsid w:val="77AD70CD"/>
    <w:multiLevelType w:val="hybridMultilevel"/>
    <w:tmpl w:val="DCC6119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CA237F6"/>
    <w:multiLevelType w:val="hybridMultilevel"/>
    <w:tmpl w:val="4308FA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D433F8D"/>
    <w:multiLevelType w:val="multilevel"/>
    <w:tmpl w:val="9BD4BC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8"/>
  </w:num>
  <w:num w:numId="3">
    <w:abstractNumId w:val="27"/>
  </w:num>
  <w:num w:numId="4">
    <w:abstractNumId w:val="56"/>
  </w:num>
  <w:num w:numId="5">
    <w:abstractNumId w:val="16"/>
    <w:lvlOverride w:ilvl="0">
      <w:startOverride w:val="1"/>
    </w:lvlOverride>
  </w:num>
  <w:num w:numId="6">
    <w:abstractNumId w:val="22"/>
  </w:num>
  <w:num w:numId="7">
    <w:abstractNumId w:val="9"/>
  </w:num>
  <w:num w:numId="8">
    <w:abstractNumId w:val="7"/>
  </w:num>
  <w:num w:numId="9">
    <w:abstractNumId w:val="12"/>
  </w:num>
  <w:num w:numId="10">
    <w:abstractNumId w:val="61"/>
  </w:num>
  <w:num w:numId="11">
    <w:abstractNumId w:val="5"/>
  </w:num>
  <w:num w:numId="12">
    <w:abstractNumId w:val="31"/>
  </w:num>
  <w:num w:numId="13">
    <w:abstractNumId w:val="80"/>
  </w:num>
  <w:num w:numId="14">
    <w:abstractNumId w:val="38"/>
  </w:num>
  <w:num w:numId="15">
    <w:abstractNumId w:val="53"/>
  </w:num>
  <w:num w:numId="16">
    <w:abstractNumId w:val="63"/>
  </w:num>
  <w:num w:numId="17">
    <w:abstractNumId w:val="10"/>
  </w:num>
  <w:num w:numId="18">
    <w:abstractNumId w:val="48"/>
  </w:num>
  <w:num w:numId="19">
    <w:abstractNumId w:val="45"/>
  </w:num>
  <w:num w:numId="20">
    <w:abstractNumId w:val="15"/>
  </w:num>
  <w:num w:numId="21">
    <w:abstractNumId w:val="14"/>
  </w:num>
  <w:num w:numId="22">
    <w:abstractNumId w:val="39"/>
  </w:num>
  <w:num w:numId="23">
    <w:abstractNumId w:val="2"/>
  </w:num>
  <w:num w:numId="24">
    <w:abstractNumId w:val="51"/>
  </w:num>
  <w:num w:numId="25">
    <w:abstractNumId w:val="21"/>
  </w:num>
  <w:num w:numId="26">
    <w:abstractNumId w:val="79"/>
  </w:num>
  <w:num w:numId="27">
    <w:abstractNumId w:val="71"/>
  </w:num>
  <w:num w:numId="28">
    <w:abstractNumId w:val="49"/>
  </w:num>
  <w:num w:numId="29">
    <w:abstractNumId w:val="69"/>
  </w:num>
  <w:num w:numId="30">
    <w:abstractNumId w:val="47"/>
  </w:num>
  <w:num w:numId="31">
    <w:abstractNumId w:val="19"/>
  </w:num>
  <w:num w:numId="32">
    <w:abstractNumId w:val="60"/>
  </w:num>
  <w:num w:numId="33">
    <w:abstractNumId w:val="36"/>
  </w:num>
  <w:num w:numId="34">
    <w:abstractNumId w:val="55"/>
  </w:num>
  <w:num w:numId="35">
    <w:abstractNumId w:val="40"/>
  </w:num>
  <w:num w:numId="36">
    <w:abstractNumId w:val="33"/>
  </w:num>
  <w:num w:numId="37">
    <w:abstractNumId w:val="74"/>
  </w:num>
  <w:num w:numId="38">
    <w:abstractNumId w:val="24"/>
  </w:num>
  <w:num w:numId="39">
    <w:abstractNumId w:val="32"/>
  </w:num>
  <w:num w:numId="40">
    <w:abstractNumId w:val="73"/>
  </w:num>
  <w:num w:numId="41">
    <w:abstractNumId w:val="43"/>
  </w:num>
  <w:num w:numId="42">
    <w:abstractNumId w:val="54"/>
  </w:num>
  <w:num w:numId="43">
    <w:abstractNumId w:val="81"/>
  </w:num>
  <w:num w:numId="44">
    <w:abstractNumId w:val="28"/>
  </w:num>
  <w:num w:numId="45">
    <w:abstractNumId w:val="77"/>
  </w:num>
  <w:num w:numId="46">
    <w:abstractNumId w:val="75"/>
  </w:num>
  <w:num w:numId="47">
    <w:abstractNumId w:val="26"/>
  </w:num>
  <w:num w:numId="48">
    <w:abstractNumId w:val="50"/>
  </w:num>
  <w:num w:numId="49">
    <w:abstractNumId w:val="34"/>
  </w:num>
  <w:num w:numId="50">
    <w:abstractNumId w:val="66"/>
  </w:num>
  <w:num w:numId="51">
    <w:abstractNumId w:val="59"/>
  </w:num>
  <w:num w:numId="52">
    <w:abstractNumId w:val="44"/>
  </w:num>
  <w:num w:numId="53">
    <w:abstractNumId w:val="64"/>
  </w:num>
  <w:num w:numId="54">
    <w:abstractNumId w:val="57"/>
  </w:num>
  <w:num w:numId="55">
    <w:abstractNumId w:val="30"/>
  </w:num>
  <w:num w:numId="56">
    <w:abstractNumId w:val="58"/>
  </w:num>
  <w:num w:numId="57">
    <w:abstractNumId w:val="67"/>
  </w:num>
  <w:num w:numId="58">
    <w:abstractNumId w:val="23"/>
  </w:num>
  <w:num w:numId="59">
    <w:abstractNumId w:val="0"/>
  </w:num>
  <w:num w:numId="60">
    <w:abstractNumId w:val="4"/>
  </w:num>
  <w:num w:numId="61">
    <w:abstractNumId w:val="1"/>
  </w:num>
  <w:num w:numId="62">
    <w:abstractNumId w:val="11"/>
  </w:num>
  <w:num w:numId="63">
    <w:abstractNumId w:val="29"/>
  </w:num>
  <w:num w:numId="64">
    <w:abstractNumId w:val="72"/>
  </w:num>
  <w:num w:numId="65">
    <w:abstractNumId w:val="18"/>
  </w:num>
  <w:num w:numId="66">
    <w:abstractNumId w:val="6"/>
  </w:num>
  <w:num w:numId="67">
    <w:abstractNumId w:val="76"/>
  </w:num>
  <w:num w:numId="68">
    <w:abstractNumId w:val="68"/>
  </w:num>
  <w:num w:numId="69">
    <w:abstractNumId w:val="62"/>
  </w:num>
  <w:num w:numId="70">
    <w:abstractNumId w:val="13"/>
  </w:num>
  <w:num w:numId="71">
    <w:abstractNumId w:val="17"/>
  </w:num>
  <w:num w:numId="72">
    <w:abstractNumId w:val="52"/>
  </w:num>
  <w:num w:numId="73">
    <w:abstractNumId w:val="46"/>
  </w:num>
  <w:num w:numId="74">
    <w:abstractNumId w:val="20"/>
  </w:num>
  <w:num w:numId="75">
    <w:abstractNumId w:val="70"/>
  </w:num>
  <w:num w:numId="76">
    <w:abstractNumId w:val="41"/>
  </w:num>
  <w:num w:numId="77">
    <w:abstractNumId w:val="3"/>
  </w:num>
  <w:num w:numId="78">
    <w:abstractNumId w:val="25"/>
  </w:num>
  <w:num w:numId="79">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87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565A95"/>
    <w:rsid w:val="000000C3"/>
    <w:rsid w:val="00000AB8"/>
    <w:rsid w:val="000012EC"/>
    <w:rsid w:val="00001503"/>
    <w:rsid w:val="0000358C"/>
    <w:rsid w:val="0000383B"/>
    <w:rsid w:val="00003AC4"/>
    <w:rsid w:val="00003CA0"/>
    <w:rsid w:val="00003FFA"/>
    <w:rsid w:val="0000462A"/>
    <w:rsid w:val="00005814"/>
    <w:rsid w:val="00006AE4"/>
    <w:rsid w:val="00006B50"/>
    <w:rsid w:val="0000702D"/>
    <w:rsid w:val="0000711B"/>
    <w:rsid w:val="000106CA"/>
    <w:rsid w:val="00011AE8"/>
    <w:rsid w:val="0001294C"/>
    <w:rsid w:val="00012BB0"/>
    <w:rsid w:val="00013D25"/>
    <w:rsid w:val="0001438C"/>
    <w:rsid w:val="000146E1"/>
    <w:rsid w:val="0001615A"/>
    <w:rsid w:val="00016D95"/>
    <w:rsid w:val="0001712E"/>
    <w:rsid w:val="00017619"/>
    <w:rsid w:val="00017840"/>
    <w:rsid w:val="00017ED7"/>
    <w:rsid w:val="00020187"/>
    <w:rsid w:val="00020573"/>
    <w:rsid w:val="00021515"/>
    <w:rsid w:val="000216BF"/>
    <w:rsid w:val="00021DA6"/>
    <w:rsid w:val="000220B0"/>
    <w:rsid w:val="00023CED"/>
    <w:rsid w:val="00024324"/>
    <w:rsid w:val="00025CB2"/>
    <w:rsid w:val="00025EAC"/>
    <w:rsid w:val="000300D7"/>
    <w:rsid w:val="000304FC"/>
    <w:rsid w:val="00030FDA"/>
    <w:rsid w:val="000321DC"/>
    <w:rsid w:val="0003384E"/>
    <w:rsid w:val="00033D79"/>
    <w:rsid w:val="00033F08"/>
    <w:rsid w:val="00034B81"/>
    <w:rsid w:val="00034C41"/>
    <w:rsid w:val="0003503B"/>
    <w:rsid w:val="00036095"/>
    <w:rsid w:val="000364F3"/>
    <w:rsid w:val="000366AE"/>
    <w:rsid w:val="000369AC"/>
    <w:rsid w:val="0003724F"/>
    <w:rsid w:val="00037BA1"/>
    <w:rsid w:val="00040818"/>
    <w:rsid w:val="000408A3"/>
    <w:rsid w:val="000413D4"/>
    <w:rsid w:val="000428E9"/>
    <w:rsid w:val="00042FDD"/>
    <w:rsid w:val="00043835"/>
    <w:rsid w:val="00044CF1"/>
    <w:rsid w:val="0004509D"/>
    <w:rsid w:val="00045667"/>
    <w:rsid w:val="00046707"/>
    <w:rsid w:val="000476D8"/>
    <w:rsid w:val="0005030D"/>
    <w:rsid w:val="00050A97"/>
    <w:rsid w:val="00051A18"/>
    <w:rsid w:val="00051B8D"/>
    <w:rsid w:val="00054A04"/>
    <w:rsid w:val="00054B77"/>
    <w:rsid w:val="00054CC3"/>
    <w:rsid w:val="0005600E"/>
    <w:rsid w:val="00056260"/>
    <w:rsid w:val="00056467"/>
    <w:rsid w:val="0005722F"/>
    <w:rsid w:val="0005753C"/>
    <w:rsid w:val="000606CB"/>
    <w:rsid w:val="00060890"/>
    <w:rsid w:val="00061415"/>
    <w:rsid w:val="0006199A"/>
    <w:rsid w:val="00061FD8"/>
    <w:rsid w:val="000630D9"/>
    <w:rsid w:val="00063C44"/>
    <w:rsid w:val="00063CE1"/>
    <w:rsid w:val="000641DA"/>
    <w:rsid w:val="00065053"/>
    <w:rsid w:val="000655E4"/>
    <w:rsid w:val="000656AD"/>
    <w:rsid w:val="000659D0"/>
    <w:rsid w:val="00065C71"/>
    <w:rsid w:val="00066BBA"/>
    <w:rsid w:val="000671B7"/>
    <w:rsid w:val="000674F9"/>
    <w:rsid w:val="00067B6F"/>
    <w:rsid w:val="00067E1D"/>
    <w:rsid w:val="0007064C"/>
    <w:rsid w:val="000712EE"/>
    <w:rsid w:val="00071794"/>
    <w:rsid w:val="000725C0"/>
    <w:rsid w:val="00074CE6"/>
    <w:rsid w:val="000768A5"/>
    <w:rsid w:val="00077277"/>
    <w:rsid w:val="0007743A"/>
    <w:rsid w:val="00077BC5"/>
    <w:rsid w:val="00080069"/>
    <w:rsid w:val="00080125"/>
    <w:rsid w:val="00080F4F"/>
    <w:rsid w:val="000816F6"/>
    <w:rsid w:val="000819EC"/>
    <w:rsid w:val="00081CBC"/>
    <w:rsid w:val="00082159"/>
    <w:rsid w:val="00082183"/>
    <w:rsid w:val="000832E4"/>
    <w:rsid w:val="0008449F"/>
    <w:rsid w:val="000846ED"/>
    <w:rsid w:val="0008499D"/>
    <w:rsid w:val="00084B16"/>
    <w:rsid w:val="00090681"/>
    <w:rsid w:val="000916A3"/>
    <w:rsid w:val="000924A7"/>
    <w:rsid w:val="00093452"/>
    <w:rsid w:val="00093D79"/>
    <w:rsid w:val="00094B28"/>
    <w:rsid w:val="00094B9A"/>
    <w:rsid w:val="00095805"/>
    <w:rsid w:val="0009630E"/>
    <w:rsid w:val="00096568"/>
    <w:rsid w:val="00096DEE"/>
    <w:rsid w:val="00097063"/>
    <w:rsid w:val="00097336"/>
    <w:rsid w:val="000975DA"/>
    <w:rsid w:val="000A0D42"/>
    <w:rsid w:val="000A12E3"/>
    <w:rsid w:val="000A1920"/>
    <w:rsid w:val="000A1A89"/>
    <w:rsid w:val="000A1C91"/>
    <w:rsid w:val="000A2424"/>
    <w:rsid w:val="000A24C4"/>
    <w:rsid w:val="000A2CC9"/>
    <w:rsid w:val="000A314F"/>
    <w:rsid w:val="000A345B"/>
    <w:rsid w:val="000A372A"/>
    <w:rsid w:val="000A395D"/>
    <w:rsid w:val="000A5007"/>
    <w:rsid w:val="000A532C"/>
    <w:rsid w:val="000A56A5"/>
    <w:rsid w:val="000A5C86"/>
    <w:rsid w:val="000A64F0"/>
    <w:rsid w:val="000A6897"/>
    <w:rsid w:val="000A6DBE"/>
    <w:rsid w:val="000A7265"/>
    <w:rsid w:val="000A7E1F"/>
    <w:rsid w:val="000B1FC4"/>
    <w:rsid w:val="000B21D6"/>
    <w:rsid w:val="000B2404"/>
    <w:rsid w:val="000B36D8"/>
    <w:rsid w:val="000B3B7D"/>
    <w:rsid w:val="000B4E71"/>
    <w:rsid w:val="000B6E38"/>
    <w:rsid w:val="000C056F"/>
    <w:rsid w:val="000C1442"/>
    <w:rsid w:val="000C1928"/>
    <w:rsid w:val="000C19B3"/>
    <w:rsid w:val="000C19EF"/>
    <w:rsid w:val="000C2D7D"/>
    <w:rsid w:val="000C3B86"/>
    <w:rsid w:val="000C4A46"/>
    <w:rsid w:val="000C4AFE"/>
    <w:rsid w:val="000C4F54"/>
    <w:rsid w:val="000C5237"/>
    <w:rsid w:val="000C5427"/>
    <w:rsid w:val="000C55A6"/>
    <w:rsid w:val="000C6153"/>
    <w:rsid w:val="000C6A39"/>
    <w:rsid w:val="000C6FB8"/>
    <w:rsid w:val="000C7FC1"/>
    <w:rsid w:val="000D0547"/>
    <w:rsid w:val="000D13E5"/>
    <w:rsid w:val="000D28EB"/>
    <w:rsid w:val="000D308C"/>
    <w:rsid w:val="000D378B"/>
    <w:rsid w:val="000D4262"/>
    <w:rsid w:val="000D43DE"/>
    <w:rsid w:val="000D55B5"/>
    <w:rsid w:val="000D58A1"/>
    <w:rsid w:val="000D63AF"/>
    <w:rsid w:val="000D6FA7"/>
    <w:rsid w:val="000D722B"/>
    <w:rsid w:val="000D7E54"/>
    <w:rsid w:val="000E04C6"/>
    <w:rsid w:val="000E072C"/>
    <w:rsid w:val="000E0A5A"/>
    <w:rsid w:val="000E0A85"/>
    <w:rsid w:val="000E2F5F"/>
    <w:rsid w:val="000E367F"/>
    <w:rsid w:val="000E55F6"/>
    <w:rsid w:val="000E5B4D"/>
    <w:rsid w:val="000E68E3"/>
    <w:rsid w:val="000E6DDB"/>
    <w:rsid w:val="000E72AB"/>
    <w:rsid w:val="000E74A6"/>
    <w:rsid w:val="000F03B1"/>
    <w:rsid w:val="000F08AE"/>
    <w:rsid w:val="000F0DA6"/>
    <w:rsid w:val="000F1504"/>
    <w:rsid w:val="000F1AAB"/>
    <w:rsid w:val="000F1AE0"/>
    <w:rsid w:val="000F2D33"/>
    <w:rsid w:val="000F2E1E"/>
    <w:rsid w:val="000F34BA"/>
    <w:rsid w:val="000F3B69"/>
    <w:rsid w:val="000F43F4"/>
    <w:rsid w:val="000F440E"/>
    <w:rsid w:val="000F4A54"/>
    <w:rsid w:val="000F4AED"/>
    <w:rsid w:val="000F6647"/>
    <w:rsid w:val="000F73B7"/>
    <w:rsid w:val="000F771F"/>
    <w:rsid w:val="000F794F"/>
    <w:rsid w:val="000F7E7B"/>
    <w:rsid w:val="001002F8"/>
    <w:rsid w:val="00101A74"/>
    <w:rsid w:val="001020EC"/>
    <w:rsid w:val="001022E8"/>
    <w:rsid w:val="00102654"/>
    <w:rsid w:val="001028CC"/>
    <w:rsid w:val="00102C2B"/>
    <w:rsid w:val="001045F9"/>
    <w:rsid w:val="0010472B"/>
    <w:rsid w:val="00104F95"/>
    <w:rsid w:val="00105698"/>
    <w:rsid w:val="00105C3B"/>
    <w:rsid w:val="00105E1A"/>
    <w:rsid w:val="0010657F"/>
    <w:rsid w:val="001078E6"/>
    <w:rsid w:val="00110332"/>
    <w:rsid w:val="00110C32"/>
    <w:rsid w:val="00111159"/>
    <w:rsid w:val="0011191A"/>
    <w:rsid w:val="00111B51"/>
    <w:rsid w:val="0011221E"/>
    <w:rsid w:val="00112D0F"/>
    <w:rsid w:val="001133E0"/>
    <w:rsid w:val="00114432"/>
    <w:rsid w:val="00115858"/>
    <w:rsid w:val="00115DE5"/>
    <w:rsid w:val="001163D6"/>
    <w:rsid w:val="00116BA2"/>
    <w:rsid w:val="00116C76"/>
    <w:rsid w:val="0011726A"/>
    <w:rsid w:val="0012022D"/>
    <w:rsid w:val="00120B5E"/>
    <w:rsid w:val="00120CE8"/>
    <w:rsid w:val="0012108F"/>
    <w:rsid w:val="00121EB0"/>
    <w:rsid w:val="0012228D"/>
    <w:rsid w:val="00123218"/>
    <w:rsid w:val="001237B7"/>
    <w:rsid w:val="001237BA"/>
    <w:rsid w:val="00123925"/>
    <w:rsid w:val="00123B3A"/>
    <w:rsid w:val="00123E71"/>
    <w:rsid w:val="00126641"/>
    <w:rsid w:val="00126954"/>
    <w:rsid w:val="001304C3"/>
    <w:rsid w:val="00132C16"/>
    <w:rsid w:val="00132F9E"/>
    <w:rsid w:val="00133D3A"/>
    <w:rsid w:val="00134BF4"/>
    <w:rsid w:val="001352EE"/>
    <w:rsid w:val="00135505"/>
    <w:rsid w:val="001364A7"/>
    <w:rsid w:val="001365E0"/>
    <w:rsid w:val="00136827"/>
    <w:rsid w:val="001373A8"/>
    <w:rsid w:val="001375D4"/>
    <w:rsid w:val="00137ADB"/>
    <w:rsid w:val="001401F1"/>
    <w:rsid w:val="0014073C"/>
    <w:rsid w:val="00140885"/>
    <w:rsid w:val="00143750"/>
    <w:rsid w:val="00143E88"/>
    <w:rsid w:val="001455D8"/>
    <w:rsid w:val="00146B5E"/>
    <w:rsid w:val="0014721B"/>
    <w:rsid w:val="0014790A"/>
    <w:rsid w:val="00147F48"/>
    <w:rsid w:val="00150E70"/>
    <w:rsid w:val="00151185"/>
    <w:rsid w:val="0015142E"/>
    <w:rsid w:val="00151609"/>
    <w:rsid w:val="00151975"/>
    <w:rsid w:val="00151ABB"/>
    <w:rsid w:val="00152B2B"/>
    <w:rsid w:val="001531E3"/>
    <w:rsid w:val="0015401E"/>
    <w:rsid w:val="00154447"/>
    <w:rsid w:val="00154503"/>
    <w:rsid w:val="001549BE"/>
    <w:rsid w:val="00154CDE"/>
    <w:rsid w:val="00154F5B"/>
    <w:rsid w:val="001606B8"/>
    <w:rsid w:val="00160C23"/>
    <w:rsid w:val="00161D69"/>
    <w:rsid w:val="00161DAC"/>
    <w:rsid w:val="00162B55"/>
    <w:rsid w:val="00162D8B"/>
    <w:rsid w:val="00163101"/>
    <w:rsid w:val="001638E9"/>
    <w:rsid w:val="00163D0A"/>
    <w:rsid w:val="001642D1"/>
    <w:rsid w:val="00165824"/>
    <w:rsid w:val="001662A6"/>
    <w:rsid w:val="001666EA"/>
    <w:rsid w:val="0016721E"/>
    <w:rsid w:val="00167406"/>
    <w:rsid w:val="00167A69"/>
    <w:rsid w:val="0017111A"/>
    <w:rsid w:val="00171A85"/>
    <w:rsid w:val="00173559"/>
    <w:rsid w:val="00173F5C"/>
    <w:rsid w:val="00174186"/>
    <w:rsid w:val="00174565"/>
    <w:rsid w:val="00174EC9"/>
    <w:rsid w:val="00175574"/>
    <w:rsid w:val="00175BB3"/>
    <w:rsid w:val="00177A9A"/>
    <w:rsid w:val="001808A4"/>
    <w:rsid w:val="00180FF3"/>
    <w:rsid w:val="001815A5"/>
    <w:rsid w:val="00181F30"/>
    <w:rsid w:val="0018265B"/>
    <w:rsid w:val="00182740"/>
    <w:rsid w:val="001835D4"/>
    <w:rsid w:val="00183CFA"/>
    <w:rsid w:val="00184071"/>
    <w:rsid w:val="0018432E"/>
    <w:rsid w:val="001852C5"/>
    <w:rsid w:val="001853D7"/>
    <w:rsid w:val="00185A3B"/>
    <w:rsid w:val="00186721"/>
    <w:rsid w:val="00186850"/>
    <w:rsid w:val="00186B71"/>
    <w:rsid w:val="001900D1"/>
    <w:rsid w:val="001904A5"/>
    <w:rsid w:val="00190FED"/>
    <w:rsid w:val="00191866"/>
    <w:rsid w:val="001923C8"/>
    <w:rsid w:val="001927DD"/>
    <w:rsid w:val="00192DAF"/>
    <w:rsid w:val="001939FF"/>
    <w:rsid w:val="00193BCA"/>
    <w:rsid w:val="0019494C"/>
    <w:rsid w:val="00194DE8"/>
    <w:rsid w:val="00196223"/>
    <w:rsid w:val="00197990"/>
    <w:rsid w:val="001A0106"/>
    <w:rsid w:val="001A02CB"/>
    <w:rsid w:val="001A02FD"/>
    <w:rsid w:val="001A11DB"/>
    <w:rsid w:val="001A33F4"/>
    <w:rsid w:val="001A3997"/>
    <w:rsid w:val="001A50DE"/>
    <w:rsid w:val="001A53AE"/>
    <w:rsid w:val="001A6256"/>
    <w:rsid w:val="001A65D2"/>
    <w:rsid w:val="001A6F29"/>
    <w:rsid w:val="001A789B"/>
    <w:rsid w:val="001B03CC"/>
    <w:rsid w:val="001B0C75"/>
    <w:rsid w:val="001B1E05"/>
    <w:rsid w:val="001B2010"/>
    <w:rsid w:val="001B25D8"/>
    <w:rsid w:val="001B2A29"/>
    <w:rsid w:val="001B2DEE"/>
    <w:rsid w:val="001B2F47"/>
    <w:rsid w:val="001B368E"/>
    <w:rsid w:val="001B42DC"/>
    <w:rsid w:val="001B44C2"/>
    <w:rsid w:val="001B4EC1"/>
    <w:rsid w:val="001B659F"/>
    <w:rsid w:val="001B7399"/>
    <w:rsid w:val="001B7655"/>
    <w:rsid w:val="001B7BAD"/>
    <w:rsid w:val="001B7F09"/>
    <w:rsid w:val="001C1166"/>
    <w:rsid w:val="001C24E6"/>
    <w:rsid w:val="001C261E"/>
    <w:rsid w:val="001C2899"/>
    <w:rsid w:val="001C3305"/>
    <w:rsid w:val="001C3AC7"/>
    <w:rsid w:val="001C42D0"/>
    <w:rsid w:val="001C6402"/>
    <w:rsid w:val="001C7B78"/>
    <w:rsid w:val="001C7F47"/>
    <w:rsid w:val="001C7FB4"/>
    <w:rsid w:val="001D09FB"/>
    <w:rsid w:val="001D0A25"/>
    <w:rsid w:val="001D0BA6"/>
    <w:rsid w:val="001D0C78"/>
    <w:rsid w:val="001D1354"/>
    <w:rsid w:val="001D15C4"/>
    <w:rsid w:val="001D1903"/>
    <w:rsid w:val="001D1942"/>
    <w:rsid w:val="001D1D2A"/>
    <w:rsid w:val="001D1DDB"/>
    <w:rsid w:val="001D2D04"/>
    <w:rsid w:val="001D3E15"/>
    <w:rsid w:val="001D53EA"/>
    <w:rsid w:val="001D67AC"/>
    <w:rsid w:val="001D6F7C"/>
    <w:rsid w:val="001D777C"/>
    <w:rsid w:val="001E0156"/>
    <w:rsid w:val="001E10D7"/>
    <w:rsid w:val="001E1153"/>
    <w:rsid w:val="001E12A5"/>
    <w:rsid w:val="001E1BF9"/>
    <w:rsid w:val="001E1EDB"/>
    <w:rsid w:val="001E3A18"/>
    <w:rsid w:val="001E6223"/>
    <w:rsid w:val="001E7093"/>
    <w:rsid w:val="001E717D"/>
    <w:rsid w:val="001E71F5"/>
    <w:rsid w:val="001E73DA"/>
    <w:rsid w:val="001E7D86"/>
    <w:rsid w:val="001F1A9F"/>
    <w:rsid w:val="001F203C"/>
    <w:rsid w:val="001F2278"/>
    <w:rsid w:val="001F377B"/>
    <w:rsid w:val="001F3CF9"/>
    <w:rsid w:val="001F4708"/>
    <w:rsid w:val="001F4D2F"/>
    <w:rsid w:val="001F4FEE"/>
    <w:rsid w:val="001F52A9"/>
    <w:rsid w:val="001F55E5"/>
    <w:rsid w:val="001F5689"/>
    <w:rsid w:val="001F5CB9"/>
    <w:rsid w:val="001F63E1"/>
    <w:rsid w:val="001F65D7"/>
    <w:rsid w:val="002003A1"/>
    <w:rsid w:val="002008B3"/>
    <w:rsid w:val="00200DC3"/>
    <w:rsid w:val="002011E2"/>
    <w:rsid w:val="00201BB9"/>
    <w:rsid w:val="002025E5"/>
    <w:rsid w:val="00202618"/>
    <w:rsid w:val="00202925"/>
    <w:rsid w:val="00202C70"/>
    <w:rsid w:val="00203FE6"/>
    <w:rsid w:val="002044F6"/>
    <w:rsid w:val="00204FC2"/>
    <w:rsid w:val="002050B0"/>
    <w:rsid w:val="00205D80"/>
    <w:rsid w:val="00206401"/>
    <w:rsid w:val="002076B4"/>
    <w:rsid w:val="00210874"/>
    <w:rsid w:val="0021093F"/>
    <w:rsid w:val="00211F31"/>
    <w:rsid w:val="00212FAC"/>
    <w:rsid w:val="002133CA"/>
    <w:rsid w:val="00213592"/>
    <w:rsid w:val="002146B5"/>
    <w:rsid w:val="00214FA2"/>
    <w:rsid w:val="00215783"/>
    <w:rsid w:val="0021644B"/>
    <w:rsid w:val="00216489"/>
    <w:rsid w:val="002167C9"/>
    <w:rsid w:val="00216DC9"/>
    <w:rsid w:val="0021749D"/>
    <w:rsid w:val="00217CA0"/>
    <w:rsid w:val="002202EB"/>
    <w:rsid w:val="00220FCF"/>
    <w:rsid w:val="00221705"/>
    <w:rsid w:val="00221972"/>
    <w:rsid w:val="00222F4D"/>
    <w:rsid w:val="00223038"/>
    <w:rsid w:val="002231C8"/>
    <w:rsid w:val="00224154"/>
    <w:rsid w:val="00224375"/>
    <w:rsid w:val="0022513F"/>
    <w:rsid w:val="00225631"/>
    <w:rsid w:val="00226614"/>
    <w:rsid w:val="00230194"/>
    <w:rsid w:val="0023065B"/>
    <w:rsid w:val="00230B70"/>
    <w:rsid w:val="00230F9E"/>
    <w:rsid w:val="00231923"/>
    <w:rsid w:val="00232354"/>
    <w:rsid w:val="0023262C"/>
    <w:rsid w:val="00232708"/>
    <w:rsid w:val="002329C3"/>
    <w:rsid w:val="002332AE"/>
    <w:rsid w:val="002333C2"/>
    <w:rsid w:val="002339F7"/>
    <w:rsid w:val="00233F2D"/>
    <w:rsid w:val="00234040"/>
    <w:rsid w:val="00234D9C"/>
    <w:rsid w:val="00234DCE"/>
    <w:rsid w:val="0023576C"/>
    <w:rsid w:val="00235D67"/>
    <w:rsid w:val="0023626B"/>
    <w:rsid w:val="0023718E"/>
    <w:rsid w:val="002376AD"/>
    <w:rsid w:val="002379CE"/>
    <w:rsid w:val="00241730"/>
    <w:rsid w:val="00242F07"/>
    <w:rsid w:val="00243020"/>
    <w:rsid w:val="0024498B"/>
    <w:rsid w:val="00244D22"/>
    <w:rsid w:val="00245A23"/>
    <w:rsid w:val="00245FD9"/>
    <w:rsid w:val="00246C09"/>
    <w:rsid w:val="002470E4"/>
    <w:rsid w:val="00247262"/>
    <w:rsid w:val="00247D62"/>
    <w:rsid w:val="0025003E"/>
    <w:rsid w:val="002502C2"/>
    <w:rsid w:val="00250B66"/>
    <w:rsid w:val="00251007"/>
    <w:rsid w:val="002513E4"/>
    <w:rsid w:val="0025144C"/>
    <w:rsid w:val="00254216"/>
    <w:rsid w:val="00255EFF"/>
    <w:rsid w:val="0025616B"/>
    <w:rsid w:val="002567A5"/>
    <w:rsid w:val="002568CD"/>
    <w:rsid w:val="00257285"/>
    <w:rsid w:val="0025755E"/>
    <w:rsid w:val="00257FF4"/>
    <w:rsid w:val="002608CE"/>
    <w:rsid w:val="00261660"/>
    <w:rsid w:val="002619D5"/>
    <w:rsid w:val="0026220C"/>
    <w:rsid w:val="0026279C"/>
    <w:rsid w:val="00262CD3"/>
    <w:rsid w:val="00263BB1"/>
    <w:rsid w:val="00264181"/>
    <w:rsid w:val="00264BB2"/>
    <w:rsid w:val="00265289"/>
    <w:rsid w:val="00265388"/>
    <w:rsid w:val="00266613"/>
    <w:rsid w:val="00266683"/>
    <w:rsid w:val="00266FE9"/>
    <w:rsid w:val="00272396"/>
    <w:rsid w:val="002730FE"/>
    <w:rsid w:val="00273D98"/>
    <w:rsid w:val="00274606"/>
    <w:rsid w:val="00275445"/>
    <w:rsid w:val="00275A4E"/>
    <w:rsid w:val="00275B96"/>
    <w:rsid w:val="0027614D"/>
    <w:rsid w:val="0027651A"/>
    <w:rsid w:val="002768FA"/>
    <w:rsid w:val="002770A1"/>
    <w:rsid w:val="0028001E"/>
    <w:rsid w:val="00280D53"/>
    <w:rsid w:val="002812C9"/>
    <w:rsid w:val="00281CF6"/>
    <w:rsid w:val="00282ABE"/>
    <w:rsid w:val="0028359B"/>
    <w:rsid w:val="00284441"/>
    <w:rsid w:val="00285275"/>
    <w:rsid w:val="002857FE"/>
    <w:rsid w:val="00286427"/>
    <w:rsid w:val="00290416"/>
    <w:rsid w:val="00290933"/>
    <w:rsid w:val="00290B08"/>
    <w:rsid w:val="00291AB9"/>
    <w:rsid w:val="00291E57"/>
    <w:rsid w:val="00292D6A"/>
    <w:rsid w:val="0029312A"/>
    <w:rsid w:val="0029325C"/>
    <w:rsid w:val="00293B2D"/>
    <w:rsid w:val="00293B46"/>
    <w:rsid w:val="00294E5F"/>
    <w:rsid w:val="002960B7"/>
    <w:rsid w:val="00296FCD"/>
    <w:rsid w:val="00297643"/>
    <w:rsid w:val="00297824"/>
    <w:rsid w:val="00297942"/>
    <w:rsid w:val="002A0F2E"/>
    <w:rsid w:val="002A153F"/>
    <w:rsid w:val="002A1705"/>
    <w:rsid w:val="002A1CC2"/>
    <w:rsid w:val="002A2161"/>
    <w:rsid w:val="002A32FD"/>
    <w:rsid w:val="002A40DC"/>
    <w:rsid w:val="002A4534"/>
    <w:rsid w:val="002A5329"/>
    <w:rsid w:val="002A5C2D"/>
    <w:rsid w:val="002A5CB3"/>
    <w:rsid w:val="002A61E5"/>
    <w:rsid w:val="002A637A"/>
    <w:rsid w:val="002A74DD"/>
    <w:rsid w:val="002A79D5"/>
    <w:rsid w:val="002A7C98"/>
    <w:rsid w:val="002A7FC8"/>
    <w:rsid w:val="002B0782"/>
    <w:rsid w:val="002B0A81"/>
    <w:rsid w:val="002B1883"/>
    <w:rsid w:val="002B1CE7"/>
    <w:rsid w:val="002B2CB2"/>
    <w:rsid w:val="002B2F0F"/>
    <w:rsid w:val="002B3C61"/>
    <w:rsid w:val="002B4724"/>
    <w:rsid w:val="002B4844"/>
    <w:rsid w:val="002B569D"/>
    <w:rsid w:val="002B595D"/>
    <w:rsid w:val="002B5F6A"/>
    <w:rsid w:val="002B779E"/>
    <w:rsid w:val="002B7D6F"/>
    <w:rsid w:val="002B7D78"/>
    <w:rsid w:val="002C0552"/>
    <w:rsid w:val="002C0961"/>
    <w:rsid w:val="002C1CF7"/>
    <w:rsid w:val="002C1D11"/>
    <w:rsid w:val="002C25D0"/>
    <w:rsid w:val="002C27BF"/>
    <w:rsid w:val="002C280B"/>
    <w:rsid w:val="002C2DB0"/>
    <w:rsid w:val="002C43BD"/>
    <w:rsid w:val="002C44A0"/>
    <w:rsid w:val="002C4C2F"/>
    <w:rsid w:val="002C4D41"/>
    <w:rsid w:val="002C75B0"/>
    <w:rsid w:val="002C7703"/>
    <w:rsid w:val="002C7A63"/>
    <w:rsid w:val="002C7DA3"/>
    <w:rsid w:val="002C7FA2"/>
    <w:rsid w:val="002D0153"/>
    <w:rsid w:val="002D0985"/>
    <w:rsid w:val="002D1431"/>
    <w:rsid w:val="002D263E"/>
    <w:rsid w:val="002D353C"/>
    <w:rsid w:val="002D403A"/>
    <w:rsid w:val="002D4262"/>
    <w:rsid w:val="002D4600"/>
    <w:rsid w:val="002D46B7"/>
    <w:rsid w:val="002D6163"/>
    <w:rsid w:val="002D65AF"/>
    <w:rsid w:val="002D7BEE"/>
    <w:rsid w:val="002E0163"/>
    <w:rsid w:val="002E0491"/>
    <w:rsid w:val="002E1064"/>
    <w:rsid w:val="002E1E57"/>
    <w:rsid w:val="002E2551"/>
    <w:rsid w:val="002E323F"/>
    <w:rsid w:val="002E3490"/>
    <w:rsid w:val="002E3A30"/>
    <w:rsid w:val="002E46F6"/>
    <w:rsid w:val="002E4BD6"/>
    <w:rsid w:val="002E5144"/>
    <w:rsid w:val="002E5364"/>
    <w:rsid w:val="002E54BE"/>
    <w:rsid w:val="002E5554"/>
    <w:rsid w:val="002E59C4"/>
    <w:rsid w:val="002E5D24"/>
    <w:rsid w:val="002E66AE"/>
    <w:rsid w:val="002E7AE1"/>
    <w:rsid w:val="002F01B5"/>
    <w:rsid w:val="002F0726"/>
    <w:rsid w:val="002F1A28"/>
    <w:rsid w:val="002F1B12"/>
    <w:rsid w:val="002F2256"/>
    <w:rsid w:val="002F50AE"/>
    <w:rsid w:val="002F530C"/>
    <w:rsid w:val="002F591B"/>
    <w:rsid w:val="002F5C70"/>
    <w:rsid w:val="002F6380"/>
    <w:rsid w:val="002F64B8"/>
    <w:rsid w:val="002F673B"/>
    <w:rsid w:val="002F6B19"/>
    <w:rsid w:val="002F7B47"/>
    <w:rsid w:val="00300013"/>
    <w:rsid w:val="0030032D"/>
    <w:rsid w:val="003006F8"/>
    <w:rsid w:val="00300BF2"/>
    <w:rsid w:val="003012D7"/>
    <w:rsid w:val="00301411"/>
    <w:rsid w:val="003015EB"/>
    <w:rsid w:val="0030165B"/>
    <w:rsid w:val="003027C1"/>
    <w:rsid w:val="00302A25"/>
    <w:rsid w:val="00303980"/>
    <w:rsid w:val="00304900"/>
    <w:rsid w:val="00304C13"/>
    <w:rsid w:val="00305077"/>
    <w:rsid w:val="003051CE"/>
    <w:rsid w:val="00305718"/>
    <w:rsid w:val="003059F2"/>
    <w:rsid w:val="00305CB2"/>
    <w:rsid w:val="00305D08"/>
    <w:rsid w:val="00305EC5"/>
    <w:rsid w:val="00306107"/>
    <w:rsid w:val="003076D4"/>
    <w:rsid w:val="003077B8"/>
    <w:rsid w:val="003111F8"/>
    <w:rsid w:val="00311622"/>
    <w:rsid w:val="00311B18"/>
    <w:rsid w:val="0031204A"/>
    <w:rsid w:val="0031272B"/>
    <w:rsid w:val="00312D77"/>
    <w:rsid w:val="00313092"/>
    <w:rsid w:val="00313198"/>
    <w:rsid w:val="00315248"/>
    <w:rsid w:val="00315435"/>
    <w:rsid w:val="00316759"/>
    <w:rsid w:val="0031691A"/>
    <w:rsid w:val="00316C2A"/>
    <w:rsid w:val="00317BF9"/>
    <w:rsid w:val="0032038C"/>
    <w:rsid w:val="00321889"/>
    <w:rsid w:val="00321D48"/>
    <w:rsid w:val="00321DEB"/>
    <w:rsid w:val="0032281C"/>
    <w:rsid w:val="00324590"/>
    <w:rsid w:val="00324827"/>
    <w:rsid w:val="003257D7"/>
    <w:rsid w:val="00325C5E"/>
    <w:rsid w:val="003262E0"/>
    <w:rsid w:val="003264CF"/>
    <w:rsid w:val="0032738E"/>
    <w:rsid w:val="003276D1"/>
    <w:rsid w:val="00331B40"/>
    <w:rsid w:val="00331B78"/>
    <w:rsid w:val="00331C5F"/>
    <w:rsid w:val="003325B9"/>
    <w:rsid w:val="00332E95"/>
    <w:rsid w:val="00333074"/>
    <w:rsid w:val="00333223"/>
    <w:rsid w:val="00333377"/>
    <w:rsid w:val="00333A43"/>
    <w:rsid w:val="003344AE"/>
    <w:rsid w:val="00334923"/>
    <w:rsid w:val="00334F7E"/>
    <w:rsid w:val="003364C1"/>
    <w:rsid w:val="00337094"/>
    <w:rsid w:val="00337F82"/>
    <w:rsid w:val="00340640"/>
    <w:rsid w:val="00340810"/>
    <w:rsid w:val="0034100B"/>
    <w:rsid w:val="00341E2E"/>
    <w:rsid w:val="003435D6"/>
    <w:rsid w:val="00345143"/>
    <w:rsid w:val="003458E0"/>
    <w:rsid w:val="00345CCD"/>
    <w:rsid w:val="003471F6"/>
    <w:rsid w:val="0034758C"/>
    <w:rsid w:val="003511CE"/>
    <w:rsid w:val="00351909"/>
    <w:rsid w:val="00352BE0"/>
    <w:rsid w:val="0035333E"/>
    <w:rsid w:val="003538F0"/>
    <w:rsid w:val="00353E62"/>
    <w:rsid w:val="00354798"/>
    <w:rsid w:val="003563DF"/>
    <w:rsid w:val="003575B7"/>
    <w:rsid w:val="00357869"/>
    <w:rsid w:val="00357DAE"/>
    <w:rsid w:val="003602A5"/>
    <w:rsid w:val="003606D1"/>
    <w:rsid w:val="003608D9"/>
    <w:rsid w:val="00360B80"/>
    <w:rsid w:val="00361259"/>
    <w:rsid w:val="00361429"/>
    <w:rsid w:val="003620D8"/>
    <w:rsid w:val="00362AA7"/>
    <w:rsid w:val="003630AD"/>
    <w:rsid w:val="003632BE"/>
    <w:rsid w:val="00363B11"/>
    <w:rsid w:val="00366F6D"/>
    <w:rsid w:val="003672D6"/>
    <w:rsid w:val="00367684"/>
    <w:rsid w:val="003705BF"/>
    <w:rsid w:val="00370935"/>
    <w:rsid w:val="00370E57"/>
    <w:rsid w:val="00370E9E"/>
    <w:rsid w:val="00371C1A"/>
    <w:rsid w:val="003721DB"/>
    <w:rsid w:val="00373CEB"/>
    <w:rsid w:val="00374312"/>
    <w:rsid w:val="00375E44"/>
    <w:rsid w:val="00375E52"/>
    <w:rsid w:val="00376DF7"/>
    <w:rsid w:val="00377981"/>
    <w:rsid w:val="00377BDE"/>
    <w:rsid w:val="00380888"/>
    <w:rsid w:val="00380D9F"/>
    <w:rsid w:val="00381802"/>
    <w:rsid w:val="003819E1"/>
    <w:rsid w:val="00382234"/>
    <w:rsid w:val="00382A0F"/>
    <w:rsid w:val="003842E5"/>
    <w:rsid w:val="003852C0"/>
    <w:rsid w:val="00385A6A"/>
    <w:rsid w:val="0038672F"/>
    <w:rsid w:val="00386A06"/>
    <w:rsid w:val="00386BC9"/>
    <w:rsid w:val="00386F24"/>
    <w:rsid w:val="003876AB"/>
    <w:rsid w:val="00387957"/>
    <w:rsid w:val="0039053D"/>
    <w:rsid w:val="00390C8F"/>
    <w:rsid w:val="00392B8A"/>
    <w:rsid w:val="00392DD1"/>
    <w:rsid w:val="00393668"/>
    <w:rsid w:val="00393799"/>
    <w:rsid w:val="00393FA9"/>
    <w:rsid w:val="0039449C"/>
    <w:rsid w:val="003947B3"/>
    <w:rsid w:val="003959E6"/>
    <w:rsid w:val="00395A77"/>
    <w:rsid w:val="00395E02"/>
    <w:rsid w:val="0039684C"/>
    <w:rsid w:val="003A0290"/>
    <w:rsid w:val="003A1E28"/>
    <w:rsid w:val="003A25BB"/>
    <w:rsid w:val="003A2AE2"/>
    <w:rsid w:val="003A2E7D"/>
    <w:rsid w:val="003A300D"/>
    <w:rsid w:val="003A3529"/>
    <w:rsid w:val="003A3D00"/>
    <w:rsid w:val="003A3E7B"/>
    <w:rsid w:val="003A422E"/>
    <w:rsid w:val="003A4566"/>
    <w:rsid w:val="003A7067"/>
    <w:rsid w:val="003A7F84"/>
    <w:rsid w:val="003B0143"/>
    <w:rsid w:val="003B09F6"/>
    <w:rsid w:val="003B0D03"/>
    <w:rsid w:val="003B1F0A"/>
    <w:rsid w:val="003B2C1F"/>
    <w:rsid w:val="003B329D"/>
    <w:rsid w:val="003B3684"/>
    <w:rsid w:val="003B5533"/>
    <w:rsid w:val="003B5A85"/>
    <w:rsid w:val="003B71EE"/>
    <w:rsid w:val="003B73CF"/>
    <w:rsid w:val="003B759C"/>
    <w:rsid w:val="003B7621"/>
    <w:rsid w:val="003B7843"/>
    <w:rsid w:val="003B7C64"/>
    <w:rsid w:val="003C0593"/>
    <w:rsid w:val="003C13A6"/>
    <w:rsid w:val="003C1615"/>
    <w:rsid w:val="003C1EB4"/>
    <w:rsid w:val="003C2536"/>
    <w:rsid w:val="003C2A44"/>
    <w:rsid w:val="003C4ACA"/>
    <w:rsid w:val="003C4E3A"/>
    <w:rsid w:val="003C7740"/>
    <w:rsid w:val="003D0C7C"/>
    <w:rsid w:val="003D0CC8"/>
    <w:rsid w:val="003D0E1C"/>
    <w:rsid w:val="003D1E47"/>
    <w:rsid w:val="003D3602"/>
    <w:rsid w:val="003D3662"/>
    <w:rsid w:val="003D3C14"/>
    <w:rsid w:val="003D4188"/>
    <w:rsid w:val="003D4557"/>
    <w:rsid w:val="003D4AAF"/>
    <w:rsid w:val="003D4CD3"/>
    <w:rsid w:val="003D5353"/>
    <w:rsid w:val="003D543D"/>
    <w:rsid w:val="003D562D"/>
    <w:rsid w:val="003D59FD"/>
    <w:rsid w:val="003D754B"/>
    <w:rsid w:val="003E10B8"/>
    <w:rsid w:val="003E122D"/>
    <w:rsid w:val="003E13F5"/>
    <w:rsid w:val="003E1978"/>
    <w:rsid w:val="003E1ED0"/>
    <w:rsid w:val="003E29B2"/>
    <w:rsid w:val="003E2B5E"/>
    <w:rsid w:val="003E3105"/>
    <w:rsid w:val="003E3302"/>
    <w:rsid w:val="003E3826"/>
    <w:rsid w:val="003E3AFD"/>
    <w:rsid w:val="003E3FF4"/>
    <w:rsid w:val="003E4AEB"/>
    <w:rsid w:val="003E4E15"/>
    <w:rsid w:val="003E53E8"/>
    <w:rsid w:val="003E5669"/>
    <w:rsid w:val="003E5912"/>
    <w:rsid w:val="003E5AE8"/>
    <w:rsid w:val="003E68C4"/>
    <w:rsid w:val="003F0103"/>
    <w:rsid w:val="003F07EE"/>
    <w:rsid w:val="003F0C8B"/>
    <w:rsid w:val="003F1607"/>
    <w:rsid w:val="003F231A"/>
    <w:rsid w:val="003F29F2"/>
    <w:rsid w:val="003F388C"/>
    <w:rsid w:val="003F3C77"/>
    <w:rsid w:val="003F4566"/>
    <w:rsid w:val="003F458D"/>
    <w:rsid w:val="003F47DF"/>
    <w:rsid w:val="003F4BE5"/>
    <w:rsid w:val="003F6209"/>
    <w:rsid w:val="003F634A"/>
    <w:rsid w:val="003F6675"/>
    <w:rsid w:val="003F7577"/>
    <w:rsid w:val="0040072E"/>
    <w:rsid w:val="00400A8B"/>
    <w:rsid w:val="00401831"/>
    <w:rsid w:val="0040314A"/>
    <w:rsid w:val="00403B87"/>
    <w:rsid w:val="00403BDB"/>
    <w:rsid w:val="00403CB0"/>
    <w:rsid w:val="004042C7"/>
    <w:rsid w:val="00405DAB"/>
    <w:rsid w:val="00405E90"/>
    <w:rsid w:val="0040629D"/>
    <w:rsid w:val="004065CE"/>
    <w:rsid w:val="00406802"/>
    <w:rsid w:val="00407535"/>
    <w:rsid w:val="00407A61"/>
    <w:rsid w:val="004105DD"/>
    <w:rsid w:val="00410DCE"/>
    <w:rsid w:val="00411E4D"/>
    <w:rsid w:val="00411F1A"/>
    <w:rsid w:val="00412C0B"/>
    <w:rsid w:val="0041404E"/>
    <w:rsid w:val="0041429D"/>
    <w:rsid w:val="004147D0"/>
    <w:rsid w:val="00414E1F"/>
    <w:rsid w:val="004157AB"/>
    <w:rsid w:val="0041581E"/>
    <w:rsid w:val="004161E5"/>
    <w:rsid w:val="0041765C"/>
    <w:rsid w:val="00420837"/>
    <w:rsid w:val="00420E05"/>
    <w:rsid w:val="00421EEC"/>
    <w:rsid w:val="0042280C"/>
    <w:rsid w:val="00422933"/>
    <w:rsid w:val="00422F4B"/>
    <w:rsid w:val="00423003"/>
    <w:rsid w:val="00423F0D"/>
    <w:rsid w:val="004248B4"/>
    <w:rsid w:val="00424C66"/>
    <w:rsid w:val="004251E6"/>
    <w:rsid w:val="0042526D"/>
    <w:rsid w:val="004252C3"/>
    <w:rsid w:val="004254A2"/>
    <w:rsid w:val="00426D71"/>
    <w:rsid w:val="004274FC"/>
    <w:rsid w:val="00430256"/>
    <w:rsid w:val="00430303"/>
    <w:rsid w:val="00430E3D"/>
    <w:rsid w:val="0043194D"/>
    <w:rsid w:val="00431B84"/>
    <w:rsid w:val="00431BF1"/>
    <w:rsid w:val="00433D22"/>
    <w:rsid w:val="00434130"/>
    <w:rsid w:val="004342F8"/>
    <w:rsid w:val="00434A2F"/>
    <w:rsid w:val="00434B63"/>
    <w:rsid w:val="00436535"/>
    <w:rsid w:val="004402D5"/>
    <w:rsid w:val="0044083A"/>
    <w:rsid w:val="004408FA"/>
    <w:rsid w:val="00440BBB"/>
    <w:rsid w:val="00441119"/>
    <w:rsid w:val="00442B66"/>
    <w:rsid w:val="00442D9D"/>
    <w:rsid w:val="00442E4B"/>
    <w:rsid w:val="0044302D"/>
    <w:rsid w:val="00443C38"/>
    <w:rsid w:val="00444E4C"/>
    <w:rsid w:val="00444FC8"/>
    <w:rsid w:val="0044552A"/>
    <w:rsid w:val="00445663"/>
    <w:rsid w:val="004461A4"/>
    <w:rsid w:val="00446612"/>
    <w:rsid w:val="00446EE2"/>
    <w:rsid w:val="00450E44"/>
    <w:rsid w:val="00451298"/>
    <w:rsid w:val="00451501"/>
    <w:rsid w:val="0045165E"/>
    <w:rsid w:val="004521E9"/>
    <w:rsid w:val="004528D0"/>
    <w:rsid w:val="004531F2"/>
    <w:rsid w:val="00453C86"/>
    <w:rsid w:val="00454564"/>
    <w:rsid w:val="00454E78"/>
    <w:rsid w:val="004562E5"/>
    <w:rsid w:val="00457BC3"/>
    <w:rsid w:val="00460084"/>
    <w:rsid w:val="0046034D"/>
    <w:rsid w:val="00461801"/>
    <w:rsid w:val="00462272"/>
    <w:rsid w:val="0046283F"/>
    <w:rsid w:val="0046390C"/>
    <w:rsid w:val="004639D7"/>
    <w:rsid w:val="00464569"/>
    <w:rsid w:val="004650DF"/>
    <w:rsid w:val="00465D4E"/>
    <w:rsid w:val="00466381"/>
    <w:rsid w:val="00467393"/>
    <w:rsid w:val="00467BDD"/>
    <w:rsid w:val="0047110B"/>
    <w:rsid w:val="0047134B"/>
    <w:rsid w:val="00471520"/>
    <w:rsid w:val="004717F6"/>
    <w:rsid w:val="0047364D"/>
    <w:rsid w:val="00473E40"/>
    <w:rsid w:val="0047481E"/>
    <w:rsid w:val="00474918"/>
    <w:rsid w:val="00475935"/>
    <w:rsid w:val="00475EAF"/>
    <w:rsid w:val="0047681C"/>
    <w:rsid w:val="00476FA4"/>
    <w:rsid w:val="004815F8"/>
    <w:rsid w:val="00481E32"/>
    <w:rsid w:val="004831ED"/>
    <w:rsid w:val="004831FC"/>
    <w:rsid w:val="004836A7"/>
    <w:rsid w:val="004847B4"/>
    <w:rsid w:val="00484921"/>
    <w:rsid w:val="00485B42"/>
    <w:rsid w:val="00486614"/>
    <w:rsid w:val="00487C0E"/>
    <w:rsid w:val="00487DE2"/>
    <w:rsid w:val="00487E11"/>
    <w:rsid w:val="00487FB8"/>
    <w:rsid w:val="00487FD3"/>
    <w:rsid w:val="004900FE"/>
    <w:rsid w:val="004919D4"/>
    <w:rsid w:val="00491FB2"/>
    <w:rsid w:val="0049200C"/>
    <w:rsid w:val="0049212C"/>
    <w:rsid w:val="0049437D"/>
    <w:rsid w:val="004950CC"/>
    <w:rsid w:val="00495ADC"/>
    <w:rsid w:val="00495C39"/>
    <w:rsid w:val="00496279"/>
    <w:rsid w:val="004975DB"/>
    <w:rsid w:val="004A1224"/>
    <w:rsid w:val="004A1ABD"/>
    <w:rsid w:val="004A247B"/>
    <w:rsid w:val="004A28C5"/>
    <w:rsid w:val="004A2AD1"/>
    <w:rsid w:val="004A2F59"/>
    <w:rsid w:val="004A3731"/>
    <w:rsid w:val="004A3865"/>
    <w:rsid w:val="004A3A82"/>
    <w:rsid w:val="004A5520"/>
    <w:rsid w:val="004A5E53"/>
    <w:rsid w:val="004A64B4"/>
    <w:rsid w:val="004A660C"/>
    <w:rsid w:val="004A6B44"/>
    <w:rsid w:val="004A6E0E"/>
    <w:rsid w:val="004A6E29"/>
    <w:rsid w:val="004B0B19"/>
    <w:rsid w:val="004B1B25"/>
    <w:rsid w:val="004B1E81"/>
    <w:rsid w:val="004B2698"/>
    <w:rsid w:val="004B30EE"/>
    <w:rsid w:val="004B35F0"/>
    <w:rsid w:val="004B37A7"/>
    <w:rsid w:val="004B4426"/>
    <w:rsid w:val="004B44E1"/>
    <w:rsid w:val="004B4901"/>
    <w:rsid w:val="004B4F87"/>
    <w:rsid w:val="004B5360"/>
    <w:rsid w:val="004B5F2A"/>
    <w:rsid w:val="004B63BE"/>
    <w:rsid w:val="004B674E"/>
    <w:rsid w:val="004B74B2"/>
    <w:rsid w:val="004B772F"/>
    <w:rsid w:val="004C103D"/>
    <w:rsid w:val="004C1303"/>
    <w:rsid w:val="004C1399"/>
    <w:rsid w:val="004C16D8"/>
    <w:rsid w:val="004C1C09"/>
    <w:rsid w:val="004C2A17"/>
    <w:rsid w:val="004C2B0E"/>
    <w:rsid w:val="004C45F5"/>
    <w:rsid w:val="004C5507"/>
    <w:rsid w:val="004C63EA"/>
    <w:rsid w:val="004C7D9E"/>
    <w:rsid w:val="004D05D8"/>
    <w:rsid w:val="004D0D6B"/>
    <w:rsid w:val="004D10C4"/>
    <w:rsid w:val="004D11C7"/>
    <w:rsid w:val="004D1E1A"/>
    <w:rsid w:val="004D1EFF"/>
    <w:rsid w:val="004D23A9"/>
    <w:rsid w:val="004D2683"/>
    <w:rsid w:val="004D29F5"/>
    <w:rsid w:val="004D2F90"/>
    <w:rsid w:val="004D3A5D"/>
    <w:rsid w:val="004D3E35"/>
    <w:rsid w:val="004D52F0"/>
    <w:rsid w:val="004D5C6C"/>
    <w:rsid w:val="004D5FDC"/>
    <w:rsid w:val="004D60D6"/>
    <w:rsid w:val="004D660D"/>
    <w:rsid w:val="004D7804"/>
    <w:rsid w:val="004E0308"/>
    <w:rsid w:val="004E2825"/>
    <w:rsid w:val="004E2DFB"/>
    <w:rsid w:val="004E3079"/>
    <w:rsid w:val="004E3276"/>
    <w:rsid w:val="004E3504"/>
    <w:rsid w:val="004E3836"/>
    <w:rsid w:val="004E3B3F"/>
    <w:rsid w:val="004E50A4"/>
    <w:rsid w:val="004E62E4"/>
    <w:rsid w:val="004E6F5D"/>
    <w:rsid w:val="004E7C41"/>
    <w:rsid w:val="004F082C"/>
    <w:rsid w:val="004F0E90"/>
    <w:rsid w:val="004F0F5B"/>
    <w:rsid w:val="004F1212"/>
    <w:rsid w:val="004F12CE"/>
    <w:rsid w:val="004F1672"/>
    <w:rsid w:val="004F187F"/>
    <w:rsid w:val="004F1B48"/>
    <w:rsid w:val="004F22B8"/>
    <w:rsid w:val="004F2437"/>
    <w:rsid w:val="004F2BF9"/>
    <w:rsid w:val="004F38E1"/>
    <w:rsid w:val="004F4624"/>
    <w:rsid w:val="004F5573"/>
    <w:rsid w:val="004F5948"/>
    <w:rsid w:val="004F5D8B"/>
    <w:rsid w:val="004F634F"/>
    <w:rsid w:val="004F7556"/>
    <w:rsid w:val="004F78BF"/>
    <w:rsid w:val="004F7B15"/>
    <w:rsid w:val="00500700"/>
    <w:rsid w:val="00500957"/>
    <w:rsid w:val="0050141B"/>
    <w:rsid w:val="0050230B"/>
    <w:rsid w:val="00502638"/>
    <w:rsid w:val="005029BC"/>
    <w:rsid w:val="00502B87"/>
    <w:rsid w:val="0050346A"/>
    <w:rsid w:val="00503FD8"/>
    <w:rsid w:val="00504472"/>
    <w:rsid w:val="005048E3"/>
    <w:rsid w:val="00505A77"/>
    <w:rsid w:val="00505CB3"/>
    <w:rsid w:val="005067C7"/>
    <w:rsid w:val="00506EB0"/>
    <w:rsid w:val="0050798C"/>
    <w:rsid w:val="00507F26"/>
    <w:rsid w:val="005111D1"/>
    <w:rsid w:val="00511496"/>
    <w:rsid w:val="0051191D"/>
    <w:rsid w:val="0051207B"/>
    <w:rsid w:val="00512A8C"/>
    <w:rsid w:val="005136CD"/>
    <w:rsid w:val="005140FF"/>
    <w:rsid w:val="00514B03"/>
    <w:rsid w:val="00514B1A"/>
    <w:rsid w:val="00514E2B"/>
    <w:rsid w:val="00514E5F"/>
    <w:rsid w:val="005150C5"/>
    <w:rsid w:val="00516415"/>
    <w:rsid w:val="00517351"/>
    <w:rsid w:val="00520FB7"/>
    <w:rsid w:val="0052106A"/>
    <w:rsid w:val="00521860"/>
    <w:rsid w:val="00521D74"/>
    <w:rsid w:val="005222A2"/>
    <w:rsid w:val="005222CC"/>
    <w:rsid w:val="00522622"/>
    <w:rsid w:val="0052262C"/>
    <w:rsid w:val="00523505"/>
    <w:rsid w:val="00523B5E"/>
    <w:rsid w:val="00524E3F"/>
    <w:rsid w:val="005250EE"/>
    <w:rsid w:val="00525151"/>
    <w:rsid w:val="00525AB1"/>
    <w:rsid w:val="005263A9"/>
    <w:rsid w:val="00526B01"/>
    <w:rsid w:val="00526C61"/>
    <w:rsid w:val="00527492"/>
    <w:rsid w:val="005277F5"/>
    <w:rsid w:val="00530311"/>
    <w:rsid w:val="005310C1"/>
    <w:rsid w:val="00531934"/>
    <w:rsid w:val="005328A9"/>
    <w:rsid w:val="00532994"/>
    <w:rsid w:val="005329BE"/>
    <w:rsid w:val="00532CF1"/>
    <w:rsid w:val="005334DE"/>
    <w:rsid w:val="00533515"/>
    <w:rsid w:val="005342DE"/>
    <w:rsid w:val="00534AC0"/>
    <w:rsid w:val="00535272"/>
    <w:rsid w:val="00535557"/>
    <w:rsid w:val="0053606A"/>
    <w:rsid w:val="00536480"/>
    <w:rsid w:val="005369C0"/>
    <w:rsid w:val="00536B92"/>
    <w:rsid w:val="0053714C"/>
    <w:rsid w:val="00537B3A"/>
    <w:rsid w:val="00537F49"/>
    <w:rsid w:val="00540811"/>
    <w:rsid w:val="00540B25"/>
    <w:rsid w:val="00540D82"/>
    <w:rsid w:val="00541254"/>
    <w:rsid w:val="00541AB8"/>
    <w:rsid w:val="005421CC"/>
    <w:rsid w:val="005425B2"/>
    <w:rsid w:val="00542BA5"/>
    <w:rsid w:val="00544718"/>
    <w:rsid w:val="00544841"/>
    <w:rsid w:val="00544869"/>
    <w:rsid w:val="00547058"/>
    <w:rsid w:val="00547111"/>
    <w:rsid w:val="00547CD4"/>
    <w:rsid w:val="00547E34"/>
    <w:rsid w:val="00547EB8"/>
    <w:rsid w:val="0055012F"/>
    <w:rsid w:val="005502F6"/>
    <w:rsid w:val="0055054A"/>
    <w:rsid w:val="005515E5"/>
    <w:rsid w:val="00552FC2"/>
    <w:rsid w:val="005534AF"/>
    <w:rsid w:val="00553A03"/>
    <w:rsid w:val="00553DA2"/>
    <w:rsid w:val="005543FB"/>
    <w:rsid w:val="005545DF"/>
    <w:rsid w:val="00554D5F"/>
    <w:rsid w:val="00555623"/>
    <w:rsid w:val="005562DC"/>
    <w:rsid w:val="00556725"/>
    <w:rsid w:val="00557A85"/>
    <w:rsid w:val="005606B5"/>
    <w:rsid w:val="00560E2D"/>
    <w:rsid w:val="005612F7"/>
    <w:rsid w:val="00562816"/>
    <w:rsid w:val="00562BAD"/>
    <w:rsid w:val="00563199"/>
    <w:rsid w:val="0056365E"/>
    <w:rsid w:val="005636DC"/>
    <w:rsid w:val="00565A95"/>
    <w:rsid w:val="00565C77"/>
    <w:rsid w:val="00566181"/>
    <w:rsid w:val="00567882"/>
    <w:rsid w:val="005708BD"/>
    <w:rsid w:val="00570D58"/>
    <w:rsid w:val="00572A0B"/>
    <w:rsid w:val="0057317E"/>
    <w:rsid w:val="005731D3"/>
    <w:rsid w:val="00573C7D"/>
    <w:rsid w:val="00574377"/>
    <w:rsid w:val="00574906"/>
    <w:rsid w:val="00574E9E"/>
    <w:rsid w:val="005752BC"/>
    <w:rsid w:val="00575A4B"/>
    <w:rsid w:val="0057622F"/>
    <w:rsid w:val="00576B23"/>
    <w:rsid w:val="00577772"/>
    <w:rsid w:val="00577977"/>
    <w:rsid w:val="00577AC7"/>
    <w:rsid w:val="00577DFB"/>
    <w:rsid w:val="005808E2"/>
    <w:rsid w:val="00581719"/>
    <w:rsid w:val="00581D30"/>
    <w:rsid w:val="0058259C"/>
    <w:rsid w:val="00583362"/>
    <w:rsid w:val="00583B0E"/>
    <w:rsid w:val="00584245"/>
    <w:rsid w:val="00584C2D"/>
    <w:rsid w:val="00584D80"/>
    <w:rsid w:val="00585BCF"/>
    <w:rsid w:val="0058649C"/>
    <w:rsid w:val="00586535"/>
    <w:rsid w:val="00586BB5"/>
    <w:rsid w:val="00586DFB"/>
    <w:rsid w:val="00587C83"/>
    <w:rsid w:val="00587E5A"/>
    <w:rsid w:val="005905BC"/>
    <w:rsid w:val="005909A7"/>
    <w:rsid w:val="005909CB"/>
    <w:rsid w:val="00590B75"/>
    <w:rsid w:val="00590DAA"/>
    <w:rsid w:val="0059205C"/>
    <w:rsid w:val="00592349"/>
    <w:rsid w:val="00592CEE"/>
    <w:rsid w:val="00592D49"/>
    <w:rsid w:val="00594F50"/>
    <w:rsid w:val="005955BA"/>
    <w:rsid w:val="0059690A"/>
    <w:rsid w:val="00596F3F"/>
    <w:rsid w:val="00596F9B"/>
    <w:rsid w:val="00597EEF"/>
    <w:rsid w:val="005A02CB"/>
    <w:rsid w:val="005A08ED"/>
    <w:rsid w:val="005A1A25"/>
    <w:rsid w:val="005A1C4E"/>
    <w:rsid w:val="005A2E0C"/>
    <w:rsid w:val="005A3678"/>
    <w:rsid w:val="005A3DAF"/>
    <w:rsid w:val="005A4251"/>
    <w:rsid w:val="005A4A1A"/>
    <w:rsid w:val="005A61D3"/>
    <w:rsid w:val="005A7C0B"/>
    <w:rsid w:val="005A7E70"/>
    <w:rsid w:val="005B0955"/>
    <w:rsid w:val="005B11C1"/>
    <w:rsid w:val="005B1A53"/>
    <w:rsid w:val="005B2AF7"/>
    <w:rsid w:val="005B40E8"/>
    <w:rsid w:val="005B56E0"/>
    <w:rsid w:val="005B589D"/>
    <w:rsid w:val="005B6839"/>
    <w:rsid w:val="005B6A94"/>
    <w:rsid w:val="005B6DAA"/>
    <w:rsid w:val="005B7314"/>
    <w:rsid w:val="005B7C27"/>
    <w:rsid w:val="005B7D8B"/>
    <w:rsid w:val="005C03F6"/>
    <w:rsid w:val="005C0475"/>
    <w:rsid w:val="005C0509"/>
    <w:rsid w:val="005C1569"/>
    <w:rsid w:val="005C224F"/>
    <w:rsid w:val="005C348A"/>
    <w:rsid w:val="005C3C1A"/>
    <w:rsid w:val="005C4604"/>
    <w:rsid w:val="005C460E"/>
    <w:rsid w:val="005C46D8"/>
    <w:rsid w:val="005C4BEE"/>
    <w:rsid w:val="005C6E74"/>
    <w:rsid w:val="005C732E"/>
    <w:rsid w:val="005C781C"/>
    <w:rsid w:val="005D034A"/>
    <w:rsid w:val="005D13ED"/>
    <w:rsid w:val="005D181E"/>
    <w:rsid w:val="005D1E16"/>
    <w:rsid w:val="005D2386"/>
    <w:rsid w:val="005D330E"/>
    <w:rsid w:val="005D48BF"/>
    <w:rsid w:val="005D520F"/>
    <w:rsid w:val="005D5FC6"/>
    <w:rsid w:val="005D645A"/>
    <w:rsid w:val="005D6E07"/>
    <w:rsid w:val="005D7A35"/>
    <w:rsid w:val="005E034F"/>
    <w:rsid w:val="005E09A7"/>
    <w:rsid w:val="005E0F2E"/>
    <w:rsid w:val="005E198B"/>
    <w:rsid w:val="005E19D9"/>
    <w:rsid w:val="005E1D35"/>
    <w:rsid w:val="005E2750"/>
    <w:rsid w:val="005E2A31"/>
    <w:rsid w:val="005E3D2F"/>
    <w:rsid w:val="005E442F"/>
    <w:rsid w:val="005E458D"/>
    <w:rsid w:val="005E480E"/>
    <w:rsid w:val="005E54A3"/>
    <w:rsid w:val="005E5625"/>
    <w:rsid w:val="005E61D8"/>
    <w:rsid w:val="005E6F2B"/>
    <w:rsid w:val="005E7E2C"/>
    <w:rsid w:val="005F190F"/>
    <w:rsid w:val="005F1ADE"/>
    <w:rsid w:val="005F29CD"/>
    <w:rsid w:val="005F3175"/>
    <w:rsid w:val="005F3436"/>
    <w:rsid w:val="005F3506"/>
    <w:rsid w:val="005F41D8"/>
    <w:rsid w:val="005F4739"/>
    <w:rsid w:val="005F6228"/>
    <w:rsid w:val="005F642B"/>
    <w:rsid w:val="005F67FC"/>
    <w:rsid w:val="005F6E70"/>
    <w:rsid w:val="005F72F5"/>
    <w:rsid w:val="00601630"/>
    <w:rsid w:val="00601A28"/>
    <w:rsid w:val="006026E1"/>
    <w:rsid w:val="00603950"/>
    <w:rsid w:val="00603A90"/>
    <w:rsid w:val="006041E9"/>
    <w:rsid w:val="00605163"/>
    <w:rsid w:val="0060523D"/>
    <w:rsid w:val="00606300"/>
    <w:rsid w:val="006065BF"/>
    <w:rsid w:val="00606D21"/>
    <w:rsid w:val="00606F5E"/>
    <w:rsid w:val="006070EA"/>
    <w:rsid w:val="00607ABE"/>
    <w:rsid w:val="00607F53"/>
    <w:rsid w:val="006103D0"/>
    <w:rsid w:val="006104F7"/>
    <w:rsid w:val="0061103A"/>
    <w:rsid w:val="00611EAE"/>
    <w:rsid w:val="00611F29"/>
    <w:rsid w:val="0061364A"/>
    <w:rsid w:val="00613BEA"/>
    <w:rsid w:val="0061402C"/>
    <w:rsid w:val="0061595F"/>
    <w:rsid w:val="00615A79"/>
    <w:rsid w:val="00616179"/>
    <w:rsid w:val="0061675B"/>
    <w:rsid w:val="00616854"/>
    <w:rsid w:val="0062052B"/>
    <w:rsid w:val="00620797"/>
    <w:rsid w:val="006207B7"/>
    <w:rsid w:val="00620F8F"/>
    <w:rsid w:val="00621A86"/>
    <w:rsid w:val="00622DDE"/>
    <w:rsid w:val="00623401"/>
    <w:rsid w:val="00624C95"/>
    <w:rsid w:val="006258B8"/>
    <w:rsid w:val="00625C40"/>
    <w:rsid w:val="0062706E"/>
    <w:rsid w:val="006272D9"/>
    <w:rsid w:val="00627E7C"/>
    <w:rsid w:val="00630B9A"/>
    <w:rsid w:val="00630CFF"/>
    <w:rsid w:val="00631369"/>
    <w:rsid w:val="0063167F"/>
    <w:rsid w:val="00631F9B"/>
    <w:rsid w:val="00632481"/>
    <w:rsid w:val="0063262D"/>
    <w:rsid w:val="0063268B"/>
    <w:rsid w:val="00632788"/>
    <w:rsid w:val="00632AE5"/>
    <w:rsid w:val="00632FF4"/>
    <w:rsid w:val="00633741"/>
    <w:rsid w:val="0063390E"/>
    <w:rsid w:val="00633CA1"/>
    <w:rsid w:val="006342FE"/>
    <w:rsid w:val="00634673"/>
    <w:rsid w:val="00636E1E"/>
    <w:rsid w:val="00637BBD"/>
    <w:rsid w:val="00637D33"/>
    <w:rsid w:val="00640D17"/>
    <w:rsid w:val="00641A99"/>
    <w:rsid w:val="00641CCA"/>
    <w:rsid w:val="00641DA3"/>
    <w:rsid w:val="00642377"/>
    <w:rsid w:val="00642768"/>
    <w:rsid w:val="00642A84"/>
    <w:rsid w:val="00642E92"/>
    <w:rsid w:val="0064411F"/>
    <w:rsid w:val="006449E3"/>
    <w:rsid w:val="00645742"/>
    <w:rsid w:val="00645E69"/>
    <w:rsid w:val="00646130"/>
    <w:rsid w:val="0064681A"/>
    <w:rsid w:val="00646ACE"/>
    <w:rsid w:val="006474C0"/>
    <w:rsid w:val="006475E6"/>
    <w:rsid w:val="00647927"/>
    <w:rsid w:val="00650B2D"/>
    <w:rsid w:val="00651D84"/>
    <w:rsid w:val="00652B9B"/>
    <w:rsid w:val="00652F78"/>
    <w:rsid w:val="00653120"/>
    <w:rsid w:val="00653743"/>
    <w:rsid w:val="00653DD9"/>
    <w:rsid w:val="00654119"/>
    <w:rsid w:val="00654943"/>
    <w:rsid w:val="00654E6A"/>
    <w:rsid w:val="00654EC2"/>
    <w:rsid w:val="006551FC"/>
    <w:rsid w:val="006563F3"/>
    <w:rsid w:val="006575F3"/>
    <w:rsid w:val="00660871"/>
    <w:rsid w:val="006610FF"/>
    <w:rsid w:val="0066176D"/>
    <w:rsid w:val="00661ED7"/>
    <w:rsid w:val="006620CF"/>
    <w:rsid w:val="00662809"/>
    <w:rsid w:val="00663823"/>
    <w:rsid w:val="00664E08"/>
    <w:rsid w:val="006650D0"/>
    <w:rsid w:val="0066774D"/>
    <w:rsid w:val="00667F42"/>
    <w:rsid w:val="00667F67"/>
    <w:rsid w:val="00671284"/>
    <w:rsid w:val="006727FC"/>
    <w:rsid w:val="00673906"/>
    <w:rsid w:val="00673C20"/>
    <w:rsid w:val="00674B58"/>
    <w:rsid w:val="00674BCB"/>
    <w:rsid w:val="006756CD"/>
    <w:rsid w:val="00675F49"/>
    <w:rsid w:val="00676613"/>
    <w:rsid w:val="00676E5B"/>
    <w:rsid w:val="006771AA"/>
    <w:rsid w:val="00677D6B"/>
    <w:rsid w:val="00680496"/>
    <w:rsid w:val="006806D5"/>
    <w:rsid w:val="00680752"/>
    <w:rsid w:val="00680795"/>
    <w:rsid w:val="00681523"/>
    <w:rsid w:val="00682713"/>
    <w:rsid w:val="00683451"/>
    <w:rsid w:val="00683579"/>
    <w:rsid w:val="006843F4"/>
    <w:rsid w:val="00684598"/>
    <w:rsid w:val="006854CE"/>
    <w:rsid w:val="00686B47"/>
    <w:rsid w:val="00686BCE"/>
    <w:rsid w:val="00686D14"/>
    <w:rsid w:val="00686F21"/>
    <w:rsid w:val="006875EA"/>
    <w:rsid w:val="0068790B"/>
    <w:rsid w:val="00690171"/>
    <w:rsid w:val="006906E4"/>
    <w:rsid w:val="006913EB"/>
    <w:rsid w:val="00691C54"/>
    <w:rsid w:val="00691CA6"/>
    <w:rsid w:val="00691E49"/>
    <w:rsid w:val="006922DC"/>
    <w:rsid w:val="006928E4"/>
    <w:rsid w:val="006941DD"/>
    <w:rsid w:val="006943D1"/>
    <w:rsid w:val="0069466B"/>
    <w:rsid w:val="00694795"/>
    <w:rsid w:val="00695014"/>
    <w:rsid w:val="00696AA8"/>
    <w:rsid w:val="006A1BA3"/>
    <w:rsid w:val="006A257C"/>
    <w:rsid w:val="006A2615"/>
    <w:rsid w:val="006A4158"/>
    <w:rsid w:val="006A445E"/>
    <w:rsid w:val="006A447C"/>
    <w:rsid w:val="006A4AA7"/>
    <w:rsid w:val="006A4E15"/>
    <w:rsid w:val="006A4FC0"/>
    <w:rsid w:val="006A5866"/>
    <w:rsid w:val="006A5E4F"/>
    <w:rsid w:val="006A612F"/>
    <w:rsid w:val="006A643C"/>
    <w:rsid w:val="006A7227"/>
    <w:rsid w:val="006A729B"/>
    <w:rsid w:val="006A741F"/>
    <w:rsid w:val="006A76A9"/>
    <w:rsid w:val="006B0431"/>
    <w:rsid w:val="006B0F54"/>
    <w:rsid w:val="006B12C6"/>
    <w:rsid w:val="006B1DD8"/>
    <w:rsid w:val="006B415B"/>
    <w:rsid w:val="006B4C95"/>
    <w:rsid w:val="006B4CBA"/>
    <w:rsid w:val="006B5058"/>
    <w:rsid w:val="006B59AD"/>
    <w:rsid w:val="006B6302"/>
    <w:rsid w:val="006B673D"/>
    <w:rsid w:val="006B6FEB"/>
    <w:rsid w:val="006B7542"/>
    <w:rsid w:val="006C0A59"/>
    <w:rsid w:val="006C19EE"/>
    <w:rsid w:val="006C1D01"/>
    <w:rsid w:val="006C1F6D"/>
    <w:rsid w:val="006C24C7"/>
    <w:rsid w:val="006C2BE3"/>
    <w:rsid w:val="006C2E46"/>
    <w:rsid w:val="006C3B05"/>
    <w:rsid w:val="006C3D4F"/>
    <w:rsid w:val="006C4E45"/>
    <w:rsid w:val="006C579B"/>
    <w:rsid w:val="006C5EE1"/>
    <w:rsid w:val="006C61B1"/>
    <w:rsid w:val="006C6DB8"/>
    <w:rsid w:val="006D0669"/>
    <w:rsid w:val="006D1D4E"/>
    <w:rsid w:val="006D1D63"/>
    <w:rsid w:val="006D261D"/>
    <w:rsid w:val="006D2B96"/>
    <w:rsid w:val="006D3771"/>
    <w:rsid w:val="006D3AA1"/>
    <w:rsid w:val="006D440A"/>
    <w:rsid w:val="006D5599"/>
    <w:rsid w:val="006D592F"/>
    <w:rsid w:val="006D62BE"/>
    <w:rsid w:val="006D6EFE"/>
    <w:rsid w:val="006D728E"/>
    <w:rsid w:val="006D7B71"/>
    <w:rsid w:val="006E0006"/>
    <w:rsid w:val="006E01BB"/>
    <w:rsid w:val="006E0DF6"/>
    <w:rsid w:val="006E0FD3"/>
    <w:rsid w:val="006E1BDE"/>
    <w:rsid w:val="006E2575"/>
    <w:rsid w:val="006E336C"/>
    <w:rsid w:val="006E35A9"/>
    <w:rsid w:val="006E3B9E"/>
    <w:rsid w:val="006E4A27"/>
    <w:rsid w:val="006E4DF1"/>
    <w:rsid w:val="006E5828"/>
    <w:rsid w:val="006E5D8C"/>
    <w:rsid w:val="006E6B92"/>
    <w:rsid w:val="006E6BB9"/>
    <w:rsid w:val="006E784F"/>
    <w:rsid w:val="006F0B4F"/>
    <w:rsid w:val="006F0E97"/>
    <w:rsid w:val="006F1592"/>
    <w:rsid w:val="006F2DF3"/>
    <w:rsid w:val="006F2DF9"/>
    <w:rsid w:val="006F2E99"/>
    <w:rsid w:val="006F2FFE"/>
    <w:rsid w:val="006F3C6F"/>
    <w:rsid w:val="006F41C6"/>
    <w:rsid w:val="006F5DD9"/>
    <w:rsid w:val="006F6648"/>
    <w:rsid w:val="006F6736"/>
    <w:rsid w:val="006F6E9C"/>
    <w:rsid w:val="006F6FA2"/>
    <w:rsid w:val="006F74F4"/>
    <w:rsid w:val="007001D0"/>
    <w:rsid w:val="007009E7"/>
    <w:rsid w:val="00700CE3"/>
    <w:rsid w:val="00701498"/>
    <w:rsid w:val="00701E70"/>
    <w:rsid w:val="00701E82"/>
    <w:rsid w:val="00704BB6"/>
    <w:rsid w:val="00704F47"/>
    <w:rsid w:val="00705001"/>
    <w:rsid w:val="00705BC0"/>
    <w:rsid w:val="0070702A"/>
    <w:rsid w:val="007072C2"/>
    <w:rsid w:val="0070746B"/>
    <w:rsid w:val="007075CA"/>
    <w:rsid w:val="00710C02"/>
    <w:rsid w:val="0071151E"/>
    <w:rsid w:val="007118AC"/>
    <w:rsid w:val="00711FC7"/>
    <w:rsid w:val="0071482B"/>
    <w:rsid w:val="00714C8F"/>
    <w:rsid w:val="00715A32"/>
    <w:rsid w:val="00716574"/>
    <w:rsid w:val="00716CCB"/>
    <w:rsid w:val="00716F57"/>
    <w:rsid w:val="00717003"/>
    <w:rsid w:val="00717A74"/>
    <w:rsid w:val="00720EA2"/>
    <w:rsid w:val="00721409"/>
    <w:rsid w:val="00721CE0"/>
    <w:rsid w:val="007221A2"/>
    <w:rsid w:val="00722935"/>
    <w:rsid w:val="00723BA8"/>
    <w:rsid w:val="00724257"/>
    <w:rsid w:val="0072448D"/>
    <w:rsid w:val="0072568C"/>
    <w:rsid w:val="00726C35"/>
    <w:rsid w:val="00726FDE"/>
    <w:rsid w:val="007270E4"/>
    <w:rsid w:val="00727815"/>
    <w:rsid w:val="00727A26"/>
    <w:rsid w:val="007301A7"/>
    <w:rsid w:val="00730E31"/>
    <w:rsid w:val="007313A4"/>
    <w:rsid w:val="00731940"/>
    <w:rsid w:val="007320A7"/>
    <w:rsid w:val="007346F8"/>
    <w:rsid w:val="00734D66"/>
    <w:rsid w:val="00734E06"/>
    <w:rsid w:val="00736540"/>
    <w:rsid w:val="00736B8E"/>
    <w:rsid w:val="00736E9D"/>
    <w:rsid w:val="007373FA"/>
    <w:rsid w:val="00737E7D"/>
    <w:rsid w:val="0074063F"/>
    <w:rsid w:val="00740EF1"/>
    <w:rsid w:val="007416A1"/>
    <w:rsid w:val="00741BF8"/>
    <w:rsid w:val="0074249A"/>
    <w:rsid w:val="0074250E"/>
    <w:rsid w:val="0074331B"/>
    <w:rsid w:val="007437BA"/>
    <w:rsid w:val="007444E7"/>
    <w:rsid w:val="00744546"/>
    <w:rsid w:val="00744A0B"/>
    <w:rsid w:val="00744A18"/>
    <w:rsid w:val="00744A76"/>
    <w:rsid w:val="00744DBD"/>
    <w:rsid w:val="00745398"/>
    <w:rsid w:val="00745EE9"/>
    <w:rsid w:val="00746FC3"/>
    <w:rsid w:val="00747491"/>
    <w:rsid w:val="007476F2"/>
    <w:rsid w:val="00747B90"/>
    <w:rsid w:val="00750795"/>
    <w:rsid w:val="00751081"/>
    <w:rsid w:val="0075199B"/>
    <w:rsid w:val="007519F6"/>
    <w:rsid w:val="007529C5"/>
    <w:rsid w:val="00752F3D"/>
    <w:rsid w:val="00754870"/>
    <w:rsid w:val="007561F0"/>
    <w:rsid w:val="00756632"/>
    <w:rsid w:val="00756991"/>
    <w:rsid w:val="0075754A"/>
    <w:rsid w:val="00757602"/>
    <w:rsid w:val="00757E45"/>
    <w:rsid w:val="00757EE6"/>
    <w:rsid w:val="00760554"/>
    <w:rsid w:val="0076083D"/>
    <w:rsid w:val="00760FE3"/>
    <w:rsid w:val="00761DC2"/>
    <w:rsid w:val="00762B1E"/>
    <w:rsid w:val="0076329D"/>
    <w:rsid w:val="00763EA8"/>
    <w:rsid w:val="00764123"/>
    <w:rsid w:val="00764B94"/>
    <w:rsid w:val="007652E2"/>
    <w:rsid w:val="00765791"/>
    <w:rsid w:val="007659E0"/>
    <w:rsid w:val="00765A82"/>
    <w:rsid w:val="00766434"/>
    <w:rsid w:val="00767222"/>
    <w:rsid w:val="00767C19"/>
    <w:rsid w:val="00770E10"/>
    <w:rsid w:val="00771E07"/>
    <w:rsid w:val="00771E5C"/>
    <w:rsid w:val="00772107"/>
    <w:rsid w:val="00772315"/>
    <w:rsid w:val="00772A9B"/>
    <w:rsid w:val="00772BA7"/>
    <w:rsid w:val="00773E30"/>
    <w:rsid w:val="007742FF"/>
    <w:rsid w:val="00774A83"/>
    <w:rsid w:val="00775146"/>
    <w:rsid w:val="007755A1"/>
    <w:rsid w:val="0077566D"/>
    <w:rsid w:val="00775A10"/>
    <w:rsid w:val="00776097"/>
    <w:rsid w:val="0077625F"/>
    <w:rsid w:val="007766A5"/>
    <w:rsid w:val="00776E39"/>
    <w:rsid w:val="00777C3A"/>
    <w:rsid w:val="0078016D"/>
    <w:rsid w:val="00780E97"/>
    <w:rsid w:val="00781778"/>
    <w:rsid w:val="0078188C"/>
    <w:rsid w:val="00782098"/>
    <w:rsid w:val="00782467"/>
    <w:rsid w:val="007827A8"/>
    <w:rsid w:val="00783D75"/>
    <w:rsid w:val="007846FE"/>
    <w:rsid w:val="007857E3"/>
    <w:rsid w:val="00786231"/>
    <w:rsid w:val="00787EA2"/>
    <w:rsid w:val="0079000B"/>
    <w:rsid w:val="007900CB"/>
    <w:rsid w:val="007902F4"/>
    <w:rsid w:val="007905B2"/>
    <w:rsid w:val="00790E9B"/>
    <w:rsid w:val="007917E7"/>
    <w:rsid w:val="0079233F"/>
    <w:rsid w:val="007927C6"/>
    <w:rsid w:val="00792862"/>
    <w:rsid w:val="0079348E"/>
    <w:rsid w:val="00793C28"/>
    <w:rsid w:val="00793EEB"/>
    <w:rsid w:val="0079405B"/>
    <w:rsid w:val="00795679"/>
    <w:rsid w:val="0079797F"/>
    <w:rsid w:val="007A008F"/>
    <w:rsid w:val="007A0406"/>
    <w:rsid w:val="007A05F4"/>
    <w:rsid w:val="007A0BB9"/>
    <w:rsid w:val="007A14E8"/>
    <w:rsid w:val="007A1D73"/>
    <w:rsid w:val="007A28E3"/>
    <w:rsid w:val="007A3FD7"/>
    <w:rsid w:val="007A4023"/>
    <w:rsid w:val="007A5445"/>
    <w:rsid w:val="007A5A94"/>
    <w:rsid w:val="007A5E11"/>
    <w:rsid w:val="007A6C47"/>
    <w:rsid w:val="007B068E"/>
    <w:rsid w:val="007B20B0"/>
    <w:rsid w:val="007B31F7"/>
    <w:rsid w:val="007B347F"/>
    <w:rsid w:val="007B39F6"/>
    <w:rsid w:val="007B4481"/>
    <w:rsid w:val="007B58A3"/>
    <w:rsid w:val="007B5A98"/>
    <w:rsid w:val="007B5E30"/>
    <w:rsid w:val="007B5E45"/>
    <w:rsid w:val="007B747A"/>
    <w:rsid w:val="007C1AD0"/>
    <w:rsid w:val="007C1DB0"/>
    <w:rsid w:val="007C2270"/>
    <w:rsid w:val="007C2613"/>
    <w:rsid w:val="007C27D4"/>
    <w:rsid w:val="007C2B56"/>
    <w:rsid w:val="007C4720"/>
    <w:rsid w:val="007C4CCE"/>
    <w:rsid w:val="007C570A"/>
    <w:rsid w:val="007C6968"/>
    <w:rsid w:val="007C78D3"/>
    <w:rsid w:val="007C7D24"/>
    <w:rsid w:val="007C7D49"/>
    <w:rsid w:val="007C7DE5"/>
    <w:rsid w:val="007D0EEB"/>
    <w:rsid w:val="007D1986"/>
    <w:rsid w:val="007D1D99"/>
    <w:rsid w:val="007D2376"/>
    <w:rsid w:val="007D2C8A"/>
    <w:rsid w:val="007D477A"/>
    <w:rsid w:val="007D4A41"/>
    <w:rsid w:val="007D4D2A"/>
    <w:rsid w:val="007D5B26"/>
    <w:rsid w:val="007D5E52"/>
    <w:rsid w:val="007D5F07"/>
    <w:rsid w:val="007D6F85"/>
    <w:rsid w:val="007D714E"/>
    <w:rsid w:val="007D763D"/>
    <w:rsid w:val="007D77A3"/>
    <w:rsid w:val="007D7E54"/>
    <w:rsid w:val="007D7E8E"/>
    <w:rsid w:val="007E00B1"/>
    <w:rsid w:val="007E0749"/>
    <w:rsid w:val="007E2F87"/>
    <w:rsid w:val="007E334F"/>
    <w:rsid w:val="007E392D"/>
    <w:rsid w:val="007E3AC7"/>
    <w:rsid w:val="007E4155"/>
    <w:rsid w:val="007E57B5"/>
    <w:rsid w:val="007E5D39"/>
    <w:rsid w:val="007E66C8"/>
    <w:rsid w:val="007E67BD"/>
    <w:rsid w:val="007E68F0"/>
    <w:rsid w:val="007E6BBD"/>
    <w:rsid w:val="007E7E5F"/>
    <w:rsid w:val="007F06E1"/>
    <w:rsid w:val="007F0C09"/>
    <w:rsid w:val="007F1383"/>
    <w:rsid w:val="007F2939"/>
    <w:rsid w:val="007F3E75"/>
    <w:rsid w:val="007F4540"/>
    <w:rsid w:val="007F517F"/>
    <w:rsid w:val="007F6391"/>
    <w:rsid w:val="007F6CAD"/>
    <w:rsid w:val="007F6FB8"/>
    <w:rsid w:val="007F7051"/>
    <w:rsid w:val="007F7071"/>
    <w:rsid w:val="007F7481"/>
    <w:rsid w:val="007F76FF"/>
    <w:rsid w:val="007F7E83"/>
    <w:rsid w:val="00800490"/>
    <w:rsid w:val="00801491"/>
    <w:rsid w:val="008015A7"/>
    <w:rsid w:val="00801B8F"/>
    <w:rsid w:val="00801EF6"/>
    <w:rsid w:val="0080247B"/>
    <w:rsid w:val="00802AEC"/>
    <w:rsid w:val="00803024"/>
    <w:rsid w:val="00803099"/>
    <w:rsid w:val="0080406C"/>
    <w:rsid w:val="008051ED"/>
    <w:rsid w:val="0080562C"/>
    <w:rsid w:val="008071D0"/>
    <w:rsid w:val="0081037F"/>
    <w:rsid w:val="0081066B"/>
    <w:rsid w:val="00810809"/>
    <w:rsid w:val="00810C6A"/>
    <w:rsid w:val="00810C86"/>
    <w:rsid w:val="008120FC"/>
    <w:rsid w:val="00812350"/>
    <w:rsid w:val="00812369"/>
    <w:rsid w:val="00812741"/>
    <w:rsid w:val="008128E3"/>
    <w:rsid w:val="00812A80"/>
    <w:rsid w:val="00812B12"/>
    <w:rsid w:val="00813049"/>
    <w:rsid w:val="00814358"/>
    <w:rsid w:val="00814407"/>
    <w:rsid w:val="0081472A"/>
    <w:rsid w:val="00815871"/>
    <w:rsid w:val="008179C7"/>
    <w:rsid w:val="00817FE5"/>
    <w:rsid w:val="00821319"/>
    <w:rsid w:val="00821789"/>
    <w:rsid w:val="0082180B"/>
    <w:rsid w:val="00821BC9"/>
    <w:rsid w:val="00821FE7"/>
    <w:rsid w:val="0082434D"/>
    <w:rsid w:val="00825147"/>
    <w:rsid w:val="00825D4F"/>
    <w:rsid w:val="00826482"/>
    <w:rsid w:val="00826F04"/>
    <w:rsid w:val="00830017"/>
    <w:rsid w:val="00830787"/>
    <w:rsid w:val="00830DC9"/>
    <w:rsid w:val="00831489"/>
    <w:rsid w:val="00833A6A"/>
    <w:rsid w:val="00833E2F"/>
    <w:rsid w:val="00834240"/>
    <w:rsid w:val="008343C7"/>
    <w:rsid w:val="00834F9A"/>
    <w:rsid w:val="00835ECC"/>
    <w:rsid w:val="008368F3"/>
    <w:rsid w:val="008376DF"/>
    <w:rsid w:val="008400A8"/>
    <w:rsid w:val="00840B36"/>
    <w:rsid w:val="0084156A"/>
    <w:rsid w:val="008425BD"/>
    <w:rsid w:val="008427B1"/>
    <w:rsid w:val="008449FF"/>
    <w:rsid w:val="00845E77"/>
    <w:rsid w:val="0084601D"/>
    <w:rsid w:val="008462FB"/>
    <w:rsid w:val="00846C73"/>
    <w:rsid w:val="00846E8A"/>
    <w:rsid w:val="00847A5B"/>
    <w:rsid w:val="00847BE3"/>
    <w:rsid w:val="008500CD"/>
    <w:rsid w:val="00850462"/>
    <w:rsid w:val="00850C94"/>
    <w:rsid w:val="0085161D"/>
    <w:rsid w:val="00852EEF"/>
    <w:rsid w:val="00853030"/>
    <w:rsid w:val="00854E65"/>
    <w:rsid w:val="00855597"/>
    <w:rsid w:val="00855780"/>
    <w:rsid w:val="008557AA"/>
    <w:rsid w:val="00855F84"/>
    <w:rsid w:val="00856178"/>
    <w:rsid w:val="008567C0"/>
    <w:rsid w:val="008567E9"/>
    <w:rsid w:val="00856C69"/>
    <w:rsid w:val="008570AB"/>
    <w:rsid w:val="0086011E"/>
    <w:rsid w:val="008603A8"/>
    <w:rsid w:val="00860E16"/>
    <w:rsid w:val="00861133"/>
    <w:rsid w:val="00862222"/>
    <w:rsid w:val="00862545"/>
    <w:rsid w:val="008625DC"/>
    <w:rsid w:val="00862D62"/>
    <w:rsid w:val="00863356"/>
    <w:rsid w:val="0086428A"/>
    <w:rsid w:val="00864544"/>
    <w:rsid w:val="008653B5"/>
    <w:rsid w:val="00865A76"/>
    <w:rsid w:val="00865D8C"/>
    <w:rsid w:val="008663D7"/>
    <w:rsid w:val="00866EF3"/>
    <w:rsid w:val="00866FA7"/>
    <w:rsid w:val="0086730B"/>
    <w:rsid w:val="0086739F"/>
    <w:rsid w:val="008674DC"/>
    <w:rsid w:val="008679E6"/>
    <w:rsid w:val="00867A0F"/>
    <w:rsid w:val="008707F5"/>
    <w:rsid w:val="00871811"/>
    <w:rsid w:val="008718B4"/>
    <w:rsid w:val="00871F92"/>
    <w:rsid w:val="00872B6D"/>
    <w:rsid w:val="00872C22"/>
    <w:rsid w:val="00872E1F"/>
    <w:rsid w:val="008736AE"/>
    <w:rsid w:val="00873942"/>
    <w:rsid w:val="00873995"/>
    <w:rsid w:val="00873B1F"/>
    <w:rsid w:val="0087400E"/>
    <w:rsid w:val="00875189"/>
    <w:rsid w:val="00875E28"/>
    <w:rsid w:val="00876F99"/>
    <w:rsid w:val="00876FBF"/>
    <w:rsid w:val="00880558"/>
    <w:rsid w:val="008807AA"/>
    <w:rsid w:val="00881DD6"/>
    <w:rsid w:val="00882ED0"/>
    <w:rsid w:val="00883257"/>
    <w:rsid w:val="00883894"/>
    <w:rsid w:val="00884C95"/>
    <w:rsid w:val="0088519A"/>
    <w:rsid w:val="00885DA2"/>
    <w:rsid w:val="00885E17"/>
    <w:rsid w:val="00885F75"/>
    <w:rsid w:val="00886342"/>
    <w:rsid w:val="00887143"/>
    <w:rsid w:val="008875DE"/>
    <w:rsid w:val="00887950"/>
    <w:rsid w:val="00887FCE"/>
    <w:rsid w:val="0089074D"/>
    <w:rsid w:val="0089092F"/>
    <w:rsid w:val="008918ED"/>
    <w:rsid w:val="0089325B"/>
    <w:rsid w:val="00893594"/>
    <w:rsid w:val="0089422E"/>
    <w:rsid w:val="008947EA"/>
    <w:rsid w:val="00894ABF"/>
    <w:rsid w:val="00895789"/>
    <w:rsid w:val="00895FFF"/>
    <w:rsid w:val="00896FF4"/>
    <w:rsid w:val="0089725A"/>
    <w:rsid w:val="00897739"/>
    <w:rsid w:val="00897B39"/>
    <w:rsid w:val="008A04C0"/>
    <w:rsid w:val="008A056A"/>
    <w:rsid w:val="008A0B42"/>
    <w:rsid w:val="008A0E85"/>
    <w:rsid w:val="008A0E92"/>
    <w:rsid w:val="008A15CB"/>
    <w:rsid w:val="008A1A50"/>
    <w:rsid w:val="008A1DDE"/>
    <w:rsid w:val="008A2544"/>
    <w:rsid w:val="008A34CE"/>
    <w:rsid w:val="008A371D"/>
    <w:rsid w:val="008A3863"/>
    <w:rsid w:val="008A5443"/>
    <w:rsid w:val="008A55A8"/>
    <w:rsid w:val="008A5F01"/>
    <w:rsid w:val="008A6B66"/>
    <w:rsid w:val="008A7078"/>
    <w:rsid w:val="008B04B6"/>
    <w:rsid w:val="008B0969"/>
    <w:rsid w:val="008B10FE"/>
    <w:rsid w:val="008B11D0"/>
    <w:rsid w:val="008B286E"/>
    <w:rsid w:val="008B2ABC"/>
    <w:rsid w:val="008B32B6"/>
    <w:rsid w:val="008B43CC"/>
    <w:rsid w:val="008B4464"/>
    <w:rsid w:val="008B4BF2"/>
    <w:rsid w:val="008B56E5"/>
    <w:rsid w:val="008B5AFD"/>
    <w:rsid w:val="008B5B65"/>
    <w:rsid w:val="008B6650"/>
    <w:rsid w:val="008B729C"/>
    <w:rsid w:val="008B7A4E"/>
    <w:rsid w:val="008C0522"/>
    <w:rsid w:val="008C1506"/>
    <w:rsid w:val="008C2D30"/>
    <w:rsid w:val="008C33F2"/>
    <w:rsid w:val="008C444D"/>
    <w:rsid w:val="008C4E36"/>
    <w:rsid w:val="008C5BCB"/>
    <w:rsid w:val="008C6C92"/>
    <w:rsid w:val="008C6E11"/>
    <w:rsid w:val="008C77F7"/>
    <w:rsid w:val="008C79DC"/>
    <w:rsid w:val="008D0262"/>
    <w:rsid w:val="008D0AE4"/>
    <w:rsid w:val="008D1B0D"/>
    <w:rsid w:val="008D20E6"/>
    <w:rsid w:val="008D2A90"/>
    <w:rsid w:val="008D2F52"/>
    <w:rsid w:val="008D3E19"/>
    <w:rsid w:val="008D4DB0"/>
    <w:rsid w:val="008D57A4"/>
    <w:rsid w:val="008D5F06"/>
    <w:rsid w:val="008D6B57"/>
    <w:rsid w:val="008D74C3"/>
    <w:rsid w:val="008D769C"/>
    <w:rsid w:val="008D78AE"/>
    <w:rsid w:val="008D7DFC"/>
    <w:rsid w:val="008D7F82"/>
    <w:rsid w:val="008E00FD"/>
    <w:rsid w:val="008E07C6"/>
    <w:rsid w:val="008E152D"/>
    <w:rsid w:val="008E3214"/>
    <w:rsid w:val="008E33EA"/>
    <w:rsid w:val="008E34C5"/>
    <w:rsid w:val="008E4180"/>
    <w:rsid w:val="008E4ECE"/>
    <w:rsid w:val="008E5BB7"/>
    <w:rsid w:val="008E5F84"/>
    <w:rsid w:val="008E6A1B"/>
    <w:rsid w:val="008E6FAD"/>
    <w:rsid w:val="008E6FF6"/>
    <w:rsid w:val="008E70CC"/>
    <w:rsid w:val="008E72E5"/>
    <w:rsid w:val="008E75D0"/>
    <w:rsid w:val="008E79F9"/>
    <w:rsid w:val="008E7DCC"/>
    <w:rsid w:val="008F0D1E"/>
    <w:rsid w:val="008F0EA9"/>
    <w:rsid w:val="008F1B1E"/>
    <w:rsid w:val="008F1E0E"/>
    <w:rsid w:val="008F2B7E"/>
    <w:rsid w:val="008F31DF"/>
    <w:rsid w:val="008F38F6"/>
    <w:rsid w:val="008F3B8B"/>
    <w:rsid w:val="008F3D85"/>
    <w:rsid w:val="008F411D"/>
    <w:rsid w:val="008F4D31"/>
    <w:rsid w:val="008F53F5"/>
    <w:rsid w:val="008F56A2"/>
    <w:rsid w:val="008F5AA4"/>
    <w:rsid w:val="008F5FF0"/>
    <w:rsid w:val="008F61F2"/>
    <w:rsid w:val="008F63BC"/>
    <w:rsid w:val="008F6485"/>
    <w:rsid w:val="008F710C"/>
    <w:rsid w:val="008F743D"/>
    <w:rsid w:val="008F7B17"/>
    <w:rsid w:val="008F7F78"/>
    <w:rsid w:val="00900316"/>
    <w:rsid w:val="00900A24"/>
    <w:rsid w:val="009010D0"/>
    <w:rsid w:val="0090122A"/>
    <w:rsid w:val="00901F73"/>
    <w:rsid w:val="0090394F"/>
    <w:rsid w:val="00903A53"/>
    <w:rsid w:val="009047AE"/>
    <w:rsid w:val="009053FE"/>
    <w:rsid w:val="009054D3"/>
    <w:rsid w:val="00905587"/>
    <w:rsid w:val="009057D3"/>
    <w:rsid w:val="009064DC"/>
    <w:rsid w:val="00906628"/>
    <w:rsid w:val="009068B1"/>
    <w:rsid w:val="0090696A"/>
    <w:rsid w:val="00907B9D"/>
    <w:rsid w:val="00910CFA"/>
    <w:rsid w:val="00911527"/>
    <w:rsid w:val="009115A0"/>
    <w:rsid w:val="009125D2"/>
    <w:rsid w:val="00912ECB"/>
    <w:rsid w:val="0091330B"/>
    <w:rsid w:val="00914007"/>
    <w:rsid w:val="00914530"/>
    <w:rsid w:val="00914667"/>
    <w:rsid w:val="00915179"/>
    <w:rsid w:val="00915E3F"/>
    <w:rsid w:val="00915F49"/>
    <w:rsid w:val="00915F97"/>
    <w:rsid w:val="009179EB"/>
    <w:rsid w:val="00922633"/>
    <w:rsid w:val="0092273F"/>
    <w:rsid w:val="0092284C"/>
    <w:rsid w:val="009235B5"/>
    <w:rsid w:val="009238F1"/>
    <w:rsid w:val="00924867"/>
    <w:rsid w:val="009249B4"/>
    <w:rsid w:val="00926716"/>
    <w:rsid w:val="00926857"/>
    <w:rsid w:val="009270DB"/>
    <w:rsid w:val="00930BEB"/>
    <w:rsid w:val="009323DF"/>
    <w:rsid w:val="00932AFC"/>
    <w:rsid w:val="00932B96"/>
    <w:rsid w:val="0093389C"/>
    <w:rsid w:val="00933A7D"/>
    <w:rsid w:val="00933DA9"/>
    <w:rsid w:val="0093452F"/>
    <w:rsid w:val="0093491F"/>
    <w:rsid w:val="00935E14"/>
    <w:rsid w:val="0093646D"/>
    <w:rsid w:val="009377A8"/>
    <w:rsid w:val="00940BBE"/>
    <w:rsid w:val="009415D5"/>
    <w:rsid w:val="00941787"/>
    <w:rsid w:val="00941E4F"/>
    <w:rsid w:val="00942454"/>
    <w:rsid w:val="009428F5"/>
    <w:rsid w:val="0094480E"/>
    <w:rsid w:val="009453AF"/>
    <w:rsid w:val="009454C7"/>
    <w:rsid w:val="00945A79"/>
    <w:rsid w:val="00946ADB"/>
    <w:rsid w:val="00946D49"/>
    <w:rsid w:val="00947B5B"/>
    <w:rsid w:val="00950281"/>
    <w:rsid w:val="0095029E"/>
    <w:rsid w:val="00951BD3"/>
    <w:rsid w:val="009529FD"/>
    <w:rsid w:val="00952B8F"/>
    <w:rsid w:val="00953F3C"/>
    <w:rsid w:val="0095496C"/>
    <w:rsid w:val="0095569B"/>
    <w:rsid w:val="009559F2"/>
    <w:rsid w:val="009562CC"/>
    <w:rsid w:val="0095695E"/>
    <w:rsid w:val="00957310"/>
    <w:rsid w:val="0095750D"/>
    <w:rsid w:val="00960B83"/>
    <w:rsid w:val="0096136C"/>
    <w:rsid w:val="00962B8F"/>
    <w:rsid w:val="009637E4"/>
    <w:rsid w:val="00964464"/>
    <w:rsid w:val="00965665"/>
    <w:rsid w:val="0096632E"/>
    <w:rsid w:val="00966D4F"/>
    <w:rsid w:val="00970E65"/>
    <w:rsid w:val="00970F9F"/>
    <w:rsid w:val="0097102C"/>
    <w:rsid w:val="0097133A"/>
    <w:rsid w:val="009716CC"/>
    <w:rsid w:val="00971CBF"/>
    <w:rsid w:val="00971F52"/>
    <w:rsid w:val="0097202E"/>
    <w:rsid w:val="009721A9"/>
    <w:rsid w:val="00972E0B"/>
    <w:rsid w:val="00972E68"/>
    <w:rsid w:val="009742E0"/>
    <w:rsid w:val="0097462D"/>
    <w:rsid w:val="009748F0"/>
    <w:rsid w:val="00974A7C"/>
    <w:rsid w:val="00974AC3"/>
    <w:rsid w:val="0097587B"/>
    <w:rsid w:val="009760D1"/>
    <w:rsid w:val="009763C1"/>
    <w:rsid w:val="009766FE"/>
    <w:rsid w:val="00977715"/>
    <w:rsid w:val="00980439"/>
    <w:rsid w:val="00982444"/>
    <w:rsid w:val="009826B9"/>
    <w:rsid w:val="00982BA7"/>
    <w:rsid w:val="00982CDB"/>
    <w:rsid w:val="00982D92"/>
    <w:rsid w:val="00982F10"/>
    <w:rsid w:val="00983120"/>
    <w:rsid w:val="00983216"/>
    <w:rsid w:val="009834A0"/>
    <w:rsid w:val="009843A8"/>
    <w:rsid w:val="009845DE"/>
    <w:rsid w:val="00984993"/>
    <w:rsid w:val="00984CA2"/>
    <w:rsid w:val="009854F1"/>
    <w:rsid w:val="00986128"/>
    <w:rsid w:val="00987077"/>
    <w:rsid w:val="0098714A"/>
    <w:rsid w:val="009874CF"/>
    <w:rsid w:val="00990428"/>
    <w:rsid w:val="00990686"/>
    <w:rsid w:val="009909B3"/>
    <w:rsid w:val="00993EA1"/>
    <w:rsid w:val="0099496C"/>
    <w:rsid w:val="00995582"/>
    <w:rsid w:val="00995D25"/>
    <w:rsid w:val="009964E1"/>
    <w:rsid w:val="00996569"/>
    <w:rsid w:val="009A057B"/>
    <w:rsid w:val="009A06F0"/>
    <w:rsid w:val="009A14DE"/>
    <w:rsid w:val="009A2294"/>
    <w:rsid w:val="009A301C"/>
    <w:rsid w:val="009A31C4"/>
    <w:rsid w:val="009A40DD"/>
    <w:rsid w:val="009A5F36"/>
    <w:rsid w:val="009A6DED"/>
    <w:rsid w:val="009A72B5"/>
    <w:rsid w:val="009A7450"/>
    <w:rsid w:val="009A7BC2"/>
    <w:rsid w:val="009B011E"/>
    <w:rsid w:val="009B15C3"/>
    <w:rsid w:val="009B180F"/>
    <w:rsid w:val="009B1897"/>
    <w:rsid w:val="009B1BB7"/>
    <w:rsid w:val="009B1C51"/>
    <w:rsid w:val="009B23AE"/>
    <w:rsid w:val="009B3D99"/>
    <w:rsid w:val="009B3EED"/>
    <w:rsid w:val="009B3FA0"/>
    <w:rsid w:val="009B48D4"/>
    <w:rsid w:val="009B751B"/>
    <w:rsid w:val="009B7530"/>
    <w:rsid w:val="009B76AF"/>
    <w:rsid w:val="009C083C"/>
    <w:rsid w:val="009C0992"/>
    <w:rsid w:val="009C0C48"/>
    <w:rsid w:val="009C12EC"/>
    <w:rsid w:val="009C1830"/>
    <w:rsid w:val="009C23DA"/>
    <w:rsid w:val="009C24B3"/>
    <w:rsid w:val="009C2C09"/>
    <w:rsid w:val="009C2E5A"/>
    <w:rsid w:val="009C40A4"/>
    <w:rsid w:val="009C583D"/>
    <w:rsid w:val="009C6214"/>
    <w:rsid w:val="009C645A"/>
    <w:rsid w:val="009C66AA"/>
    <w:rsid w:val="009C672A"/>
    <w:rsid w:val="009C703A"/>
    <w:rsid w:val="009C7B18"/>
    <w:rsid w:val="009C7D55"/>
    <w:rsid w:val="009C7F52"/>
    <w:rsid w:val="009D02FE"/>
    <w:rsid w:val="009D07F2"/>
    <w:rsid w:val="009D12F6"/>
    <w:rsid w:val="009D1884"/>
    <w:rsid w:val="009D24A3"/>
    <w:rsid w:val="009D2FD6"/>
    <w:rsid w:val="009D3004"/>
    <w:rsid w:val="009D3295"/>
    <w:rsid w:val="009D3665"/>
    <w:rsid w:val="009D375A"/>
    <w:rsid w:val="009D3C84"/>
    <w:rsid w:val="009D40C6"/>
    <w:rsid w:val="009D50FC"/>
    <w:rsid w:val="009D5427"/>
    <w:rsid w:val="009D54F3"/>
    <w:rsid w:val="009D5DA3"/>
    <w:rsid w:val="009D6065"/>
    <w:rsid w:val="009D6102"/>
    <w:rsid w:val="009D6969"/>
    <w:rsid w:val="009D6A68"/>
    <w:rsid w:val="009D7470"/>
    <w:rsid w:val="009D7A58"/>
    <w:rsid w:val="009D7E9F"/>
    <w:rsid w:val="009D7FAB"/>
    <w:rsid w:val="009E0483"/>
    <w:rsid w:val="009E0638"/>
    <w:rsid w:val="009E0828"/>
    <w:rsid w:val="009E0CED"/>
    <w:rsid w:val="009E17A2"/>
    <w:rsid w:val="009E2894"/>
    <w:rsid w:val="009E2D23"/>
    <w:rsid w:val="009E4043"/>
    <w:rsid w:val="009E43C1"/>
    <w:rsid w:val="009E4A87"/>
    <w:rsid w:val="009E54AE"/>
    <w:rsid w:val="009E5FC3"/>
    <w:rsid w:val="009E6854"/>
    <w:rsid w:val="009E69CA"/>
    <w:rsid w:val="009E6DF1"/>
    <w:rsid w:val="009E6EDF"/>
    <w:rsid w:val="009E7017"/>
    <w:rsid w:val="009F0195"/>
    <w:rsid w:val="009F0564"/>
    <w:rsid w:val="009F0E1A"/>
    <w:rsid w:val="009F125C"/>
    <w:rsid w:val="009F3BA0"/>
    <w:rsid w:val="009F3F5D"/>
    <w:rsid w:val="009F43CB"/>
    <w:rsid w:val="009F48A0"/>
    <w:rsid w:val="009F4CB9"/>
    <w:rsid w:val="009F5B7F"/>
    <w:rsid w:val="00A00283"/>
    <w:rsid w:val="00A01C02"/>
    <w:rsid w:val="00A023F6"/>
    <w:rsid w:val="00A02D24"/>
    <w:rsid w:val="00A02E16"/>
    <w:rsid w:val="00A05113"/>
    <w:rsid w:val="00A054DC"/>
    <w:rsid w:val="00A055ED"/>
    <w:rsid w:val="00A069AE"/>
    <w:rsid w:val="00A06CC2"/>
    <w:rsid w:val="00A07570"/>
    <w:rsid w:val="00A10389"/>
    <w:rsid w:val="00A1133E"/>
    <w:rsid w:val="00A11888"/>
    <w:rsid w:val="00A11E62"/>
    <w:rsid w:val="00A11E8F"/>
    <w:rsid w:val="00A12369"/>
    <w:rsid w:val="00A13522"/>
    <w:rsid w:val="00A13ED5"/>
    <w:rsid w:val="00A14357"/>
    <w:rsid w:val="00A1524F"/>
    <w:rsid w:val="00A15E63"/>
    <w:rsid w:val="00A167D9"/>
    <w:rsid w:val="00A16DB9"/>
    <w:rsid w:val="00A17672"/>
    <w:rsid w:val="00A2003B"/>
    <w:rsid w:val="00A20A6B"/>
    <w:rsid w:val="00A20C5D"/>
    <w:rsid w:val="00A222CA"/>
    <w:rsid w:val="00A225E3"/>
    <w:rsid w:val="00A22804"/>
    <w:rsid w:val="00A22AD1"/>
    <w:rsid w:val="00A239CC"/>
    <w:rsid w:val="00A23BC2"/>
    <w:rsid w:val="00A248C9"/>
    <w:rsid w:val="00A26B7A"/>
    <w:rsid w:val="00A26F01"/>
    <w:rsid w:val="00A279AC"/>
    <w:rsid w:val="00A27A30"/>
    <w:rsid w:val="00A27A98"/>
    <w:rsid w:val="00A3076F"/>
    <w:rsid w:val="00A30B1C"/>
    <w:rsid w:val="00A30C5D"/>
    <w:rsid w:val="00A310F1"/>
    <w:rsid w:val="00A31C68"/>
    <w:rsid w:val="00A31FFF"/>
    <w:rsid w:val="00A3249C"/>
    <w:rsid w:val="00A325AE"/>
    <w:rsid w:val="00A326A6"/>
    <w:rsid w:val="00A3388B"/>
    <w:rsid w:val="00A33C80"/>
    <w:rsid w:val="00A342D9"/>
    <w:rsid w:val="00A346C2"/>
    <w:rsid w:val="00A35052"/>
    <w:rsid w:val="00A35A91"/>
    <w:rsid w:val="00A35E30"/>
    <w:rsid w:val="00A35FAA"/>
    <w:rsid w:val="00A36EAB"/>
    <w:rsid w:val="00A3727B"/>
    <w:rsid w:val="00A3771C"/>
    <w:rsid w:val="00A3790F"/>
    <w:rsid w:val="00A37A32"/>
    <w:rsid w:val="00A40163"/>
    <w:rsid w:val="00A409BC"/>
    <w:rsid w:val="00A40FC3"/>
    <w:rsid w:val="00A41D7C"/>
    <w:rsid w:val="00A42C22"/>
    <w:rsid w:val="00A42F6D"/>
    <w:rsid w:val="00A438E6"/>
    <w:rsid w:val="00A43C9A"/>
    <w:rsid w:val="00A44088"/>
    <w:rsid w:val="00A4429C"/>
    <w:rsid w:val="00A44612"/>
    <w:rsid w:val="00A446AF"/>
    <w:rsid w:val="00A44720"/>
    <w:rsid w:val="00A44859"/>
    <w:rsid w:val="00A45D11"/>
    <w:rsid w:val="00A46164"/>
    <w:rsid w:val="00A4672E"/>
    <w:rsid w:val="00A46A8E"/>
    <w:rsid w:val="00A46DDB"/>
    <w:rsid w:val="00A46E4E"/>
    <w:rsid w:val="00A47092"/>
    <w:rsid w:val="00A506CC"/>
    <w:rsid w:val="00A50F9F"/>
    <w:rsid w:val="00A51337"/>
    <w:rsid w:val="00A51915"/>
    <w:rsid w:val="00A52246"/>
    <w:rsid w:val="00A522F4"/>
    <w:rsid w:val="00A537E5"/>
    <w:rsid w:val="00A540A5"/>
    <w:rsid w:val="00A54248"/>
    <w:rsid w:val="00A55835"/>
    <w:rsid w:val="00A55B6F"/>
    <w:rsid w:val="00A569DF"/>
    <w:rsid w:val="00A612DB"/>
    <w:rsid w:val="00A61B84"/>
    <w:rsid w:val="00A61BD0"/>
    <w:rsid w:val="00A6388E"/>
    <w:rsid w:val="00A63DC4"/>
    <w:rsid w:val="00A64BC6"/>
    <w:rsid w:val="00A64FD7"/>
    <w:rsid w:val="00A659CB"/>
    <w:rsid w:val="00A67235"/>
    <w:rsid w:val="00A67AF5"/>
    <w:rsid w:val="00A70398"/>
    <w:rsid w:val="00A709AD"/>
    <w:rsid w:val="00A70D03"/>
    <w:rsid w:val="00A70D16"/>
    <w:rsid w:val="00A70D3A"/>
    <w:rsid w:val="00A7110C"/>
    <w:rsid w:val="00A71136"/>
    <w:rsid w:val="00A71441"/>
    <w:rsid w:val="00A715F7"/>
    <w:rsid w:val="00A71793"/>
    <w:rsid w:val="00A7202F"/>
    <w:rsid w:val="00A721F1"/>
    <w:rsid w:val="00A7232E"/>
    <w:rsid w:val="00A725E7"/>
    <w:rsid w:val="00A72DA9"/>
    <w:rsid w:val="00A733CB"/>
    <w:rsid w:val="00A739DF"/>
    <w:rsid w:val="00A740A0"/>
    <w:rsid w:val="00A745EF"/>
    <w:rsid w:val="00A75089"/>
    <w:rsid w:val="00A751AD"/>
    <w:rsid w:val="00A754B9"/>
    <w:rsid w:val="00A76045"/>
    <w:rsid w:val="00A76BB0"/>
    <w:rsid w:val="00A76CC8"/>
    <w:rsid w:val="00A773CD"/>
    <w:rsid w:val="00A775CF"/>
    <w:rsid w:val="00A77853"/>
    <w:rsid w:val="00A77FAF"/>
    <w:rsid w:val="00A80534"/>
    <w:rsid w:val="00A805EB"/>
    <w:rsid w:val="00A80C87"/>
    <w:rsid w:val="00A81EED"/>
    <w:rsid w:val="00A82314"/>
    <w:rsid w:val="00A82EC8"/>
    <w:rsid w:val="00A835F0"/>
    <w:rsid w:val="00A84503"/>
    <w:rsid w:val="00A84E47"/>
    <w:rsid w:val="00A85B57"/>
    <w:rsid w:val="00A867DA"/>
    <w:rsid w:val="00A86F02"/>
    <w:rsid w:val="00A8782F"/>
    <w:rsid w:val="00A900C1"/>
    <w:rsid w:val="00A908FA"/>
    <w:rsid w:val="00A90EB6"/>
    <w:rsid w:val="00A91276"/>
    <w:rsid w:val="00A9167D"/>
    <w:rsid w:val="00A9183C"/>
    <w:rsid w:val="00A91895"/>
    <w:rsid w:val="00A91C50"/>
    <w:rsid w:val="00A92D25"/>
    <w:rsid w:val="00A92DF6"/>
    <w:rsid w:val="00A9401F"/>
    <w:rsid w:val="00A94689"/>
    <w:rsid w:val="00A94DDB"/>
    <w:rsid w:val="00A94F82"/>
    <w:rsid w:val="00A950A1"/>
    <w:rsid w:val="00A9560E"/>
    <w:rsid w:val="00A956D5"/>
    <w:rsid w:val="00A965CD"/>
    <w:rsid w:val="00A96970"/>
    <w:rsid w:val="00AA0155"/>
    <w:rsid w:val="00AA0EC5"/>
    <w:rsid w:val="00AA1BEC"/>
    <w:rsid w:val="00AA2457"/>
    <w:rsid w:val="00AA27AA"/>
    <w:rsid w:val="00AA2DF3"/>
    <w:rsid w:val="00AA2F46"/>
    <w:rsid w:val="00AA4761"/>
    <w:rsid w:val="00AA50BC"/>
    <w:rsid w:val="00AA5B81"/>
    <w:rsid w:val="00AA6AE4"/>
    <w:rsid w:val="00AB0CEC"/>
    <w:rsid w:val="00AB24E7"/>
    <w:rsid w:val="00AB2F59"/>
    <w:rsid w:val="00AB3237"/>
    <w:rsid w:val="00AB36F2"/>
    <w:rsid w:val="00AB3917"/>
    <w:rsid w:val="00AB3A2D"/>
    <w:rsid w:val="00AB456A"/>
    <w:rsid w:val="00AB4AC8"/>
    <w:rsid w:val="00AB4FBC"/>
    <w:rsid w:val="00AB5E21"/>
    <w:rsid w:val="00AB6AD4"/>
    <w:rsid w:val="00AB75AE"/>
    <w:rsid w:val="00AB76EC"/>
    <w:rsid w:val="00AB7933"/>
    <w:rsid w:val="00AB7947"/>
    <w:rsid w:val="00AC0440"/>
    <w:rsid w:val="00AC13C9"/>
    <w:rsid w:val="00AC1657"/>
    <w:rsid w:val="00AC3071"/>
    <w:rsid w:val="00AC37D6"/>
    <w:rsid w:val="00AC3A08"/>
    <w:rsid w:val="00AC3D18"/>
    <w:rsid w:val="00AC5A30"/>
    <w:rsid w:val="00AC6332"/>
    <w:rsid w:val="00AC7924"/>
    <w:rsid w:val="00AD10CF"/>
    <w:rsid w:val="00AD1A4E"/>
    <w:rsid w:val="00AD213D"/>
    <w:rsid w:val="00AD2FC0"/>
    <w:rsid w:val="00AD3581"/>
    <w:rsid w:val="00AD35EA"/>
    <w:rsid w:val="00AD3BC7"/>
    <w:rsid w:val="00AD4154"/>
    <w:rsid w:val="00AD42E2"/>
    <w:rsid w:val="00AD4967"/>
    <w:rsid w:val="00AD562E"/>
    <w:rsid w:val="00AD5B1B"/>
    <w:rsid w:val="00AD5F5E"/>
    <w:rsid w:val="00AD66BE"/>
    <w:rsid w:val="00AD6D16"/>
    <w:rsid w:val="00AD6DB9"/>
    <w:rsid w:val="00AE12A9"/>
    <w:rsid w:val="00AE229D"/>
    <w:rsid w:val="00AE2459"/>
    <w:rsid w:val="00AE28F3"/>
    <w:rsid w:val="00AE29C2"/>
    <w:rsid w:val="00AE2A69"/>
    <w:rsid w:val="00AE3B82"/>
    <w:rsid w:val="00AE3D23"/>
    <w:rsid w:val="00AE3DDE"/>
    <w:rsid w:val="00AE4CEC"/>
    <w:rsid w:val="00AE4EC8"/>
    <w:rsid w:val="00AE517C"/>
    <w:rsid w:val="00AE5960"/>
    <w:rsid w:val="00AE599E"/>
    <w:rsid w:val="00AE5D9F"/>
    <w:rsid w:val="00AE5F15"/>
    <w:rsid w:val="00AE61C0"/>
    <w:rsid w:val="00AE72C2"/>
    <w:rsid w:val="00AE73B6"/>
    <w:rsid w:val="00AE76C9"/>
    <w:rsid w:val="00AE7FB6"/>
    <w:rsid w:val="00AF06B4"/>
    <w:rsid w:val="00AF0ACA"/>
    <w:rsid w:val="00AF0C64"/>
    <w:rsid w:val="00AF0C7E"/>
    <w:rsid w:val="00AF0EB2"/>
    <w:rsid w:val="00AF0F5E"/>
    <w:rsid w:val="00AF2791"/>
    <w:rsid w:val="00AF2EF5"/>
    <w:rsid w:val="00AF3117"/>
    <w:rsid w:val="00AF326B"/>
    <w:rsid w:val="00AF32F0"/>
    <w:rsid w:val="00AF3379"/>
    <w:rsid w:val="00AF3811"/>
    <w:rsid w:val="00AF3A6D"/>
    <w:rsid w:val="00AF3DA8"/>
    <w:rsid w:val="00AF418D"/>
    <w:rsid w:val="00AF4DA4"/>
    <w:rsid w:val="00AF560E"/>
    <w:rsid w:val="00AF5C60"/>
    <w:rsid w:val="00AF6220"/>
    <w:rsid w:val="00AF6C79"/>
    <w:rsid w:val="00AF6F0D"/>
    <w:rsid w:val="00AF70EE"/>
    <w:rsid w:val="00AF7618"/>
    <w:rsid w:val="00AF7C59"/>
    <w:rsid w:val="00B00449"/>
    <w:rsid w:val="00B00B01"/>
    <w:rsid w:val="00B01538"/>
    <w:rsid w:val="00B015C8"/>
    <w:rsid w:val="00B023A0"/>
    <w:rsid w:val="00B02924"/>
    <w:rsid w:val="00B03653"/>
    <w:rsid w:val="00B04550"/>
    <w:rsid w:val="00B04964"/>
    <w:rsid w:val="00B04CBD"/>
    <w:rsid w:val="00B065EF"/>
    <w:rsid w:val="00B102A0"/>
    <w:rsid w:val="00B103E0"/>
    <w:rsid w:val="00B10605"/>
    <w:rsid w:val="00B10E2B"/>
    <w:rsid w:val="00B10F95"/>
    <w:rsid w:val="00B113BB"/>
    <w:rsid w:val="00B11B0A"/>
    <w:rsid w:val="00B12331"/>
    <w:rsid w:val="00B124AD"/>
    <w:rsid w:val="00B1494B"/>
    <w:rsid w:val="00B154B3"/>
    <w:rsid w:val="00B15B71"/>
    <w:rsid w:val="00B15F63"/>
    <w:rsid w:val="00B16085"/>
    <w:rsid w:val="00B166C6"/>
    <w:rsid w:val="00B21941"/>
    <w:rsid w:val="00B21EB4"/>
    <w:rsid w:val="00B22252"/>
    <w:rsid w:val="00B2235C"/>
    <w:rsid w:val="00B22A5B"/>
    <w:rsid w:val="00B24AD2"/>
    <w:rsid w:val="00B26088"/>
    <w:rsid w:val="00B2691D"/>
    <w:rsid w:val="00B269EF"/>
    <w:rsid w:val="00B26C44"/>
    <w:rsid w:val="00B27820"/>
    <w:rsid w:val="00B278FC"/>
    <w:rsid w:val="00B305F8"/>
    <w:rsid w:val="00B306EA"/>
    <w:rsid w:val="00B30944"/>
    <w:rsid w:val="00B30D53"/>
    <w:rsid w:val="00B3104B"/>
    <w:rsid w:val="00B3294A"/>
    <w:rsid w:val="00B32AAC"/>
    <w:rsid w:val="00B33F4D"/>
    <w:rsid w:val="00B34255"/>
    <w:rsid w:val="00B36CFC"/>
    <w:rsid w:val="00B37148"/>
    <w:rsid w:val="00B37AFC"/>
    <w:rsid w:val="00B4084B"/>
    <w:rsid w:val="00B411B3"/>
    <w:rsid w:val="00B41232"/>
    <w:rsid w:val="00B41839"/>
    <w:rsid w:val="00B419CA"/>
    <w:rsid w:val="00B42B56"/>
    <w:rsid w:val="00B436BB"/>
    <w:rsid w:val="00B45864"/>
    <w:rsid w:val="00B460B5"/>
    <w:rsid w:val="00B47998"/>
    <w:rsid w:val="00B47F4C"/>
    <w:rsid w:val="00B50032"/>
    <w:rsid w:val="00B50958"/>
    <w:rsid w:val="00B51526"/>
    <w:rsid w:val="00B51B27"/>
    <w:rsid w:val="00B5601A"/>
    <w:rsid w:val="00B567D8"/>
    <w:rsid w:val="00B60E19"/>
    <w:rsid w:val="00B60F6F"/>
    <w:rsid w:val="00B613C2"/>
    <w:rsid w:val="00B61A52"/>
    <w:rsid w:val="00B6230B"/>
    <w:rsid w:val="00B628E8"/>
    <w:rsid w:val="00B63C3C"/>
    <w:rsid w:val="00B64DE4"/>
    <w:rsid w:val="00B65359"/>
    <w:rsid w:val="00B65561"/>
    <w:rsid w:val="00B676B8"/>
    <w:rsid w:val="00B67D6E"/>
    <w:rsid w:val="00B70250"/>
    <w:rsid w:val="00B70C9E"/>
    <w:rsid w:val="00B70F85"/>
    <w:rsid w:val="00B71222"/>
    <w:rsid w:val="00B7174A"/>
    <w:rsid w:val="00B71767"/>
    <w:rsid w:val="00B72686"/>
    <w:rsid w:val="00B72DC7"/>
    <w:rsid w:val="00B7358B"/>
    <w:rsid w:val="00B7388C"/>
    <w:rsid w:val="00B73E0D"/>
    <w:rsid w:val="00B7521F"/>
    <w:rsid w:val="00B75523"/>
    <w:rsid w:val="00B830A1"/>
    <w:rsid w:val="00B83160"/>
    <w:rsid w:val="00B8365B"/>
    <w:rsid w:val="00B83705"/>
    <w:rsid w:val="00B83B20"/>
    <w:rsid w:val="00B83CA0"/>
    <w:rsid w:val="00B84243"/>
    <w:rsid w:val="00B85C34"/>
    <w:rsid w:val="00B85E30"/>
    <w:rsid w:val="00B86949"/>
    <w:rsid w:val="00B86C78"/>
    <w:rsid w:val="00B86CCD"/>
    <w:rsid w:val="00B876C0"/>
    <w:rsid w:val="00B87806"/>
    <w:rsid w:val="00B878EC"/>
    <w:rsid w:val="00B87E2B"/>
    <w:rsid w:val="00B92B09"/>
    <w:rsid w:val="00B93884"/>
    <w:rsid w:val="00B93D53"/>
    <w:rsid w:val="00B94405"/>
    <w:rsid w:val="00B94A65"/>
    <w:rsid w:val="00B94ADF"/>
    <w:rsid w:val="00B94B09"/>
    <w:rsid w:val="00B94FB4"/>
    <w:rsid w:val="00B9521A"/>
    <w:rsid w:val="00B95D2D"/>
    <w:rsid w:val="00B9607C"/>
    <w:rsid w:val="00B9631B"/>
    <w:rsid w:val="00B9676C"/>
    <w:rsid w:val="00B96D54"/>
    <w:rsid w:val="00BA0966"/>
    <w:rsid w:val="00BA0F2F"/>
    <w:rsid w:val="00BA1132"/>
    <w:rsid w:val="00BA28F3"/>
    <w:rsid w:val="00BA379F"/>
    <w:rsid w:val="00BA6777"/>
    <w:rsid w:val="00BB02E8"/>
    <w:rsid w:val="00BB0F28"/>
    <w:rsid w:val="00BB2119"/>
    <w:rsid w:val="00BB224B"/>
    <w:rsid w:val="00BB2A98"/>
    <w:rsid w:val="00BB3AB5"/>
    <w:rsid w:val="00BB3DA8"/>
    <w:rsid w:val="00BB498B"/>
    <w:rsid w:val="00BB534C"/>
    <w:rsid w:val="00BB5356"/>
    <w:rsid w:val="00BB574D"/>
    <w:rsid w:val="00BB5A84"/>
    <w:rsid w:val="00BB6D23"/>
    <w:rsid w:val="00BB721D"/>
    <w:rsid w:val="00BB7455"/>
    <w:rsid w:val="00BC0DC3"/>
    <w:rsid w:val="00BC1269"/>
    <w:rsid w:val="00BC2C65"/>
    <w:rsid w:val="00BC3472"/>
    <w:rsid w:val="00BC38E6"/>
    <w:rsid w:val="00BC3CAB"/>
    <w:rsid w:val="00BC3F11"/>
    <w:rsid w:val="00BC42CE"/>
    <w:rsid w:val="00BC4422"/>
    <w:rsid w:val="00BC5153"/>
    <w:rsid w:val="00BC5F6E"/>
    <w:rsid w:val="00BC6702"/>
    <w:rsid w:val="00BC6916"/>
    <w:rsid w:val="00BC76B4"/>
    <w:rsid w:val="00BD16BD"/>
    <w:rsid w:val="00BD1DE8"/>
    <w:rsid w:val="00BD210E"/>
    <w:rsid w:val="00BD2257"/>
    <w:rsid w:val="00BD2CB2"/>
    <w:rsid w:val="00BD34C3"/>
    <w:rsid w:val="00BD40CB"/>
    <w:rsid w:val="00BD4954"/>
    <w:rsid w:val="00BD78D5"/>
    <w:rsid w:val="00BE0659"/>
    <w:rsid w:val="00BE0A68"/>
    <w:rsid w:val="00BE0C74"/>
    <w:rsid w:val="00BE1843"/>
    <w:rsid w:val="00BE408C"/>
    <w:rsid w:val="00BE4917"/>
    <w:rsid w:val="00BE537C"/>
    <w:rsid w:val="00BE6D85"/>
    <w:rsid w:val="00BE70B3"/>
    <w:rsid w:val="00BE74EF"/>
    <w:rsid w:val="00BE7D58"/>
    <w:rsid w:val="00BF0029"/>
    <w:rsid w:val="00BF0270"/>
    <w:rsid w:val="00BF0558"/>
    <w:rsid w:val="00BF0E14"/>
    <w:rsid w:val="00BF164E"/>
    <w:rsid w:val="00BF1A33"/>
    <w:rsid w:val="00BF1F41"/>
    <w:rsid w:val="00BF23C3"/>
    <w:rsid w:val="00BF26F7"/>
    <w:rsid w:val="00BF3D35"/>
    <w:rsid w:val="00BF46B7"/>
    <w:rsid w:val="00BF48DF"/>
    <w:rsid w:val="00BF4A6A"/>
    <w:rsid w:val="00BF56B5"/>
    <w:rsid w:val="00BF6D42"/>
    <w:rsid w:val="00BF7194"/>
    <w:rsid w:val="00BF7B5E"/>
    <w:rsid w:val="00BF7ED9"/>
    <w:rsid w:val="00C00AA5"/>
    <w:rsid w:val="00C00B3B"/>
    <w:rsid w:val="00C02450"/>
    <w:rsid w:val="00C02DCC"/>
    <w:rsid w:val="00C037CF"/>
    <w:rsid w:val="00C038D0"/>
    <w:rsid w:val="00C059E7"/>
    <w:rsid w:val="00C0667F"/>
    <w:rsid w:val="00C066AF"/>
    <w:rsid w:val="00C06CE4"/>
    <w:rsid w:val="00C06F4A"/>
    <w:rsid w:val="00C07DEC"/>
    <w:rsid w:val="00C07F1C"/>
    <w:rsid w:val="00C1005F"/>
    <w:rsid w:val="00C107D2"/>
    <w:rsid w:val="00C10B35"/>
    <w:rsid w:val="00C11CE3"/>
    <w:rsid w:val="00C11F05"/>
    <w:rsid w:val="00C11F2F"/>
    <w:rsid w:val="00C124A0"/>
    <w:rsid w:val="00C12D0A"/>
    <w:rsid w:val="00C13491"/>
    <w:rsid w:val="00C13681"/>
    <w:rsid w:val="00C13AF6"/>
    <w:rsid w:val="00C13DA0"/>
    <w:rsid w:val="00C14577"/>
    <w:rsid w:val="00C15DEF"/>
    <w:rsid w:val="00C16863"/>
    <w:rsid w:val="00C17830"/>
    <w:rsid w:val="00C17B32"/>
    <w:rsid w:val="00C20E76"/>
    <w:rsid w:val="00C2237F"/>
    <w:rsid w:val="00C234BA"/>
    <w:rsid w:val="00C23647"/>
    <w:rsid w:val="00C2476F"/>
    <w:rsid w:val="00C24BB1"/>
    <w:rsid w:val="00C259B5"/>
    <w:rsid w:val="00C25C11"/>
    <w:rsid w:val="00C2641F"/>
    <w:rsid w:val="00C27356"/>
    <w:rsid w:val="00C276B1"/>
    <w:rsid w:val="00C3009E"/>
    <w:rsid w:val="00C31227"/>
    <w:rsid w:val="00C31E4C"/>
    <w:rsid w:val="00C31E81"/>
    <w:rsid w:val="00C3236D"/>
    <w:rsid w:val="00C3239B"/>
    <w:rsid w:val="00C3249E"/>
    <w:rsid w:val="00C3303C"/>
    <w:rsid w:val="00C3324A"/>
    <w:rsid w:val="00C342CD"/>
    <w:rsid w:val="00C34390"/>
    <w:rsid w:val="00C34C59"/>
    <w:rsid w:val="00C351F5"/>
    <w:rsid w:val="00C359BA"/>
    <w:rsid w:val="00C35E56"/>
    <w:rsid w:val="00C36775"/>
    <w:rsid w:val="00C36BAB"/>
    <w:rsid w:val="00C36E74"/>
    <w:rsid w:val="00C37BFF"/>
    <w:rsid w:val="00C40689"/>
    <w:rsid w:val="00C41058"/>
    <w:rsid w:val="00C41D55"/>
    <w:rsid w:val="00C41E1F"/>
    <w:rsid w:val="00C42089"/>
    <w:rsid w:val="00C428E6"/>
    <w:rsid w:val="00C42D37"/>
    <w:rsid w:val="00C431A3"/>
    <w:rsid w:val="00C431FB"/>
    <w:rsid w:val="00C43DF8"/>
    <w:rsid w:val="00C44428"/>
    <w:rsid w:val="00C44BE3"/>
    <w:rsid w:val="00C44C1D"/>
    <w:rsid w:val="00C450A9"/>
    <w:rsid w:val="00C45903"/>
    <w:rsid w:val="00C46008"/>
    <w:rsid w:val="00C46399"/>
    <w:rsid w:val="00C46D0E"/>
    <w:rsid w:val="00C5027E"/>
    <w:rsid w:val="00C52888"/>
    <w:rsid w:val="00C53EF2"/>
    <w:rsid w:val="00C54412"/>
    <w:rsid w:val="00C55846"/>
    <w:rsid w:val="00C5691C"/>
    <w:rsid w:val="00C61294"/>
    <w:rsid w:val="00C61B54"/>
    <w:rsid w:val="00C61EA2"/>
    <w:rsid w:val="00C6305B"/>
    <w:rsid w:val="00C63109"/>
    <w:rsid w:val="00C63C1F"/>
    <w:rsid w:val="00C63ED7"/>
    <w:rsid w:val="00C65397"/>
    <w:rsid w:val="00C66319"/>
    <w:rsid w:val="00C6675C"/>
    <w:rsid w:val="00C669CD"/>
    <w:rsid w:val="00C67F8C"/>
    <w:rsid w:val="00C705DA"/>
    <w:rsid w:val="00C715F0"/>
    <w:rsid w:val="00C71CB4"/>
    <w:rsid w:val="00C723E3"/>
    <w:rsid w:val="00C732FB"/>
    <w:rsid w:val="00C7356F"/>
    <w:rsid w:val="00C73F2E"/>
    <w:rsid w:val="00C74126"/>
    <w:rsid w:val="00C74C39"/>
    <w:rsid w:val="00C74DA3"/>
    <w:rsid w:val="00C74DA9"/>
    <w:rsid w:val="00C74E8D"/>
    <w:rsid w:val="00C753BA"/>
    <w:rsid w:val="00C7638D"/>
    <w:rsid w:val="00C763EA"/>
    <w:rsid w:val="00C772E8"/>
    <w:rsid w:val="00C77403"/>
    <w:rsid w:val="00C77417"/>
    <w:rsid w:val="00C8049D"/>
    <w:rsid w:val="00C820EA"/>
    <w:rsid w:val="00C8474A"/>
    <w:rsid w:val="00C84DB3"/>
    <w:rsid w:val="00C854F5"/>
    <w:rsid w:val="00C85D5E"/>
    <w:rsid w:val="00C85E77"/>
    <w:rsid w:val="00C86050"/>
    <w:rsid w:val="00C86D90"/>
    <w:rsid w:val="00C872C5"/>
    <w:rsid w:val="00C8748F"/>
    <w:rsid w:val="00C879BA"/>
    <w:rsid w:val="00C87FB8"/>
    <w:rsid w:val="00C90BD1"/>
    <w:rsid w:val="00C90CE5"/>
    <w:rsid w:val="00C91347"/>
    <w:rsid w:val="00C91CF4"/>
    <w:rsid w:val="00C92123"/>
    <w:rsid w:val="00C92E3C"/>
    <w:rsid w:val="00C946DC"/>
    <w:rsid w:val="00C95596"/>
    <w:rsid w:val="00C95850"/>
    <w:rsid w:val="00C95B85"/>
    <w:rsid w:val="00C95E0E"/>
    <w:rsid w:val="00C960D1"/>
    <w:rsid w:val="00C968D8"/>
    <w:rsid w:val="00C96FBC"/>
    <w:rsid w:val="00C97362"/>
    <w:rsid w:val="00C978F2"/>
    <w:rsid w:val="00C97B88"/>
    <w:rsid w:val="00C97F24"/>
    <w:rsid w:val="00C97F3F"/>
    <w:rsid w:val="00CA0B5E"/>
    <w:rsid w:val="00CA0F4F"/>
    <w:rsid w:val="00CA15D7"/>
    <w:rsid w:val="00CA2F21"/>
    <w:rsid w:val="00CA3214"/>
    <w:rsid w:val="00CA450E"/>
    <w:rsid w:val="00CA475B"/>
    <w:rsid w:val="00CA47FB"/>
    <w:rsid w:val="00CA4819"/>
    <w:rsid w:val="00CA49A3"/>
    <w:rsid w:val="00CA600B"/>
    <w:rsid w:val="00CA709C"/>
    <w:rsid w:val="00CB166A"/>
    <w:rsid w:val="00CB1F59"/>
    <w:rsid w:val="00CB2844"/>
    <w:rsid w:val="00CB2AE2"/>
    <w:rsid w:val="00CB2DCA"/>
    <w:rsid w:val="00CB4589"/>
    <w:rsid w:val="00CB46F5"/>
    <w:rsid w:val="00CB4F3C"/>
    <w:rsid w:val="00CB54F0"/>
    <w:rsid w:val="00CB60C9"/>
    <w:rsid w:val="00CB62C0"/>
    <w:rsid w:val="00CB6D24"/>
    <w:rsid w:val="00CB795F"/>
    <w:rsid w:val="00CC0383"/>
    <w:rsid w:val="00CC0486"/>
    <w:rsid w:val="00CC0B67"/>
    <w:rsid w:val="00CC0D15"/>
    <w:rsid w:val="00CC12AE"/>
    <w:rsid w:val="00CC2A06"/>
    <w:rsid w:val="00CC36A5"/>
    <w:rsid w:val="00CC387D"/>
    <w:rsid w:val="00CC445B"/>
    <w:rsid w:val="00CC4867"/>
    <w:rsid w:val="00CC50F0"/>
    <w:rsid w:val="00CC5AB0"/>
    <w:rsid w:val="00CC6371"/>
    <w:rsid w:val="00CC65C0"/>
    <w:rsid w:val="00CC6AF3"/>
    <w:rsid w:val="00CC6AFF"/>
    <w:rsid w:val="00CC6CF9"/>
    <w:rsid w:val="00CC7ED8"/>
    <w:rsid w:val="00CC7F08"/>
    <w:rsid w:val="00CD0244"/>
    <w:rsid w:val="00CD12CE"/>
    <w:rsid w:val="00CD1BF3"/>
    <w:rsid w:val="00CD3382"/>
    <w:rsid w:val="00CD6D33"/>
    <w:rsid w:val="00CD719C"/>
    <w:rsid w:val="00CD73EB"/>
    <w:rsid w:val="00CE0085"/>
    <w:rsid w:val="00CE0472"/>
    <w:rsid w:val="00CE179F"/>
    <w:rsid w:val="00CE2B6C"/>
    <w:rsid w:val="00CE2C1A"/>
    <w:rsid w:val="00CE34DF"/>
    <w:rsid w:val="00CE3744"/>
    <w:rsid w:val="00CE3F53"/>
    <w:rsid w:val="00CE4134"/>
    <w:rsid w:val="00CE44E1"/>
    <w:rsid w:val="00CE4D05"/>
    <w:rsid w:val="00CE558E"/>
    <w:rsid w:val="00CE5774"/>
    <w:rsid w:val="00CE674E"/>
    <w:rsid w:val="00CE6B7E"/>
    <w:rsid w:val="00CE7933"/>
    <w:rsid w:val="00CE7EF0"/>
    <w:rsid w:val="00CF0022"/>
    <w:rsid w:val="00CF0310"/>
    <w:rsid w:val="00CF164C"/>
    <w:rsid w:val="00CF2477"/>
    <w:rsid w:val="00CF2C6F"/>
    <w:rsid w:val="00CF357B"/>
    <w:rsid w:val="00CF4131"/>
    <w:rsid w:val="00CF5085"/>
    <w:rsid w:val="00CF5FDC"/>
    <w:rsid w:val="00CF7370"/>
    <w:rsid w:val="00CF73BC"/>
    <w:rsid w:val="00D00382"/>
    <w:rsid w:val="00D0086A"/>
    <w:rsid w:val="00D0147F"/>
    <w:rsid w:val="00D02837"/>
    <w:rsid w:val="00D02B52"/>
    <w:rsid w:val="00D02C8E"/>
    <w:rsid w:val="00D02EF1"/>
    <w:rsid w:val="00D0327F"/>
    <w:rsid w:val="00D0385D"/>
    <w:rsid w:val="00D05719"/>
    <w:rsid w:val="00D05C46"/>
    <w:rsid w:val="00D06422"/>
    <w:rsid w:val="00D0648F"/>
    <w:rsid w:val="00D07A8D"/>
    <w:rsid w:val="00D1024D"/>
    <w:rsid w:val="00D10AED"/>
    <w:rsid w:val="00D11771"/>
    <w:rsid w:val="00D11F5B"/>
    <w:rsid w:val="00D120BF"/>
    <w:rsid w:val="00D12B3D"/>
    <w:rsid w:val="00D143EC"/>
    <w:rsid w:val="00D1469B"/>
    <w:rsid w:val="00D15792"/>
    <w:rsid w:val="00D16547"/>
    <w:rsid w:val="00D1741D"/>
    <w:rsid w:val="00D174C3"/>
    <w:rsid w:val="00D17C9B"/>
    <w:rsid w:val="00D17D15"/>
    <w:rsid w:val="00D17E55"/>
    <w:rsid w:val="00D20346"/>
    <w:rsid w:val="00D2179B"/>
    <w:rsid w:val="00D21F46"/>
    <w:rsid w:val="00D22699"/>
    <w:rsid w:val="00D228F8"/>
    <w:rsid w:val="00D2316C"/>
    <w:rsid w:val="00D232B7"/>
    <w:rsid w:val="00D23531"/>
    <w:rsid w:val="00D24D0C"/>
    <w:rsid w:val="00D24FF4"/>
    <w:rsid w:val="00D2667B"/>
    <w:rsid w:val="00D27531"/>
    <w:rsid w:val="00D308C9"/>
    <w:rsid w:val="00D30A84"/>
    <w:rsid w:val="00D30CBA"/>
    <w:rsid w:val="00D323B5"/>
    <w:rsid w:val="00D327B7"/>
    <w:rsid w:val="00D34371"/>
    <w:rsid w:val="00D34C73"/>
    <w:rsid w:val="00D3564F"/>
    <w:rsid w:val="00D36333"/>
    <w:rsid w:val="00D37A7B"/>
    <w:rsid w:val="00D37C36"/>
    <w:rsid w:val="00D4187B"/>
    <w:rsid w:val="00D428B3"/>
    <w:rsid w:val="00D439DA"/>
    <w:rsid w:val="00D43E58"/>
    <w:rsid w:val="00D44150"/>
    <w:rsid w:val="00D44D21"/>
    <w:rsid w:val="00D452B3"/>
    <w:rsid w:val="00D456C4"/>
    <w:rsid w:val="00D459CF"/>
    <w:rsid w:val="00D46837"/>
    <w:rsid w:val="00D46A7B"/>
    <w:rsid w:val="00D46D74"/>
    <w:rsid w:val="00D470B6"/>
    <w:rsid w:val="00D5073A"/>
    <w:rsid w:val="00D50C9B"/>
    <w:rsid w:val="00D50CDA"/>
    <w:rsid w:val="00D51F89"/>
    <w:rsid w:val="00D52088"/>
    <w:rsid w:val="00D5334A"/>
    <w:rsid w:val="00D5380F"/>
    <w:rsid w:val="00D549BF"/>
    <w:rsid w:val="00D54AD1"/>
    <w:rsid w:val="00D54BA1"/>
    <w:rsid w:val="00D551E1"/>
    <w:rsid w:val="00D55763"/>
    <w:rsid w:val="00D5708A"/>
    <w:rsid w:val="00D576B5"/>
    <w:rsid w:val="00D57849"/>
    <w:rsid w:val="00D579C5"/>
    <w:rsid w:val="00D60439"/>
    <w:rsid w:val="00D606C2"/>
    <w:rsid w:val="00D60D78"/>
    <w:rsid w:val="00D6199A"/>
    <w:rsid w:val="00D62346"/>
    <w:rsid w:val="00D62AB4"/>
    <w:rsid w:val="00D634BA"/>
    <w:rsid w:val="00D63950"/>
    <w:rsid w:val="00D6413A"/>
    <w:rsid w:val="00D64A5F"/>
    <w:rsid w:val="00D66012"/>
    <w:rsid w:val="00D6631A"/>
    <w:rsid w:val="00D6661E"/>
    <w:rsid w:val="00D6668B"/>
    <w:rsid w:val="00D669B7"/>
    <w:rsid w:val="00D66AAE"/>
    <w:rsid w:val="00D6714F"/>
    <w:rsid w:val="00D70BF5"/>
    <w:rsid w:val="00D70EB2"/>
    <w:rsid w:val="00D715EF"/>
    <w:rsid w:val="00D71DF6"/>
    <w:rsid w:val="00D720BB"/>
    <w:rsid w:val="00D729FE"/>
    <w:rsid w:val="00D740E6"/>
    <w:rsid w:val="00D75924"/>
    <w:rsid w:val="00D75DD0"/>
    <w:rsid w:val="00D7602E"/>
    <w:rsid w:val="00D76996"/>
    <w:rsid w:val="00D77C45"/>
    <w:rsid w:val="00D81071"/>
    <w:rsid w:val="00D821E0"/>
    <w:rsid w:val="00D82879"/>
    <w:rsid w:val="00D835A8"/>
    <w:rsid w:val="00D83B82"/>
    <w:rsid w:val="00D8456D"/>
    <w:rsid w:val="00D85D3F"/>
    <w:rsid w:val="00D86D0D"/>
    <w:rsid w:val="00D86FFD"/>
    <w:rsid w:val="00D87479"/>
    <w:rsid w:val="00D9150D"/>
    <w:rsid w:val="00D92B42"/>
    <w:rsid w:val="00D92D7E"/>
    <w:rsid w:val="00D93254"/>
    <w:rsid w:val="00D9372A"/>
    <w:rsid w:val="00D944EA"/>
    <w:rsid w:val="00D94D28"/>
    <w:rsid w:val="00D952A8"/>
    <w:rsid w:val="00D961F2"/>
    <w:rsid w:val="00D97687"/>
    <w:rsid w:val="00D9775E"/>
    <w:rsid w:val="00DA023C"/>
    <w:rsid w:val="00DA04D7"/>
    <w:rsid w:val="00DA1610"/>
    <w:rsid w:val="00DA1A11"/>
    <w:rsid w:val="00DA1BEF"/>
    <w:rsid w:val="00DA1DE8"/>
    <w:rsid w:val="00DA1F6E"/>
    <w:rsid w:val="00DA28A8"/>
    <w:rsid w:val="00DA3143"/>
    <w:rsid w:val="00DA3208"/>
    <w:rsid w:val="00DA3940"/>
    <w:rsid w:val="00DA4EAE"/>
    <w:rsid w:val="00DA55D4"/>
    <w:rsid w:val="00DA6854"/>
    <w:rsid w:val="00DA6D4F"/>
    <w:rsid w:val="00DA6FB4"/>
    <w:rsid w:val="00DA7AC3"/>
    <w:rsid w:val="00DA7B65"/>
    <w:rsid w:val="00DB0C57"/>
    <w:rsid w:val="00DB0EDF"/>
    <w:rsid w:val="00DB10A8"/>
    <w:rsid w:val="00DB1F26"/>
    <w:rsid w:val="00DB22B0"/>
    <w:rsid w:val="00DB22D8"/>
    <w:rsid w:val="00DB32F6"/>
    <w:rsid w:val="00DB35A1"/>
    <w:rsid w:val="00DB4C98"/>
    <w:rsid w:val="00DB4D7D"/>
    <w:rsid w:val="00DB584E"/>
    <w:rsid w:val="00DB5AF3"/>
    <w:rsid w:val="00DB6511"/>
    <w:rsid w:val="00DB69D9"/>
    <w:rsid w:val="00DB7DCA"/>
    <w:rsid w:val="00DC0642"/>
    <w:rsid w:val="00DC168E"/>
    <w:rsid w:val="00DC16AF"/>
    <w:rsid w:val="00DC32EC"/>
    <w:rsid w:val="00DC4099"/>
    <w:rsid w:val="00DC40CF"/>
    <w:rsid w:val="00DC4790"/>
    <w:rsid w:val="00DC630A"/>
    <w:rsid w:val="00DC6737"/>
    <w:rsid w:val="00DD051E"/>
    <w:rsid w:val="00DD05B3"/>
    <w:rsid w:val="00DD0B93"/>
    <w:rsid w:val="00DD0BA0"/>
    <w:rsid w:val="00DD1046"/>
    <w:rsid w:val="00DD36F4"/>
    <w:rsid w:val="00DD399E"/>
    <w:rsid w:val="00DD460D"/>
    <w:rsid w:val="00DD53A9"/>
    <w:rsid w:val="00DD5856"/>
    <w:rsid w:val="00DD7B40"/>
    <w:rsid w:val="00DD7FBC"/>
    <w:rsid w:val="00DE079D"/>
    <w:rsid w:val="00DE117E"/>
    <w:rsid w:val="00DE1987"/>
    <w:rsid w:val="00DE1B34"/>
    <w:rsid w:val="00DE1EF9"/>
    <w:rsid w:val="00DE2A71"/>
    <w:rsid w:val="00DE2AC1"/>
    <w:rsid w:val="00DE36CF"/>
    <w:rsid w:val="00DE42BA"/>
    <w:rsid w:val="00DE50C2"/>
    <w:rsid w:val="00DE566F"/>
    <w:rsid w:val="00DE5A10"/>
    <w:rsid w:val="00DE5DF9"/>
    <w:rsid w:val="00DE5E0C"/>
    <w:rsid w:val="00DE6150"/>
    <w:rsid w:val="00DE6EDF"/>
    <w:rsid w:val="00DF0728"/>
    <w:rsid w:val="00DF15EE"/>
    <w:rsid w:val="00DF1ADC"/>
    <w:rsid w:val="00DF2249"/>
    <w:rsid w:val="00DF2347"/>
    <w:rsid w:val="00DF2C5D"/>
    <w:rsid w:val="00DF30D5"/>
    <w:rsid w:val="00DF3619"/>
    <w:rsid w:val="00DF363A"/>
    <w:rsid w:val="00DF3ED0"/>
    <w:rsid w:val="00DF4173"/>
    <w:rsid w:val="00DF436A"/>
    <w:rsid w:val="00DF4488"/>
    <w:rsid w:val="00DF53E8"/>
    <w:rsid w:val="00DF61C8"/>
    <w:rsid w:val="00DF6323"/>
    <w:rsid w:val="00DF6B26"/>
    <w:rsid w:val="00DF744E"/>
    <w:rsid w:val="00DF7B9B"/>
    <w:rsid w:val="00E00258"/>
    <w:rsid w:val="00E0068F"/>
    <w:rsid w:val="00E014DB"/>
    <w:rsid w:val="00E01B7C"/>
    <w:rsid w:val="00E04145"/>
    <w:rsid w:val="00E04FD1"/>
    <w:rsid w:val="00E054BA"/>
    <w:rsid w:val="00E05967"/>
    <w:rsid w:val="00E06A4D"/>
    <w:rsid w:val="00E06B3B"/>
    <w:rsid w:val="00E06F9F"/>
    <w:rsid w:val="00E07C0E"/>
    <w:rsid w:val="00E1099E"/>
    <w:rsid w:val="00E10D3F"/>
    <w:rsid w:val="00E1129E"/>
    <w:rsid w:val="00E11615"/>
    <w:rsid w:val="00E120DB"/>
    <w:rsid w:val="00E121DD"/>
    <w:rsid w:val="00E12264"/>
    <w:rsid w:val="00E13D14"/>
    <w:rsid w:val="00E15021"/>
    <w:rsid w:val="00E15A7E"/>
    <w:rsid w:val="00E160CA"/>
    <w:rsid w:val="00E1675C"/>
    <w:rsid w:val="00E16977"/>
    <w:rsid w:val="00E16BE1"/>
    <w:rsid w:val="00E17DAB"/>
    <w:rsid w:val="00E20209"/>
    <w:rsid w:val="00E20329"/>
    <w:rsid w:val="00E20628"/>
    <w:rsid w:val="00E2103B"/>
    <w:rsid w:val="00E21F7C"/>
    <w:rsid w:val="00E223BE"/>
    <w:rsid w:val="00E22A07"/>
    <w:rsid w:val="00E235C3"/>
    <w:rsid w:val="00E23B3F"/>
    <w:rsid w:val="00E24D2D"/>
    <w:rsid w:val="00E253F7"/>
    <w:rsid w:val="00E2593E"/>
    <w:rsid w:val="00E25983"/>
    <w:rsid w:val="00E26003"/>
    <w:rsid w:val="00E26C19"/>
    <w:rsid w:val="00E273FF"/>
    <w:rsid w:val="00E27B91"/>
    <w:rsid w:val="00E27D00"/>
    <w:rsid w:val="00E306E7"/>
    <w:rsid w:val="00E3087C"/>
    <w:rsid w:val="00E30BC5"/>
    <w:rsid w:val="00E30E1D"/>
    <w:rsid w:val="00E30FE2"/>
    <w:rsid w:val="00E335C8"/>
    <w:rsid w:val="00E34C33"/>
    <w:rsid w:val="00E355FD"/>
    <w:rsid w:val="00E359A2"/>
    <w:rsid w:val="00E3664F"/>
    <w:rsid w:val="00E36F77"/>
    <w:rsid w:val="00E37BA9"/>
    <w:rsid w:val="00E37F9B"/>
    <w:rsid w:val="00E419DF"/>
    <w:rsid w:val="00E42411"/>
    <w:rsid w:val="00E42C8A"/>
    <w:rsid w:val="00E42FCE"/>
    <w:rsid w:val="00E436F2"/>
    <w:rsid w:val="00E43965"/>
    <w:rsid w:val="00E43E3B"/>
    <w:rsid w:val="00E44113"/>
    <w:rsid w:val="00E4422C"/>
    <w:rsid w:val="00E4452C"/>
    <w:rsid w:val="00E4582E"/>
    <w:rsid w:val="00E4633C"/>
    <w:rsid w:val="00E46594"/>
    <w:rsid w:val="00E46611"/>
    <w:rsid w:val="00E46AB8"/>
    <w:rsid w:val="00E473B3"/>
    <w:rsid w:val="00E479CE"/>
    <w:rsid w:val="00E50974"/>
    <w:rsid w:val="00E50E8D"/>
    <w:rsid w:val="00E51F1C"/>
    <w:rsid w:val="00E5279F"/>
    <w:rsid w:val="00E5337D"/>
    <w:rsid w:val="00E53F1A"/>
    <w:rsid w:val="00E54185"/>
    <w:rsid w:val="00E5444F"/>
    <w:rsid w:val="00E54E35"/>
    <w:rsid w:val="00E5530D"/>
    <w:rsid w:val="00E555C9"/>
    <w:rsid w:val="00E55ABA"/>
    <w:rsid w:val="00E5653C"/>
    <w:rsid w:val="00E57271"/>
    <w:rsid w:val="00E57CA7"/>
    <w:rsid w:val="00E61C5E"/>
    <w:rsid w:val="00E61EC0"/>
    <w:rsid w:val="00E62020"/>
    <w:rsid w:val="00E62415"/>
    <w:rsid w:val="00E62A22"/>
    <w:rsid w:val="00E62B36"/>
    <w:rsid w:val="00E62DF5"/>
    <w:rsid w:val="00E63BDC"/>
    <w:rsid w:val="00E64492"/>
    <w:rsid w:val="00E647C8"/>
    <w:rsid w:val="00E64EFB"/>
    <w:rsid w:val="00E665A4"/>
    <w:rsid w:val="00E67434"/>
    <w:rsid w:val="00E67C82"/>
    <w:rsid w:val="00E702CE"/>
    <w:rsid w:val="00E70F0A"/>
    <w:rsid w:val="00E71844"/>
    <w:rsid w:val="00E71F73"/>
    <w:rsid w:val="00E72061"/>
    <w:rsid w:val="00E731D7"/>
    <w:rsid w:val="00E7371B"/>
    <w:rsid w:val="00E73765"/>
    <w:rsid w:val="00E74ACE"/>
    <w:rsid w:val="00E753DB"/>
    <w:rsid w:val="00E75A0F"/>
    <w:rsid w:val="00E773A1"/>
    <w:rsid w:val="00E77C06"/>
    <w:rsid w:val="00E80107"/>
    <w:rsid w:val="00E807EB"/>
    <w:rsid w:val="00E81619"/>
    <w:rsid w:val="00E82CB9"/>
    <w:rsid w:val="00E831F7"/>
    <w:rsid w:val="00E835D7"/>
    <w:rsid w:val="00E839E5"/>
    <w:rsid w:val="00E83DA4"/>
    <w:rsid w:val="00E8401B"/>
    <w:rsid w:val="00E84594"/>
    <w:rsid w:val="00E84ECA"/>
    <w:rsid w:val="00E84F25"/>
    <w:rsid w:val="00E855E0"/>
    <w:rsid w:val="00E860B7"/>
    <w:rsid w:val="00E86524"/>
    <w:rsid w:val="00E8660F"/>
    <w:rsid w:val="00E8780D"/>
    <w:rsid w:val="00E906DF"/>
    <w:rsid w:val="00E90C98"/>
    <w:rsid w:val="00E92126"/>
    <w:rsid w:val="00E9221F"/>
    <w:rsid w:val="00E92644"/>
    <w:rsid w:val="00E9320C"/>
    <w:rsid w:val="00E9371A"/>
    <w:rsid w:val="00E93C24"/>
    <w:rsid w:val="00E94499"/>
    <w:rsid w:val="00E955DE"/>
    <w:rsid w:val="00E95DB8"/>
    <w:rsid w:val="00E95E3B"/>
    <w:rsid w:val="00E96501"/>
    <w:rsid w:val="00E97527"/>
    <w:rsid w:val="00EA186C"/>
    <w:rsid w:val="00EA1E39"/>
    <w:rsid w:val="00EA46A8"/>
    <w:rsid w:val="00EA46E4"/>
    <w:rsid w:val="00EA5A9E"/>
    <w:rsid w:val="00EA6556"/>
    <w:rsid w:val="00EA6842"/>
    <w:rsid w:val="00EA6D1D"/>
    <w:rsid w:val="00EA6D25"/>
    <w:rsid w:val="00EA71F2"/>
    <w:rsid w:val="00EB0624"/>
    <w:rsid w:val="00EB184F"/>
    <w:rsid w:val="00EB1B80"/>
    <w:rsid w:val="00EB2FCB"/>
    <w:rsid w:val="00EB3169"/>
    <w:rsid w:val="00EB32A1"/>
    <w:rsid w:val="00EB4C26"/>
    <w:rsid w:val="00EB5127"/>
    <w:rsid w:val="00EB53F2"/>
    <w:rsid w:val="00EB548C"/>
    <w:rsid w:val="00EB5E0D"/>
    <w:rsid w:val="00EB75B0"/>
    <w:rsid w:val="00EB7803"/>
    <w:rsid w:val="00EC0295"/>
    <w:rsid w:val="00EC0454"/>
    <w:rsid w:val="00EC0A97"/>
    <w:rsid w:val="00EC113D"/>
    <w:rsid w:val="00EC19FA"/>
    <w:rsid w:val="00EC1F39"/>
    <w:rsid w:val="00EC2948"/>
    <w:rsid w:val="00EC3751"/>
    <w:rsid w:val="00EC4415"/>
    <w:rsid w:val="00EC5F86"/>
    <w:rsid w:val="00EC697C"/>
    <w:rsid w:val="00EC7147"/>
    <w:rsid w:val="00ED0403"/>
    <w:rsid w:val="00ED0940"/>
    <w:rsid w:val="00ED0D46"/>
    <w:rsid w:val="00ED15AF"/>
    <w:rsid w:val="00ED25CE"/>
    <w:rsid w:val="00ED3A55"/>
    <w:rsid w:val="00ED3B06"/>
    <w:rsid w:val="00ED3FB1"/>
    <w:rsid w:val="00ED402C"/>
    <w:rsid w:val="00ED4EB2"/>
    <w:rsid w:val="00ED511B"/>
    <w:rsid w:val="00ED5B0C"/>
    <w:rsid w:val="00ED602D"/>
    <w:rsid w:val="00ED7DD7"/>
    <w:rsid w:val="00EE003D"/>
    <w:rsid w:val="00EE0ACF"/>
    <w:rsid w:val="00EE0C14"/>
    <w:rsid w:val="00EE1B89"/>
    <w:rsid w:val="00EE2232"/>
    <w:rsid w:val="00EE22E3"/>
    <w:rsid w:val="00EE2ED0"/>
    <w:rsid w:val="00EE37DE"/>
    <w:rsid w:val="00EE6302"/>
    <w:rsid w:val="00EE67C5"/>
    <w:rsid w:val="00EE6C85"/>
    <w:rsid w:val="00EF18EF"/>
    <w:rsid w:val="00EF1D53"/>
    <w:rsid w:val="00EF24DC"/>
    <w:rsid w:val="00EF348B"/>
    <w:rsid w:val="00EF34C2"/>
    <w:rsid w:val="00EF37E5"/>
    <w:rsid w:val="00EF4031"/>
    <w:rsid w:val="00EF45CE"/>
    <w:rsid w:val="00EF4B6F"/>
    <w:rsid w:val="00EF4C71"/>
    <w:rsid w:val="00EF695C"/>
    <w:rsid w:val="00F00370"/>
    <w:rsid w:val="00F00984"/>
    <w:rsid w:val="00F00D5D"/>
    <w:rsid w:val="00F00E1B"/>
    <w:rsid w:val="00F0167C"/>
    <w:rsid w:val="00F01FF7"/>
    <w:rsid w:val="00F030DB"/>
    <w:rsid w:val="00F04304"/>
    <w:rsid w:val="00F046D8"/>
    <w:rsid w:val="00F05908"/>
    <w:rsid w:val="00F05CF7"/>
    <w:rsid w:val="00F063F2"/>
    <w:rsid w:val="00F0680D"/>
    <w:rsid w:val="00F069E5"/>
    <w:rsid w:val="00F10305"/>
    <w:rsid w:val="00F1076B"/>
    <w:rsid w:val="00F1097E"/>
    <w:rsid w:val="00F10B6E"/>
    <w:rsid w:val="00F10D71"/>
    <w:rsid w:val="00F112B2"/>
    <w:rsid w:val="00F11B9B"/>
    <w:rsid w:val="00F11C4E"/>
    <w:rsid w:val="00F11D20"/>
    <w:rsid w:val="00F120D0"/>
    <w:rsid w:val="00F12F4B"/>
    <w:rsid w:val="00F1363A"/>
    <w:rsid w:val="00F13E0D"/>
    <w:rsid w:val="00F14704"/>
    <w:rsid w:val="00F154A2"/>
    <w:rsid w:val="00F15B4F"/>
    <w:rsid w:val="00F15DFF"/>
    <w:rsid w:val="00F175CA"/>
    <w:rsid w:val="00F207E8"/>
    <w:rsid w:val="00F20B6E"/>
    <w:rsid w:val="00F20FF5"/>
    <w:rsid w:val="00F210AD"/>
    <w:rsid w:val="00F22894"/>
    <w:rsid w:val="00F248EC"/>
    <w:rsid w:val="00F24B20"/>
    <w:rsid w:val="00F24BCF"/>
    <w:rsid w:val="00F24C64"/>
    <w:rsid w:val="00F25700"/>
    <w:rsid w:val="00F2639B"/>
    <w:rsid w:val="00F271F4"/>
    <w:rsid w:val="00F276EE"/>
    <w:rsid w:val="00F30BCF"/>
    <w:rsid w:val="00F3255F"/>
    <w:rsid w:val="00F33271"/>
    <w:rsid w:val="00F3510E"/>
    <w:rsid w:val="00F35311"/>
    <w:rsid w:val="00F35B8D"/>
    <w:rsid w:val="00F35C9F"/>
    <w:rsid w:val="00F373DC"/>
    <w:rsid w:val="00F37568"/>
    <w:rsid w:val="00F37EF3"/>
    <w:rsid w:val="00F403D6"/>
    <w:rsid w:val="00F40782"/>
    <w:rsid w:val="00F422EF"/>
    <w:rsid w:val="00F4256F"/>
    <w:rsid w:val="00F42894"/>
    <w:rsid w:val="00F42F10"/>
    <w:rsid w:val="00F43E26"/>
    <w:rsid w:val="00F43FB5"/>
    <w:rsid w:val="00F44084"/>
    <w:rsid w:val="00F44B17"/>
    <w:rsid w:val="00F4532B"/>
    <w:rsid w:val="00F45412"/>
    <w:rsid w:val="00F45CF2"/>
    <w:rsid w:val="00F470EA"/>
    <w:rsid w:val="00F47B25"/>
    <w:rsid w:val="00F5038E"/>
    <w:rsid w:val="00F5039F"/>
    <w:rsid w:val="00F50569"/>
    <w:rsid w:val="00F506AE"/>
    <w:rsid w:val="00F5087B"/>
    <w:rsid w:val="00F51346"/>
    <w:rsid w:val="00F5235B"/>
    <w:rsid w:val="00F525DB"/>
    <w:rsid w:val="00F52790"/>
    <w:rsid w:val="00F5323E"/>
    <w:rsid w:val="00F547AB"/>
    <w:rsid w:val="00F54947"/>
    <w:rsid w:val="00F54F7B"/>
    <w:rsid w:val="00F55CD7"/>
    <w:rsid w:val="00F560DC"/>
    <w:rsid w:val="00F56360"/>
    <w:rsid w:val="00F56916"/>
    <w:rsid w:val="00F56AD0"/>
    <w:rsid w:val="00F56CB1"/>
    <w:rsid w:val="00F5734C"/>
    <w:rsid w:val="00F626C2"/>
    <w:rsid w:val="00F630EF"/>
    <w:rsid w:val="00F63F85"/>
    <w:rsid w:val="00F64163"/>
    <w:rsid w:val="00F65819"/>
    <w:rsid w:val="00F65FDF"/>
    <w:rsid w:val="00F66230"/>
    <w:rsid w:val="00F66865"/>
    <w:rsid w:val="00F6694E"/>
    <w:rsid w:val="00F66E2C"/>
    <w:rsid w:val="00F66EA4"/>
    <w:rsid w:val="00F67A6B"/>
    <w:rsid w:val="00F707A2"/>
    <w:rsid w:val="00F70B5B"/>
    <w:rsid w:val="00F70EA1"/>
    <w:rsid w:val="00F71634"/>
    <w:rsid w:val="00F71871"/>
    <w:rsid w:val="00F71C70"/>
    <w:rsid w:val="00F7244F"/>
    <w:rsid w:val="00F72962"/>
    <w:rsid w:val="00F72D23"/>
    <w:rsid w:val="00F743D8"/>
    <w:rsid w:val="00F746E5"/>
    <w:rsid w:val="00F74CB0"/>
    <w:rsid w:val="00F75495"/>
    <w:rsid w:val="00F75C5E"/>
    <w:rsid w:val="00F76359"/>
    <w:rsid w:val="00F7639C"/>
    <w:rsid w:val="00F765EB"/>
    <w:rsid w:val="00F773A0"/>
    <w:rsid w:val="00F81CE4"/>
    <w:rsid w:val="00F822BA"/>
    <w:rsid w:val="00F8293A"/>
    <w:rsid w:val="00F836EA"/>
    <w:rsid w:val="00F837EA"/>
    <w:rsid w:val="00F8673B"/>
    <w:rsid w:val="00F87522"/>
    <w:rsid w:val="00F87A5C"/>
    <w:rsid w:val="00F908F8"/>
    <w:rsid w:val="00F90F00"/>
    <w:rsid w:val="00F92442"/>
    <w:rsid w:val="00F926C8"/>
    <w:rsid w:val="00F93008"/>
    <w:rsid w:val="00F939DB"/>
    <w:rsid w:val="00F948C5"/>
    <w:rsid w:val="00F94E8C"/>
    <w:rsid w:val="00F964B0"/>
    <w:rsid w:val="00F973F0"/>
    <w:rsid w:val="00F9784F"/>
    <w:rsid w:val="00F97B52"/>
    <w:rsid w:val="00F97D2D"/>
    <w:rsid w:val="00FA05A4"/>
    <w:rsid w:val="00FA2F87"/>
    <w:rsid w:val="00FA30C2"/>
    <w:rsid w:val="00FA31D8"/>
    <w:rsid w:val="00FA503C"/>
    <w:rsid w:val="00FA63B6"/>
    <w:rsid w:val="00FA65B7"/>
    <w:rsid w:val="00FA68AC"/>
    <w:rsid w:val="00FA6958"/>
    <w:rsid w:val="00FA7135"/>
    <w:rsid w:val="00FA74F9"/>
    <w:rsid w:val="00FA784C"/>
    <w:rsid w:val="00FB00DA"/>
    <w:rsid w:val="00FB063D"/>
    <w:rsid w:val="00FB06E1"/>
    <w:rsid w:val="00FB0A4B"/>
    <w:rsid w:val="00FB0CA2"/>
    <w:rsid w:val="00FB1A25"/>
    <w:rsid w:val="00FB2091"/>
    <w:rsid w:val="00FB2522"/>
    <w:rsid w:val="00FB253D"/>
    <w:rsid w:val="00FB37E2"/>
    <w:rsid w:val="00FB400A"/>
    <w:rsid w:val="00FB4106"/>
    <w:rsid w:val="00FB4A9E"/>
    <w:rsid w:val="00FB5B69"/>
    <w:rsid w:val="00FB66AB"/>
    <w:rsid w:val="00FB6912"/>
    <w:rsid w:val="00FC00DD"/>
    <w:rsid w:val="00FC031B"/>
    <w:rsid w:val="00FC0A72"/>
    <w:rsid w:val="00FC1247"/>
    <w:rsid w:val="00FC13E2"/>
    <w:rsid w:val="00FC14D9"/>
    <w:rsid w:val="00FC1C66"/>
    <w:rsid w:val="00FC1D6A"/>
    <w:rsid w:val="00FC27D4"/>
    <w:rsid w:val="00FC3CD4"/>
    <w:rsid w:val="00FC4E2A"/>
    <w:rsid w:val="00FC66F0"/>
    <w:rsid w:val="00FC6CF3"/>
    <w:rsid w:val="00FC6F4F"/>
    <w:rsid w:val="00FD1084"/>
    <w:rsid w:val="00FD1B30"/>
    <w:rsid w:val="00FD28F1"/>
    <w:rsid w:val="00FD2F32"/>
    <w:rsid w:val="00FD3D3E"/>
    <w:rsid w:val="00FD3EC1"/>
    <w:rsid w:val="00FD4975"/>
    <w:rsid w:val="00FD5051"/>
    <w:rsid w:val="00FD522D"/>
    <w:rsid w:val="00FD5958"/>
    <w:rsid w:val="00FD5A0F"/>
    <w:rsid w:val="00FD756D"/>
    <w:rsid w:val="00FD7972"/>
    <w:rsid w:val="00FD79EA"/>
    <w:rsid w:val="00FE059A"/>
    <w:rsid w:val="00FE0767"/>
    <w:rsid w:val="00FE0781"/>
    <w:rsid w:val="00FE1091"/>
    <w:rsid w:val="00FE1CCA"/>
    <w:rsid w:val="00FE2022"/>
    <w:rsid w:val="00FE29AF"/>
    <w:rsid w:val="00FE2A1F"/>
    <w:rsid w:val="00FE2CF1"/>
    <w:rsid w:val="00FE2DE2"/>
    <w:rsid w:val="00FE362F"/>
    <w:rsid w:val="00FE395C"/>
    <w:rsid w:val="00FE3B19"/>
    <w:rsid w:val="00FE3DE9"/>
    <w:rsid w:val="00FE54AE"/>
    <w:rsid w:val="00FE59E1"/>
    <w:rsid w:val="00FE6FB5"/>
    <w:rsid w:val="00FF0D93"/>
    <w:rsid w:val="00FF1860"/>
    <w:rsid w:val="00FF1E56"/>
    <w:rsid w:val="00FF2122"/>
    <w:rsid w:val="00FF2339"/>
    <w:rsid w:val="00FF2430"/>
    <w:rsid w:val="00FF26B9"/>
    <w:rsid w:val="00FF33AA"/>
    <w:rsid w:val="00FF371D"/>
    <w:rsid w:val="00FF4B33"/>
    <w:rsid w:val="00FF5512"/>
    <w:rsid w:val="00FF581C"/>
    <w:rsid w:val="00FF5BDF"/>
    <w:rsid w:val="00FF61EF"/>
    <w:rsid w:val="00FF637D"/>
    <w:rsid w:val="00FF64CF"/>
    <w:rsid w:val="00FF6B5D"/>
    <w:rsid w:val="00FF7133"/>
    <w:rsid w:val="00FF75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745"/>
    <o:shapelayout v:ext="edit">
      <o:idmap v:ext="edit" data="1"/>
    </o:shapelayout>
  </w:shapeDefaults>
  <w:decimalSymbol w:val="."/>
  <w:listSeparator w:val=","/>
  <w14:docId w14:val="2239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065"/>
    <w:pPr>
      <w:spacing w:before="240" w:after="240" w:line="240" w:lineRule="exact"/>
    </w:pPr>
    <w:rPr>
      <w:rFonts w:ascii="Book Antiqua" w:hAnsi="Book Antiqua"/>
      <w:sz w:val="19"/>
    </w:rPr>
  </w:style>
  <w:style w:type="paragraph" w:styleId="Heading1">
    <w:name w:val="heading 1"/>
    <w:basedOn w:val="HeadingBase"/>
    <w:next w:val="Normal"/>
    <w:link w:val="Heading1Char"/>
    <w:qFormat/>
    <w:rsid w:val="00BE184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BE1843"/>
    <w:pPr>
      <w:spacing w:before="240" w:after="240"/>
      <w:outlineLvl w:val="1"/>
    </w:pPr>
    <w:rPr>
      <w:rFonts w:ascii="Arial Bold" w:hAnsi="Arial Bold"/>
      <w:b/>
      <w:sz w:val="26"/>
    </w:rPr>
  </w:style>
  <w:style w:type="paragraph" w:styleId="Heading3">
    <w:name w:val="heading 3"/>
    <w:basedOn w:val="HeadingBase"/>
    <w:next w:val="Normal"/>
    <w:link w:val="Heading3Char"/>
    <w:qFormat/>
    <w:rsid w:val="00BE1843"/>
    <w:pPr>
      <w:spacing w:before="120" w:after="120"/>
      <w:outlineLvl w:val="2"/>
    </w:pPr>
    <w:rPr>
      <w:rFonts w:ascii="Arial Bold" w:hAnsi="Arial Bold"/>
      <w:b/>
      <w:sz w:val="22"/>
    </w:rPr>
  </w:style>
  <w:style w:type="paragraph" w:styleId="Heading4">
    <w:name w:val="heading 4"/>
    <w:basedOn w:val="HeadingBase"/>
    <w:next w:val="Normal"/>
    <w:link w:val="Heading4Char"/>
    <w:qFormat/>
    <w:rsid w:val="00BE1843"/>
    <w:pPr>
      <w:spacing w:after="120"/>
      <w:outlineLvl w:val="3"/>
    </w:pPr>
    <w:rPr>
      <w:rFonts w:ascii="Arial Bold" w:hAnsi="Arial Bold"/>
      <w:b/>
      <w:sz w:val="20"/>
    </w:rPr>
  </w:style>
  <w:style w:type="paragraph" w:styleId="Heading5">
    <w:name w:val="heading 5"/>
    <w:basedOn w:val="HeadingBase"/>
    <w:next w:val="Normal"/>
    <w:link w:val="Heading5Char"/>
    <w:qFormat/>
    <w:rsid w:val="00BE1843"/>
    <w:pPr>
      <w:spacing w:after="120"/>
      <w:outlineLvl w:val="4"/>
    </w:pPr>
    <w:rPr>
      <w:bCs/>
      <w:i/>
      <w:iCs/>
      <w:sz w:val="20"/>
      <w:szCs w:val="26"/>
    </w:rPr>
  </w:style>
  <w:style w:type="paragraph" w:styleId="Heading6">
    <w:name w:val="heading 6"/>
    <w:basedOn w:val="HeadingBase"/>
    <w:next w:val="Normal"/>
    <w:link w:val="Heading6Char"/>
    <w:qFormat/>
    <w:rsid w:val="00BE1843"/>
    <w:pPr>
      <w:spacing w:after="120"/>
      <w:outlineLvl w:val="5"/>
    </w:pPr>
    <w:rPr>
      <w:bCs/>
      <w:sz w:val="20"/>
      <w:szCs w:val="22"/>
    </w:rPr>
  </w:style>
  <w:style w:type="paragraph" w:styleId="Heading7">
    <w:name w:val="heading 7"/>
    <w:basedOn w:val="HeadingBase"/>
    <w:next w:val="Normal"/>
    <w:link w:val="Heading7Char"/>
    <w:qFormat/>
    <w:rsid w:val="00BE1843"/>
    <w:pPr>
      <w:spacing w:before="120"/>
      <w:outlineLvl w:val="6"/>
    </w:pPr>
    <w:rPr>
      <w:sz w:val="20"/>
      <w:szCs w:val="24"/>
    </w:rPr>
  </w:style>
  <w:style w:type="paragraph" w:styleId="Heading8">
    <w:name w:val="heading 8"/>
    <w:basedOn w:val="HeadingBase"/>
    <w:next w:val="Normal"/>
    <w:link w:val="Heading8Char"/>
    <w:qFormat/>
    <w:rsid w:val="00BE184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nhideWhenUsed/>
    <w:qFormat/>
    <w:rsid w:val="00BE1843"/>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E1843"/>
    <w:pPr>
      <w:spacing w:before="0" w:after="0" w:line="240" w:lineRule="auto"/>
    </w:pPr>
  </w:style>
  <w:style w:type="paragraph" w:customStyle="1" w:styleId="Exampletext">
    <w:name w:val="Example text"/>
    <w:basedOn w:val="Normal"/>
    <w:link w:val="ExampletextCharChar"/>
    <w:rsid w:val="00BE1843"/>
    <w:rPr>
      <w:i/>
      <w:color w:val="FF0000"/>
      <w:lang w:val="x-none" w:eastAsia="x-none"/>
    </w:rPr>
  </w:style>
  <w:style w:type="paragraph" w:customStyle="1" w:styleId="ChartSecondHeading">
    <w:name w:val="Chart Second Heading"/>
    <w:basedOn w:val="HeadingBase"/>
    <w:next w:val="ChartGraphic"/>
    <w:rsid w:val="00BE1843"/>
    <w:pPr>
      <w:spacing w:after="60"/>
    </w:pPr>
    <w:rPr>
      <w:sz w:val="19"/>
    </w:rPr>
  </w:style>
  <w:style w:type="paragraph" w:customStyle="1" w:styleId="TableHeading">
    <w:name w:val="Table Heading"/>
    <w:basedOn w:val="HeadingBase"/>
    <w:next w:val="TableGraphic"/>
    <w:link w:val="TableHeadingChar"/>
    <w:qFormat/>
    <w:rsid w:val="00BE1843"/>
    <w:pPr>
      <w:spacing w:before="120" w:after="20"/>
    </w:pPr>
    <w:rPr>
      <w:b/>
      <w:sz w:val="20"/>
    </w:rPr>
  </w:style>
  <w:style w:type="paragraph" w:customStyle="1" w:styleId="HeadingBase">
    <w:name w:val="Heading Base"/>
    <w:link w:val="HeadingBaseChar"/>
    <w:rsid w:val="00BE1843"/>
    <w:pPr>
      <w:keepNext/>
    </w:pPr>
    <w:rPr>
      <w:rFonts w:ascii="Arial" w:hAnsi="Arial"/>
      <w:sz w:val="24"/>
    </w:rPr>
  </w:style>
  <w:style w:type="paragraph" w:customStyle="1" w:styleId="AlphaParagraph">
    <w:name w:val="Alpha Paragraph"/>
    <w:basedOn w:val="Normal"/>
    <w:rsid w:val="00BE1843"/>
    <w:pPr>
      <w:numPr>
        <w:numId w:val="1"/>
      </w:numPr>
      <w:tabs>
        <w:tab w:val="clear" w:pos="567"/>
        <w:tab w:val="num" w:pos="360"/>
      </w:tabs>
    </w:pPr>
  </w:style>
  <w:style w:type="paragraph" w:customStyle="1" w:styleId="Bullet">
    <w:name w:val="Bullet"/>
    <w:basedOn w:val="Normal"/>
    <w:link w:val="BulletChar"/>
    <w:qFormat/>
    <w:rsid w:val="00BE1843"/>
    <w:pPr>
      <w:numPr>
        <w:numId w:val="2"/>
      </w:numPr>
      <w:spacing w:after="160"/>
    </w:pPr>
  </w:style>
  <w:style w:type="paragraph" w:customStyle="1" w:styleId="Dash">
    <w:name w:val="Dash"/>
    <w:basedOn w:val="Normal"/>
    <w:qFormat/>
    <w:rsid w:val="00BE1843"/>
    <w:pPr>
      <w:numPr>
        <w:ilvl w:val="1"/>
        <w:numId w:val="2"/>
      </w:numPr>
      <w:tabs>
        <w:tab w:val="left" w:pos="567"/>
      </w:tabs>
    </w:pPr>
  </w:style>
  <w:style w:type="paragraph" w:customStyle="1" w:styleId="DoubleDot">
    <w:name w:val="Double Dot"/>
    <w:basedOn w:val="Normal"/>
    <w:rsid w:val="00BE1843"/>
    <w:pPr>
      <w:numPr>
        <w:ilvl w:val="2"/>
        <w:numId w:val="2"/>
      </w:numPr>
      <w:tabs>
        <w:tab w:val="clear" w:pos="850"/>
        <w:tab w:val="left" w:pos="851"/>
      </w:tabs>
    </w:pPr>
  </w:style>
  <w:style w:type="paragraph" w:customStyle="1" w:styleId="AppendixHeading">
    <w:name w:val="Appendix Heading"/>
    <w:basedOn w:val="HeadingBase"/>
    <w:semiHidden/>
    <w:rsid w:val="00BE1843"/>
    <w:pPr>
      <w:spacing w:after="240"/>
      <w:jc w:val="center"/>
      <w:outlineLvl w:val="3"/>
    </w:pPr>
    <w:rPr>
      <w:b/>
      <w:smallCaps/>
      <w:sz w:val="30"/>
    </w:rPr>
  </w:style>
  <w:style w:type="paragraph" w:customStyle="1" w:styleId="BoxText">
    <w:name w:val="Box Text"/>
    <w:basedOn w:val="Normal"/>
    <w:qFormat/>
    <w:rsid w:val="00BE1843"/>
    <w:pPr>
      <w:spacing w:before="120" w:after="120" w:line="240" w:lineRule="auto"/>
    </w:pPr>
  </w:style>
  <w:style w:type="paragraph" w:customStyle="1" w:styleId="BoxHeading">
    <w:name w:val="Box Heading"/>
    <w:basedOn w:val="HeadingBase"/>
    <w:next w:val="BoxText"/>
    <w:rsid w:val="00BE1843"/>
    <w:pPr>
      <w:spacing w:before="120" w:after="120"/>
    </w:pPr>
    <w:rPr>
      <w:b/>
      <w:sz w:val="20"/>
    </w:rPr>
  </w:style>
  <w:style w:type="paragraph" w:customStyle="1" w:styleId="ChartandTableFootnoteAlpha">
    <w:name w:val="Chart and Table Footnote Alpha"/>
    <w:basedOn w:val="HeadingBase"/>
    <w:next w:val="Normal"/>
    <w:rsid w:val="00BE1843"/>
    <w:pPr>
      <w:keepNext w:val="0"/>
      <w:spacing w:before="30"/>
    </w:pPr>
    <w:rPr>
      <w:color w:val="000000"/>
      <w:sz w:val="16"/>
    </w:rPr>
  </w:style>
  <w:style w:type="paragraph" w:customStyle="1" w:styleId="ChartandTableFootnote">
    <w:name w:val="Chart and Table Footnote"/>
    <w:basedOn w:val="HeadingBase"/>
    <w:next w:val="Normal"/>
    <w:link w:val="ChartandTableFootnoteChar"/>
    <w:rsid w:val="00BE1843"/>
    <w:pPr>
      <w:keepNext w:val="0"/>
      <w:tabs>
        <w:tab w:val="left" w:pos="709"/>
      </w:tabs>
      <w:spacing w:before="30"/>
    </w:pPr>
    <w:rPr>
      <w:color w:val="000000"/>
      <w:sz w:val="16"/>
    </w:rPr>
  </w:style>
  <w:style w:type="paragraph" w:customStyle="1" w:styleId="BoxBullet">
    <w:name w:val="Box Bullet"/>
    <w:basedOn w:val="BoxText"/>
    <w:rsid w:val="00BE1843"/>
    <w:pPr>
      <w:numPr>
        <w:numId w:val="7"/>
      </w:numPr>
    </w:pPr>
  </w:style>
  <w:style w:type="paragraph" w:customStyle="1" w:styleId="ChartGraphic">
    <w:name w:val="Chart Graphic"/>
    <w:basedOn w:val="HeadingBase"/>
    <w:rsid w:val="00BE1843"/>
    <w:pPr>
      <w:jc w:val="center"/>
    </w:pPr>
    <w:rPr>
      <w:sz w:val="20"/>
    </w:rPr>
  </w:style>
  <w:style w:type="paragraph" w:customStyle="1" w:styleId="ContentsHeading">
    <w:name w:val="Contents Heading"/>
    <w:basedOn w:val="HeadingBase"/>
    <w:next w:val="Normal"/>
    <w:rsid w:val="00BE1843"/>
    <w:pPr>
      <w:spacing w:after="720"/>
    </w:pPr>
    <w:rPr>
      <w:b/>
      <w:bCs/>
      <w:sz w:val="36"/>
    </w:rPr>
  </w:style>
  <w:style w:type="paragraph" w:customStyle="1" w:styleId="FigureHeading">
    <w:name w:val="Figure Heading"/>
    <w:basedOn w:val="HeadingBase"/>
    <w:next w:val="ChartGraphic"/>
    <w:rsid w:val="00BE1843"/>
    <w:pPr>
      <w:spacing w:before="120" w:after="20"/>
    </w:pPr>
    <w:rPr>
      <w:b/>
      <w:sz w:val="20"/>
    </w:rPr>
  </w:style>
  <w:style w:type="paragraph" w:customStyle="1" w:styleId="Classification">
    <w:name w:val="Classification"/>
    <w:basedOn w:val="HeadingBase"/>
    <w:rsid w:val="00BE1843"/>
    <w:pPr>
      <w:jc w:val="center"/>
    </w:pPr>
    <w:rPr>
      <w:rFonts w:ascii="Arial Bold" w:hAnsi="Arial Bold"/>
      <w:b/>
      <w:caps/>
      <w:sz w:val="22"/>
    </w:rPr>
  </w:style>
  <w:style w:type="character" w:customStyle="1" w:styleId="HiddenSequenceCode">
    <w:name w:val="Hidden Sequence Code"/>
    <w:rsid w:val="00BE1843"/>
    <w:rPr>
      <w:rFonts w:ascii="Times New Roman" w:hAnsi="Times New Roman"/>
      <w:vanish/>
      <w:sz w:val="16"/>
    </w:rPr>
  </w:style>
  <w:style w:type="paragraph" w:customStyle="1" w:styleId="OverviewParagraph">
    <w:name w:val="Overview Paragraph"/>
    <w:basedOn w:val="Normal"/>
    <w:rsid w:val="00BE1843"/>
    <w:pPr>
      <w:spacing w:before="120" w:after="120" w:line="240" w:lineRule="auto"/>
    </w:pPr>
  </w:style>
  <w:style w:type="paragraph" w:customStyle="1" w:styleId="TableGraphic">
    <w:name w:val="Table Graphic"/>
    <w:basedOn w:val="Normal"/>
    <w:next w:val="Normal"/>
    <w:rsid w:val="00BE1843"/>
    <w:pPr>
      <w:spacing w:before="0" w:after="0" w:line="240" w:lineRule="auto"/>
      <w:ind w:right="-113"/>
    </w:pPr>
  </w:style>
  <w:style w:type="paragraph" w:customStyle="1" w:styleId="NoteTableHeading">
    <w:name w:val="Note Table Heading"/>
    <w:basedOn w:val="HeadingBase"/>
    <w:next w:val="Normal"/>
    <w:rsid w:val="00BE1843"/>
    <w:pPr>
      <w:spacing w:before="240"/>
    </w:pPr>
    <w:rPr>
      <w:b/>
      <w:sz w:val="20"/>
    </w:rPr>
  </w:style>
  <w:style w:type="paragraph" w:customStyle="1" w:styleId="Source">
    <w:name w:val="Source"/>
    <w:basedOn w:val="Normal"/>
    <w:rsid w:val="00BE1843"/>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BE1843"/>
    <w:pPr>
      <w:spacing w:before="20" w:after="20" w:line="240" w:lineRule="auto"/>
    </w:pPr>
    <w:rPr>
      <w:rFonts w:ascii="Arial" w:hAnsi="Arial"/>
      <w:sz w:val="16"/>
    </w:rPr>
  </w:style>
  <w:style w:type="paragraph" w:customStyle="1" w:styleId="TableColumnHeadingBase">
    <w:name w:val="Table Column Heading Base"/>
    <w:basedOn w:val="Normal"/>
    <w:rsid w:val="00BE1843"/>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BE1843"/>
  </w:style>
  <w:style w:type="paragraph" w:customStyle="1" w:styleId="TableTextRight">
    <w:name w:val="Table Text Right"/>
    <w:basedOn w:val="TableTextBase"/>
    <w:rsid w:val="00BE1843"/>
    <w:pPr>
      <w:jc w:val="right"/>
    </w:pPr>
  </w:style>
  <w:style w:type="paragraph" w:customStyle="1" w:styleId="TableTextCentred">
    <w:name w:val="Table Text Centred"/>
    <w:basedOn w:val="TableTextBase"/>
    <w:rsid w:val="00BE1843"/>
    <w:pPr>
      <w:jc w:val="center"/>
    </w:pPr>
  </w:style>
  <w:style w:type="paragraph" w:customStyle="1" w:styleId="TableTextIndented">
    <w:name w:val="Table Text Indented"/>
    <w:basedOn w:val="TableTextBase"/>
    <w:rsid w:val="00BE1843"/>
    <w:pPr>
      <w:ind w:left="284"/>
    </w:pPr>
  </w:style>
  <w:style w:type="paragraph" w:customStyle="1" w:styleId="TableColumnHeadingLeft">
    <w:name w:val="Table Column Heading Left"/>
    <w:basedOn w:val="TableColumnHeadingBase"/>
    <w:next w:val="Normal"/>
    <w:rsid w:val="00BE1843"/>
  </w:style>
  <w:style w:type="paragraph" w:customStyle="1" w:styleId="TableColumnHeadingRight">
    <w:name w:val="Table Column Heading Right"/>
    <w:basedOn w:val="TableColumnHeadingBase"/>
    <w:next w:val="Normal"/>
    <w:rsid w:val="00BE1843"/>
    <w:pPr>
      <w:jc w:val="right"/>
    </w:pPr>
  </w:style>
  <w:style w:type="paragraph" w:customStyle="1" w:styleId="TableColumnHeadingCentred">
    <w:name w:val="Table Column Heading Centred"/>
    <w:basedOn w:val="TableColumnHeadingBase"/>
    <w:next w:val="Normal"/>
    <w:rsid w:val="00BE1843"/>
    <w:pPr>
      <w:jc w:val="center"/>
    </w:pPr>
  </w:style>
  <w:style w:type="paragraph" w:customStyle="1" w:styleId="Exampletextbullet">
    <w:name w:val="Example text bullet"/>
    <w:basedOn w:val="Exampletext"/>
    <w:semiHidden/>
    <w:rsid w:val="00BE1843"/>
  </w:style>
  <w:style w:type="paragraph" w:styleId="Title">
    <w:name w:val="Title"/>
    <w:basedOn w:val="Normal"/>
    <w:link w:val="TitleChar"/>
    <w:uiPriority w:val="10"/>
    <w:qFormat/>
    <w:rsid w:val="00BE1843"/>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E1843"/>
    <w:pPr>
      <w:spacing w:before="120" w:after="20"/>
    </w:pPr>
    <w:rPr>
      <w:rFonts w:ascii="Arial Bold" w:hAnsi="Arial Bold"/>
      <w:b/>
      <w:sz w:val="20"/>
    </w:rPr>
  </w:style>
  <w:style w:type="paragraph" w:customStyle="1" w:styleId="TPHeading1">
    <w:name w:val="TP Heading 1"/>
    <w:basedOn w:val="HeadingBase"/>
    <w:rsid w:val="00BE1843"/>
    <w:pPr>
      <w:spacing w:before="60" w:after="60"/>
      <w:ind w:left="851"/>
    </w:pPr>
    <w:rPr>
      <w:rFonts w:ascii="Arial Bold" w:hAnsi="Arial Bold"/>
      <w:b/>
      <w:caps/>
      <w:spacing w:val="-10"/>
      <w:sz w:val="28"/>
    </w:rPr>
  </w:style>
  <w:style w:type="paragraph" w:customStyle="1" w:styleId="TPHeading2">
    <w:name w:val="TP Heading 2"/>
    <w:basedOn w:val="HeadingBase"/>
    <w:rsid w:val="00BE1843"/>
    <w:pPr>
      <w:ind w:left="851"/>
    </w:pPr>
    <w:rPr>
      <w:caps/>
      <w:spacing w:val="-10"/>
      <w:sz w:val="28"/>
    </w:rPr>
  </w:style>
  <w:style w:type="paragraph" w:customStyle="1" w:styleId="TPHeading3">
    <w:name w:val="TP Heading 3"/>
    <w:basedOn w:val="HeadingBase"/>
    <w:rsid w:val="00BE1843"/>
    <w:pPr>
      <w:ind w:left="851"/>
    </w:pPr>
    <w:rPr>
      <w:caps/>
      <w:spacing w:val="-10"/>
    </w:rPr>
  </w:style>
  <w:style w:type="paragraph" w:customStyle="1" w:styleId="HeaderBase">
    <w:name w:val="Header Base"/>
    <w:rsid w:val="00BE1843"/>
    <w:rPr>
      <w:rFonts w:ascii="Arial" w:hAnsi="Arial"/>
      <w:color w:val="44546A"/>
      <w:sz w:val="18"/>
    </w:rPr>
  </w:style>
  <w:style w:type="paragraph" w:customStyle="1" w:styleId="HeaderEven">
    <w:name w:val="Header Even"/>
    <w:basedOn w:val="HeaderBase"/>
    <w:rsid w:val="00BE1843"/>
    <w:rPr>
      <w:color w:val="auto"/>
    </w:rPr>
  </w:style>
  <w:style w:type="paragraph" w:customStyle="1" w:styleId="HeaderOdd">
    <w:name w:val="Header Odd"/>
    <w:basedOn w:val="HeaderBase"/>
    <w:rsid w:val="00BE1843"/>
    <w:pPr>
      <w:jc w:val="right"/>
    </w:pPr>
    <w:rPr>
      <w:color w:val="000000"/>
    </w:rPr>
  </w:style>
  <w:style w:type="paragraph" w:styleId="Header">
    <w:name w:val="header"/>
    <w:basedOn w:val="HeaderBase"/>
    <w:link w:val="HeaderChar"/>
    <w:uiPriority w:val="99"/>
    <w:qFormat/>
    <w:rsid w:val="00BE1843"/>
    <w:pPr>
      <w:tabs>
        <w:tab w:val="center" w:pos="4153"/>
        <w:tab w:val="right" w:pos="8306"/>
      </w:tabs>
    </w:pPr>
    <w:rPr>
      <w:color w:val="auto"/>
    </w:rPr>
  </w:style>
  <w:style w:type="paragraph" w:customStyle="1" w:styleId="FooterBase">
    <w:name w:val="Footer Base"/>
    <w:rsid w:val="00BE1843"/>
    <w:pPr>
      <w:jc w:val="center"/>
    </w:pPr>
    <w:rPr>
      <w:rFonts w:ascii="Arial" w:hAnsi="Arial"/>
      <w:color w:val="000000"/>
    </w:rPr>
  </w:style>
  <w:style w:type="paragraph" w:styleId="Footer">
    <w:name w:val="footer"/>
    <w:basedOn w:val="FooterBase"/>
    <w:link w:val="FooterChar"/>
    <w:uiPriority w:val="99"/>
    <w:rsid w:val="00BE1843"/>
    <w:pPr>
      <w:tabs>
        <w:tab w:val="center" w:pos="4153"/>
        <w:tab w:val="right" w:pos="8306"/>
      </w:tabs>
    </w:pPr>
  </w:style>
  <w:style w:type="paragraph" w:styleId="BalloonText">
    <w:name w:val="Balloon Text"/>
    <w:basedOn w:val="Normal"/>
    <w:semiHidden/>
    <w:rsid w:val="00BE1843"/>
    <w:rPr>
      <w:rFonts w:ascii="Tahoma" w:hAnsi="Tahoma" w:cs="Tahoma"/>
      <w:sz w:val="16"/>
      <w:szCs w:val="16"/>
    </w:rPr>
  </w:style>
  <w:style w:type="paragraph" w:styleId="Caption">
    <w:name w:val="caption"/>
    <w:basedOn w:val="Normal"/>
    <w:next w:val="Normal"/>
    <w:qFormat/>
    <w:rsid w:val="00BE1843"/>
    <w:rPr>
      <w:b/>
      <w:bCs/>
    </w:rPr>
  </w:style>
  <w:style w:type="character" w:styleId="CommentReference">
    <w:name w:val="annotation reference"/>
    <w:uiPriority w:val="99"/>
    <w:semiHidden/>
    <w:rsid w:val="00BE1843"/>
    <w:rPr>
      <w:sz w:val="16"/>
      <w:szCs w:val="16"/>
    </w:rPr>
  </w:style>
  <w:style w:type="paragraph" w:styleId="CommentText">
    <w:name w:val="annotation text"/>
    <w:basedOn w:val="Normal"/>
    <w:link w:val="CommentTextChar"/>
    <w:uiPriority w:val="99"/>
    <w:qFormat/>
    <w:rsid w:val="00BE1843"/>
  </w:style>
  <w:style w:type="paragraph" w:styleId="CommentSubject">
    <w:name w:val="annotation subject"/>
    <w:basedOn w:val="CommentText"/>
    <w:next w:val="CommentText"/>
    <w:link w:val="CommentSubjectChar"/>
    <w:semiHidden/>
    <w:rsid w:val="00BE1843"/>
    <w:rPr>
      <w:b/>
      <w:bCs/>
    </w:rPr>
  </w:style>
  <w:style w:type="paragraph" w:styleId="DocumentMap">
    <w:name w:val="Document Map"/>
    <w:basedOn w:val="Normal"/>
    <w:link w:val="DocumentMapChar"/>
    <w:semiHidden/>
    <w:rsid w:val="00BE1843"/>
    <w:pPr>
      <w:shd w:val="clear" w:color="auto" w:fill="000080"/>
    </w:pPr>
    <w:rPr>
      <w:rFonts w:ascii="Tahoma" w:hAnsi="Tahoma" w:cs="Tahoma"/>
    </w:rPr>
  </w:style>
  <w:style w:type="character" w:styleId="EndnoteReference">
    <w:name w:val="endnote reference"/>
    <w:unhideWhenUsed/>
    <w:rsid w:val="00BE1843"/>
    <w:rPr>
      <w:vertAlign w:val="superscript"/>
    </w:rPr>
  </w:style>
  <w:style w:type="paragraph" w:styleId="EndnoteText">
    <w:name w:val="endnote text"/>
    <w:basedOn w:val="Normal"/>
    <w:link w:val="EndnoteTextChar"/>
    <w:unhideWhenUsed/>
    <w:rsid w:val="00BE1843"/>
  </w:style>
  <w:style w:type="character" w:styleId="FootnoteReference">
    <w:name w:val="footnote reference"/>
    <w:rsid w:val="00BE1843"/>
    <w:rPr>
      <w:vertAlign w:val="superscript"/>
    </w:rPr>
  </w:style>
  <w:style w:type="paragraph" w:styleId="FootnoteText">
    <w:name w:val="footnote text"/>
    <w:basedOn w:val="Normal"/>
    <w:link w:val="FootnoteTextChar"/>
    <w:rsid w:val="00BE1843"/>
    <w:pPr>
      <w:tabs>
        <w:tab w:val="left" w:pos="284"/>
      </w:tabs>
      <w:spacing w:before="80" w:after="0" w:line="240" w:lineRule="auto"/>
      <w:ind w:left="284" w:hanging="284"/>
      <w:contextualSpacing/>
    </w:pPr>
    <w:rPr>
      <w:sz w:val="18"/>
    </w:rPr>
  </w:style>
  <w:style w:type="paragraph" w:styleId="Index1">
    <w:name w:val="index 1"/>
    <w:basedOn w:val="Normal"/>
    <w:next w:val="Normal"/>
    <w:rsid w:val="00BE1843"/>
    <w:pPr>
      <w:ind w:left="200" w:hanging="200"/>
    </w:pPr>
  </w:style>
  <w:style w:type="paragraph" w:styleId="Index2">
    <w:name w:val="index 2"/>
    <w:basedOn w:val="Normal"/>
    <w:next w:val="Normal"/>
    <w:rsid w:val="00BE1843"/>
    <w:pPr>
      <w:ind w:left="400" w:hanging="200"/>
    </w:pPr>
  </w:style>
  <w:style w:type="paragraph" w:styleId="Index3">
    <w:name w:val="index 3"/>
    <w:basedOn w:val="Normal"/>
    <w:next w:val="Normal"/>
    <w:rsid w:val="00BE1843"/>
    <w:pPr>
      <w:ind w:left="600" w:hanging="200"/>
    </w:pPr>
  </w:style>
  <w:style w:type="paragraph" w:styleId="Index4">
    <w:name w:val="index 4"/>
    <w:basedOn w:val="Normal"/>
    <w:next w:val="Normal"/>
    <w:autoRedefine/>
    <w:semiHidden/>
    <w:rsid w:val="00BE1843"/>
    <w:pPr>
      <w:ind w:left="800" w:hanging="200"/>
    </w:pPr>
  </w:style>
  <w:style w:type="paragraph" w:styleId="Index5">
    <w:name w:val="index 5"/>
    <w:basedOn w:val="Normal"/>
    <w:next w:val="Normal"/>
    <w:autoRedefine/>
    <w:semiHidden/>
    <w:rsid w:val="00BE1843"/>
    <w:pPr>
      <w:ind w:left="1000" w:hanging="200"/>
    </w:pPr>
  </w:style>
  <w:style w:type="paragraph" w:styleId="Index6">
    <w:name w:val="index 6"/>
    <w:basedOn w:val="Normal"/>
    <w:next w:val="Normal"/>
    <w:autoRedefine/>
    <w:semiHidden/>
    <w:rsid w:val="00BE1843"/>
    <w:pPr>
      <w:ind w:left="1200" w:hanging="200"/>
    </w:pPr>
  </w:style>
  <w:style w:type="paragraph" w:styleId="Index7">
    <w:name w:val="index 7"/>
    <w:basedOn w:val="Normal"/>
    <w:next w:val="Normal"/>
    <w:autoRedefine/>
    <w:semiHidden/>
    <w:rsid w:val="00BE1843"/>
    <w:pPr>
      <w:ind w:left="1400" w:hanging="200"/>
    </w:pPr>
  </w:style>
  <w:style w:type="paragraph" w:styleId="Index8">
    <w:name w:val="index 8"/>
    <w:basedOn w:val="Normal"/>
    <w:next w:val="Normal"/>
    <w:autoRedefine/>
    <w:semiHidden/>
    <w:rsid w:val="00BE1843"/>
    <w:pPr>
      <w:ind w:left="1600" w:hanging="200"/>
    </w:pPr>
  </w:style>
  <w:style w:type="paragraph" w:styleId="Index9">
    <w:name w:val="index 9"/>
    <w:basedOn w:val="Normal"/>
    <w:next w:val="Normal"/>
    <w:autoRedefine/>
    <w:semiHidden/>
    <w:rsid w:val="00BE1843"/>
    <w:pPr>
      <w:ind w:left="1800" w:hanging="200"/>
    </w:pPr>
  </w:style>
  <w:style w:type="paragraph" w:styleId="IndexHeading">
    <w:name w:val="index heading"/>
    <w:basedOn w:val="Normal"/>
    <w:next w:val="Index1"/>
    <w:rsid w:val="00BE1843"/>
    <w:rPr>
      <w:rFonts w:ascii="Arial Bold" w:hAnsi="Arial Bold" w:cs="Arial"/>
      <w:b/>
      <w:bCs/>
      <w:color w:val="002B54"/>
    </w:rPr>
  </w:style>
  <w:style w:type="paragraph" w:styleId="MacroText">
    <w:name w:val="macro"/>
    <w:link w:val="MacroTextChar"/>
    <w:unhideWhenUsed/>
    <w:rsid w:val="00BE184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rsid w:val="00BE1843"/>
    <w:pPr>
      <w:ind w:left="200" w:hanging="200"/>
    </w:pPr>
  </w:style>
  <w:style w:type="paragraph" w:styleId="TableofFigures">
    <w:name w:val="table of figures"/>
    <w:basedOn w:val="Normal"/>
    <w:next w:val="Normal"/>
    <w:rsid w:val="00BE1843"/>
  </w:style>
  <w:style w:type="paragraph" w:styleId="TOAHeading">
    <w:name w:val="toa heading"/>
    <w:basedOn w:val="Normal"/>
    <w:next w:val="Normal"/>
    <w:rsid w:val="00BE1843"/>
    <w:pPr>
      <w:spacing w:before="120"/>
    </w:pPr>
    <w:rPr>
      <w:rFonts w:ascii="Arial" w:hAnsi="Arial" w:cs="Arial"/>
      <w:b/>
      <w:bCs/>
      <w:sz w:val="24"/>
      <w:szCs w:val="24"/>
    </w:rPr>
  </w:style>
  <w:style w:type="paragraph" w:styleId="TOC1">
    <w:name w:val="toc 1"/>
    <w:basedOn w:val="HeaderBase"/>
    <w:next w:val="Normal"/>
    <w:uiPriority w:val="39"/>
    <w:rsid w:val="00BE184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rsid w:val="00BE1843"/>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39"/>
    <w:unhideWhenUsed/>
    <w:rsid w:val="00BE1843"/>
    <w:pPr>
      <w:tabs>
        <w:tab w:val="right" w:leader="dot" w:pos="7700"/>
      </w:tabs>
      <w:spacing w:before="40"/>
      <w:ind w:right="851"/>
    </w:pPr>
    <w:rPr>
      <w:sz w:val="20"/>
    </w:rPr>
  </w:style>
  <w:style w:type="paragraph" w:styleId="TOC4">
    <w:name w:val="toc 4"/>
    <w:basedOn w:val="HeadingBase"/>
    <w:next w:val="Normal"/>
    <w:uiPriority w:val="39"/>
    <w:unhideWhenUsed/>
    <w:rsid w:val="00BE1843"/>
    <w:pPr>
      <w:tabs>
        <w:tab w:val="right" w:leader="dot" w:pos="7700"/>
      </w:tabs>
      <w:spacing w:before="40"/>
      <w:ind w:right="851"/>
    </w:pPr>
    <w:rPr>
      <w:sz w:val="20"/>
    </w:rPr>
  </w:style>
  <w:style w:type="paragraph" w:styleId="TOC5">
    <w:name w:val="toc 5"/>
    <w:basedOn w:val="Normal"/>
    <w:next w:val="Normal"/>
    <w:autoRedefine/>
    <w:uiPriority w:val="39"/>
    <w:rsid w:val="00BE1843"/>
    <w:pPr>
      <w:tabs>
        <w:tab w:val="left" w:pos="851"/>
        <w:tab w:val="right" w:leader="dot" w:pos="7700"/>
      </w:tabs>
      <w:ind w:left="896" w:hanging="896"/>
    </w:pPr>
    <w:rPr>
      <w:rFonts w:ascii="Arial" w:hAnsi="Arial"/>
      <w:noProof/>
      <w:color w:val="002B54"/>
    </w:rPr>
  </w:style>
  <w:style w:type="paragraph" w:styleId="TOC6">
    <w:name w:val="toc 6"/>
    <w:basedOn w:val="TOC4"/>
    <w:next w:val="Normal"/>
    <w:semiHidden/>
    <w:rsid w:val="00BE1843"/>
    <w:pPr>
      <w:tabs>
        <w:tab w:val="left" w:pos="851"/>
      </w:tabs>
      <w:ind w:left="851" w:hanging="851"/>
    </w:pPr>
    <w:rPr>
      <w:color w:val="000000"/>
    </w:rPr>
  </w:style>
  <w:style w:type="paragraph" w:styleId="TOC7">
    <w:name w:val="toc 7"/>
    <w:basedOn w:val="Normal"/>
    <w:next w:val="Normal"/>
    <w:autoRedefine/>
    <w:semiHidden/>
    <w:rsid w:val="00BE1843"/>
    <w:pPr>
      <w:ind w:left="1200"/>
    </w:pPr>
  </w:style>
  <w:style w:type="paragraph" w:styleId="TOC8">
    <w:name w:val="toc 8"/>
    <w:basedOn w:val="Normal"/>
    <w:next w:val="Normal"/>
    <w:autoRedefine/>
    <w:semiHidden/>
    <w:rsid w:val="00BE1843"/>
    <w:pPr>
      <w:ind w:left="1400"/>
    </w:pPr>
  </w:style>
  <w:style w:type="paragraph" w:styleId="TOC9">
    <w:name w:val="toc 9"/>
    <w:basedOn w:val="Normal"/>
    <w:next w:val="Normal"/>
    <w:autoRedefine/>
    <w:semiHidden/>
    <w:rsid w:val="00BE1843"/>
    <w:pPr>
      <w:ind w:left="1600"/>
    </w:pPr>
  </w:style>
  <w:style w:type="paragraph" w:customStyle="1" w:styleId="FileProperties">
    <w:name w:val="File Properties"/>
    <w:basedOn w:val="Normal"/>
    <w:rsid w:val="00BE1843"/>
    <w:pPr>
      <w:spacing w:before="0"/>
    </w:pPr>
    <w:rPr>
      <w:i/>
    </w:rPr>
  </w:style>
  <w:style w:type="character" w:styleId="PageNumber">
    <w:name w:val="page number"/>
    <w:rsid w:val="00BE1843"/>
    <w:rPr>
      <w:rFonts w:ascii="Arial" w:hAnsi="Arial" w:cs="Arial"/>
      <w:color w:val="auto"/>
    </w:rPr>
  </w:style>
  <w:style w:type="character" w:customStyle="1" w:styleId="FramedHeader">
    <w:name w:val="Framed Header"/>
    <w:rsid w:val="00BE1843"/>
    <w:rPr>
      <w:rFonts w:ascii="Book Antiqua" w:hAnsi="Book Antiqua"/>
      <w:i/>
      <w:dstrike w:val="0"/>
      <w:color w:val="auto"/>
      <w:sz w:val="20"/>
      <w:vertAlign w:val="baseline"/>
    </w:rPr>
  </w:style>
  <w:style w:type="paragraph" w:styleId="NormalIndent">
    <w:name w:val="Normal Indent"/>
    <w:basedOn w:val="Normal"/>
    <w:rsid w:val="00BE1843"/>
    <w:pPr>
      <w:ind w:left="567"/>
    </w:pPr>
  </w:style>
  <w:style w:type="paragraph" w:customStyle="1" w:styleId="BlockedQuotation">
    <w:name w:val="Blocked Quotation"/>
    <w:basedOn w:val="Normal"/>
    <w:semiHidden/>
    <w:rsid w:val="00BE1843"/>
    <w:pPr>
      <w:ind w:left="567"/>
    </w:pPr>
  </w:style>
  <w:style w:type="paragraph" w:customStyle="1" w:styleId="ChartMainHeading">
    <w:name w:val="Chart Main Heading"/>
    <w:basedOn w:val="ChartHeading"/>
    <w:next w:val="ChartGraphic"/>
    <w:rsid w:val="00BE1843"/>
  </w:style>
  <w:style w:type="table" w:styleId="TableGrid">
    <w:name w:val="Table Grid"/>
    <w:basedOn w:val="TableNormal"/>
    <w:rsid w:val="00BE184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BE1843"/>
    <w:rPr>
      <w:sz w:val="24"/>
    </w:rPr>
  </w:style>
  <w:style w:type="paragraph" w:customStyle="1" w:styleId="Title3rdLevel">
    <w:name w:val="Title 3rd Level"/>
    <w:basedOn w:val="Normal"/>
    <w:next w:val="Title"/>
    <w:rsid w:val="00BE1843"/>
    <w:pPr>
      <w:jc w:val="center"/>
    </w:pPr>
    <w:rPr>
      <w:rFonts w:ascii="Arial" w:hAnsi="Arial"/>
      <w:caps/>
    </w:rPr>
  </w:style>
  <w:style w:type="paragraph" w:customStyle="1" w:styleId="Part">
    <w:name w:val="Part"/>
    <w:basedOn w:val="Title"/>
    <w:next w:val="Normal"/>
    <w:rsid w:val="00BE1843"/>
    <w:rPr>
      <w:caps/>
      <w:smallCaps w:val="0"/>
    </w:rPr>
  </w:style>
  <w:style w:type="paragraph" w:customStyle="1" w:styleId="TableHeadingNoTable">
    <w:name w:val="Table Heading No Table"/>
    <w:basedOn w:val="TableHeading"/>
    <w:next w:val="Normal"/>
    <w:rsid w:val="00BE1843"/>
    <w:pPr>
      <w:spacing w:after="240"/>
    </w:pPr>
  </w:style>
  <w:style w:type="paragraph" w:customStyle="1" w:styleId="TransmittalAddressee">
    <w:name w:val="Transmittal Addressee"/>
    <w:basedOn w:val="Normal"/>
    <w:rsid w:val="00BE1843"/>
    <w:pPr>
      <w:spacing w:before="0" w:after="0"/>
    </w:pPr>
  </w:style>
  <w:style w:type="paragraph" w:customStyle="1" w:styleId="TransmittalStyle1">
    <w:name w:val="Transmittal Style 1"/>
    <w:basedOn w:val="HeadingBase"/>
    <w:rsid w:val="00BE1843"/>
    <w:pPr>
      <w:spacing w:after="60"/>
      <w:jc w:val="right"/>
    </w:pPr>
    <w:rPr>
      <w:b/>
      <w:smallCaps/>
    </w:rPr>
  </w:style>
  <w:style w:type="paragraph" w:customStyle="1" w:styleId="TransmittalStyle2">
    <w:name w:val="Transmittal Style 2"/>
    <w:basedOn w:val="HeadingBase"/>
    <w:rsid w:val="00BE1843"/>
    <w:pPr>
      <w:spacing w:before="60" w:after="60"/>
      <w:jc w:val="right"/>
    </w:pPr>
    <w:rPr>
      <w:rFonts w:ascii="Helvetica" w:hAnsi="Helvetica"/>
      <w:b/>
      <w:caps/>
      <w:sz w:val="16"/>
    </w:rPr>
  </w:style>
  <w:style w:type="paragraph" w:customStyle="1" w:styleId="UserGuidelevelTOC">
    <w:name w:val="UserGuide level TOC"/>
    <w:basedOn w:val="HeadingBase"/>
    <w:next w:val="Normal"/>
    <w:rsid w:val="00BE1843"/>
    <w:pPr>
      <w:spacing w:before="360" w:after="360"/>
    </w:pPr>
    <w:rPr>
      <w:sz w:val="30"/>
    </w:rPr>
  </w:style>
  <w:style w:type="paragraph" w:customStyle="1" w:styleId="TableTextJustified">
    <w:name w:val="Table Text Justified"/>
    <w:basedOn w:val="TableTextBase"/>
    <w:rsid w:val="00BE1843"/>
    <w:pPr>
      <w:jc w:val="both"/>
    </w:pPr>
  </w:style>
  <w:style w:type="paragraph" w:customStyle="1" w:styleId="Department">
    <w:name w:val="Department"/>
    <w:basedOn w:val="Normal"/>
    <w:rsid w:val="00BE1843"/>
    <w:pPr>
      <w:spacing w:after="0" w:line="240" w:lineRule="auto"/>
      <w:jc w:val="center"/>
    </w:pPr>
    <w:rPr>
      <w:rFonts w:ascii="Arial" w:hAnsi="Arial"/>
      <w:b/>
      <w:sz w:val="52"/>
    </w:rPr>
  </w:style>
  <w:style w:type="paragraph" w:customStyle="1" w:styleId="DepartmentSubtitle">
    <w:name w:val="Department Subtitle"/>
    <w:basedOn w:val="Department"/>
    <w:rsid w:val="00BE1843"/>
    <w:rPr>
      <w:sz w:val="44"/>
    </w:rPr>
  </w:style>
  <w:style w:type="character" w:customStyle="1" w:styleId="ExampletextCharChar">
    <w:name w:val="Example text Char Char"/>
    <w:link w:val="Exampletext"/>
    <w:rsid w:val="00BE1843"/>
    <w:rPr>
      <w:rFonts w:ascii="Calibri" w:hAnsi="Calibri"/>
      <w:i/>
      <w:color w:val="FF0000"/>
      <w:sz w:val="19"/>
      <w:lang w:val="x-none" w:eastAsia="x-none"/>
    </w:rPr>
  </w:style>
  <w:style w:type="paragraph" w:customStyle="1" w:styleId="Crest">
    <w:name w:val="Crest"/>
    <w:basedOn w:val="Normal"/>
    <w:next w:val="TransmittalStyle1"/>
    <w:semiHidden/>
    <w:rsid w:val="00BE1843"/>
    <w:pPr>
      <w:spacing w:after="0" w:line="240" w:lineRule="auto"/>
      <w:jc w:val="center"/>
    </w:pPr>
  </w:style>
  <w:style w:type="character" w:styleId="Hyperlink">
    <w:name w:val="Hyperlink"/>
    <w:uiPriority w:val="99"/>
    <w:unhideWhenUsed/>
    <w:rsid w:val="009D6065"/>
    <w:rPr>
      <w:color w:val="auto"/>
      <w:u w:val="single"/>
    </w:rPr>
  </w:style>
  <w:style w:type="paragraph" w:customStyle="1" w:styleId="Heading1noTOC">
    <w:name w:val="Heading 1 no TOC"/>
    <w:basedOn w:val="Heading1"/>
    <w:rsid w:val="00BE1843"/>
  </w:style>
  <w:style w:type="paragraph" w:customStyle="1" w:styleId="TableColumnOutgroupHeading">
    <w:name w:val="Table Column Outgroup Heading"/>
    <w:basedOn w:val="Normal"/>
    <w:rsid w:val="00BE1843"/>
    <w:pPr>
      <w:spacing w:before="60" w:after="120" w:line="240" w:lineRule="auto"/>
    </w:pPr>
    <w:rPr>
      <w:b/>
      <w:sz w:val="22"/>
    </w:rPr>
  </w:style>
  <w:style w:type="paragraph" w:customStyle="1" w:styleId="TableColumnOutgroupSubheading">
    <w:name w:val="Table Column Outgroup Subheading"/>
    <w:basedOn w:val="Normal"/>
    <w:rsid w:val="00BE1843"/>
    <w:pPr>
      <w:spacing w:before="60" w:after="120" w:line="240" w:lineRule="auto"/>
      <w:jc w:val="center"/>
    </w:pPr>
  </w:style>
  <w:style w:type="paragraph" w:customStyle="1" w:styleId="TableTextBullet">
    <w:name w:val="Table Text Bullet"/>
    <w:basedOn w:val="TableTextBase"/>
    <w:rsid w:val="00BE1843"/>
    <w:pPr>
      <w:numPr>
        <w:numId w:val="3"/>
      </w:numPr>
    </w:pPr>
  </w:style>
  <w:style w:type="paragraph" w:customStyle="1" w:styleId="Exampletextdash">
    <w:name w:val="Example text dash"/>
    <w:basedOn w:val="Exampletextbullet"/>
    <w:semiHidden/>
    <w:rsid w:val="00BE1843"/>
    <w:pPr>
      <w:numPr>
        <w:ilvl w:val="1"/>
      </w:numPr>
    </w:pPr>
  </w:style>
  <w:style w:type="character" w:customStyle="1" w:styleId="HeadingBaseChar">
    <w:name w:val="Heading Base Char"/>
    <w:link w:val="HeadingBase"/>
    <w:rsid w:val="00BE1843"/>
    <w:rPr>
      <w:rFonts w:ascii="Arial" w:hAnsi="Arial"/>
      <w:sz w:val="24"/>
    </w:rPr>
  </w:style>
  <w:style w:type="character" w:customStyle="1" w:styleId="TableHeadingChar">
    <w:name w:val="Table Heading Char"/>
    <w:link w:val="TableHeading"/>
    <w:rsid w:val="00BE1843"/>
    <w:rPr>
      <w:rFonts w:ascii="Arial" w:hAnsi="Arial"/>
      <w:b/>
    </w:rPr>
  </w:style>
  <w:style w:type="character" w:customStyle="1" w:styleId="TableTextBaseChar">
    <w:name w:val="Table Text Base Char"/>
    <w:link w:val="TableTextBase"/>
    <w:rsid w:val="00BE1843"/>
    <w:rPr>
      <w:rFonts w:ascii="Arial" w:hAnsi="Arial"/>
      <w:sz w:val="16"/>
    </w:rPr>
  </w:style>
  <w:style w:type="character" w:customStyle="1" w:styleId="TableTextLeftChar">
    <w:name w:val="Table Text Left Char"/>
    <w:link w:val="TableTextLeft"/>
    <w:rsid w:val="00BE1843"/>
    <w:rPr>
      <w:rFonts w:ascii="Arial" w:hAnsi="Arial"/>
      <w:sz w:val="16"/>
    </w:rPr>
  </w:style>
  <w:style w:type="paragraph" w:styleId="ListParagraph">
    <w:name w:val="List Paragraph"/>
    <w:aliases w:val="NFP GP Bulleted List,List Paragraph1,Recommendation,NAST Quote,List Paragraph11,Bullet point,L,bullet point list,1 heading,Bulleted Para,Bullet points,Content descriptions,Bullet Point,FooterText,numbered,Paragraphe de liste1,列出段落,列出段落1"/>
    <w:basedOn w:val="Normal"/>
    <w:link w:val="ListParagraphChar"/>
    <w:qFormat/>
    <w:rsid w:val="00BE1843"/>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BE1843"/>
    <w:pPr>
      <w:numPr>
        <w:ilvl w:val="1"/>
        <w:numId w:val="3"/>
      </w:numPr>
    </w:pPr>
  </w:style>
  <w:style w:type="character" w:customStyle="1" w:styleId="ChartandTableFootnoteChar">
    <w:name w:val="Chart and Table Footnote Char"/>
    <w:link w:val="ChartandTableFootnote"/>
    <w:rsid w:val="00BE1843"/>
    <w:rPr>
      <w:rFonts w:ascii="Arial" w:hAnsi="Arial"/>
      <w:color w:val="000000"/>
      <w:sz w:val="16"/>
    </w:rPr>
  </w:style>
  <w:style w:type="paragraph" w:customStyle="1" w:styleId="PartHeading">
    <w:name w:val="Part Heading"/>
    <w:basedOn w:val="Title"/>
    <w:next w:val="Normal"/>
    <w:rsid w:val="00BE1843"/>
    <w:pPr>
      <w:spacing w:after="480"/>
      <w:outlineLvl w:val="9"/>
    </w:pPr>
    <w:rPr>
      <w:rFonts w:ascii="Arial Bold" w:hAnsi="Arial Bold"/>
      <w:smallCaps w:val="0"/>
    </w:rPr>
  </w:style>
  <w:style w:type="character" w:customStyle="1" w:styleId="BulletChar">
    <w:name w:val="Bullet Char"/>
    <w:link w:val="Bullet"/>
    <w:rsid w:val="00BE1843"/>
    <w:rPr>
      <w:rFonts w:ascii="Book Antiqua" w:hAnsi="Book Antiqua"/>
      <w:sz w:val="19"/>
    </w:rPr>
  </w:style>
  <w:style w:type="paragraph" w:customStyle="1" w:styleId="BoxTextBase">
    <w:name w:val="Box Text Base"/>
    <w:basedOn w:val="Normal"/>
    <w:rsid w:val="00BE1843"/>
    <w:pPr>
      <w:spacing w:after="120"/>
    </w:pPr>
    <w:rPr>
      <w:color w:val="000000"/>
    </w:rPr>
  </w:style>
  <w:style w:type="paragraph" w:customStyle="1" w:styleId="BoxDash">
    <w:name w:val="Box Dash"/>
    <w:basedOn w:val="Normal"/>
    <w:rsid w:val="00BE1843"/>
    <w:pPr>
      <w:numPr>
        <w:ilvl w:val="1"/>
        <w:numId w:val="4"/>
      </w:numPr>
    </w:pPr>
    <w:rPr>
      <w:color w:val="000000"/>
    </w:rPr>
  </w:style>
  <w:style w:type="paragraph" w:customStyle="1" w:styleId="BoxDoubleDot">
    <w:name w:val="Box Double Dot"/>
    <w:basedOn w:val="BoxTextBase"/>
    <w:rsid w:val="00BE1843"/>
    <w:pPr>
      <w:numPr>
        <w:ilvl w:val="2"/>
        <w:numId w:val="4"/>
      </w:numPr>
    </w:pPr>
  </w:style>
  <w:style w:type="paragraph" w:customStyle="1" w:styleId="Outcome">
    <w:name w:val="Outcome"/>
    <w:basedOn w:val="Normal"/>
    <w:rsid w:val="00BE1843"/>
    <w:pPr>
      <w:spacing w:before="120" w:after="120" w:line="280" w:lineRule="exact"/>
    </w:pPr>
    <w:rPr>
      <w:rFonts w:ascii="Arial" w:hAnsi="Arial" w:cs="Arial"/>
      <w:b/>
    </w:rPr>
  </w:style>
  <w:style w:type="paragraph" w:customStyle="1" w:styleId="ProgramHeading">
    <w:name w:val="Program Heading"/>
    <w:basedOn w:val="HeadingBase"/>
    <w:rsid w:val="00BE1843"/>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BE1843"/>
  </w:style>
  <w:style w:type="character" w:customStyle="1" w:styleId="Heading3Char">
    <w:name w:val="Heading 3 Char"/>
    <w:link w:val="Heading3"/>
    <w:rsid w:val="00BE1843"/>
    <w:rPr>
      <w:rFonts w:ascii="Arial Bold" w:hAnsi="Arial Bold"/>
      <w:b/>
      <w:sz w:val="22"/>
    </w:rPr>
  </w:style>
  <w:style w:type="character" w:customStyle="1" w:styleId="CommentTextChar">
    <w:name w:val="Comment Text Char"/>
    <w:link w:val="CommentText"/>
    <w:uiPriority w:val="99"/>
    <w:rsid w:val="00BE1843"/>
    <w:rPr>
      <w:rFonts w:ascii="Calibri" w:hAnsi="Calibri"/>
      <w:sz w:val="19"/>
    </w:rPr>
  </w:style>
  <w:style w:type="paragraph" w:customStyle="1" w:styleId="ExampleText0">
    <w:name w:val="Example Text"/>
    <w:basedOn w:val="Normal"/>
    <w:semiHidden/>
    <w:rsid w:val="00BE1843"/>
    <w:rPr>
      <w:i/>
      <w:color w:val="FF0000"/>
    </w:rPr>
  </w:style>
  <w:style w:type="paragraph" w:styleId="NoSpacing">
    <w:name w:val="No Spacing"/>
    <w:uiPriority w:val="1"/>
    <w:qFormat/>
    <w:rsid w:val="00BE1843"/>
    <w:rPr>
      <w:rFonts w:ascii="Book Antiqua" w:hAnsi="Book Antiqua"/>
      <w:sz w:val="19"/>
    </w:rPr>
  </w:style>
  <w:style w:type="character" w:customStyle="1" w:styleId="A5">
    <w:name w:val="A5"/>
    <w:uiPriority w:val="99"/>
    <w:rsid w:val="00BE1843"/>
    <w:rPr>
      <w:rFonts w:ascii="Swiss 721 BT" w:hAnsi="Swiss 721 BT" w:cs="Swiss 721 BT" w:hint="default"/>
      <w:color w:val="000000"/>
      <w:sz w:val="20"/>
      <w:szCs w:val="20"/>
    </w:rPr>
  </w:style>
  <w:style w:type="character" w:customStyle="1" w:styleId="HeaderChar">
    <w:name w:val="Header Char"/>
    <w:link w:val="Header"/>
    <w:uiPriority w:val="99"/>
    <w:rsid w:val="00BE1843"/>
    <w:rPr>
      <w:rFonts w:ascii="Arial" w:hAnsi="Arial"/>
      <w:sz w:val="18"/>
    </w:rPr>
  </w:style>
  <w:style w:type="character" w:styleId="FollowedHyperlink">
    <w:name w:val="FollowedHyperlink"/>
    <w:rsid w:val="00BE1843"/>
    <w:rPr>
      <w:color w:val="800080"/>
      <w:u w:val="single"/>
    </w:rPr>
  </w:style>
  <w:style w:type="character" w:customStyle="1" w:styleId="FooterChar">
    <w:name w:val="Footer Char"/>
    <w:link w:val="Footer"/>
    <w:uiPriority w:val="99"/>
    <w:rsid w:val="00BE1843"/>
    <w:rPr>
      <w:rFonts w:ascii="Arial" w:hAnsi="Arial"/>
      <w:color w:val="000000"/>
    </w:rPr>
  </w:style>
  <w:style w:type="character" w:styleId="Strong">
    <w:name w:val="Strong"/>
    <w:qFormat/>
    <w:rsid w:val="00BE1843"/>
    <w:rPr>
      <w:b/>
      <w:bCs/>
    </w:rPr>
  </w:style>
  <w:style w:type="paragraph" w:customStyle="1" w:styleId="Heading2NoTOC">
    <w:name w:val="Heading 2 No TOC"/>
    <w:basedOn w:val="Heading2"/>
    <w:qFormat/>
    <w:rsid w:val="00BE1843"/>
    <w:pPr>
      <w:outlineLvl w:val="9"/>
    </w:pPr>
  </w:style>
  <w:style w:type="paragraph" w:customStyle="1" w:styleId="PartHeading-TOC">
    <w:name w:val="Part Heading - TOC"/>
    <w:basedOn w:val="PartHeading"/>
    <w:rsid w:val="00BE1843"/>
  </w:style>
  <w:style w:type="paragraph" w:styleId="Revision">
    <w:name w:val="Revision"/>
    <w:hidden/>
    <w:uiPriority w:val="99"/>
    <w:semiHidden/>
    <w:rsid w:val="00BE1843"/>
    <w:rPr>
      <w:rFonts w:ascii="Book Antiqua" w:hAnsi="Book Antiqua"/>
    </w:rPr>
  </w:style>
  <w:style w:type="paragraph" w:styleId="NoteHeading">
    <w:name w:val="Note Heading"/>
    <w:basedOn w:val="Normal"/>
    <w:next w:val="Normal"/>
    <w:link w:val="NoteHeadingChar"/>
    <w:rsid w:val="00BE1843"/>
  </w:style>
  <w:style w:type="character" w:customStyle="1" w:styleId="NoteHeadingChar">
    <w:name w:val="Note Heading Char"/>
    <w:link w:val="NoteHeading"/>
    <w:rsid w:val="00BE1843"/>
    <w:rPr>
      <w:rFonts w:ascii="Calibri" w:hAnsi="Calibri"/>
      <w:sz w:val="19"/>
    </w:rPr>
  </w:style>
  <w:style w:type="paragraph" w:customStyle="1" w:styleId="SecurityClassificationHeader">
    <w:name w:val="Security Classification Header"/>
    <w:link w:val="SecurityClassificationHeaderChar"/>
    <w:rsid w:val="00BE1843"/>
    <w:pPr>
      <w:spacing w:before="240" w:after="60" w:line="259" w:lineRule="auto"/>
      <w:jc w:val="center"/>
    </w:pPr>
    <w:rPr>
      <w:rFonts w:ascii="Calibri" w:eastAsia="Calibri" w:hAnsi="Calibri" w:cs="Calibri"/>
      <w:b/>
      <w:caps/>
      <w:color w:val="44546A"/>
      <w:sz w:val="24"/>
      <w:szCs w:val="22"/>
      <w:lang w:eastAsia="en-US"/>
    </w:rPr>
  </w:style>
  <w:style w:type="character" w:customStyle="1" w:styleId="SecurityClassificationHeaderChar">
    <w:name w:val="Security Classification Header Char"/>
    <w:link w:val="SecurityClassificationHeader"/>
    <w:rsid w:val="00BE1843"/>
    <w:rPr>
      <w:rFonts w:ascii="Calibri" w:eastAsia="Calibri" w:hAnsi="Calibri" w:cs="Calibri"/>
      <w:b/>
      <w:caps/>
      <w:color w:val="44546A"/>
      <w:sz w:val="24"/>
      <w:szCs w:val="22"/>
      <w:lang w:eastAsia="en-US"/>
    </w:rPr>
  </w:style>
  <w:style w:type="paragraph" w:customStyle="1" w:styleId="SecurityClassificationFooter">
    <w:name w:val="Security Classification Footer"/>
    <w:link w:val="SecurityClassificationFooterChar"/>
    <w:rsid w:val="00BE1843"/>
    <w:pPr>
      <w:spacing w:before="60" w:after="240" w:line="259" w:lineRule="auto"/>
      <w:jc w:val="center"/>
    </w:pPr>
    <w:rPr>
      <w:rFonts w:ascii="Calibri" w:eastAsia="Calibri" w:hAnsi="Calibri" w:cs="Calibri"/>
      <w:b/>
      <w:caps/>
      <w:color w:val="44546A"/>
      <w:sz w:val="24"/>
      <w:szCs w:val="22"/>
      <w:lang w:eastAsia="en-US"/>
    </w:rPr>
  </w:style>
  <w:style w:type="character" w:customStyle="1" w:styleId="SecurityClassificationFooterChar">
    <w:name w:val="Security Classification Footer Char"/>
    <w:link w:val="SecurityClassificationFooter"/>
    <w:rsid w:val="00BE1843"/>
    <w:rPr>
      <w:rFonts w:ascii="Calibri" w:eastAsia="Calibri" w:hAnsi="Calibri" w:cs="Calibri"/>
      <w:b/>
      <w:caps/>
      <w:color w:val="44546A"/>
      <w:sz w:val="24"/>
      <w:szCs w:val="22"/>
      <w:lang w:eastAsia="en-US"/>
    </w:rPr>
  </w:style>
  <w:style w:type="paragraph" w:customStyle="1" w:styleId="DLMSecurityHeader">
    <w:name w:val="DLM Security Header"/>
    <w:link w:val="DLMSecurityHeaderChar"/>
    <w:rsid w:val="00BE1843"/>
    <w:pPr>
      <w:spacing w:before="60" w:after="240" w:line="259" w:lineRule="auto"/>
      <w:jc w:val="center"/>
    </w:pPr>
    <w:rPr>
      <w:rFonts w:ascii="Calibri" w:eastAsia="Calibri" w:hAnsi="Calibri" w:cs="Calibri"/>
      <w:b/>
      <w:caps/>
      <w:color w:val="44546A"/>
      <w:sz w:val="24"/>
      <w:szCs w:val="22"/>
      <w:lang w:eastAsia="en-US"/>
    </w:rPr>
  </w:style>
  <w:style w:type="character" w:customStyle="1" w:styleId="DLMSecurityHeaderChar">
    <w:name w:val="DLM Security Header Char"/>
    <w:link w:val="DLMSecurityHeader"/>
    <w:rsid w:val="00BE1843"/>
    <w:rPr>
      <w:rFonts w:ascii="Calibri" w:eastAsia="Calibri" w:hAnsi="Calibri" w:cs="Calibri"/>
      <w:b/>
      <w:caps/>
      <w:color w:val="44546A"/>
      <w:sz w:val="24"/>
      <w:szCs w:val="22"/>
      <w:lang w:val="x-none" w:eastAsia="en-US"/>
    </w:rPr>
  </w:style>
  <w:style w:type="paragraph" w:customStyle="1" w:styleId="DLMSecurityFooter">
    <w:name w:val="DLM Security Footer"/>
    <w:link w:val="DLMSecurityFooterChar"/>
    <w:rsid w:val="00BE1843"/>
    <w:pPr>
      <w:spacing w:before="240" w:after="60" w:line="259" w:lineRule="auto"/>
      <w:jc w:val="center"/>
    </w:pPr>
    <w:rPr>
      <w:rFonts w:ascii="Calibri" w:eastAsia="Calibri" w:hAnsi="Calibri" w:cs="Calibri"/>
      <w:b/>
      <w:caps/>
      <w:color w:val="44546A"/>
      <w:sz w:val="24"/>
      <w:szCs w:val="22"/>
      <w:lang w:eastAsia="en-US"/>
    </w:rPr>
  </w:style>
  <w:style w:type="character" w:customStyle="1" w:styleId="DLMSecurityFooterChar">
    <w:name w:val="DLM Security Footer Char"/>
    <w:link w:val="DLMSecurityFooter"/>
    <w:rsid w:val="00BE1843"/>
    <w:rPr>
      <w:rFonts w:ascii="Calibri" w:eastAsia="Calibri" w:hAnsi="Calibri" w:cs="Calibri"/>
      <w:b/>
      <w:caps/>
      <w:color w:val="44546A"/>
      <w:sz w:val="24"/>
      <w:szCs w:val="22"/>
      <w:lang w:val="x-none" w:eastAsia="en-US"/>
    </w:rPr>
  </w:style>
  <w:style w:type="paragraph" w:customStyle="1" w:styleId="FooterEven">
    <w:name w:val="Footer Even"/>
    <w:basedOn w:val="Footer"/>
    <w:qFormat/>
    <w:rsid w:val="00BE1843"/>
    <w:pPr>
      <w:pBdr>
        <w:top w:val="single" w:sz="4" w:space="10" w:color="000000"/>
      </w:pBdr>
      <w:jc w:val="left"/>
    </w:pPr>
    <w:rPr>
      <w:color w:val="auto"/>
      <w:sz w:val="18"/>
    </w:rPr>
  </w:style>
  <w:style w:type="paragraph" w:customStyle="1" w:styleId="ChartandTableFootnoteAlpha-Bullet">
    <w:name w:val="Chart and Table Footnote Alpha - Bullet"/>
    <w:basedOn w:val="ChartandTableFootnoteAlpha"/>
    <w:rsid w:val="00BE1843"/>
    <w:pPr>
      <w:numPr>
        <w:numId w:val="6"/>
      </w:numPr>
      <w:tabs>
        <w:tab w:val="left" w:pos="454"/>
      </w:tabs>
      <w:ind w:left="454" w:hanging="170"/>
    </w:pPr>
    <w:rPr>
      <w:rFonts w:cs="Arial"/>
      <w:szCs w:val="16"/>
    </w:rPr>
  </w:style>
  <w:style w:type="character" w:customStyle="1" w:styleId="Heading9Char">
    <w:name w:val="Heading 9 Char"/>
    <w:link w:val="Heading9"/>
    <w:uiPriority w:val="9"/>
    <w:rsid w:val="00BE1843"/>
    <w:rPr>
      <w:rFonts w:ascii="Cambria" w:hAnsi="Cambria"/>
      <w:sz w:val="22"/>
      <w:szCs w:val="22"/>
    </w:rPr>
  </w:style>
  <w:style w:type="paragraph" w:customStyle="1" w:styleId="ChartandTableFootnote-Dash">
    <w:name w:val="Chart and Table Footnote - Dash"/>
    <w:basedOn w:val="Normal"/>
    <w:rsid w:val="00BE1843"/>
    <w:pPr>
      <w:tabs>
        <w:tab w:val="left" w:pos="680"/>
      </w:tabs>
      <w:spacing w:before="0" w:after="0" w:line="240" w:lineRule="auto"/>
      <w:ind w:left="681" w:hanging="397"/>
    </w:pPr>
    <w:rPr>
      <w:rFonts w:ascii="Arial" w:hAnsi="Arial"/>
      <w:sz w:val="16"/>
    </w:rPr>
  </w:style>
  <w:style w:type="paragraph" w:customStyle="1" w:styleId="FooterOdd">
    <w:name w:val="Footer Odd"/>
    <w:basedOn w:val="Footer"/>
    <w:qFormat/>
    <w:rsid w:val="00BE1843"/>
    <w:pPr>
      <w:pBdr>
        <w:top w:val="single" w:sz="4" w:space="10" w:color="000000"/>
      </w:pBdr>
      <w:jc w:val="right"/>
    </w:pPr>
    <w:rPr>
      <w:sz w:val="18"/>
    </w:rPr>
  </w:style>
  <w:style w:type="paragraph" w:customStyle="1" w:styleId="Box-continuedon">
    <w:name w:val="Box - continued on"/>
    <w:basedOn w:val="Normal"/>
    <w:qFormat/>
    <w:rsid w:val="00BE1843"/>
    <w:pPr>
      <w:jc w:val="right"/>
    </w:pPr>
    <w:rPr>
      <w:rFonts w:ascii="Calibri Light" w:hAnsi="Calibri Light" w:cs="Calibri Light"/>
      <w:i/>
      <w:iCs/>
      <w:sz w:val="22"/>
      <w:szCs w:val="24"/>
    </w:rPr>
  </w:style>
  <w:style w:type="character" w:customStyle="1" w:styleId="BoxHeading-Continued">
    <w:name w:val="Box Heading - Continued"/>
    <w:uiPriority w:val="1"/>
    <w:qFormat/>
    <w:rsid w:val="00BE1843"/>
    <w:rPr>
      <w:sz w:val="22"/>
    </w:rPr>
  </w:style>
  <w:style w:type="character" w:customStyle="1" w:styleId="Heading6Char">
    <w:name w:val="Heading 6 Char"/>
    <w:link w:val="Heading6"/>
    <w:rsid w:val="00BE1843"/>
    <w:rPr>
      <w:rFonts w:ascii="Arial" w:hAnsi="Arial"/>
      <w:bCs/>
      <w:szCs w:val="22"/>
    </w:rPr>
  </w:style>
  <w:style w:type="paragraph" w:customStyle="1" w:styleId="BoxSubHeading">
    <w:name w:val="Box Sub Heading"/>
    <w:basedOn w:val="Heading6"/>
    <w:rsid w:val="00BE1843"/>
    <w:pPr>
      <w:spacing w:before="120" w:after="40"/>
    </w:pPr>
  </w:style>
  <w:style w:type="paragraph" w:customStyle="1" w:styleId="ChartHeading">
    <w:name w:val="Chart Heading"/>
    <w:basedOn w:val="HeadingBase"/>
    <w:next w:val="ChartGraphic"/>
    <w:qFormat/>
    <w:rsid w:val="00BE1843"/>
    <w:pPr>
      <w:spacing w:before="120" w:after="20"/>
    </w:pPr>
    <w:rPr>
      <w:b/>
      <w:sz w:val="20"/>
    </w:rPr>
  </w:style>
  <w:style w:type="paragraph" w:customStyle="1" w:styleId="ChartLine">
    <w:name w:val="Chart Line"/>
    <w:basedOn w:val="NoSpacing"/>
    <w:autoRedefine/>
    <w:qFormat/>
    <w:rsid w:val="00BE1843"/>
    <w:pPr>
      <w:pBdr>
        <w:bottom w:val="single" w:sz="4" w:space="2" w:color="D0CECE"/>
      </w:pBdr>
      <w:spacing w:after="240"/>
    </w:pPr>
    <w:rPr>
      <w:rFonts w:ascii="Calibri" w:hAnsi="Calibri"/>
      <w:noProof/>
      <w:sz w:val="4"/>
      <w:szCs w:val="4"/>
    </w:rPr>
  </w:style>
  <w:style w:type="character" w:customStyle="1" w:styleId="CommentSubjectChar">
    <w:name w:val="Comment Subject Char"/>
    <w:link w:val="CommentSubject"/>
    <w:semiHidden/>
    <w:rsid w:val="00BE1843"/>
    <w:rPr>
      <w:rFonts w:ascii="Calibri" w:hAnsi="Calibri"/>
      <w:b/>
      <w:bCs/>
      <w:sz w:val="19"/>
    </w:rPr>
  </w:style>
  <w:style w:type="character" w:customStyle="1" w:styleId="DocumentMapChar">
    <w:name w:val="Document Map Char"/>
    <w:link w:val="DocumentMap"/>
    <w:semiHidden/>
    <w:rsid w:val="00BE1843"/>
    <w:rPr>
      <w:rFonts w:ascii="Tahoma" w:hAnsi="Tahoma" w:cs="Tahoma"/>
      <w:sz w:val="19"/>
      <w:shd w:val="clear" w:color="auto" w:fill="000080"/>
    </w:rPr>
  </w:style>
  <w:style w:type="character" w:customStyle="1" w:styleId="EndnoteTextChar">
    <w:name w:val="Endnote Text Char"/>
    <w:link w:val="EndnoteText"/>
    <w:rsid w:val="00BE1843"/>
    <w:rPr>
      <w:rFonts w:ascii="Calibri" w:hAnsi="Calibri"/>
      <w:sz w:val="19"/>
    </w:rPr>
  </w:style>
  <w:style w:type="character" w:customStyle="1" w:styleId="FootnoteTextChar">
    <w:name w:val="Footnote Text Char"/>
    <w:link w:val="FootnoteText"/>
    <w:rsid w:val="00BE1843"/>
    <w:rPr>
      <w:rFonts w:ascii="Calibri" w:hAnsi="Calibri"/>
      <w:sz w:val="18"/>
    </w:rPr>
  </w:style>
  <w:style w:type="character" w:customStyle="1" w:styleId="Heading1Char">
    <w:name w:val="Heading 1 Char"/>
    <w:link w:val="Heading1"/>
    <w:rsid w:val="00BE1843"/>
    <w:rPr>
      <w:rFonts w:ascii="Arial Bold" w:hAnsi="Arial Bold"/>
      <w:b/>
      <w:kern w:val="34"/>
      <w:sz w:val="36"/>
    </w:rPr>
  </w:style>
  <w:style w:type="character" w:customStyle="1" w:styleId="Heading2Char">
    <w:name w:val="Heading 2 Char"/>
    <w:link w:val="Heading2"/>
    <w:rsid w:val="00BE1843"/>
    <w:rPr>
      <w:rFonts w:ascii="Arial Bold" w:hAnsi="Arial Bold"/>
      <w:b/>
      <w:sz w:val="26"/>
    </w:rPr>
  </w:style>
  <w:style w:type="paragraph" w:customStyle="1" w:styleId="Heading3noTOC">
    <w:name w:val="Heading 3 no TOC"/>
    <w:basedOn w:val="Heading3"/>
    <w:rsid w:val="00BE1843"/>
    <w:pPr>
      <w:outlineLvl w:val="9"/>
    </w:pPr>
  </w:style>
  <w:style w:type="character" w:customStyle="1" w:styleId="Heading4Char">
    <w:name w:val="Heading 4 Char"/>
    <w:link w:val="Heading4"/>
    <w:rsid w:val="00BE1843"/>
    <w:rPr>
      <w:rFonts w:ascii="Arial Bold" w:hAnsi="Arial Bold"/>
      <w:b/>
    </w:rPr>
  </w:style>
  <w:style w:type="character" w:customStyle="1" w:styleId="Heading5Char">
    <w:name w:val="Heading 5 Char"/>
    <w:link w:val="Heading5"/>
    <w:rsid w:val="00BE1843"/>
    <w:rPr>
      <w:rFonts w:ascii="Arial" w:hAnsi="Arial"/>
      <w:bCs/>
      <w:i/>
      <w:iCs/>
      <w:szCs w:val="26"/>
    </w:rPr>
  </w:style>
  <w:style w:type="character" w:customStyle="1" w:styleId="Heading7Char">
    <w:name w:val="Heading 7 Char"/>
    <w:link w:val="Heading7"/>
    <w:rsid w:val="00BE1843"/>
    <w:rPr>
      <w:rFonts w:ascii="Arial" w:hAnsi="Arial"/>
      <w:szCs w:val="24"/>
    </w:rPr>
  </w:style>
  <w:style w:type="character" w:customStyle="1" w:styleId="Heading8Char">
    <w:name w:val="Heading 8 Char"/>
    <w:link w:val="Heading8"/>
    <w:rsid w:val="00BE1843"/>
    <w:rPr>
      <w:i/>
      <w:iCs/>
      <w:sz w:val="16"/>
      <w:szCs w:val="24"/>
    </w:rPr>
  </w:style>
  <w:style w:type="character" w:customStyle="1" w:styleId="MacroTextChar">
    <w:name w:val="Macro Text Char"/>
    <w:link w:val="MacroText"/>
    <w:rsid w:val="00BE1843"/>
    <w:rPr>
      <w:rFonts w:ascii="Courier New" w:hAnsi="Courier New" w:cs="Courier New"/>
    </w:rPr>
  </w:style>
  <w:style w:type="paragraph" w:customStyle="1" w:styleId="Statement">
    <w:name w:val="Statement"/>
    <w:basedOn w:val="Normal"/>
    <w:autoRedefine/>
    <w:qFormat/>
    <w:rsid w:val="00BE1843"/>
    <w:pPr>
      <w:textboxTightWrap w:val="firstAndLastLine"/>
    </w:pPr>
    <w:rPr>
      <w:rFonts w:cs="Calibri"/>
      <w:kern w:val="18"/>
      <w:sz w:val="18"/>
    </w:rPr>
  </w:style>
  <w:style w:type="paragraph" w:customStyle="1" w:styleId="Statement-Bullet">
    <w:name w:val="Statement - Bullet"/>
    <w:basedOn w:val="Bullet"/>
    <w:qFormat/>
    <w:rsid w:val="00BE1843"/>
    <w:pPr>
      <w:ind w:left="284" w:hanging="284"/>
    </w:pPr>
  </w:style>
  <w:style w:type="paragraph" w:customStyle="1" w:styleId="TableLine">
    <w:name w:val="Table Line"/>
    <w:basedOn w:val="Normal"/>
    <w:next w:val="Normal"/>
    <w:autoRedefine/>
    <w:rsid w:val="00BE1843"/>
    <w:pPr>
      <w:pBdr>
        <w:bottom w:val="single" w:sz="4" w:space="2" w:color="D0CECE"/>
      </w:pBdr>
      <w:spacing w:before="0" w:line="240" w:lineRule="auto"/>
    </w:pPr>
    <w:rPr>
      <w:noProof/>
      <w:sz w:val="4"/>
      <w:szCs w:val="4"/>
    </w:rPr>
  </w:style>
  <w:style w:type="paragraph" w:customStyle="1" w:styleId="TPHeading3bold">
    <w:name w:val="TP Heading 3 bold"/>
    <w:basedOn w:val="TPHeading3"/>
    <w:semiHidden/>
    <w:rsid w:val="00BE1843"/>
    <w:rPr>
      <w:rFonts w:cs="Arial"/>
      <w:b/>
      <w:sz w:val="22"/>
      <w:szCs w:val="22"/>
    </w:rPr>
  </w:style>
  <w:style w:type="paragraph" w:customStyle="1" w:styleId="TPHEADING3boldspace">
    <w:name w:val="TP HEADING 3 bold space"/>
    <w:basedOn w:val="TPHeading3bold"/>
    <w:semiHidden/>
    <w:rsid w:val="00BE1843"/>
    <w:pPr>
      <w:spacing w:after="120"/>
    </w:pPr>
  </w:style>
  <w:style w:type="paragraph" w:customStyle="1" w:styleId="TPHEADING3space">
    <w:name w:val="TP HEADING 3 space"/>
    <w:basedOn w:val="TPHeading3"/>
    <w:semiHidden/>
    <w:rsid w:val="00BE1843"/>
    <w:pPr>
      <w:spacing w:before="120" w:after="120"/>
    </w:pPr>
    <w:rPr>
      <w:rFonts w:cs="Arial"/>
      <w:sz w:val="22"/>
      <w:szCs w:val="22"/>
    </w:rPr>
  </w:style>
  <w:style w:type="paragraph" w:customStyle="1" w:styleId="TPHeading4">
    <w:name w:val="TP Heading 4"/>
    <w:basedOn w:val="TPHeading3"/>
    <w:semiHidden/>
    <w:rsid w:val="00BE1843"/>
    <w:rPr>
      <w:sz w:val="20"/>
    </w:rPr>
  </w:style>
  <w:style w:type="paragraph" w:customStyle="1" w:styleId="TPHEADING4space">
    <w:name w:val="TP HEADING 4 space"/>
    <w:basedOn w:val="TPHEADING3space"/>
    <w:semiHidden/>
    <w:rsid w:val="00BE1843"/>
  </w:style>
  <w:style w:type="paragraph" w:customStyle="1" w:styleId="ChartandTableFootnoteAlphaSmall">
    <w:name w:val="Chart and Table Footnote Alpha Small"/>
    <w:basedOn w:val="HeadingBase"/>
    <w:next w:val="Normal"/>
    <w:rsid w:val="00F0167C"/>
    <w:pPr>
      <w:tabs>
        <w:tab w:val="num" w:pos="284"/>
      </w:tabs>
      <w:ind w:left="284" w:hanging="284"/>
      <w:jc w:val="both"/>
    </w:pPr>
    <w:rPr>
      <w:sz w:val="15"/>
    </w:rPr>
  </w:style>
  <w:style w:type="paragraph" w:customStyle="1" w:styleId="ChartandTableFootnoteSmall">
    <w:name w:val="Chart and Table Footnote Small"/>
    <w:basedOn w:val="HeadingBase"/>
    <w:next w:val="Normal"/>
    <w:rsid w:val="00F0167C"/>
    <w:pPr>
      <w:tabs>
        <w:tab w:val="left" w:pos="284"/>
      </w:tabs>
      <w:jc w:val="both"/>
    </w:pPr>
    <w:rPr>
      <w:sz w:val="15"/>
    </w:rPr>
  </w:style>
  <w:style w:type="paragraph" w:customStyle="1" w:styleId="BoxHeadinglevel2">
    <w:name w:val="Box Heading level 2"/>
    <w:basedOn w:val="BoxHeading"/>
    <w:rsid w:val="00F0167C"/>
    <w:pPr>
      <w:spacing w:before="0"/>
    </w:pPr>
    <w:rPr>
      <w:sz w:val="18"/>
    </w:rPr>
  </w:style>
  <w:style w:type="paragraph" w:styleId="BodyText">
    <w:name w:val="Body Text"/>
    <w:basedOn w:val="Normal"/>
    <w:link w:val="BodyTextChar"/>
    <w:qFormat/>
    <w:rsid w:val="00F0167C"/>
    <w:pPr>
      <w:spacing w:before="0" w:after="120" w:line="240" w:lineRule="auto"/>
    </w:pPr>
    <w:rPr>
      <w:rFonts w:ascii="Cambria" w:eastAsia="Cambria" w:hAnsi="Cambria"/>
      <w:sz w:val="22"/>
      <w:szCs w:val="22"/>
      <w:lang w:val="x-none" w:eastAsia="en-US"/>
    </w:rPr>
  </w:style>
  <w:style w:type="character" w:customStyle="1" w:styleId="BodyTextChar">
    <w:name w:val="Body Text Char"/>
    <w:link w:val="BodyText"/>
    <w:rsid w:val="00F0167C"/>
    <w:rPr>
      <w:rFonts w:ascii="Cambria" w:eastAsia="Cambria" w:hAnsi="Cambria"/>
      <w:sz w:val="22"/>
      <w:szCs w:val="22"/>
      <w:lang w:val="x-none" w:eastAsia="en-US"/>
    </w:rPr>
  </w:style>
  <w:style w:type="paragraph" w:customStyle="1" w:styleId="Heading1-TOC">
    <w:name w:val="Heading 1 - TOC"/>
    <w:basedOn w:val="Heading1"/>
    <w:rsid w:val="00F0167C"/>
    <w:pPr>
      <w:jc w:val="center"/>
    </w:pPr>
  </w:style>
  <w:style w:type="paragraph" w:customStyle="1" w:styleId="Heading4-NoTOC">
    <w:name w:val="Heading 4 - No TOC"/>
    <w:basedOn w:val="Heading4"/>
    <w:rsid w:val="00F0167C"/>
    <w:pPr>
      <w:tabs>
        <w:tab w:val="left" w:pos="709"/>
      </w:tabs>
      <w:outlineLvl w:val="9"/>
    </w:pPr>
  </w:style>
  <w:style w:type="table" w:customStyle="1" w:styleId="TableGrid1">
    <w:name w:val="Table Grid1"/>
    <w:basedOn w:val="TableNormal"/>
    <w:next w:val="TableGrid"/>
    <w:uiPriority w:val="59"/>
    <w:rsid w:val="00F016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167C"/>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NFP GP Bulleted List Char,List Paragraph1 Char,Recommendation Char,NAST Quote Char,List Paragraph11 Char,Bullet point Char,L Char,bullet point list Char,1 heading Char,Bulleted Para Char,Bullet points Char,Content descriptions Char"/>
    <w:link w:val="ListParagraph"/>
    <w:locked/>
    <w:rsid w:val="00F0167C"/>
    <w:rPr>
      <w:rFonts w:ascii="Calibri" w:eastAsia="Calibri" w:hAnsi="Calibri"/>
      <w:sz w:val="22"/>
      <w:szCs w:val="22"/>
      <w:lang w:val="en-US" w:eastAsia="en-US"/>
    </w:rPr>
  </w:style>
  <w:style w:type="character" w:customStyle="1" w:styleId="normaltextrun">
    <w:name w:val="normaltextrun"/>
    <w:rsid w:val="00F0167C"/>
  </w:style>
  <w:style w:type="character" w:customStyle="1" w:styleId="spellingerror">
    <w:name w:val="spellingerror"/>
    <w:rsid w:val="00F0167C"/>
  </w:style>
  <w:style w:type="character" w:customStyle="1" w:styleId="eop">
    <w:name w:val="eop"/>
    <w:rsid w:val="00F0167C"/>
  </w:style>
  <w:style w:type="paragraph" w:customStyle="1" w:styleId="TableParagraph">
    <w:name w:val="Table Paragraph"/>
    <w:basedOn w:val="Normal"/>
    <w:uiPriority w:val="1"/>
    <w:qFormat/>
    <w:rsid w:val="00F0167C"/>
    <w:pPr>
      <w:widowControl w:val="0"/>
      <w:autoSpaceDE w:val="0"/>
      <w:autoSpaceDN w:val="0"/>
      <w:spacing w:before="0" w:after="0" w:line="240" w:lineRule="auto"/>
    </w:pPr>
    <w:rPr>
      <w:rFonts w:ascii="Arial" w:eastAsia="Arial" w:hAnsi="Arial" w:cs="Arial"/>
      <w:sz w:val="22"/>
      <w:szCs w:val="22"/>
      <w:lang w:eastAsia="en-US"/>
    </w:rPr>
  </w:style>
  <w:style w:type="paragraph" w:customStyle="1" w:styleId="Heading1-NoTOC">
    <w:name w:val="Heading 1 - No TOC"/>
    <w:basedOn w:val="Heading1"/>
    <w:rsid w:val="00F0167C"/>
    <w:pPr>
      <w:spacing w:after="360"/>
      <w:jc w:val="center"/>
      <w:outlineLvl w:val="9"/>
    </w:pPr>
    <w:rPr>
      <w:rFonts w:ascii="Arial" w:hAnsi="Arial"/>
      <w:smallCaps/>
      <w:kern w:val="28"/>
      <w:sz w:val="34"/>
      <w:lang w:val="x-none"/>
    </w:rPr>
  </w:style>
  <w:style w:type="character" w:customStyle="1" w:styleId="TitleChar">
    <w:name w:val="Title Char"/>
    <w:basedOn w:val="DefaultParagraphFont"/>
    <w:link w:val="Title"/>
    <w:uiPriority w:val="10"/>
    <w:rsid w:val="00BF0558"/>
    <w:rPr>
      <w:rFonts w:ascii="Arial" w:hAnsi="Arial" w:cs="Arial"/>
      <w:b/>
      <w:bCs/>
      <w:smallCaps/>
      <w:kern w:val="28"/>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1511821">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88108796">
      <w:bodyDiv w:val="1"/>
      <w:marLeft w:val="0"/>
      <w:marRight w:val="0"/>
      <w:marTop w:val="0"/>
      <w:marBottom w:val="0"/>
      <w:divBdr>
        <w:top w:val="none" w:sz="0" w:space="0" w:color="auto"/>
        <w:left w:val="none" w:sz="0" w:space="0" w:color="auto"/>
        <w:bottom w:val="none" w:sz="0" w:space="0" w:color="auto"/>
        <w:right w:val="none" w:sz="0" w:space="0" w:color="auto"/>
      </w:divBdr>
    </w:div>
    <w:div w:id="192234398">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506285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4578761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8317016">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33327223">
      <w:bodyDiv w:val="1"/>
      <w:marLeft w:val="0"/>
      <w:marRight w:val="0"/>
      <w:marTop w:val="0"/>
      <w:marBottom w:val="0"/>
      <w:divBdr>
        <w:top w:val="none" w:sz="0" w:space="0" w:color="auto"/>
        <w:left w:val="none" w:sz="0" w:space="0" w:color="auto"/>
        <w:bottom w:val="none" w:sz="0" w:space="0" w:color="auto"/>
        <w:right w:val="none" w:sz="0" w:space="0" w:color="auto"/>
      </w:divBdr>
    </w:div>
    <w:div w:id="44415599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75945262">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56303101">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8607028">
      <w:bodyDiv w:val="1"/>
      <w:marLeft w:val="0"/>
      <w:marRight w:val="0"/>
      <w:marTop w:val="0"/>
      <w:marBottom w:val="0"/>
      <w:divBdr>
        <w:top w:val="none" w:sz="0" w:space="0" w:color="auto"/>
        <w:left w:val="none" w:sz="0" w:space="0" w:color="auto"/>
        <w:bottom w:val="none" w:sz="0" w:space="0" w:color="auto"/>
        <w:right w:val="none" w:sz="0" w:space="0" w:color="auto"/>
      </w:divBdr>
    </w:div>
    <w:div w:id="776222174">
      <w:bodyDiv w:val="1"/>
      <w:marLeft w:val="0"/>
      <w:marRight w:val="0"/>
      <w:marTop w:val="0"/>
      <w:marBottom w:val="0"/>
      <w:divBdr>
        <w:top w:val="none" w:sz="0" w:space="0" w:color="auto"/>
        <w:left w:val="none" w:sz="0" w:space="0" w:color="auto"/>
        <w:bottom w:val="none" w:sz="0" w:space="0" w:color="auto"/>
        <w:right w:val="none" w:sz="0" w:space="0" w:color="auto"/>
      </w:divBdr>
    </w:div>
    <w:div w:id="790199515">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3002854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287046">
      <w:bodyDiv w:val="1"/>
      <w:marLeft w:val="0"/>
      <w:marRight w:val="0"/>
      <w:marTop w:val="0"/>
      <w:marBottom w:val="0"/>
      <w:divBdr>
        <w:top w:val="none" w:sz="0" w:space="0" w:color="auto"/>
        <w:left w:val="none" w:sz="0" w:space="0" w:color="auto"/>
        <w:bottom w:val="none" w:sz="0" w:space="0" w:color="auto"/>
        <w:right w:val="none" w:sz="0" w:space="0" w:color="auto"/>
      </w:divBdr>
    </w:div>
    <w:div w:id="930116322">
      <w:bodyDiv w:val="1"/>
      <w:marLeft w:val="0"/>
      <w:marRight w:val="0"/>
      <w:marTop w:val="0"/>
      <w:marBottom w:val="0"/>
      <w:divBdr>
        <w:top w:val="none" w:sz="0" w:space="0" w:color="auto"/>
        <w:left w:val="none" w:sz="0" w:space="0" w:color="auto"/>
        <w:bottom w:val="none" w:sz="0" w:space="0" w:color="auto"/>
        <w:right w:val="none" w:sz="0" w:space="0" w:color="auto"/>
      </w:divBdr>
    </w:div>
    <w:div w:id="931862141">
      <w:bodyDiv w:val="1"/>
      <w:marLeft w:val="0"/>
      <w:marRight w:val="0"/>
      <w:marTop w:val="0"/>
      <w:marBottom w:val="0"/>
      <w:divBdr>
        <w:top w:val="none" w:sz="0" w:space="0" w:color="auto"/>
        <w:left w:val="none" w:sz="0" w:space="0" w:color="auto"/>
        <w:bottom w:val="none" w:sz="0" w:space="0" w:color="auto"/>
        <w:right w:val="none" w:sz="0" w:space="0" w:color="auto"/>
      </w:divBdr>
    </w:div>
    <w:div w:id="93363432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1656991">
      <w:bodyDiv w:val="1"/>
      <w:marLeft w:val="0"/>
      <w:marRight w:val="0"/>
      <w:marTop w:val="0"/>
      <w:marBottom w:val="0"/>
      <w:divBdr>
        <w:top w:val="none" w:sz="0" w:space="0" w:color="auto"/>
        <w:left w:val="none" w:sz="0" w:space="0" w:color="auto"/>
        <w:bottom w:val="none" w:sz="0" w:space="0" w:color="auto"/>
        <w:right w:val="none" w:sz="0" w:space="0" w:color="auto"/>
      </w:divBdr>
    </w:div>
    <w:div w:id="107146431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8759865">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0339905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6957102">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22990118">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4861333">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64397205">
      <w:bodyDiv w:val="1"/>
      <w:marLeft w:val="0"/>
      <w:marRight w:val="0"/>
      <w:marTop w:val="0"/>
      <w:marBottom w:val="0"/>
      <w:divBdr>
        <w:top w:val="none" w:sz="0" w:space="0" w:color="auto"/>
        <w:left w:val="none" w:sz="0" w:space="0" w:color="auto"/>
        <w:bottom w:val="none" w:sz="0" w:space="0" w:color="auto"/>
        <w:right w:val="none" w:sz="0" w:space="0" w:color="auto"/>
      </w:divBdr>
    </w:div>
    <w:div w:id="1894731770">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0503395">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51282270">
      <w:bodyDiv w:val="1"/>
      <w:marLeft w:val="0"/>
      <w:marRight w:val="0"/>
      <w:marTop w:val="0"/>
      <w:marBottom w:val="0"/>
      <w:divBdr>
        <w:top w:val="none" w:sz="0" w:space="0" w:color="auto"/>
        <w:left w:val="none" w:sz="0" w:space="0" w:color="auto"/>
        <w:bottom w:val="none" w:sz="0" w:space="0" w:color="auto"/>
        <w:right w:val="none" w:sz="0" w:space="0" w:color="auto"/>
      </w:divBdr>
    </w:div>
    <w:div w:id="1953511041">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94485405">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1367530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17" Type="http://schemas.openxmlformats.org/officeDocument/2006/relationships/image" Target="media/image53.emf"/><Relationship Id="rId21" Type="http://schemas.openxmlformats.org/officeDocument/2006/relationships/hyperlink" Target="mailto:publications@finance.gov.au" TargetMode="External"/><Relationship Id="rId42" Type="http://schemas.openxmlformats.org/officeDocument/2006/relationships/header" Target="header13.xml"/><Relationship Id="rId63" Type="http://schemas.openxmlformats.org/officeDocument/2006/relationships/image" Target="media/image16.emf"/><Relationship Id="rId84" Type="http://schemas.openxmlformats.org/officeDocument/2006/relationships/header" Target="header18.xml"/><Relationship Id="rId138" Type="http://schemas.openxmlformats.org/officeDocument/2006/relationships/image" Target="media/image61.emf"/><Relationship Id="rId159" Type="http://schemas.openxmlformats.org/officeDocument/2006/relationships/image" Target="media/image68.emf"/><Relationship Id="rId170" Type="http://schemas.openxmlformats.org/officeDocument/2006/relationships/header" Target="header39.xml"/><Relationship Id="rId191" Type="http://schemas.openxmlformats.org/officeDocument/2006/relationships/image" Target="media/image81.emf"/><Relationship Id="rId205" Type="http://schemas.openxmlformats.org/officeDocument/2006/relationships/header" Target="header49.xml"/><Relationship Id="rId107" Type="http://schemas.openxmlformats.org/officeDocument/2006/relationships/image" Target="media/image45.emf"/><Relationship Id="rId11" Type="http://schemas.openxmlformats.org/officeDocument/2006/relationships/webSettings" Target="webSettings.xml"/><Relationship Id="rId32" Type="http://schemas.openxmlformats.org/officeDocument/2006/relationships/footer" Target="footer5.xml"/><Relationship Id="rId37" Type="http://schemas.openxmlformats.org/officeDocument/2006/relationships/header" Target="header9.xml"/><Relationship Id="rId53" Type="http://schemas.openxmlformats.org/officeDocument/2006/relationships/image" Target="media/image6.emf"/><Relationship Id="rId58" Type="http://schemas.openxmlformats.org/officeDocument/2006/relationships/image" Target="media/image11.emf"/><Relationship Id="rId74" Type="http://schemas.openxmlformats.org/officeDocument/2006/relationships/image" Target="media/image27.emf"/><Relationship Id="rId79" Type="http://schemas.openxmlformats.org/officeDocument/2006/relationships/image" Target="media/image32.emf"/><Relationship Id="rId102" Type="http://schemas.openxmlformats.org/officeDocument/2006/relationships/header" Target="header22.xml"/><Relationship Id="rId123" Type="http://schemas.openxmlformats.org/officeDocument/2006/relationships/header" Target="header26.xml"/><Relationship Id="rId128" Type="http://schemas.openxmlformats.org/officeDocument/2006/relationships/header" Target="header28.xml"/><Relationship Id="rId144" Type="http://schemas.openxmlformats.org/officeDocument/2006/relationships/footer" Target="footer29.xml"/><Relationship Id="rId149" Type="http://schemas.openxmlformats.org/officeDocument/2006/relationships/footer" Target="footer32.xml"/><Relationship Id="rId5" Type="http://schemas.openxmlformats.org/officeDocument/2006/relationships/customXml" Target="../customXml/item5.xml"/><Relationship Id="rId90" Type="http://schemas.openxmlformats.org/officeDocument/2006/relationships/image" Target="media/image36.emf"/><Relationship Id="rId95" Type="http://schemas.openxmlformats.org/officeDocument/2006/relationships/image" Target="media/image41.emf"/><Relationship Id="rId160" Type="http://schemas.openxmlformats.org/officeDocument/2006/relationships/image" Target="media/image69.emf"/><Relationship Id="rId165" Type="http://schemas.openxmlformats.org/officeDocument/2006/relationships/header" Target="header38.xml"/><Relationship Id="rId181" Type="http://schemas.openxmlformats.org/officeDocument/2006/relationships/hyperlink" Target="https://www.ipea.gov.au/home/publications-fact-sheets" TargetMode="External"/><Relationship Id="rId186" Type="http://schemas.openxmlformats.org/officeDocument/2006/relationships/footer" Target="footer40.xml"/><Relationship Id="rId211" Type="http://schemas.openxmlformats.org/officeDocument/2006/relationships/fontTable" Target="fontTable.xml"/><Relationship Id="rId22" Type="http://schemas.openxmlformats.org/officeDocument/2006/relationships/footer" Target="footer2.xml"/><Relationship Id="rId27" Type="http://schemas.openxmlformats.org/officeDocument/2006/relationships/footer" Target="footer3.xml"/><Relationship Id="rId43" Type="http://schemas.openxmlformats.org/officeDocument/2006/relationships/footer" Target="footer10.xml"/><Relationship Id="rId48" Type="http://schemas.openxmlformats.org/officeDocument/2006/relationships/footer" Target="footer13.xml"/><Relationship Id="rId64" Type="http://schemas.openxmlformats.org/officeDocument/2006/relationships/image" Target="media/image17.emf"/><Relationship Id="rId69" Type="http://schemas.openxmlformats.org/officeDocument/2006/relationships/image" Target="media/image22.emf"/><Relationship Id="rId113" Type="http://schemas.openxmlformats.org/officeDocument/2006/relationships/image" Target="media/image49.emf"/><Relationship Id="rId118" Type="http://schemas.openxmlformats.org/officeDocument/2006/relationships/image" Target="media/image54.emf"/><Relationship Id="rId134" Type="http://schemas.openxmlformats.org/officeDocument/2006/relationships/hyperlink" Target="https://www.dta.gov.au/about-us/reporting-and-plans/annual-reports" TargetMode="External"/><Relationship Id="rId139" Type="http://schemas.openxmlformats.org/officeDocument/2006/relationships/image" Target="media/image62.emf"/><Relationship Id="rId80" Type="http://schemas.openxmlformats.org/officeDocument/2006/relationships/image" Target="media/image33.emf"/><Relationship Id="rId85" Type="http://schemas.openxmlformats.org/officeDocument/2006/relationships/footer" Target="footer17.xml"/><Relationship Id="rId150" Type="http://schemas.openxmlformats.org/officeDocument/2006/relationships/image" Target="media/image65.emf"/><Relationship Id="rId155" Type="http://schemas.openxmlformats.org/officeDocument/2006/relationships/header" Target="header35.xml"/><Relationship Id="rId171" Type="http://schemas.openxmlformats.org/officeDocument/2006/relationships/header" Target="header40.xml"/><Relationship Id="rId176" Type="http://schemas.openxmlformats.org/officeDocument/2006/relationships/header" Target="header42.xml"/><Relationship Id="rId192" Type="http://schemas.openxmlformats.org/officeDocument/2006/relationships/image" Target="media/image82.emf"/><Relationship Id="rId197" Type="http://schemas.openxmlformats.org/officeDocument/2006/relationships/footer" Target="footer41.xml"/><Relationship Id="rId206" Type="http://schemas.openxmlformats.org/officeDocument/2006/relationships/footer" Target="footer45.xml"/><Relationship Id="rId201" Type="http://schemas.openxmlformats.org/officeDocument/2006/relationships/hyperlink" Target="http://www.finance.gov.au/resource-management/introduction/glossary/" TargetMode="Externa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33" Type="http://schemas.openxmlformats.org/officeDocument/2006/relationships/footer" Target="footer6.xml"/><Relationship Id="rId38" Type="http://schemas.openxmlformats.org/officeDocument/2006/relationships/header" Target="header10.xml"/><Relationship Id="rId59" Type="http://schemas.openxmlformats.org/officeDocument/2006/relationships/image" Target="media/image12.emf"/><Relationship Id="rId103" Type="http://schemas.openxmlformats.org/officeDocument/2006/relationships/footer" Target="footer20.xml"/><Relationship Id="rId108" Type="http://schemas.openxmlformats.org/officeDocument/2006/relationships/image" Target="media/image46.emf"/><Relationship Id="rId124" Type="http://schemas.openxmlformats.org/officeDocument/2006/relationships/footer" Target="footer25.xml"/><Relationship Id="rId129" Type="http://schemas.openxmlformats.org/officeDocument/2006/relationships/footer" Target="footer28.xml"/><Relationship Id="rId54" Type="http://schemas.openxmlformats.org/officeDocument/2006/relationships/image" Target="media/image7.emf"/><Relationship Id="rId70" Type="http://schemas.openxmlformats.org/officeDocument/2006/relationships/image" Target="media/image23.emf"/><Relationship Id="rId75" Type="http://schemas.openxmlformats.org/officeDocument/2006/relationships/image" Target="media/image28.emf"/><Relationship Id="rId91" Type="http://schemas.openxmlformats.org/officeDocument/2006/relationships/image" Target="media/image37.emf"/><Relationship Id="rId96" Type="http://schemas.openxmlformats.org/officeDocument/2006/relationships/image" Target="media/image42.emf"/><Relationship Id="rId140" Type="http://schemas.openxmlformats.org/officeDocument/2006/relationships/image" Target="media/image63.emf"/><Relationship Id="rId145" Type="http://schemas.openxmlformats.org/officeDocument/2006/relationships/header" Target="header31.xml"/><Relationship Id="rId161" Type="http://schemas.openxmlformats.org/officeDocument/2006/relationships/image" Target="media/image70.emf"/><Relationship Id="rId166" Type="http://schemas.openxmlformats.org/officeDocument/2006/relationships/image" Target="media/image71.emf"/><Relationship Id="rId182" Type="http://schemas.openxmlformats.org/officeDocument/2006/relationships/hyperlink" Target="https://www.ipea.gov.au/home/publications-fact-sheets" TargetMode="External"/><Relationship Id="rId187" Type="http://schemas.openxmlformats.org/officeDocument/2006/relationships/image" Target="media/image77.emf"/><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theme" Target="theme/theme1.xml"/><Relationship Id="rId23" Type="http://schemas.openxmlformats.org/officeDocument/2006/relationships/hyperlink" Target="http://www.budget.gov.au" TargetMode="External"/><Relationship Id="rId28" Type="http://schemas.openxmlformats.org/officeDocument/2006/relationships/header" Target="header5.xml"/><Relationship Id="rId49" Type="http://schemas.openxmlformats.org/officeDocument/2006/relationships/footer" Target="footer14.xml"/><Relationship Id="rId114" Type="http://schemas.openxmlformats.org/officeDocument/2006/relationships/image" Target="media/image50.emf"/><Relationship Id="rId119" Type="http://schemas.openxmlformats.org/officeDocument/2006/relationships/header" Target="header24.xml"/><Relationship Id="rId44" Type="http://schemas.openxmlformats.org/officeDocument/2006/relationships/header" Target="header14.xml"/><Relationship Id="rId60" Type="http://schemas.openxmlformats.org/officeDocument/2006/relationships/image" Target="media/image13.emf"/><Relationship Id="rId65" Type="http://schemas.openxmlformats.org/officeDocument/2006/relationships/image" Target="media/image18.emf"/><Relationship Id="rId81" Type="http://schemas.openxmlformats.org/officeDocument/2006/relationships/header" Target="header16.xml"/><Relationship Id="rId86" Type="http://schemas.openxmlformats.org/officeDocument/2006/relationships/header" Target="header19.xml"/><Relationship Id="rId130" Type="http://schemas.openxmlformats.org/officeDocument/2006/relationships/image" Target="media/image55.emf"/><Relationship Id="rId135" Type="http://schemas.openxmlformats.org/officeDocument/2006/relationships/image" Target="media/image58.emf"/><Relationship Id="rId151" Type="http://schemas.openxmlformats.org/officeDocument/2006/relationships/hyperlink" Target="https://www.futurefund.gov.au/about-us/access-to-information/parliamentary-and-statutory-reporting" TargetMode="External"/><Relationship Id="rId156" Type="http://schemas.openxmlformats.org/officeDocument/2006/relationships/footer" Target="footer33.xml"/><Relationship Id="rId177" Type="http://schemas.openxmlformats.org/officeDocument/2006/relationships/footer" Target="footer38.xml"/><Relationship Id="rId198" Type="http://schemas.openxmlformats.org/officeDocument/2006/relationships/footer" Target="footer42.xml"/><Relationship Id="rId172" Type="http://schemas.openxmlformats.org/officeDocument/2006/relationships/footer" Target="footer35.xml"/><Relationship Id="rId193" Type="http://schemas.openxmlformats.org/officeDocument/2006/relationships/image" Target="media/image83.emf"/><Relationship Id="rId202" Type="http://schemas.openxmlformats.org/officeDocument/2006/relationships/hyperlink" Target="http://www.finance.gov.au/resource-management/introduction/glossary/" TargetMode="External"/><Relationship Id="rId207" Type="http://schemas.openxmlformats.org/officeDocument/2006/relationships/header" Target="header50.xml"/><Relationship Id="rId13" Type="http://schemas.openxmlformats.org/officeDocument/2006/relationships/endnotes" Target="endnotes.xml"/><Relationship Id="rId18" Type="http://schemas.openxmlformats.org/officeDocument/2006/relationships/image" Target="media/image2.png"/><Relationship Id="rId39" Type="http://schemas.openxmlformats.org/officeDocument/2006/relationships/header" Target="header11.xml"/><Relationship Id="rId109" Type="http://schemas.openxmlformats.org/officeDocument/2006/relationships/hyperlink" Target="https://www.csc.gov.au/Members/About-CSC/Corporate-governance" TargetMode="External"/><Relationship Id="rId34" Type="http://schemas.openxmlformats.org/officeDocument/2006/relationships/header" Target="header8.xml"/><Relationship Id="rId50" Type="http://schemas.openxmlformats.org/officeDocument/2006/relationships/footer" Target="footer15.xml"/><Relationship Id="rId55" Type="http://schemas.openxmlformats.org/officeDocument/2006/relationships/image" Target="media/image8.emf"/><Relationship Id="rId76" Type="http://schemas.openxmlformats.org/officeDocument/2006/relationships/image" Target="media/image29.emf"/><Relationship Id="rId97" Type="http://schemas.openxmlformats.org/officeDocument/2006/relationships/image" Target="media/image43.emf"/><Relationship Id="rId104" Type="http://schemas.openxmlformats.org/officeDocument/2006/relationships/header" Target="header23.xml"/><Relationship Id="rId120" Type="http://schemas.openxmlformats.org/officeDocument/2006/relationships/header" Target="header25.xml"/><Relationship Id="rId125" Type="http://schemas.openxmlformats.org/officeDocument/2006/relationships/header" Target="header27.xml"/><Relationship Id="rId141" Type="http://schemas.openxmlformats.org/officeDocument/2006/relationships/image" Target="media/image64.emf"/><Relationship Id="rId146" Type="http://schemas.openxmlformats.org/officeDocument/2006/relationships/footer" Target="footer30.xml"/><Relationship Id="rId167" Type="http://schemas.openxmlformats.org/officeDocument/2006/relationships/image" Target="media/image72.emf"/><Relationship Id="rId188" Type="http://schemas.openxmlformats.org/officeDocument/2006/relationships/image" Target="media/image78.emf"/><Relationship Id="rId7" Type="http://schemas.openxmlformats.org/officeDocument/2006/relationships/customXml" Target="../customXml/item7.xml"/><Relationship Id="rId71" Type="http://schemas.openxmlformats.org/officeDocument/2006/relationships/image" Target="media/image24.emf"/><Relationship Id="rId92" Type="http://schemas.openxmlformats.org/officeDocument/2006/relationships/image" Target="media/image38.emf"/><Relationship Id="rId162" Type="http://schemas.openxmlformats.org/officeDocument/2006/relationships/header" Target="header36.xml"/><Relationship Id="rId183" Type="http://schemas.openxmlformats.org/officeDocument/2006/relationships/header" Target="header43.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eader" Target="header2.xml"/><Relationship Id="rId40" Type="http://schemas.openxmlformats.org/officeDocument/2006/relationships/footer" Target="footer9.xml"/><Relationship Id="rId45" Type="http://schemas.openxmlformats.org/officeDocument/2006/relationships/footer" Target="footer11.xml"/><Relationship Id="rId66" Type="http://schemas.openxmlformats.org/officeDocument/2006/relationships/image" Target="media/image19.emf"/><Relationship Id="rId87" Type="http://schemas.openxmlformats.org/officeDocument/2006/relationships/footer" Target="footer18.xml"/><Relationship Id="rId110" Type="http://schemas.openxmlformats.org/officeDocument/2006/relationships/hyperlink" Target="https://www.csc.gov.au/Members/About-CSC/Corporate-governance" TargetMode="External"/><Relationship Id="rId115" Type="http://schemas.openxmlformats.org/officeDocument/2006/relationships/image" Target="media/image51.emf"/><Relationship Id="rId131" Type="http://schemas.openxmlformats.org/officeDocument/2006/relationships/image" Target="media/image56.emf"/><Relationship Id="rId136" Type="http://schemas.openxmlformats.org/officeDocument/2006/relationships/image" Target="media/image59.emf"/><Relationship Id="rId157" Type="http://schemas.openxmlformats.org/officeDocument/2006/relationships/image" Target="media/image66.emf"/><Relationship Id="rId178" Type="http://schemas.openxmlformats.org/officeDocument/2006/relationships/footer" Target="footer39.xml"/><Relationship Id="rId61" Type="http://schemas.openxmlformats.org/officeDocument/2006/relationships/image" Target="media/image14.emf"/><Relationship Id="rId82" Type="http://schemas.openxmlformats.org/officeDocument/2006/relationships/header" Target="header17.xml"/><Relationship Id="rId152" Type="http://schemas.openxmlformats.org/officeDocument/2006/relationships/hyperlink" Target="https://www.futurefund.gov.au/about-us/publications" TargetMode="External"/><Relationship Id="rId173" Type="http://schemas.openxmlformats.org/officeDocument/2006/relationships/footer" Target="footer36.xml"/><Relationship Id="rId194" Type="http://schemas.openxmlformats.org/officeDocument/2006/relationships/image" Target="media/image84.emf"/><Relationship Id="rId199" Type="http://schemas.openxmlformats.org/officeDocument/2006/relationships/header" Target="header48.xml"/><Relationship Id="rId203" Type="http://schemas.openxmlformats.org/officeDocument/2006/relationships/hyperlink" Target="http://www.finance.gov.au/resource-management/introduction/glossary/" TargetMode="External"/><Relationship Id="rId208" Type="http://schemas.openxmlformats.org/officeDocument/2006/relationships/header" Target="header51.xml"/><Relationship Id="rId19" Type="http://schemas.openxmlformats.org/officeDocument/2006/relationships/hyperlink" Target="http://creativecommons.org/licenses/by/3.0/au/deed.en" TargetMode="External"/><Relationship Id="rId14" Type="http://schemas.openxmlformats.org/officeDocument/2006/relationships/header" Target="header1.xml"/><Relationship Id="rId30" Type="http://schemas.openxmlformats.org/officeDocument/2006/relationships/header" Target="header6.xml"/><Relationship Id="rId35" Type="http://schemas.openxmlformats.org/officeDocument/2006/relationships/footer" Target="footer7.xml"/><Relationship Id="rId56" Type="http://schemas.openxmlformats.org/officeDocument/2006/relationships/image" Target="media/image9.emf"/><Relationship Id="rId77" Type="http://schemas.openxmlformats.org/officeDocument/2006/relationships/image" Target="media/image30.emf"/><Relationship Id="rId100" Type="http://schemas.openxmlformats.org/officeDocument/2006/relationships/header" Target="header21.xml"/><Relationship Id="rId105" Type="http://schemas.openxmlformats.org/officeDocument/2006/relationships/footer" Target="footer21.xml"/><Relationship Id="rId126" Type="http://schemas.openxmlformats.org/officeDocument/2006/relationships/footer" Target="footer26.xml"/><Relationship Id="rId147" Type="http://schemas.openxmlformats.org/officeDocument/2006/relationships/header" Target="header32.xml"/><Relationship Id="rId168" Type="http://schemas.openxmlformats.org/officeDocument/2006/relationships/image" Target="media/image73.emf"/><Relationship Id="rId8" Type="http://schemas.openxmlformats.org/officeDocument/2006/relationships/numbering" Target="numbering.xml"/><Relationship Id="rId51" Type="http://schemas.openxmlformats.org/officeDocument/2006/relationships/image" Target="media/image4.emf"/><Relationship Id="rId72" Type="http://schemas.openxmlformats.org/officeDocument/2006/relationships/image" Target="media/image25.emf"/><Relationship Id="rId93" Type="http://schemas.openxmlformats.org/officeDocument/2006/relationships/image" Target="media/image39.emf"/><Relationship Id="rId98" Type="http://schemas.openxmlformats.org/officeDocument/2006/relationships/image" Target="media/image44.emf"/><Relationship Id="rId121" Type="http://schemas.openxmlformats.org/officeDocument/2006/relationships/footer" Target="footer23.xml"/><Relationship Id="rId142" Type="http://schemas.openxmlformats.org/officeDocument/2006/relationships/header" Target="header29.xml"/><Relationship Id="rId163" Type="http://schemas.openxmlformats.org/officeDocument/2006/relationships/header" Target="header37.xml"/><Relationship Id="rId184" Type="http://schemas.openxmlformats.org/officeDocument/2006/relationships/header" Target="header44.xml"/><Relationship Id="rId189" Type="http://schemas.openxmlformats.org/officeDocument/2006/relationships/image" Target="media/image79.emf"/><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footer" Target="footer12.xml"/><Relationship Id="rId67" Type="http://schemas.openxmlformats.org/officeDocument/2006/relationships/image" Target="media/image20.emf"/><Relationship Id="rId116" Type="http://schemas.openxmlformats.org/officeDocument/2006/relationships/image" Target="media/image52.emf"/><Relationship Id="rId137" Type="http://schemas.openxmlformats.org/officeDocument/2006/relationships/image" Target="media/image60.emf"/><Relationship Id="rId158" Type="http://schemas.openxmlformats.org/officeDocument/2006/relationships/image" Target="media/image67.emf"/><Relationship Id="rId20" Type="http://schemas.openxmlformats.org/officeDocument/2006/relationships/hyperlink" Target="http://www.pmc.gov.au/government/commonwealth-coat-arms" TargetMode="External"/><Relationship Id="rId41" Type="http://schemas.openxmlformats.org/officeDocument/2006/relationships/header" Target="header12.xml"/><Relationship Id="rId62" Type="http://schemas.openxmlformats.org/officeDocument/2006/relationships/image" Target="media/image15.emf"/><Relationship Id="rId83" Type="http://schemas.openxmlformats.org/officeDocument/2006/relationships/footer" Target="footer16.xml"/><Relationship Id="rId88" Type="http://schemas.openxmlformats.org/officeDocument/2006/relationships/image" Target="media/image34.emf"/><Relationship Id="rId111" Type="http://schemas.openxmlformats.org/officeDocument/2006/relationships/image" Target="media/image47.emf"/><Relationship Id="rId132" Type="http://schemas.openxmlformats.org/officeDocument/2006/relationships/image" Target="media/image57.emf"/><Relationship Id="rId153" Type="http://schemas.openxmlformats.org/officeDocument/2006/relationships/header" Target="header33.xml"/><Relationship Id="rId174" Type="http://schemas.openxmlformats.org/officeDocument/2006/relationships/header" Target="header41.xml"/><Relationship Id="rId179" Type="http://schemas.openxmlformats.org/officeDocument/2006/relationships/image" Target="media/image75.emf"/><Relationship Id="rId195" Type="http://schemas.openxmlformats.org/officeDocument/2006/relationships/header" Target="header46.xml"/><Relationship Id="rId209" Type="http://schemas.openxmlformats.org/officeDocument/2006/relationships/header" Target="header52.xml"/><Relationship Id="rId190" Type="http://schemas.openxmlformats.org/officeDocument/2006/relationships/image" Target="media/image80.emf"/><Relationship Id="rId204" Type="http://schemas.openxmlformats.org/officeDocument/2006/relationships/footer" Target="footer44.xml"/><Relationship Id="rId15" Type="http://schemas.openxmlformats.org/officeDocument/2006/relationships/footer" Target="footer1.xml"/><Relationship Id="rId36" Type="http://schemas.openxmlformats.org/officeDocument/2006/relationships/footer" Target="footer8.xml"/><Relationship Id="rId57" Type="http://schemas.openxmlformats.org/officeDocument/2006/relationships/image" Target="media/image10.emf"/><Relationship Id="rId106" Type="http://schemas.openxmlformats.org/officeDocument/2006/relationships/footer" Target="footer22.xml"/><Relationship Id="rId127" Type="http://schemas.openxmlformats.org/officeDocument/2006/relationships/footer" Target="footer27.xml"/><Relationship Id="rId10" Type="http://schemas.openxmlformats.org/officeDocument/2006/relationships/settings" Target="settings.xml"/><Relationship Id="rId31" Type="http://schemas.openxmlformats.org/officeDocument/2006/relationships/header" Target="header7.xml"/><Relationship Id="rId52" Type="http://schemas.openxmlformats.org/officeDocument/2006/relationships/image" Target="media/image5.emf"/><Relationship Id="rId73" Type="http://schemas.openxmlformats.org/officeDocument/2006/relationships/image" Target="media/image26.emf"/><Relationship Id="rId78" Type="http://schemas.openxmlformats.org/officeDocument/2006/relationships/image" Target="media/image31.emf"/><Relationship Id="rId94" Type="http://schemas.openxmlformats.org/officeDocument/2006/relationships/image" Target="media/image40.emf"/><Relationship Id="rId99" Type="http://schemas.openxmlformats.org/officeDocument/2006/relationships/header" Target="header20.xml"/><Relationship Id="rId101" Type="http://schemas.openxmlformats.org/officeDocument/2006/relationships/footer" Target="footer19.xml"/><Relationship Id="rId122" Type="http://schemas.openxmlformats.org/officeDocument/2006/relationships/footer" Target="footer24.xml"/><Relationship Id="rId143" Type="http://schemas.openxmlformats.org/officeDocument/2006/relationships/header" Target="header30.xml"/><Relationship Id="rId148" Type="http://schemas.openxmlformats.org/officeDocument/2006/relationships/footer" Target="footer31.xml"/><Relationship Id="rId164" Type="http://schemas.openxmlformats.org/officeDocument/2006/relationships/footer" Target="footer34.xml"/><Relationship Id="rId169" Type="http://schemas.openxmlformats.org/officeDocument/2006/relationships/image" Target="media/image74.emf"/><Relationship Id="rId185" Type="http://schemas.openxmlformats.org/officeDocument/2006/relationships/header" Target="header45.xm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image" Target="media/image76.emf"/><Relationship Id="rId210" Type="http://schemas.openxmlformats.org/officeDocument/2006/relationships/footer" Target="footer46.xml"/><Relationship Id="rId26" Type="http://schemas.openxmlformats.org/officeDocument/2006/relationships/header" Target="header4.xml"/><Relationship Id="rId47" Type="http://schemas.openxmlformats.org/officeDocument/2006/relationships/header" Target="header15.xml"/><Relationship Id="rId68" Type="http://schemas.openxmlformats.org/officeDocument/2006/relationships/image" Target="media/image21.emf"/><Relationship Id="rId89" Type="http://schemas.openxmlformats.org/officeDocument/2006/relationships/image" Target="media/image35.emf"/><Relationship Id="rId112" Type="http://schemas.openxmlformats.org/officeDocument/2006/relationships/image" Target="media/image48.emf"/><Relationship Id="rId133" Type="http://schemas.openxmlformats.org/officeDocument/2006/relationships/hyperlink" Target="http://www.dta.gov.au/about-us/reporting-and-plans/corporate-plans" TargetMode="External"/><Relationship Id="rId154" Type="http://schemas.openxmlformats.org/officeDocument/2006/relationships/header" Target="header34.xml"/><Relationship Id="rId175" Type="http://schemas.openxmlformats.org/officeDocument/2006/relationships/footer" Target="footer37.xml"/><Relationship Id="rId196" Type="http://schemas.openxmlformats.org/officeDocument/2006/relationships/header" Target="header47.xml"/><Relationship Id="rId200" Type="http://schemas.openxmlformats.org/officeDocument/2006/relationships/footer" Target="footer43.xml"/><Relationship Id="rId16" Type="http://schemas.openxmlformats.org/officeDocument/2006/relationships/hyperlink" Target="http://creativecommons.org/licenses/by/3.0/au/dee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3.png"/></Relationships>
</file>

<file path=word/_rels/header45.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3.png"/></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PB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5fb5116-7131-45fb-9d92-926478776364" ContentTypeId="0x010100B321FEA60C5BA343A52BC94EC00ABC9E07"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897FAFD4E9FB2F48B7915612E1634A86" ma:contentTypeVersion="108" ma:contentTypeDescription="Create a new document." ma:contentTypeScope="" ma:versionID="e11d8671f3609da109f951f9218f5c6a">
  <xsd:schema xmlns:xsd="http://www.w3.org/2001/XMLSchema" xmlns:xs="http://www.w3.org/2001/XMLSchema" xmlns:p="http://schemas.microsoft.com/office/2006/metadata/properties" xmlns:ns1="http://schemas.microsoft.com/sharepoint/v3" xmlns:ns2="82ff9d9b-d3fc-4aad-bc42-9949ee83b815" xmlns:ns3="41381e76-744a-4e4b-b609-0f774dbc893f" targetNamespace="http://schemas.microsoft.com/office/2006/metadata/properties" ma:root="true" ma:fieldsID="e9154d8170ee14aa388c1329be229e59" ns1:_="" ns2:_="" ns3:_="">
    <xsd:import namespace="http://schemas.microsoft.com/sharepoint/v3"/>
    <xsd:import namespace="82ff9d9b-d3fc-4aad-bc42-9949ee83b815"/>
    <xsd:import namespace="41381e76-744a-4e4b-b609-0f774dbc893f"/>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1b07d73-50d0-4380-93b2-14b88234ee23}" ma:internalName="TaxCatchAll" ma:showField="CatchAllData" ma:web="41381e76-744a-4e4b-b609-0f774dbc893f">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1b07d73-50d0-4380-93b2-14b88234ee23}" ma:internalName="TaxCatchAllLabel" ma:readOnly="true" ma:showField="CatchAllDataLabel" ma:web="41381e76-744a-4e4b-b609-0f774dbc893f">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381e76-744a-4e4b-b609-0f774dbc893f"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kb73b3df24114868a21db4ce3ca83710>
    <TaxCatchAll xmlns="82ff9d9b-d3fc-4aad-bc42-9949ee83b815"/>
    <TaxKeywordTaxHTField xmlns="82ff9d9b-d3fc-4aad-bc42-9949ee83b815">
      <Terms xmlns="http://schemas.microsoft.com/office/infopath/2007/PartnerControl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k710d1823c744f64b20abec111d3c509>
    <RelatedItems xmlns="http://schemas.microsoft.com/sharepoint/v3" xsi:nil="true"/>
    <_dlc_DocId xmlns="41381e76-744a-4e4b-b609-0f774dbc893f">FIN33691-208614078-2582</_dlc_DocId>
    <_dlc_DocIdUrl xmlns="41381e76-744a-4e4b-b609-0f774dbc893f">
      <Url>https://f1.prdmgd.finance.gov.au/sites/50033691/_layouts/15/DocIdRedir.aspx?ID=FIN33691-208614078-2582</Url>
      <Description>FIN33691-208614078-2582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5A09-78AF-493C-BB5B-ABE6AB859E38}">
  <ds:schemaRefs>
    <ds:schemaRef ds:uri="Microsoft.SharePoint.Taxonomy.ContentTypeSync"/>
  </ds:schemaRefs>
</ds:datastoreItem>
</file>

<file path=customXml/itemProps2.xml><?xml version="1.0" encoding="utf-8"?>
<ds:datastoreItem xmlns:ds="http://schemas.openxmlformats.org/officeDocument/2006/customXml" ds:itemID="{6F817195-3998-4905-98D7-240A62184A77}">
  <ds:schemaRefs>
    <ds:schemaRef ds:uri="http://schemas.microsoft.com/office/2006/metadata/longProperties"/>
  </ds:schemaRefs>
</ds:datastoreItem>
</file>

<file path=customXml/itemProps3.xml><?xml version="1.0" encoding="utf-8"?>
<ds:datastoreItem xmlns:ds="http://schemas.openxmlformats.org/officeDocument/2006/customXml" ds:itemID="{6756A354-C485-4199-9F9C-2439D79A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41381e76-744a-4e4b-b609-0f774dbc8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3B632-0AB7-4080-A581-A28BC5B8A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microsoft.com/sharepoint/v3"/>
    <ds:schemaRef ds:uri="http://purl.org/dc/terms/"/>
    <ds:schemaRef ds:uri="http://schemas.openxmlformats.org/package/2006/metadata/core-properties"/>
    <ds:schemaRef ds:uri="41381e76-744a-4e4b-b609-0f774dbc893f"/>
    <ds:schemaRef ds:uri="http://www.w3.org/XML/1998/namespace"/>
    <ds:schemaRef ds:uri="http://purl.org/dc/dcmitype/"/>
  </ds:schemaRefs>
</ds:datastoreItem>
</file>

<file path=customXml/itemProps5.xml><?xml version="1.0" encoding="utf-8"?>
<ds:datastoreItem xmlns:ds="http://schemas.openxmlformats.org/officeDocument/2006/customXml" ds:itemID="{4E0FC283-598D-43FD-AA1D-651ED24578EA}">
  <ds:schemaRefs>
    <ds:schemaRef ds:uri="http://schemas.microsoft.com/sharepoint/v3/contenttype/forms"/>
  </ds:schemaRefs>
</ds:datastoreItem>
</file>

<file path=customXml/itemProps6.xml><?xml version="1.0" encoding="utf-8"?>
<ds:datastoreItem xmlns:ds="http://schemas.openxmlformats.org/officeDocument/2006/customXml" ds:itemID="{0EFA4458-67FE-4D53-B6C9-4E6F27A7CCD5}">
  <ds:schemaRefs>
    <ds:schemaRef ds:uri="http://schemas.microsoft.com/sharepoint/events"/>
  </ds:schemaRefs>
</ds:datastoreItem>
</file>

<file path=customXml/itemProps7.xml><?xml version="1.0" encoding="utf-8"?>
<ds:datastoreItem xmlns:ds="http://schemas.openxmlformats.org/officeDocument/2006/customXml" ds:itemID="{0EAC188D-585C-4844-9980-D5793C58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Template</Template>
  <TotalTime>0</TotalTime>
  <Pages>211</Pages>
  <Words>26036</Words>
  <Characters>165178</Characters>
  <Application>Microsoft Office Word</Application>
  <DocSecurity>0</DocSecurity>
  <Lines>1376</Lines>
  <Paragraphs>381</Paragraphs>
  <ScaleCrop>false</ScaleCrop>
  <HeadingPairs>
    <vt:vector size="2" baseType="variant">
      <vt:variant>
        <vt:lpstr>Title</vt:lpstr>
      </vt:variant>
      <vt:variant>
        <vt:i4>1</vt:i4>
      </vt:variant>
    </vt:vector>
  </HeadingPairs>
  <TitlesOfParts>
    <vt:vector size="1" baseType="lpstr">
      <vt:lpstr>DS amended Attachment C - 2022-23 PBS Word Template v1</vt:lpstr>
    </vt:vector>
  </TitlesOfParts>
  <Company/>
  <LinksUpToDate>false</LinksUpToDate>
  <CharactersWithSpaces>190833</CharactersWithSpaces>
  <SharedDoc>false</SharedDoc>
  <HLinks>
    <vt:vector size="144" baseType="variant">
      <vt:variant>
        <vt:i4>1114166</vt:i4>
      </vt:variant>
      <vt:variant>
        <vt:i4>125</vt:i4>
      </vt:variant>
      <vt:variant>
        <vt:i4>0</vt:i4>
      </vt:variant>
      <vt:variant>
        <vt:i4>5</vt:i4>
      </vt:variant>
      <vt:variant>
        <vt:lpwstr/>
      </vt:variant>
      <vt:variant>
        <vt:lpwstr>_Toc65243512</vt:lpwstr>
      </vt:variant>
      <vt:variant>
        <vt:i4>1179702</vt:i4>
      </vt:variant>
      <vt:variant>
        <vt:i4>119</vt:i4>
      </vt:variant>
      <vt:variant>
        <vt:i4>0</vt:i4>
      </vt:variant>
      <vt:variant>
        <vt:i4>5</vt:i4>
      </vt:variant>
      <vt:variant>
        <vt:lpwstr/>
      </vt:variant>
      <vt:variant>
        <vt:lpwstr>_Toc65243511</vt:lpwstr>
      </vt:variant>
      <vt:variant>
        <vt:i4>1245238</vt:i4>
      </vt:variant>
      <vt:variant>
        <vt:i4>113</vt:i4>
      </vt:variant>
      <vt:variant>
        <vt:i4>0</vt:i4>
      </vt:variant>
      <vt:variant>
        <vt:i4>5</vt:i4>
      </vt:variant>
      <vt:variant>
        <vt:lpwstr/>
      </vt:variant>
      <vt:variant>
        <vt:lpwstr>_Toc65243510</vt:lpwstr>
      </vt:variant>
      <vt:variant>
        <vt:i4>1703991</vt:i4>
      </vt:variant>
      <vt:variant>
        <vt:i4>107</vt:i4>
      </vt:variant>
      <vt:variant>
        <vt:i4>0</vt:i4>
      </vt:variant>
      <vt:variant>
        <vt:i4>5</vt:i4>
      </vt:variant>
      <vt:variant>
        <vt:lpwstr/>
      </vt:variant>
      <vt:variant>
        <vt:lpwstr>_Toc65243509</vt:lpwstr>
      </vt:variant>
      <vt:variant>
        <vt:i4>1769527</vt:i4>
      </vt:variant>
      <vt:variant>
        <vt:i4>101</vt:i4>
      </vt:variant>
      <vt:variant>
        <vt:i4>0</vt:i4>
      </vt:variant>
      <vt:variant>
        <vt:i4>5</vt:i4>
      </vt:variant>
      <vt:variant>
        <vt:lpwstr/>
      </vt:variant>
      <vt:variant>
        <vt:lpwstr>_Toc65243508</vt:lpwstr>
      </vt:variant>
      <vt:variant>
        <vt:i4>1310775</vt:i4>
      </vt:variant>
      <vt:variant>
        <vt:i4>95</vt:i4>
      </vt:variant>
      <vt:variant>
        <vt:i4>0</vt:i4>
      </vt:variant>
      <vt:variant>
        <vt:i4>5</vt:i4>
      </vt:variant>
      <vt:variant>
        <vt:lpwstr/>
      </vt:variant>
      <vt:variant>
        <vt:lpwstr>_Toc65243507</vt:lpwstr>
      </vt:variant>
      <vt:variant>
        <vt:i4>1376311</vt:i4>
      </vt:variant>
      <vt:variant>
        <vt:i4>89</vt:i4>
      </vt:variant>
      <vt:variant>
        <vt:i4>0</vt:i4>
      </vt:variant>
      <vt:variant>
        <vt:i4>5</vt:i4>
      </vt:variant>
      <vt:variant>
        <vt:lpwstr/>
      </vt:variant>
      <vt:variant>
        <vt:lpwstr>_Toc65243506</vt:lpwstr>
      </vt:variant>
      <vt:variant>
        <vt:i4>1441847</vt:i4>
      </vt:variant>
      <vt:variant>
        <vt:i4>83</vt:i4>
      </vt:variant>
      <vt:variant>
        <vt:i4>0</vt:i4>
      </vt:variant>
      <vt:variant>
        <vt:i4>5</vt:i4>
      </vt:variant>
      <vt:variant>
        <vt:lpwstr/>
      </vt:variant>
      <vt:variant>
        <vt:lpwstr>_Toc65243505</vt:lpwstr>
      </vt:variant>
      <vt:variant>
        <vt:i4>1048635</vt:i4>
      </vt:variant>
      <vt:variant>
        <vt:i4>74</vt:i4>
      </vt:variant>
      <vt:variant>
        <vt:i4>0</vt:i4>
      </vt:variant>
      <vt:variant>
        <vt:i4>5</vt:i4>
      </vt:variant>
      <vt:variant>
        <vt:lpwstr/>
      </vt:variant>
      <vt:variant>
        <vt:lpwstr>_Toc115190673</vt:lpwstr>
      </vt:variant>
      <vt:variant>
        <vt:i4>1048635</vt:i4>
      </vt:variant>
      <vt:variant>
        <vt:i4>68</vt:i4>
      </vt:variant>
      <vt:variant>
        <vt:i4>0</vt:i4>
      </vt:variant>
      <vt:variant>
        <vt:i4>5</vt:i4>
      </vt:variant>
      <vt:variant>
        <vt:lpwstr/>
      </vt:variant>
      <vt:variant>
        <vt:lpwstr>_Toc115190672</vt:lpwstr>
      </vt:variant>
      <vt:variant>
        <vt:i4>1048635</vt:i4>
      </vt:variant>
      <vt:variant>
        <vt:i4>62</vt:i4>
      </vt:variant>
      <vt:variant>
        <vt:i4>0</vt:i4>
      </vt:variant>
      <vt:variant>
        <vt:i4>5</vt:i4>
      </vt:variant>
      <vt:variant>
        <vt:lpwstr/>
      </vt:variant>
      <vt:variant>
        <vt:lpwstr>_Toc115190672</vt:lpwstr>
      </vt:variant>
      <vt:variant>
        <vt:i4>1048635</vt:i4>
      </vt:variant>
      <vt:variant>
        <vt:i4>56</vt:i4>
      </vt:variant>
      <vt:variant>
        <vt:i4>0</vt:i4>
      </vt:variant>
      <vt:variant>
        <vt:i4>5</vt:i4>
      </vt:variant>
      <vt:variant>
        <vt:lpwstr/>
      </vt:variant>
      <vt:variant>
        <vt:lpwstr>_Toc115190672</vt:lpwstr>
      </vt:variant>
      <vt:variant>
        <vt:i4>1048635</vt:i4>
      </vt:variant>
      <vt:variant>
        <vt:i4>50</vt:i4>
      </vt:variant>
      <vt:variant>
        <vt:i4>0</vt:i4>
      </vt:variant>
      <vt:variant>
        <vt:i4>5</vt:i4>
      </vt:variant>
      <vt:variant>
        <vt:lpwstr/>
      </vt:variant>
      <vt:variant>
        <vt:lpwstr>_Toc115190672</vt:lpwstr>
      </vt:variant>
      <vt:variant>
        <vt:i4>1048635</vt:i4>
      </vt:variant>
      <vt:variant>
        <vt:i4>44</vt:i4>
      </vt:variant>
      <vt:variant>
        <vt:i4>0</vt:i4>
      </vt:variant>
      <vt:variant>
        <vt:i4>5</vt:i4>
      </vt:variant>
      <vt:variant>
        <vt:lpwstr/>
      </vt:variant>
      <vt:variant>
        <vt:lpwstr>_Toc115190672</vt:lpwstr>
      </vt:variant>
      <vt:variant>
        <vt:i4>1048635</vt:i4>
      </vt:variant>
      <vt:variant>
        <vt:i4>38</vt:i4>
      </vt:variant>
      <vt:variant>
        <vt:i4>0</vt:i4>
      </vt:variant>
      <vt:variant>
        <vt:i4>5</vt:i4>
      </vt:variant>
      <vt:variant>
        <vt:lpwstr/>
      </vt:variant>
      <vt:variant>
        <vt:lpwstr>_Toc115190672</vt:lpwstr>
      </vt:variant>
      <vt:variant>
        <vt:i4>1048635</vt:i4>
      </vt:variant>
      <vt:variant>
        <vt:i4>32</vt:i4>
      </vt:variant>
      <vt:variant>
        <vt:i4>0</vt:i4>
      </vt:variant>
      <vt:variant>
        <vt:i4>5</vt:i4>
      </vt:variant>
      <vt:variant>
        <vt:lpwstr/>
      </vt:variant>
      <vt:variant>
        <vt:lpwstr>_Toc115190671</vt:lpwstr>
      </vt:variant>
      <vt:variant>
        <vt:i4>1048635</vt:i4>
      </vt:variant>
      <vt:variant>
        <vt:i4>26</vt:i4>
      </vt:variant>
      <vt:variant>
        <vt:i4>0</vt:i4>
      </vt:variant>
      <vt:variant>
        <vt:i4>5</vt:i4>
      </vt:variant>
      <vt:variant>
        <vt:lpwstr/>
      </vt:variant>
      <vt:variant>
        <vt:lpwstr>_Toc115190670</vt:lpwstr>
      </vt:variant>
      <vt:variant>
        <vt:i4>1114171</vt:i4>
      </vt:variant>
      <vt:variant>
        <vt:i4>20</vt:i4>
      </vt:variant>
      <vt:variant>
        <vt:i4>0</vt:i4>
      </vt:variant>
      <vt:variant>
        <vt:i4>5</vt:i4>
      </vt:variant>
      <vt:variant>
        <vt:lpwstr/>
      </vt:variant>
      <vt:variant>
        <vt:lpwstr>_Toc115190669</vt:lpwstr>
      </vt:variant>
      <vt:variant>
        <vt:i4>5374022</vt:i4>
      </vt:variant>
      <vt:variant>
        <vt:i4>15</vt:i4>
      </vt:variant>
      <vt:variant>
        <vt:i4>0</vt:i4>
      </vt:variant>
      <vt:variant>
        <vt:i4>5</vt:i4>
      </vt:variant>
      <vt:variant>
        <vt:lpwstr>http://www.budget.gov.au/</vt:lpwstr>
      </vt:variant>
      <vt:variant>
        <vt:lpwstr/>
      </vt:variant>
      <vt:variant>
        <vt:i4>1114222</vt:i4>
      </vt:variant>
      <vt:variant>
        <vt:i4>12</vt:i4>
      </vt:variant>
      <vt:variant>
        <vt:i4>0</vt:i4>
      </vt:variant>
      <vt:variant>
        <vt:i4>5</vt:i4>
      </vt:variant>
      <vt:variant>
        <vt:lpwstr>mailto:publicatins@finance.gov.au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amended Attachment C - 2022-23 PBS Word Template v1</dc:title>
  <dc:subject>Budget</dc:subject>
  <dc:creator/>
  <cp:keywords/>
  <cp:lastModifiedBy/>
  <cp:revision>1</cp:revision>
  <dcterms:created xsi:type="dcterms:W3CDTF">2022-10-25T07:39:00Z</dcterms:created>
  <dcterms:modified xsi:type="dcterms:W3CDTF">2022-10-25T07:41:00Z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0x010100B321FEA60C5BA343A52BC94EC00ABC9E0700897FAFD4E9FB2F48B7915612E1634A86</vt:lpwstr>
  </property>
  <property fmtid="{D5CDD505-2E9C-101B-9397-08002B2CF9AE}" pid="3" name="TaxKeyword">
    <vt:lpwstr/>
  </property>
  <property fmtid="{D5CDD505-2E9C-101B-9397-08002B2CF9AE}" pid="4" name="AbtEntity">
    <vt:lpwstr/>
  </property>
  <property fmtid="{D5CDD505-2E9C-101B-9397-08002B2CF9AE}" pid="5" name="InitiatingEntity">
    <vt:lpwstr/>
  </property>
  <property fmtid="{D5CDD505-2E9C-101B-9397-08002B2CF9AE}" pid="6" name="Function and Activity">
    <vt:lpwstr/>
  </property>
  <property fmtid="{D5CDD505-2E9C-101B-9397-08002B2CF9AE}" pid="7" name="OrgUnit">
    <vt:lpwstr/>
  </property>
  <property fmtid="{D5CDD505-2E9C-101B-9397-08002B2CF9AE}" pid="8" name="_dlc_DocIdItemGuid">
    <vt:lpwstr>b6d882b0-3499-4a67-ab35-8217a188b696</vt:lpwstr>
  </property>
  <property fmtid="{D5CDD505-2E9C-101B-9397-08002B2CF9AE}" pid="9" name="_dlc_DocId">
    <vt:lpwstr>FIN33506-1658115890-276306</vt:lpwstr>
  </property>
  <property fmtid="{D5CDD505-2E9C-101B-9397-08002B2CF9AE}" pid="10" name="_dlc_DocIdUrl">
    <vt:lpwstr>https://f1.prdmgd.finance.gov.au/sites/50033506/_layouts/15/DocIdRedir.aspx?ID=FIN33506-1658115890-276306, FIN33506-1658115890-276306</vt:lpwstr>
  </property>
</Properties>
</file>