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9E6B0" w14:textId="3790036D" w:rsidR="00BF0558" w:rsidRPr="005A7C0B" w:rsidRDefault="00BF0558" w:rsidP="005A7C0B">
      <w:pPr>
        <w:pStyle w:val="PartHeading"/>
      </w:pPr>
      <w:bookmarkStart w:id="0" w:name="_GoBack"/>
      <w:bookmarkEnd w:id="0"/>
      <w:r>
        <w:t>Digital Transformation Agency</w:t>
      </w:r>
    </w:p>
    <w:p w14:paraId="2239E6B1" w14:textId="77777777" w:rsidR="00BF0558" w:rsidRDefault="00BF0558" w:rsidP="005A7C0B">
      <w:pPr>
        <w:pStyle w:val="PartHeading"/>
      </w:pPr>
    </w:p>
    <w:p w14:paraId="2239E6B2" w14:textId="77777777" w:rsidR="00BF0558" w:rsidRDefault="00BF0558" w:rsidP="00CD0244">
      <w:pPr>
        <w:pStyle w:val="PartHeading"/>
      </w:pPr>
      <w:r>
        <w:t>Entity resources and planned performance</w:t>
      </w:r>
    </w:p>
    <w:p w14:paraId="2239E6B3" w14:textId="77777777" w:rsidR="00BF0558" w:rsidRDefault="00BF0558" w:rsidP="005A7C0B">
      <w:pPr>
        <w:pStyle w:val="PartHeading"/>
        <w:sectPr w:rsidR="00BF0558" w:rsidSect="003D4AAF">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693" w:right="2098" w:bottom="2466" w:left="2098" w:header="1814" w:footer="1814" w:gutter="0"/>
          <w:cols w:space="708"/>
          <w:vAlign w:val="center"/>
          <w:titlePg/>
          <w:docGrid w:linePitch="360"/>
        </w:sectPr>
      </w:pPr>
    </w:p>
    <w:p w14:paraId="2239E6B4" w14:textId="77777777" w:rsidR="00BF0558" w:rsidRPr="00E36F77" w:rsidRDefault="00BF0558" w:rsidP="00E36F77">
      <w:pPr>
        <w:pStyle w:val="ContentsHeading"/>
      </w:pPr>
      <w:r>
        <w:lastRenderedPageBreak/>
        <w:t>Digital Transformation Agency</w:t>
      </w:r>
    </w:p>
    <w:p w14:paraId="341DFBEF" w14:textId="0B639FAA" w:rsidR="00DD7FBC" w:rsidRDefault="00BF0558" w:rsidP="00DD7FBC">
      <w:pPr>
        <w:pStyle w:val="TOC1"/>
        <w:rPr>
          <w:rFonts w:asciiTheme="minorHAnsi" w:eastAsiaTheme="minorEastAsia" w:hAnsiTheme="minorHAnsi" w:cstheme="minorBidi"/>
          <w:noProof/>
          <w:sz w:val="22"/>
          <w:szCs w:val="22"/>
        </w:rPr>
      </w:pPr>
      <w:r>
        <w:fldChar w:fldCharType="begin"/>
      </w:r>
      <w:r>
        <w:instrText xml:space="preserve"> TOC \h \z \t "Heading 2,1,Heading 3,2" </w:instrText>
      </w:r>
      <w:r>
        <w:fldChar w:fldCharType="separate"/>
      </w:r>
    </w:p>
    <w:p w14:paraId="513EF23B" w14:textId="66E81A5F" w:rsidR="00DD7FBC" w:rsidRDefault="00DD7FBC">
      <w:pPr>
        <w:pStyle w:val="TOC2"/>
        <w:rPr>
          <w:rFonts w:asciiTheme="minorHAnsi" w:eastAsiaTheme="minorEastAsia" w:hAnsiTheme="minorHAnsi" w:cstheme="minorBidi"/>
          <w:noProof/>
          <w:sz w:val="22"/>
          <w:szCs w:val="22"/>
        </w:rPr>
      </w:pPr>
    </w:p>
    <w:p w14:paraId="76DF8FE1" w14:textId="1F50DC5C" w:rsidR="00DD7FBC" w:rsidRDefault="00580FFB">
      <w:pPr>
        <w:pStyle w:val="TOC1"/>
        <w:rPr>
          <w:rFonts w:asciiTheme="minorHAnsi" w:eastAsiaTheme="minorEastAsia" w:hAnsiTheme="minorHAnsi" w:cstheme="minorBidi"/>
          <w:b w:val="0"/>
          <w:noProof/>
          <w:sz w:val="22"/>
          <w:szCs w:val="22"/>
        </w:rPr>
      </w:pPr>
      <w:hyperlink w:anchor="_Toc117078098" w:history="1">
        <w:r w:rsidR="00DD7FBC" w:rsidRPr="00B009E6">
          <w:rPr>
            <w:rStyle w:val="Hyperlink"/>
            <w:noProof/>
          </w:rPr>
          <w:t>Section 1: Entity overview and resources</w:t>
        </w:r>
        <w:r w:rsidR="00DD7FBC">
          <w:rPr>
            <w:noProof/>
            <w:webHidden/>
          </w:rPr>
          <w:tab/>
        </w:r>
        <w:r w:rsidR="00DD7FBC">
          <w:rPr>
            <w:noProof/>
            <w:webHidden/>
          </w:rPr>
          <w:fldChar w:fldCharType="begin"/>
        </w:r>
        <w:r w:rsidR="00DD7FBC">
          <w:rPr>
            <w:noProof/>
            <w:webHidden/>
          </w:rPr>
          <w:instrText xml:space="preserve"> PAGEREF _Toc117078098 \h </w:instrText>
        </w:r>
        <w:r w:rsidR="00DD7FBC">
          <w:rPr>
            <w:noProof/>
            <w:webHidden/>
          </w:rPr>
        </w:r>
        <w:r w:rsidR="00DD7FBC">
          <w:rPr>
            <w:noProof/>
            <w:webHidden/>
          </w:rPr>
          <w:fldChar w:fldCharType="separate"/>
        </w:r>
        <w:r w:rsidR="009428F5">
          <w:rPr>
            <w:noProof/>
            <w:webHidden/>
          </w:rPr>
          <w:t>129</w:t>
        </w:r>
        <w:r w:rsidR="00DD7FBC">
          <w:rPr>
            <w:noProof/>
            <w:webHidden/>
          </w:rPr>
          <w:fldChar w:fldCharType="end"/>
        </w:r>
      </w:hyperlink>
    </w:p>
    <w:p w14:paraId="799FB1C2" w14:textId="50B18A9F" w:rsidR="00DD7FBC" w:rsidRDefault="00580FFB">
      <w:pPr>
        <w:pStyle w:val="TOC2"/>
        <w:rPr>
          <w:rFonts w:asciiTheme="minorHAnsi" w:eastAsiaTheme="minorEastAsia" w:hAnsiTheme="minorHAnsi" w:cstheme="minorBidi"/>
          <w:noProof/>
          <w:sz w:val="22"/>
          <w:szCs w:val="22"/>
        </w:rPr>
      </w:pPr>
      <w:hyperlink w:anchor="_Toc117078099" w:history="1">
        <w:r w:rsidR="00DD7FBC" w:rsidRPr="00B009E6">
          <w:rPr>
            <w:rStyle w:val="Hyperlink"/>
            <w:noProof/>
          </w:rPr>
          <w:t>1.1</w:t>
        </w:r>
        <w:r w:rsidR="00DD7FBC">
          <w:rPr>
            <w:rFonts w:asciiTheme="minorHAnsi" w:eastAsiaTheme="minorEastAsia" w:hAnsiTheme="minorHAnsi" w:cstheme="minorBidi"/>
            <w:noProof/>
            <w:sz w:val="22"/>
            <w:szCs w:val="22"/>
          </w:rPr>
          <w:tab/>
        </w:r>
        <w:r w:rsidR="00DD7FBC" w:rsidRPr="00B009E6">
          <w:rPr>
            <w:rStyle w:val="Hyperlink"/>
            <w:noProof/>
          </w:rPr>
          <w:t>Strategic direction statement</w:t>
        </w:r>
        <w:r w:rsidR="00DD7FBC">
          <w:rPr>
            <w:noProof/>
            <w:webHidden/>
          </w:rPr>
          <w:tab/>
        </w:r>
        <w:r w:rsidR="00DD7FBC">
          <w:rPr>
            <w:noProof/>
            <w:webHidden/>
          </w:rPr>
          <w:fldChar w:fldCharType="begin"/>
        </w:r>
        <w:r w:rsidR="00DD7FBC">
          <w:rPr>
            <w:noProof/>
            <w:webHidden/>
          </w:rPr>
          <w:instrText xml:space="preserve"> PAGEREF _Toc117078099 \h </w:instrText>
        </w:r>
        <w:r w:rsidR="00DD7FBC">
          <w:rPr>
            <w:noProof/>
            <w:webHidden/>
          </w:rPr>
        </w:r>
        <w:r w:rsidR="00DD7FBC">
          <w:rPr>
            <w:noProof/>
            <w:webHidden/>
          </w:rPr>
          <w:fldChar w:fldCharType="separate"/>
        </w:r>
        <w:r w:rsidR="009428F5">
          <w:rPr>
            <w:noProof/>
            <w:webHidden/>
          </w:rPr>
          <w:t>129</w:t>
        </w:r>
        <w:r w:rsidR="00DD7FBC">
          <w:rPr>
            <w:noProof/>
            <w:webHidden/>
          </w:rPr>
          <w:fldChar w:fldCharType="end"/>
        </w:r>
      </w:hyperlink>
    </w:p>
    <w:p w14:paraId="7E73459A" w14:textId="4F54C2A2" w:rsidR="00DD7FBC" w:rsidRDefault="00580FFB">
      <w:pPr>
        <w:pStyle w:val="TOC2"/>
        <w:rPr>
          <w:rFonts w:asciiTheme="minorHAnsi" w:eastAsiaTheme="minorEastAsia" w:hAnsiTheme="minorHAnsi" w:cstheme="minorBidi"/>
          <w:noProof/>
          <w:sz w:val="22"/>
          <w:szCs w:val="22"/>
        </w:rPr>
      </w:pPr>
      <w:hyperlink w:anchor="_Toc117078100" w:history="1">
        <w:r w:rsidR="00DD7FBC" w:rsidRPr="00B009E6">
          <w:rPr>
            <w:rStyle w:val="Hyperlink"/>
            <w:noProof/>
          </w:rPr>
          <w:t>1.2</w:t>
        </w:r>
        <w:r w:rsidR="00DD7FBC">
          <w:rPr>
            <w:rFonts w:asciiTheme="minorHAnsi" w:eastAsiaTheme="minorEastAsia" w:hAnsiTheme="minorHAnsi" w:cstheme="minorBidi"/>
            <w:noProof/>
            <w:sz w:val="22"/>
            <w:szCs w:val="22"/>
          </w:rPr>
          <w:tab/>
        </w:r>
        <w:r w:rsidR="00DD7FBC" w:rsidRPr="00B009E6">
          <w:rPr>
            <w:rStyle w:val="Hyperlink"/>
            <w:noProof/>
          </w:rPr>
          <w:t>Entity resource statement</w:t>
        </w:r>
        <w:r w:rsidR="00DD7FBC">
          <w:rPr>
            <w:noProof/>
            <w:webHidden/>
          </w:rPr>
          <w:tab/>
        </w:r>
        <w:r w:rsidR="00DD7FBC">
          <w:rPr>
            <w:noProof/>
            <w:webHidden/>
          </w:rPr>
          <w:fldChar w:fldCharType="begin"/>
        </w:r>
        <w:r w:rsidR="00DD7FBC">
          <w:rPr>
            <w:noProof/>
            <w:webHidden/>
          </w:rPr>
          <w:instrText xml:space="preserve"> PAGEREF _Toc117078100 \h </w:instrText>
        </w:r>
        <w:r w:rsidR="00DD7FBC">
          <w:rPr>
            <w:noProof/>
            <w:webHidden/>
          </w:rPr>
        </w:r>
        <w:r w:rsidR="00DD7FBC">
          <w:rPr>
            <w:noProof/>
            <w:webHidden/>
          </w:rPr>
          <w:fldChar w:fldCharType="separate"/>
        </w:r>
        <w:r w:rsidR="009428F5">
          <w:rPr>
            <w:noProof/>
            <w:webHidden/>
          </w:rPr>
          <w:t>130</w:t>
        </w:r>
        <w:r w:rsidR="00DD7FBC">
          <w:rPr>
            <w:noProof/>
            <w:webHidden/>
          </w:rPr>
          <w:fldChar w:fldCharType="end"/>
        </w:r>
      </w:hyperlink>
    </w:p>
    <w:p w14:paraId="274214F7" w14:textId="1397DC15" w:rsidR="00DD7FBC" w:rsidRDefault="00580FFB">
      <w:pPr>
        <w:pStyle w:val="TOC2"/>
        <w:rPr>
          <w:rFonts w:asciiTheme="minorHAnsi" w:eastAsiaTheme="minorEastAsia" w:hAnsiTheme="minorHAnsi" w:cstheme="minorBidi"/>
          <w:noProof/>
          <w:sz w:val="22"/>
          <w:szCs w:val="22"/>
        </w:rPr>
      </w:pPr>
      <w:hyperlink w:anchor="_Toc117078101" w:history="1">
        <w:r w:rsidR="00DD7FBC" w:rsidRPr="00B009E6">
          <w:rPr>
            <w:rStyle w:val="Hyperlink"/>
            <w:noProof/>
          </w:rPr>
          <w:t>1.3</w:t>
        </w:r>
        <w:r w:rsidR="00DD7FBC">
          <w:rPr>
            <w:rFonts w:asciiTheme="minorHAnsi" w:eastAsiaTheme="minorEastAsia" w:hAnsiTheme="minorHAnsi" w:cstheme="minorBidi"/>
            <w:noProof/>
            <w:sz w:val="22"/>
            <w:szCs w:val="22"/>
          </w:rPr>
          <w:tab/>
        </w:r>
        <w:r w:rsidR="00DD7FBC" w:rsidRPr="00B009E6">
          <w:rPr>
            <w:rStyle w:val="Hyperlink"/>
            <w:noProof/>
          </w:rPr>
          <w:t>Budget measures</w:t>
        </w:r>
        <w:r w:rsidR="00DD7FBC">
          <w:rPr>
            <w:noProof/>
            <w:webHidden/>
          </w:rPr>
          <w:tab/>
        </w:r>
        <w:r w:rsidR="00DD7FBC">
          <w:rPr>
            <w:noProof/>
            <w:webHidden/>
          </w:rPr>
          <w:fldChar w:fldCharType="begin"/>
        </w:r>
        <w:r w:rsidR="00DD7FBC">
          <w:rPr>
            <w:noProof/>
            <w:webHidden/>
          </w:rPr>
          <w:instrText xml:space="preserve"> PAGEREF _Toc117078101 \h </w:instrText>
        </w:r>
        <w:r w:rsidR="00DD7FBC">
          <w:rPr>
            <w:noProof/>
            <w:webHidden/>
          </w:rPr>
        </w:r>
        <w:r w:rsidR="00DD7FBC">
          <w:rPr>
            <w:noProof/>
            <w:webHidden/>
          </w:rPr>
          <w:fldChar w:fldCharType="separate"/>
        </w:r>
        <w:r w:rsidR="009428F5">
          <w:rPr>
            <w:noProof/>
            <w:webHidden/>
          </w:rPr>
          <w:t>132</w:t>
        </w:r>
        <w:r w:rsidR="00DD7FBC">
          <w:rPr>
            <w:noProof/>
            <w:webHidden/>
          </w:rPr>
          <w:fldChar w:fldCharType="end"/>
        </w:r>
      </w:hyperlink>
    </w:p>
    <w:p w14:paraId="2D2B107D" w14:textId="6DD8C3AC" w:rsidR="00DD7FBC" w:rsidRDefault="00580FFB">
      <w:pPr>
        <w:pStyle w:val="TOC1"/>
        <w:rPr>
          <w:rFonts w:asciiTheme="minorHAnsi" w:eastAsiaTheme="minorEastAsia" w:hAnsiTheme="minorHAnsi" w:cstheme="minorBidi"/>
          <w:b w:val="0"/>
          <w:noProof/>
          <w:sz w:val="22"/>
          <w:szCs w:val="22"/>
        </w:rPr>
      </w:pPr>
      <w:hyperlink w:anchor="_Toc117078102" w:history="1">
        <w:r w:rsidR="00DD7FBC" w:rsidRPr="00B009E6">
          <w:rPr>
            <w:rStyle w:val="Hyperlink"/>
            <w:noProof/>
          </w:rPr>
          <w:t>Section 2: Outcomes and planned performance</w:t>
        </w:r>
        <w:r w:rsidR="00DD7FBC">
          <w:rPr>
            <w:noProof/>
            <w:webHidden/>
          </w:rPr>
          <w:tab/>
        </w:r>
        <w:r w:rsidR="00DD7FBC">
          <w:rPr>
            <w:noProof/>
            <w:webHidden/>
          </w:rPr>
          <w:fldChar w:fldCharType="begin"/>
        </w:r>
        <w:r w:rsidR="00DD7FBC">
          <w:rPr>
            <w:noProof/>
            <w:webHidden/>
          </w:rPr>
          <w:instrText xml:space="preserve"> PAGEREF _Toc117078102 \h </w:instrText>
        </w:r>
        <w:r w:rsidR="00DD7FBC">
          <w:rPr>
            <w:noProof/>
            <w:webHidden/>
          </w:rPr>
        </w:r>
        <w:r w:rsidR="00DD7FBC">
          <w:rPr>
            <w:noProof/>
            <w:webHidden/>
          </w:rPr>
          <w:fldChar w:fldCharType="separate"/>
        </w:r>
        <w:r w:rsidR="009428F5">
          <w:rPr>
            <w:noProof/>
            <w:webHidden/>
          </w:rPr>
          <w:t>133</w:t>
        </w:r>
        <w:r w:rsidR="00DD7FBC">
          <w:rPr>
            <w:noProof/>
            <w:webHidden/>
          </w:rPr>
          <w:fldChar w:fldCharType="end"/>
        </w:r>
      </w:hyperlink>
    </w:p>
    <w:p w14:paraId="68244D32" w14:textId="79768C8C" w:rsidR="00DD7FBC" w:rsidRDefault="00580FFB">
      <w:pPr>
        <w:pStyle w:val="TOC2"/>
        <w:rPr>
          <w:rFonts w:asciiTheme="minorHAnsi" w:eastAsiaTheme="minorEastAsia" w:hAnsiTheme="minorHAnsi" w:cstheme="minorBidi"/>
          <w:noProof/>
          <w:sz w:val="22"/>
          <w:szCs w:val="22"/>
        </w:rPr>
      </w:pPr>
      <w:hyperlink w:anchor="_Toc117078103" w:history="1">
        <w:r w:rsidR="00DD7FBC" w:rsidRPr="00B009E6">
          <w:rPr>
            <w:rStyle w:val="Hyperlink"/>
            <w:noProof/>
          </w:rPr>
          <w:t xml:space="preserve">2.1 </w:t>
        </w:r>
        <w:r w:rsidR="00DD7FBC">
          <w:rPr>
            <w:rFonts w:asciiTheme="minorHAnsi" w:eastAsiaTheme="minorEastAsia" w:hAnsiTheme="minorHAnsi" w:cstheme="minorBidi"/>
            <w:noProof/>
            <w:sz w:val="22"/>
            <w:szCs w:val="22"/>
          </w:rPr>
          <w:tab/>
        </w:r>
        <w:r w:rsidR="00DD7FBC" w:rsidRPr="00B009E6">
          <w:rPr>
            <w:rStyle w:val="Hyperlink"/>
            <w:noProof/>
          </w:rPr>
          <w:t>Budgeted expenses and performance for Outcome 1</w:t>
        </w:r>
        <w:r w:rsidR="00DD7FBC">
          <w:rPr>
            <w:noProof/>
            <w:webHidden/>
          </w:rPr>
          <w:tab/>
        </w:r>
        <w:r w:rsidR="00DD7FBC">
          <w:rPr>
            <w:noProof/>
            <w:webHidden/>
          </w:rPr>
          <w:fldChar w:fldCharType="begin"/>
        </w:r>
        <w:r w:rsidR="00DD7FBC">
          <w:rPr>
            <w:noProof/>
            <w:webHidden/>
          </w:rPr>
          <w:instrText xml:space="preserve"> PAGEREF _Toc117078103 \h </w:instrText>
        </w:r>
        <w:r w:rsidR="00DD7FBC">
          <w:rPr>
            <w:noProof/>
            <w:webHidden/>
          </w:rPr>
        </w:r>
        <w:r w:rsidR="00DD7FBC">
          <w:rPr>
            <w:noProof/>
            <w:webHidden/>
          </w:rPr>
          <w:fldChar w:fldCharType="separate"/>
        </w:r>
        <w:r w:rsidR="009428F5">
          <w:rPr>
            <w:noProof/>
            <w:webHidden/>
          </w:rPr>
          <w:t>134</w:t>
        </w:r>
        <w:r w:rsidR="00DD7FBC">
          <w:rPr>
            <w:noProof/>
            <w:webHidden/>
          </w:rPr>
          <w:fldChar w:fldCharType="end"/>
        </w:r>
      </w:hyperlink>
    </w:p>
    <w:p w14:paraId="53B2636F" w14:textId="576D05E7" w:rsidR="00DD7FBC" w:rsidRDefault="00580FFB">
      <w:pPr>
        <w:pStyle w:val="TOC1"/>
        <w:rPr>
          <w:rFonts w:asciiTheme="minorHAnsi" w:eastAsiaTheme="minorEastAsia" w:hAnsiTheme="minorHAnsi" w:cstheme="minorBidi"/>
          <w:b w:val="0"/>
          <w:noProof/>
          <w:sz w:val="22"/>
          <w:szCs w:val="22"/>
        </w:rPr>
      </w:pPr>
      <w:hyperlink w:anchor="_Toc117078104" w:history="1">
        <w:r w:rsidR="00DD7FBC" w:rsidRPr="00B009E6">
          <w:rPr>
            <w:rStyle w:val="Hyperlink"/>
            <w:noProof/>
          </w:rPr>
          <w:t>Section 3: Budgeted financial statements</w:t>
        </w:r>
        <w:r w:rsidR="00DD7FBC">
          <w:rPr>
            <w:noProof/>
            <w:webHidden/>
          </w:rPr>
          <w:tab/>
        </w:r>
        <w:r w:rsidR="00DD7FBC">
          <w:rPr>
            <w:noProof/>
            <w:webHidden/>
          </w:rPr>
          <w:fldChar w:fldCharType="begin"/>
        </w:r>
        <w:r w:rsidR="00DD7FBC">
          <w:rPr>
            <w:noProof/>
            <w:webHidden/>
          </w:rPr>
          <w:instrText xml:space="preserve"> PAGEREF _Toc117078104 \h </w:instrText>
        </w:r>
        <w:r w:rsidR="00DD7FBC">
          <w:rPr>
            <w:noProof/>
            <w:webHidden/>
          </w:rPr>
        </w:r>
        <w:r w:rsidR="00DD7FBC">
          <w:rPr>
            <w:noProof/>
            <w:webHidden/>
          </w:rPr>
          <w:fldChar w:fldCharType="separate"/>
        </w:r>
        <w:r w:rsidR="009428F5">
          <w:rPr>
            <w:noProof/>
            <w:webHidden/>
          </w:rPr>
          <w:t>140</w:t>
        </w:r>
        <w:r w:rsidR="00DD7FBC">
          <w:rPr>
            <w:noProof/>
            <w:webHidden/>
          </w:rPr>
          <w:fldChar w:fldCharType="end"/>
        </w:r>
      </w:hyperlink>
    </w:p>
    <w:p w14:paraId="7D9D8538" w14:textId="656A147B" w:rsidR="00DD7FBC" w:rsidRDefault="00580FFB">
      <w:pPr>
        <w:pStyle w:val="TOC2"/>
        <w:rPr>
          <w:rFonts w:asciiTheme="minorHAnsi" w:eastAsiaTheme="minorEastAsia" w:hAnsiTheme="minorHAnsi" w:cstheme="minorBidi"/>
          <w:noProof/>
          <w:sz w:val="22"/>
          <w:szCs w:val="22"/>
        </w:rPr>
      </w:pPr>
      <w:hyperlink w:anchor="_Toc117078105" w:history="1">
        <w:r w:rsidR="00DD7FBC" w:rsidRPr="00B009E6">
          <w:rPr>
            <w:rStyle w:val="Hyperlink"/>
            <w:noProof/>
          </w:rPr>
          <w:t>3.1</w:t>
        </w:r>
        <w:r w:rsidR="00DD7FBC">
          <w:rPr>
            <w:rFonts w:asciiTheme="minorHAnsi" w:eastAsiaTheme="minorEastAsia" w:hAnsiTheme="minorHAnsi" w:cstheme="minorBidi"/>
            <w:noProof/>
            <w:sz w:val="22"/>
            <w:szCs w:val="22"/>
          </w:rPr>
          <w:tab/>
        </w:r>
        <w:r w:rsidR="00DD7FBC" w:rsidRPr="00B009E6">
          <w:rPr>
            <w:rStyle w:val="Hyperlink"/>
            <w:noProof/>
          </w:rPr>
          <w:t>Budgeted financial statements</w:t>
        </w:r>
        <w:r w:rsidR="00DD7FBC">
          <w:rPr>
            <w:noProof/>
            <w:webHidden/>
          </w:rPr>
          <w:tab/>
        </w:r>
        <w:r w:rsidR="00DD7FBC">
          <w:rPr>
            <w:noProof/>
            <w:webHidden/>
          </w:rPr>
          <w:fldChar w:fldCharType="begin"/>
        </w:r>
        <w:r w:rsidR="00DD7FBC">
          <w:rPr>
            <w:noProof/>
            <w:webHidden/>
          </w:rPr>
          <w:instrText xml:space="preserve"> PAGEREF _Toc117078105 \h </w:instrText>
        </w:r>
        <w:r w:rsidR="00DD7FBC">
          <w:rPr>
            <w:noProof/>
            <w:webHidden/>
          </w:rPr>
        </w:r>
        <w:r w:rsidR="00DD7FBC">
          <w:rPr>
            <w:noProof/>
            <w:webHidden/>
          </w:rPr>
          <w:fldChar w:fldCharType="separate"/>
        </w:r>
        <w:r w:rsidR="009428F5">
          <w:rPr>
            <w:noProof/>
            <w:webHidden/>
          </w:rPr>
          <w:t>140</w:t>
        </w:r>
        <w:r w:rsidR="00DD7FBC">
          <w:rPr>
            <w:noProof/>
            <w:webHidden/>
          </w:rPr>
          <w:fldChar w:fldCharType="end"/>
        </w:r>
      </w:hyperlink>
    </w:p>
    <w:p w14:paraId="1F0CA4C4" w14:textId="79218C7E" w:rsidR="00DD7FBC" w:rsidRDefault="00580FFB">
      <w:pPr>
        <w:pStyle w:val="TOC2"/>
        <w:rPr>
          <w:rFonts w:asciiTheme="minorHAnsi" w:eastAsiaTheme="minorEastAsia" w:hAnsiTheme="minorHAnsi" w:cstheme="minorBidi"/>
          <w:noProof/>
          <w:sz w:val="22"/>
          <w:szCs w:val="22"/>
        </w:rPr>
      </w:pPr>
      <w:hyperlink w:anchor="_Toc117078106" w:history="1">
        <w:r w:rsidR="00DD7FBC" w:rsidRPr="00B009E6">
          <w:rPr>
            <w:rStyle w:val="Hyperlink"/>
            <w:noProof/>
          </w:rPr>
          <w:t>3.2</w:t>
        </w:r>
        <w:r w:rsidR="00DD7FBC">
          <w:rPr>
            <w:rFonts w:asciiTheme="minorHAnsi" w:eastAsiaTheme="minorEastAsia" w:hAnsiTheme="minorHAnsi" w:cstheme="minorBidi"/>
            <w:noProof/>
            <w:sz w:val="22"/>
            <w:szCs w:val="22"/>
          </w:rPr>
          <w:tab/>
        </w:r>
        <w:r w:rsidR="00DD7FBC" w:rsidRPr="00B009E6">
          <w:rPr>
            <w:rStyle w:val="Hyperlink"/>
            <w:noProof/>
          </w:rPr>
          <w:t>Budgeted financial statements tables</w:t>
        </w:r>
        <w:r w:rsidR="00DD7FBC">
          <w:rPr>
            <w:noProof/>
            <w:webHidden/>
          </w:rPr>
          <w:tab/>
        </w:r>
        <w:r w:rsidR="00DD7FBC">
          <w:rPr>
            <w:noProof/>
            <w:webHidden/>
          </w:rPr>
          <w:fldChar w:fldCharType="begin"/>
        </w:r>
        <w:r w:rsidR="00DD7FBC">
          <w:rPr>
            <w:noProof/>
            <w:webHidden/>
          </w:rPr>
          <w:instrText xml:space="preserve"> PAGEREF _Toc117078106 \h </w:instrText>
        </w:r>
        <w:r w:rsidR="00DD7FBC">
          <w:rPr>
            <w:noProof/>
            <w:webHidden/>
          </w:rPr>
        </w:r>
        <w:r w:rsidR="00DD7FBC">
          <w:rPr>
            <w:noProof/>
            <w:webHidden/>
          </w:rPr>
          <w:fldChar w:fldCharType="separate"/>
        </w:r>
        <w:r w:rsidR="009428F5">
          <w:rPr>
            <w:noProof/>
            <w:webHidden/>
          </w:rPr>
          <w:t>141</w:t>
        </w:r>
        <w:r w:rsidR="00DD7FBC">
          <w:rPr>
            <w:noProof/>
            <w:webHidden/>
          </w:rPr>
          <w:fldChar w:fldCharType="end"/>
        </w:r>
      </w:hyperlink>
    </w:p>
    <w:p w14:paraId="570B5EF6" w14:textId="39D1790F" w:rsidR="00AC5A30" w:rsidRDefault="00BF0558" w:rsidP="004A3731">
      <w:pPr>
        <w:pStyle w:val="TOC2"/>
      </w:pPr>
      <w:r>
        <w:fldChar w:fldCharType="end"/>
      </w:r>
    </w:p>
    <w:p w14:paraId="6F04FC80" w14:textId="77777777" w:rsidR="00AC5A30" w:rsidRPr="00AC5A30" w:rsidRDefault="00AC5A30" w:rsidP="00AC5A30"/>
    <w:p w14:paraId="17C252AA" w14:textId="77777777" w:rsidR="00AC5A30" w:rsidRPr="00AC5A30" w:rsidRDefault="00AC5A30" w:rsidP="00AC5A30"/>
    <w:p w14:paraId="6E542F40" w14:textId="77777777" w:rsidR="00AC5A30" w:rsidRPr="00AC5A30" w:rsidRDefault="00AC5A30" w:rsidP="00AC5A30"/>
    <w:p w14:paraId="24525846" w14:textId="77777777" w:rsidR="00AC5A30" w:rsidRPr="00AC5A30" w:rsidRDefault="00AC5A30" w:rsidP="00AC5A30"/>
    <w:p w14:paraId="5B863C03" w14:textId="77777777" w:rsidR="00AC5A30" w:rsidRPr="00AC5A30" w:rsidRDefault="00AC5A30" w:rsidP="00AC5A30"/>
    <w:p w14:paraId="2528FB2D" w14:textId="77777777" w:rsidR="00AC5A30" w:rsidRPr="00AC5A30" w:rsidRDefault="00AC5A30" w:rsidP="00AC5A30"/>
    <w:p w14:paraId="677C8D8D" w14:textId="1143812A" w:rsidR="00AC5A30" w:rsidRDefault="00AC5A30" w:rsidP="00AC5A30"/>
    <w:p w14:paraId="65BED882" w14:textId="574CC399" w:rsidR="00AC5A30" w:rsidRDefault="00AC5A30" w:rsidP="00AC5A30">
      <w:pPr>
        <w:tabs>
          <w:tab w:val="left" w:pos="1141"/>
        </w:tabs>
      </w:pPr>
      <w:r>
        <w:tab/>
      </w:r>
    </w:p>
    <w:p w14:paraId="79B71AF8" w14:textId="41F85918" w:rsidR="00BF0558" w:rsidRPr="00AC5A30" w:rsidRDefault="00AC5A30" w:rsidP="00AC5A30">
      <w:pPr>
        <w:tabs>
          <w:tab w:val="left" w:pos="1141"/>
        </w:tabs>
        <w:sectPr w:rsidR="00BF0558" w:rsidRPr="00AC5A30" w:rsidSect="0078188C">
          <w:footerReference w:type="default" r:id="rId20"/>
          <w:headerReference w:type="first" r:id="rId21"/>
          <w:footerReference w:type="first" r:id="rId22"/>
          <w:type w:val="oddPage"/>
          <w:pgSz w:w="11906" w:h="16838" w:code="9"/>
          <w:pgMar w:top="2835" w:right="2098" w:bottom="2466" w:left="2098" w:header="1814" w:footer="1814" w:gutter="0"/>
          <w:cols w:space="708"/>
          <w:titlePg/>
          <w:docGrid w:linePitch="360"/>
        </w:sectPr>
      </w:pPr>
      <w:r>
        <w:tab/>
      </w:r>
    </w:p>
    <w:p w14:paraId="2239E6C0" w14:textId="40E58887" w:rsidR="00BF0558" w:rsidRDefault="00BF0558" w:rsidP="00834F9A">
      <w:pPr>
        <w:pStyle w:val="Heading1"/>
      </w:pPr>
      <w:bookmarkStart w:id="1" w:name="_Toc116465548"/>
      <w:bookmarkStart w:id="2" w:name="DTA"/>
      <w:r>
        <w:lastRenderedPageBreak/>
        <w:t>Digital Transformation Agency</w:t>
      </w:r>
      <w:bookmarkEnd w:id="1"/>
    </w:p>
    <w:p w14:paraId="2239E6C1" w14:textId="77777777" w:rsidR="00BF0558" w:rsidRPr="002C4D41" w:rsidRDefault="00BF0558" w:rsidP="00257FF4">
      <w:pPr>
        <w:pStyle w:val="Heading2"/>
      </w:pPr>
      <w:bookmarkStart w:id="3" w:name="_Toc116742517"/>
      <w:bookmarkStart w:id="4" w:name="_Toc117070809"/>
      <w:bookmarkStart w:id="5" w:name="_Toc117071064"/>
      <w:bookmarkStart w:id="6" w:name="_Toc117078098"/>
      <w:r w:rsidRPr="002C4D41">
        <w:t xml:space="preserve">Section 1: Entity overview and </w:t>
      </w:r>
      <w:r>
        <w:t>reso</w:t>
      </w:r>
      <w:r w:rsidRPr="002C4D41">
        <w:t>urces</w:t>
      </w:r>
      <w:bookmarkEnd w:id="3"/>
      <w:bookmarkEnd w:id="4"/>
      <w:bookmarkEnd w:id="5"/>
      <w:bookmarkEnd w:id="6"/>
    </w:p>
    <w:p w14:paraId="2239E6C2" w14:textId="77777777" w:rsidR="00BF0558" w:rsidRDefault="00BF0558" w:rsidP="00257FF4">
      <w:pPr>
        <w:pStyle w:val="Heading3"/>
      </w:pPr>
      <w:bookmarkStart w:id="7" w:name="_Toc116742518"/>
      <w:bookmarkStart w:id="8" w:name="_Toc117070810"/>
      <w:bookmarkStart w:id="9" w:name="_Toc117071065"/>
      <w:bookmarkStart w:id="10" w:name="_Toc117078099"/>
      <w:r>
        <w:t>1.1</w:t>
      </w:r>
      <w:r>
        <w:tab/>
        <w:t>Strategic direction statement</w:t>
      </w:r>
      <w:bookmarkEnd w:id="7"/>
      <w:bookmarkEnd w:id="8"/>
      <w:bookmarkEnd w:id="9"/>
      <w:bookmarkEnd w:id="10"/>
    </w:p>
    <w:p w14:paraId="0C3DAAB1" w14:textId="77777777" w:rsidR="00A7110C" w:rsidRDefault="00A7110C" w:rsidP="004D5C6C">
      <w:pPr>
        <w:rPr>
          <w:szCs w:val="19"/>
          <w:lang w:val="en-US"/>
        </w:rPr>
      </w:pPr>
      <w:r w:rsidRPr="00A7110C">
        <w:rPr>
          <w:szCs w:val="19"/>
          <w:lang w:val="en-US"/>
        </w:rPr>
        <w:t xml:space="preserve">The purpose of the Digital Transformation Agency (DTA) is to provide digital and ICT strategy and policy leadership, investment advice, strategic sourcing and delivery oversight to drive the government’s digital transformation and deliver benefits to all Australians. </w:t>
      </w:r>
    </w:p>
    <w:p w14:paraId="2239E6C4" w14:textId="68B1E8D2" w:rsidR="00BF0558" w:rsidRPr="00A44C37" w:rsidRDefault="00BF0558" w:rsidP="004D5C6C">
      <w:pPr>
        <w:rPr>
          <w:szCs w:val="19"/>
        </w:rPr>
      </w:pPr>
      <w:r w:rsidRPr="00A44C37">
        <w:rPr>
          <w:szCs w:val="19"/>
        </w:rPr>
        <w:t>The DTA:</w:t>
      </w:r>
    </w:p>
    <w:p w14:paraId="7BE470D9" w14:textId="77777777" w:rsidR="00A7110C" w:rsidRPr="0030165B" w:rsidRDefault="00A7110C" w:rsidP="00C8474A">
      <w:pPr>
        <w:pStyle w:val="Exampletextbullet"/>
        <w:numPr>
          <w:ilvl w:val="0"/>
          <w:numId w:val="36"/>
        </w:numPr>
        <w:tabs>
          <w:tab w:val="clear" w:pos="720"/>
          <w:tab w:val="num" w:pos="284"/>
        </w:tabs>
        <w:ind w:left="284" w:hanging="284"/>
        <w:rPr>
          <w:i w:val="0"/>
          <w:color w:val="auto"/>
        </w:rPr>
      </w:pPr>
      <w:r w:rsidRPr="0030165B">
        <w:rPr>
          <w:i w:val="0"/>
          <w:color w:val="auto"/>
        </w:rPr>
        <w:t>provides strategic and policy leadership on whole-of-government and shared ICT investments and digital service delivery, including sourcing and capability development</w:t>
      </w:r>
    </w:p>
    <w:p w14:paraId="05CA2EAB" w14:textId="77777777" w:rsidR="00A7110C" w:rsidRPr="0030165B" w:rsidRDefault="00A7110C" w:rsidP="00C8474A">
      <w:pPr>
        <w:pStyle w:val="Exampletextbullet"/>
        <w:numPr>
          <w:ilvl w:val="0"/>
          <w:numId w:val="36"/>
        </w:numPr>
        <w:tabs>
          <w:tab w:val="clear" w:pos="720"/>
          <w:tab w:val="num" w:pos="284"/>
        </w:tabs>
        <w:ind w:left="284" w:hanging="284"/>
        <w:rPr>
          <w:i w:val="0"/>
          <w:color w:val="auto"/>
        </w:rPr>
      </w:pPr>
      <w:r w:rsidRPr="0030165B">
        <w:rPr>
          <w:i w:val="0"/>
          <w:color w:val="auto"/>
        </w:rPr>
        <w:t>delivers architectural policies, standards, and platforms for whole-of-government and shared digital and ICT service delivery</w:t>
      </w:r>
    </w:p>
    <w:p w14:paraId="386D1716" w14:textId="70B5B0F6" w:rsidR="00A7110C" w:rsidRPr="0030165B" w:rsidRDefault="00A7110C" w:rsidP="00C8474A">
      <w:pPr>
        <w:pStyle w:val="Exampletextbullet"/>
        <w:numPr>
          <w:ilvl w:val="0"/>
          <w:numId w:val="36"/>
        </w:numPr>
        <w:tabs>
          <w:tab w:val="clear" w:pos="720"/>
          <w:tab w:val="num" w:pos="284"/>
        </w:tabs>
        <w:ind w:left="284" w:hanging="284"/>
        <w:rPr>
          <w:i w:val="0"/>
          <w:color w:val="auto"/>
        </w:rPr>
      </w:pPr>
      <w:r w:rsidRPr="0030165B">
        <w:rPr>
          <w:i w:val="0"/>
          <w:color w:val="auto"/>
        </w:rPr>
        <w:t>provides advice to agencies and the</w:t>
      </w:r>
      <w:r w:rsidR="00E906DF" w:rsidRPr="0030165B">
        <w:rPr>
          <w:i w:val="0"/>
          <w:color w:val="auto"/>
        </w:rPr>
        <w:t xml:space="preserve"> Australian </w:t>
      </w:r>
      <w:r w:rsidRPr="0030165B">
        <w:rPr>
          <w:i w:val="0"/>
          <w:color w:val="auto"/>
        </w:rPr>
        <w:t>Government on digital and ICT investment proposals</w:t>
      </w:r>
    </w:p>
    <w:p w14:paraId="4C1B6CFA" w14:textId="77777777" w:rsidR="00A7110C" w:rsidRPr="0030165B" w:rsidRDefault="00A7110C" w:rsidP="00C8474A">
      <w:pPr>
        <w:pStyle w:val="Exampletextbullet"/>
        <w:numPr>
          <w:ilvl w:val="0"/>
          <w:numId w:val="36"/>
        </w:numPr>
        <w:tabs>
          <w:tab w:val="clear" w:pos="720"/>
          <w:tab w:val="num" w:pos="284"/>
        </w:tabs>
        <w:ind w:left="284" w:hanging="284"/>
        <w:rPr>
          <w:i w:val="0"/>
          <w:color w:val="auto"/>
        </w:rPr>
      </w:pPr>
      <w:r w:rsidRPr="0030165B">
        <w:rPr>
          <w:i w:val="0"/>
          <w:color w:val="auto"/>
        </w:rPr>
        <w:t>assure significant digital and ICT investments through the digital oversight framework and monitor and advise of the effectiveness of the whole-of-government digital portfolio.</w:t>
      </w:r>
    </w:p>
    <w:p w14:paraId="2239E6C9" w14:textId="77777777" w:rsidR="00BF0558" w:rsidRPr="00A44C37" w:rsidRDefault="00BF0558" w:rsidP="004D5C6C">
      <w:pPr>
        <w:rPr>
          <w:szCs w:val="19"/>
          <w:lang w:val="en-US"/>
        </w:rPr>
      </w:pPr>
      <w:r w:rsidRPr="00A44C37">
        <w:rPr>
          <w:szCs w:val="19"/>
          <w:lang w:val="en-US"/>
        </w:rPr>
        <w:t>In 2022-23, the DTA will focus on the following strategic objectives:</w:t>
      </w:r>
    </w:p>
    <w:p w14:paraId="1682620B" w14:textId="77777777" w:rsidR="00D27531" w:rsidRPr="0030165B" w:rsidRDefault="00D27531" w:rsidP="00C8474A">
      <w:pPr>
        <w:pStyle w:val="Exampletextbullet"/>
        <w:numPr>
          <w:ilvl w:val="0"/>
          <w:numId w:val="36"/>
        </w:numPr>
        <w:tabs>
          <w:tab w:val="clear" w:pos="720"/>
          <w:tab w:val="num" w:pos="284"/>
        </w:tabs>
        <w:ind w:left="284" w:hanging="284"/>
        <w:rPr>
          <w:i w:val="0"/>
          <w:color w:val="auto"/>
        </w:rPr>
      </w:pPr>
      <w:r w:rsidRPr="0030165B">
        <w:rPr>
          <w:i w:val="0"/>
          <w:color w:val="auto"/>
        </w:rPr>
        <w:t>Lead government’s digital transformation strategy.</w:t>
      </w:r>
    </w:p>
    <w:p w14:paraId="22F7F80B" w14:textId="77777777" w:rsidR="00D27531" w:rsidRPr="0030165B" w:rsidRDefault="00D27531" w:rsidP="00C8474A">
      <w:pPr>
        <w:pStyle w:val="Exampletextbullet"/>
        <w:numPr>
          <w:ilvl w:val="0"/>
          <w:numId w:val="36"/>
        </w:numPr>
        <w:tabs>
          <w:tab w:val="clear" w:pos="720"/>
          <w:tab w:val="num" w:pos="284"/>
        </w:tabs>
        <w:ind w:left="284" w:hanging="284"/>
        <w:rPr>
          <w:i w:val="0"/>
          <w:color w:val="auto"/>
        </w:rPr>
      </w:pPr>
      <w:r w:rsidRPr="0030165B">
        <w:rPr>
          <w:i w:val="0"/>
          <w:color w:val="auto"/>
        </w:rPr>
        <w:t>Oversee the short, medium and long-term whole-of-government digital and ICT investment portfolio.</w:t>
      </w:r>
    </w:p>
    <w:p w14:paraId="1DF392BE" w14:textId="77777777" w:rsidR="00D27531" w:rsidRPr="0030165B" w:rsidRDefault="00D27531" w:rsidP="00C8474A">
      <w:pPr>
        <w:pStyle w:val="Exampletextbullet"/>
        <w:numPr>
          <w:ilvl w:val="0"/>
          <w:numId w:val="36"/>
        </w:numPr>
        <w:tabs>
          <w:tab w:val="clear" w:pos="720"/>
          <w:tab w:val="num" w:pos="284"/>
        </w:tabs>
        <w:ind w:left="284" w:hanging="284"/>
        <w:rPr>
          <w:i w:val="0"/>
          <w:color w:val="auto"/>
        </w:rPr>
      </w:pPr>
      <w:r w:rsidRPr="0030165B">
        <w:rPr>
          <w:i w:val="0"/>
          <w:color w:val="auto"/>
        </w:rPr>
        <w:t>Manage whole-of-government digital and ICT strategic sourcing and contracts.</w:t>
      </w:r>
    </w:p>
    <w:p w14:paraId="24514736" w14:textId="77777777" w:rsidR="00D27531" w:rsidRPr="0030165B" w:rsidRDefault="00D27531" w:rsidP="00C8474A">
      <w:pPr>
        <w:pStyle w:val="Exampletextbullet"/>
        <w:numPr>
          <w:ilvl w:val="0"/>
          <w:numId w:val="36"/>
        </w:numPr>
        <w:tabs>
          <w:tab w:val="clear" w:pos="720"/>
          <w:tab w:val="num" w:pos="284"/>
        </w:tabs>
        <w:ind w:left="284" w:hanging="284"/>
        <w:rPr>
          <w:i w:val="0"/>
          <w:color w:val="auto"/>
        </w:rPr>
      </w:pPr>
      <w:r w:rsidRPr="0030165B">
        <w:rPr>
          <w:i w:val="0"/>
          <w:color w:val="auto"/>
        </w:rPr>
        <w:t>Be a valued employer with the expertise to achieve our purpose.</w:t>
      </w:r>
    </w:p>
    <w:p w14:paraId="6C6AEB9D" w14:textId="77777777" w:rsidR="00D27531" w:rsidRPr="00D27531" w:rsidRDefault="00D27531" w:rsidP="00DD7FBC">
      <w:pPr>
        <w:rPr>
          <w:b/>
        </w:rPr>
      </w:pPr>
      <w:bookmarkStart w:id="11" w:name="_Toc116742519"/>
      <w:bookmarkStart w:id="12" w:name="_Toc117070811"/>
      <w:bookmarkStart w:id="13" w:name="_Toc117071066"/>
      <w:r w:rsidRPr="00D27531">
        <w:t xml:space="preserve">Further details on how we will deliver these priorities can be found in our Corporate Plan located at: </w:t>
      </w:r>
      <w:r w:rsidRPr="00D27531">
        <w:rPr>
          <w:u w:val="single"/>
        </w:rPr>
        <w:t>www.dta.gov.au/about-us/reporting-and-plans/corporate-plans</w:t>
      </w:r>
      <w:r w:rsidRPr="00D27531">
        <w:t>.</w:t>
      </w:r>
      <w:bookmarkEnd w:id="11"/>
      <w:bookmarkEnd w:id="12"/>
      <w:bookmarkEnd w:id="13"/>
    </w:p>
    <w:p w14:paraId="6FE3393D" w14:textId="77777777" w:rsidR="00DD7FBC" w:rsidRDefault="00D27531" w:rsidP="00DD7FBC">
      <w:bookmarkStart w:id="14" w:name="_Toc116742520"/>
      <w:bookmarkStart w:id="15" w:name="_Toc117070812"/>
      <w:bookmarkStart w:id="16" w:name="_Toc117071067"/>
      <w:r w:rsidRPr="00DD7FBC">
        <w:t>Effective 1 July 2022, the DTA moved to the Finance portfolio from the Prime Minister and Cabinet portfolio as a result of Administrative Arrangements Order made on 23 June 2022.</w:t>
      </w:r>
      <w:r w:rsidR="00DD7FBC">
        <w:br w:type="page"/>
      </w:r>
    </w:p>
    <w:p w14:paraId="2239E6D0" w14:textId="0E0EFBEC" w:rsidR="00BF0558" w:rsidRDefault="00BF0558" w:rsidP="00DD7FBC">
      <w:pPr>
        <w:pStyle w:val="Heading3"/>
      </w:pPr>
      <w:bookmarkStart w:id="17" w:name="_Toc117078100"/>
      <w:r w:rsidRPr="00DD7FBC">
        <w:lastRenderedPageBreak/>
        <w:t>1.2</w:t>
      </w:r>
      <w:r w:rsidRPr="00DD7FBC">
        <w:tab/>
        <w:t>Entity resource statement</w:t>
      </w:r>
      <w:bookmarkEnd w:id="14"/>
      <w:bookmarkEnd w:id="15"/>
      <w:bookmarkEnd w:id="16"/>
      <w:bookmarkEnd w:id="17"/>
    </w:p>
    <w:p w14:paraId="10904535" w14:textId="77777777" w:rsidR="00120CE8" w:rsidRPr="00120CE8" w:rsidRDefault="00120CE8" w:rsidP="00120CE8">
      <w:pPr>
        <w:pStyle w:val="TableHeading"/>
        <w:spacing w:before="240" w:after="240" w:line="240" w:lineRule="exact"/>
        <w:rPr>
          <w:rFonts w:ascii="Book Antiqua" w:hAnsi="Book Antiqua"/>
          <w:b w:val="0"/>
          <w:sz w:val="19"/>
        </w:rPr>
      </w:pPr>
      <w:r w:rsidRPr="00120CE8">
        <w:rPr>
          <w:rFonts w:ascii="Book Antiqua" w:hAnsi="Book Antiqua"/>
          <w:b w:val="0"/>
          <w:sz w:val="19"/>
        </w:rPr>
        <w:t>Table 1.1 shows the total funding from all sources available to the DTA for its operations and to deliver programs and services on behalf of the Government.</w:t>
      </w:r>
    </w:p>
    <w:p w14:paraId="09BBC146" w14:textId="77777777" w:rsidR="00120CE8" w:rsidRPr="00120CE8" w:rsidRDefault="00120CE8" w:rsidP="00120CE8">
      <w:pPr>
        <w:pStyle w:val="TableHeading"/>
        <w:spacing w:before="240" w:after="240" w:line="240" w:lineRule="exact"/>
        <w:rPr>
          <w:rFonts w:ascii="Book Antiqua" w:hAnsi="Book Antiqua"/>
          <w:b w:val="0"/>
          <w:sz w:val="19"/>
        </w:rPr>
      </w:pPr>
      <w:r w:rsidRPr="00120CE8">
        <w:rPr>
          <w:rFonts w:ascii="Book Antiqua" w:hAnsi="Book Antiqua"/>
          <w:b w:val="0"/>
          <w:sz w:val="19"/>
        </w:rPr>
        <w:t>The table summarises how resources will be applied by outcome (government strategic policy objectives) and by administered (on behalf of the Government or the public) and departmental (for the entity’s operations) classification.</w:t>
      </w:r>
    </w:p>
    <w:p w14:paraId="02F244B1" w14:textId="77777777" w:rsidR="00120CE8" w:rsidRPr="00120CE8" w:rsidRDefault="00120CE8" w:rsidP="00120CE8">
      <w:pPr>
        <w:pStyle w:val="TableHeading"/>
        <w:spacing w:before="240" w:after="240" w:line="240" w:lineRule="exact"/>
        <w:rPr>
          <w:rFonts w:ascii="Book Antiqua" w:hAnsi="Book Antiqua"/>
          <w:b w:val="0"/>
          <w:sz w:val="19"/>
        </w:rPr>
      </w:pPr>
      <w:r w:rsidRPr="00120CE8">
        <w:rPr>
          <w:rFonts w:ascii="Book Antiqua" w:hAnsi="Book Antiqua"/>
          <w:b w:val="0"/>
          <w:sz w:val="19"/>
        </w:rPr>
        <w:t>For more detailed information on special accounts and special appropriations, please refer to the October Budget Paper No. 4 – Agency Resourcing.</w:t>
      </w:r>
    </w:p>
    <w:p w14:paraId="33079597" w14:textId="2341FEDD" w:rsidR="00A7110C" w:rsidRDefault="00120CE8" w:rsidP="00120CE8">
      <w:pPr>
        <w:pStyle w:val="TableHeading"/>
        <w:spacing w:before="240" w:after="240" w:line="240" w:lineRule="exact"/>
      </w:pPr>
      <w:r w:rsidRPr="00120CE8">
        <w:rPr>
          <w:rFonts w:ascii="Book Antiqua" w:hAnsi="Book Antiqua"/>
          <w:b w:val="0"/>
          <w:sz w:val="19"/>
        </w:rPr>
        <w:t>Information in this table is presented on a resourcing (that is, appropriations/cash available) basis, whilst the ‘Budgeted expenses by Outcome 1’ tables in Section 2 and the financial statements in Section 3 are presented on an accrual basis.</w:t>
      </w:r>
      <w:r w:rsidR="00A7110C">
        <w:br w:type="page"/>
      </w:r>
    </w:p>
    <w:p w14:paraId="47972FA0" w14:textId="4D3347FA" w:rsidR="00583B0E" w:rsidRPr="00B411B3" w:rsidRDefault="00BF0558" w:rsidP="00B411B3">
      <w:pPr>
        <w:pStyle w:val="TableHeading"/>
      </w:pPr>
      <w:r w:rsidRPr="00D44150">
        <w:lastRenderedPageBreak/>
        <w:t xml:space="preserve">Table 1.1: </w:t>
      </w:r>
      <w:r w:rsidR="00EF34C2">
        <w:t>Digital Transformation Agency</w:t>
      </w:r>
      <w:r w:rsidRPr="00D44150">
        <w:t xml:space="preserve"> resource statement</w:t>
      </w:r>
      <w:r>
        <w:t xml:space="preserve"> — Budget estimates for 2022-23 </w:t>
      </w:r>
      <w:r w:rsidRPr="00D44150">
        <w:t xml:space="preserve">as at </w:t>
      </w:r>
      <w:r>
        <w:t>October</w:t>
      </w:r>
      <w:r w:rsidRPr="00D44150">
        <w:t xml:space="preserve"> Budget </w:t>
      </w:r>
      <w:r>
        <w:t>2022</w:t>
      </w:r>
      <w:r w:rsidR="00583B0E" w:rsidRPr="00583B0E">
        <w:rPr>
          <w:noProof/>
        </w:rPr>
        <w:drawing>
          <wp:inline distT="0" distB="0" distL="0" distR="0" wp14:anchorId="00D85361" wp14:editId="49D1C0EC">
            <wp:extent cx="4895850" cy="230652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95850" cy="2306529"/>
                    </a:xfrm>
                    <a:prstGeom prst="rect">
                      <a:avLst/>
                    </a:prstGeom>
                    <a:noFill/>
                    <a:ln>
                      <a:noFill/>
                    </a:ln>
                  </pic:spPr>
                </pic:pic>
              </a:graphicData>
            </a:graphic>
          </wp:inline>
        </w:drawing>
      </w:r>
    </w:p>
    <w:p w14:paraId="2239E6D6" w14:textId="226BD2BA" w:rsidR="00BF0558" w:rsidRDefault="00BF0558" w:rsidP="00B411B3">
      <w:pPr>
        <w:pStyle w:val="TableHeading"/>
      </w:pPr>
    </w:p>
    <w:p w14:paraId="1D7FDDB9" w14:textId="77777777" w:rsidR="00A438E6" w:rsidRPr="00A438E6" w:rsidRDefault="00A438E6" w:rsidP="00A438E6">
      <w:pPr>
        <w:pStyle w:val="TableGraphic"/>
      </w:pPr>
    </w:p>
    <w:p w14:paraId="74EC41F9" w14:textId="6CF5DCE8" w:rsidR="00B411B3" w:rsidRDefault="00BF0558" w:rsidP="00B411B3">
      <w:pPr>
        <w:pStyle w:val="TableHeading"/>
      </w:pPr>
      <w:r w:rsidRPr="005C4BEE">
        <w:t xml:space="preserve">Third party payments from and on behalf of other </w:t>
      </w:r>
      <w:r>
        <w:t>entities</w:t>
      </w:r>
      <w:r w:rsidR="00583B0E" w:rsidRPr="00583B0E">
        <w:rPr>
          <w:noProof/>
        </w:rPr>
        <w:drawing>
          <wp:inline distT="0" distB="0" distL="0" distR="0" wp14:anchorId="499A8BDB" wp14:editId="45AC2881">
            <wp:extent cx="4895850" cy="77768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95850" cy="777680"/>
                    </a:xfrm>
                    <a:prstGeom prst="rect">
                      <a:avLst/>
                    </a:prstGeom>
                    <a:noFill/>
                    <a:ln>
                      <a:noFill/>
                    </a:ln>
                  </pic:spPr>
                </pic:pic>
              </a:graphicData>
            </a:graphic>
          </wp:inline>
        </w:drawing>
      </w:r>
    </w:p>
    <w:p w14:paraId="2239E6D9" w14:textId="631190BD" w:rsidR="00BF0558" w:rsidRPr="00CB2844" w:rsidRDefault="00BF0558" w:rsidP="001E73DA">
      <w:pPr>
        <w:pStyle w:val="ChartandTableFootnote"/>
      </w:pPr>
      <w:r w:rsidRPr="00696AA8">
        <w:t>All figures shown above are GST exclusive - these may not match figures in the cash flow statement.</w:t>
      </w:r>
    </w:p>
    <w:p w14:paraId="2239E6DA" w14:textId="7B069371" w:rsidR="00BF0558" w:rsidRDefault="00BF0558" w:rsidP="001E73DA">
      <w:pPr>
        <w:pStyle w:val="ChartandTableFootnote"/>
      </w:pPr>
      <w:r>
        <w:t>Prepared on a resourcing (that is, appropriations available) basis.</w:t>
      </w:r>
    </w:p>
    <w:p w14:paraId="675FE953" w14:textId="233DA38A" w:rsidR="00B411B3" w:rsidRPr="00B411B3" w:rsidRDefault="00B411B3" w:rsidP="00667F67">
      <w:pPr>
        <w:spacing w:before="60" w:after="0" w:line="240" w:lineRule="auto"/>
        <w:ind w:left="284" w:hanging="284"/>
        <w:rPr>
          <w:rFonts w:ascii="Arial" w:hAnsi="Arial" w:cs="Arial"/>
          <w:sz w:val="16"/>
          <w:szCs w:val="16"/>
        </w:rPr>
      </w:pPr>
      <w:r w:rsidRPr="00B411B3">
        <w:rPr>
          <w:rFonts w:ascii="Arial" w:hAnsi="Arial" w:cs="Arial"/>
          <w:sz w:val="16"/>
          <w:szCs w:val="16"/>
        </w:rPr>
        <w:t>a)</w:t>
      </w:r>
      <w:r w:rsidRPr="00B411B3">
        <w:rPr>
          <w:rFonts w:ascii="Arial" w:hAnsi="Arial" w:cs="Arial"/>
          <w:sz w:val="16"/>
          <w:szCs w:val="16"/>
        </w:rPr>
        <w:tab/>
        <w:t>Appropriation Bill (No. 1) 2022-23, Supply Bill (No.</w:t>
      </w:r>
      <w:r w:rsidR="006E0FD3">
        <w:rPr>
          <w:rFonts w:ascii="Arial" w:hAnsi="Arial" w:cs="Arial"/>
          <w:sz w:val="16"/>
          <w:szCs w:val="16"/>
        </w:rPr>
        <w:t xml:space="preserve"> </w:t>
      </w:r>
      <w:r w:rsidRPr="00B411B3">
        <w:rPr>
          <w:rFonts w:ascii="Arial" w:hAnsi="Arial" w:cs="Arial"/>
          <w:sz w:val="16"/>
          <w:szCs w:val="16"/>
        </w:rPr>
        <w:t>3) 2022-23 and Supply Act (No.</w:t>
      </w:r>
      <w:r w:rsidR="00324590">
        <w:rPr>
          <w:rFonts w:ascii="Arial" w:hAnsi="Arial" w:cs="Arial"/>
          <w:sz w:val="16"/>
          <w:szCs w:val="16"/>
        </w:rPr>
        <w:t xml:space="preserve"> </w:t>
      </w:r>
      <w:r w:rsidRPr="00B411B3">
        <w:rPr>
          <w:rFonts w:ascii="Arial" w:hAnsi="Arial" w:cs="Arial"/>
          <w:sz w:val="16"/>
          <w:szCs w:val="16"/>
        </w:rPr>
        <w:t>1) 2022-23.</w:t>
      </w:r>
    </w:p>
    <w:p w14:paraId="65870D56" w14:textId="77777777" w:rsidR="00B411B3" w:rsidRPr="00B411B3" w:rsidRDefault="00B411B3" w:rsidP="00667F67">
      <w:pPr>
        <w:spacing w:before="60" w:after="0" w:line="240" w:lineRule="auto"/>
        <w:ind w:left="284" w:hanging="284"/>
        <w:rPr>
          <w:rFonts w:ascii="Arial" w:hAnsi="Arial" w:cs="Arial"/>
          <w:sz w:val="16"/>
          <w:szCs w:val="16"/>
        </w:rPr>
      </w:pPr>
      <w:r w:rsidRPr="00B411B3">
        <w:rPr>
          <w:rFonts w:ascii="Arial" w:hAnsi="Arial" w:cs="Arial"/>
          <w:sz w:val="16"/>
          <w:szCs w:val="16"/>
        </w:rPr>
        <w:t>b)</w:t>
      </w:r>
      <w:r w:rsidRPr="00B411B3">
        <w:rPr>
          <w:rFonts w:ascii="Arial" w:hAnsi="Arial" w:cs="Arial"/>
          <w:sz w:val="16"/>
          <w:szCs w:val="16"/>
        </w:rPr>
        <w:tab/>
        <w:t>Excludes departmental capital budget (DCB).</w:t>
      </w:r>
    </w:p>
    <w:p w14:paraId="09178392" w14:textId="77777777" w:rsidR="00B411B3" w:rsidRPr="00B411B3" w:rsidRDefault="00B411B3" w:rsidP="00667F67">
      <w:pPr>
        <w:spacing w:before="60" w:after="0" w:line="240" w:lineRule="auto"/>
        <w:ind w:left="284" w:hanging="284"/>
        <w:rPr>
          <w:rFonts w:ascii="Arial" w:hAnsi="Arial" w:cs="Arial"/>
          <w:sz w:val="16"/>
          <w:szCs w:val="16"/>
        </w:rPr>
      </w:pPr>
      <w:r w:rsidRPr="00B411B3">
        <w:rPr>
          <w:rFonts w:ascii="Arial" w:hAnsi="Arial" w:cs="Arial"/>
          <w:sz w:val="16"/>
          <w:szCs w:val="16"/>
        </w:rPr>
        <w:t>c)</w:t>
      </w:r>
      <w:r w:rsidRPr="00B411B3">
        <w:rPr>
          <w:rFonts w:ascii="Arial" w:hAnsi="Arial" w:cs="Arial"/>
          <w:sz w:val="16"/>
          <w:szCs w:val="16"/>
        </w:rPr>
        <w:tab/>
        <w:t>Estimated External Revenue receipts under section 74 of the PGPA Act.</w:t>
      </w:r>
    </w:p>
    <w:p w14:paraId="4DAA7C50" w14:textId="77777777" w:rsidR="00DD7FBC" w:rsidRDefault="00B411B3" w:rsidP="00667F67">
      <w:pPr>
        <w:spacing w:before="60" w:after="0" w:line="240" w:lineRule="auto"/>
        <w:ind w:left="284" w:hanging="284"/>
      </w:pPr>
      <w:proofErr w:type="gramStart"/>
      <w:r w:rsidRPr="00B411B3">
        <w:rPr>
          <w:rFonts w:ascii="Arial" w:hAnsi="Arial" w:cs="Arial"/>
          <w:sz w:val="16"/>
          <w:szCs w:val="16"/>
        </w:rPr>
        <w:t>d</w:t>
      </w:r>
      <w:proofErr w:type="gramEnd"/>
      <w:r w:rsidRPr="00B411B3">
        <w:rPr>
          <w:rFonts w:ascii="Arial" w:hAnsi="Arial" w:cs="Arial"/>
          <w:sz w:val="16"/>
          <w:szCs w:val="16"/>
        </w:rPr>
        <w:t>)</w:t>
      </w:r>
      <w:r w:rsidRPr="00B411B3">
        <w:rPr>
          <w:rFonts w:ascii="Arial" w:hAnsi="Arial" w:cs="Arial"/>
          <w:sz w:val="16"/>
          <w:szCs w:val="16"/>
        </w:rPr>
        <w:tab/>
        <w:t>2021-22 Estimated actual includes cash received by related entities for pass through costs. 2022-23 Estimate is presented on a net basis.</w:t>
      </w:r>
      <w:r w:rsidR="00DD7FBC">
        <w:br w:type="page"/>
      </w:r>
    </w:p>
    <w:p w14:paraId="2239E6DF" w14:textId="7F5DD467" w:rsidR="00BF0558" w:rsidRPr="00DD7FBC" w:rsidRDefault="00BF0558" w:rsidP="00DD7FBC">
      <w:pPr>
        <w:pStyle w:val="Heading3"/>
      </w:pPr>
      <w:bookmarkStart w:id="18" w:name="_Toc117078101"/>
      <w:r w:rsidRPr="00B411B3">
        <w:lastRenderedPageBreak/>
        <w:t>1.3</w:t>
      </w:r>
      <w:r w:rsidRPr="00B411B3">
        <w:tab/>
        <w:t>Budget measures</w:t>
      </w:r>
      <w:bookmarkEnd w:id="18"/>
    </w:p>
    <w:p w14:paraId="6C7F7022" w14:textId="77777777" w:rsidR="00B411B3" w:rsidRDefault="00B411B3" w:rsidP="002502C2">
      <w:pPr>
        <w:pStyle w:val="TableHeading"/>
        <w:spacing w:before="240" w:after="240" w:line="240" w:lineRule="exact"/>
        <w:rPr>
          <w:rFonts w:ascii="Book Antiqua" w:hAnsi="Book Antiqua"/>
          <w:b w:val="0"/>
          <w:sz w:val="19"/>
        </w:rPr>
      </w:pPr>
      <w:r w:rsidRPr="00B411B3">
        <w:rPr>
          <w:rFonts w:ascii="Book Antiqua" w:hAnsi="Book Antiqua"/>
          <w:b w:val="0"/>
          <w:sz w:val="19"/>
        </w:rPr>
        <w:t>Budget measures in Part 1 relating to Digital Transformation Agency are detailed in the October Budget Paper No. 2 and are summarised below.</w:t>
      </w:r>
    </w:p>
    <w:p w14:paraId="2239E6E1" w14:textId="6A37748F" w:rsidR="00BF0558" w:rsidRPr="009A40DD" w:rsidRDefault="00BF0558" w:rsidP="00E5444F">
      <w:pPr>
        <w:pStyle w:val="TableHeading"/>
      </w:pPr>
      <w:r w:rsidRPr="009A40DD">
        <w:t xml:space="preserve">Table 1.2: Entity </w:t>
      </w:r>
      <w:r>
        <w:t xml:space="preserve">October 2022-23 </w:t>
      </w:r>
      <w:r w:rsidRPr="009A40DD">
        <w:t>Budget measures</w:t>
      </w:r>
    </w:p>
    <w:p w14:paraId="6E67AAC6" w14:textId="20D101AA" w:rsidR="00F030DB" w:rsidRDefault="00BF0558" w:rsidP="00F030DB">
      <w:pPr>
        <w:pStyle w:val="TableGraphic"/>
        <w:rPr>
          <w:rFonts w:ascii="Arial" w:hAnsi="Arial" w:cs="Arial"/>
          <w:sz w:val="16"/>
          <w:szCs w:val="16"/>
        </w:rPr>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2022-23 March Budget</w:t>
      </w:r>
      <w:r w:rsidR="004639D7" w:rsidRPr="004639D7">
        <w:rPr>
          <w:rFonts w:ascii="Arial Bold" w:hAnsi="Arial Bold"/>
          <w:b/>
          <w:noProof/>
        </w:rPr>
        <w:drawing>
          <wp:inline distT="0" distB="0" distL="0" distR="0" wp14:anchorId="11525227" wp14:editId="6556DFD2">
            <wp:extent cx="4895850" cy="2059691"/>
            <wp:effectExtent l="0" t="0" r="0"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95850" cy="2059691"/>
                    </a:xfrm>
                    <a:prstGeom prst="rect">
                      <a:avLst/>
                    </a:prstGeom>
                    <a:noFill/>
                    <a:ln>
                      <a:noFill/>
                    </a:ln>
                  </pic:spPr>
                </pic:pic>
              </a:graphicData>
            </a:graphic>
          </wp:inline>
        </w:drawing>
      </w:r>
      <w:r w:rsidR="00F030DB" w:rsidRPr="00F030DB">
        <w:rPr>
          <w:rFonts w:ascii="Arial" w:hAnsi="Arial"/>
          <w:color w:val="000000"/>
          <w:sz w:val="16"/>
        </w:rPr>
        <w:t>Prepared on a Government Finance Statistics (Underlying Cash) basis. Figures displayed as a negative (-) represent a decrease in funds and a positive (+) represent an increase in funds.</w:t>
      </w:r>
    </w:p>
    <w:p w14:paraId="3CC61724" w14:textId="2D2ECE54" w:rsidR="00F030DB" w:rsidRPr="00EE003D" w:rsidRDefault="00F030DB" w:rsidP="00C8474A">
      <w:pPr>
        <w:pStyle w:val="ListParagraph"/>
        <w:numPr>
          <w:ilvl w:val="0"/>
          <w:numId w:val="77"/>
        </w:numPr>
        <w:spacing w:before="60" w:after="0" w:line="240" w:lineRule="auto"/>
        <w:ind w:left="284" w:hanging="284"/>
        <w:rPr>
          <w:rFonts w:ascii="Arial" w:hAnsi="Arial" w:cs="Arial"/>
          <w:sz w:val="16"/>
          <w:szCs w:val="16"/>
        </w:rPr>
      </w:pPr>
      <w:r w:rsidRPr="00EE003D">
        <w:rPr>
          <w:rFonts w:ascii="Arial" w:hAnsi="Arial" w:cs="Arial"/>
          <w:sz w:val="16"/>
          <w:szCs w:val="16"/>
        </w:rPr>
        <w:t xml:space="preserve">The lead entity for measure titled </w:t>
      </w:r>
      <w:r w:rsidRPr="006A445E">
        <w:rPr>
          <w:rFonts w:ascii="Arial" w:hAnsi="Arial" w:cs="Arial"/>
          <w:i/>
          <w:sz w:val="16"/>
          <w:szCs w:val="16"/>
        </w:rPr>
        <w:t>An Ambitious and Enduring APS Reform Plan</w:t>
      </w:r>
      <w:r w:rsidR="00EE003D" w:rsidRPr="00EE003D">
        <w:rPr>
          <w:rFonts w:ascii="Arial" w:hAnsi="Arial" w:cs="Arial"/>
          <w:sz w:val="16"/>
          <w:szCs w:val="16"/>
        </w:rPr>
        <w:t xml:space="preserve"> is the Department of </w:t>
      </w:r>
      <w:r w:rsidR="001401F1">
        <w:rPr>
          <w:rFonts w:ascii="Arial" w:hAnsi="Arial" w:cs="Arial"/>
          <w:sz w:val="16"/>
          <w:szCs w:val="16"/>
        </w:rPr>
        <w:t xml:space="preserve">the </w:t>
      </w:r>
      <w:r w:rsidRPr="00EE003D">
        <w:rPr>
          <w:rFonts w:ascii="Arial" w:hAnsi="Arial" w:cs="Arial"/>
          <w:sz w:val="16"/>
          <w:szCs w:val="16"/>
        </w:rPr>
        <w:t>Prime Minister and Cabinet. The full measure description and package details appear in the October Budget Paper No. 2 under the Prime Minister and Cabinet portfolio.</w:t>
      </w:r>
    </w:p>
    <w:p w14:paraId="2696D0CE" w14:textId="46BBC3AB" w:rsidR="00F030DB" w:rsidRPr="00EE003D" w:rsidRDefault="00F030DB" w:rsidP="00D308C9">
      <w:pPr>
        <w:pStyle w:val="ListParagraph"/>
        <w:numPr>
          <w:ilvl w:val="0"/>
          <w:numId w:val="77"/>
        </w:numPr>
        <w:spacing w:before="60" w:after="0" w:line="240" w:lineRule="auto"/>
        <w:ind w:left="284" w:hanging="284"/>
        <w:rPr>
          <w:rFonts w:ascii="Arial" w:hAnsi="Arial" w:cs="Arial"/>
          <w:sz w:val="16"/>
          <w:szCs w:val="16"/>
        </w:rPr>
      </w:pPr>
      <w:r w:rsidRPr="00EE003D">
        <w:rPr>
          <w:rFonts w:ascii="Arial" w:hAnsi="Arial" w:cs="Arial"/>
          <w:sz w:val="16"/>
          <w:szCs w:val="16"/>
        </w:rPr>
        <w:t xml:space="preserve">The lead entity for measure titled </w:t>
      </w:r>
      <w:r w:rsidR="004639D7" w:rsidRPr="00D308C9">
        <w:rPr>
          <w:rFonts w:ascii="Arial" w:hAnsi="Arial" w:cs="Arial"/>
          <w:sz w:val="16"/>
          <w:szCs w:val="16"/>
        </w:rPr>
        <w:t>Cyber Hubs pilot –</w:t>
      </w:r>
      <w:r w:rsidR="001401F1" w:rsidRPr="00D308C9">
        <w:rPr>
          <w:rFonts w:ascii="Arial" w:hAnsi="Arial" w:cs="Arial"/>
          <w:sz w:val="16"/>
          <w:szCs w:val="16"/>
        </w:rPr>
        <w:t xml:space="preserve"> e</w:t>
      </w:r>
      <w:r w:rsidRPr="00D308C9">
        <w:rPr>
          <w:rFonts w:ascii="Arial" w:hAnsi="Arial" w:cs="Arial"/>
          <w:sz w:val="16"/>
          <w:szCs w:val="16"/>
        </w:rPr>
        <w:t>xtension</w:t>
      </w:r>
      <w:r w:rsidRPr="00EE003D">
        <w:rPr>
          <w:rFonts w:ascii="Arial" w:hAnsi="Arial" w:cs="Arial"/>
          <w:sz w:val="16"/>
          <w:szCs w:val="16"/>
        </w:rPr>
        <w:t xml:space="preserve"> is the Department of Finance. The full measure description and package details appear in the October Budget Paper No. 2 under the Finance portfolio.</w:t>
      </w:r>
    </w:p>
    <w:p w14:paraId="1D86A245" w14:textId="51BD0C20" w:rsidR="00F030DB" w:rsidRPr="00EE003D" w:rsidRDefault="00F030DB" w:rsidP="00C8474A">
      <w:pPr>
        <w:pStyle w:val="ListParagraph"/>
        <w:numPr>
          <w:ilvl w:val="0"/>
          <w:numId w:val="77"/>
        </w:numPr>
        <w:spacing w:before="60" w:after="0" w:line="240" w:lineRule="auto"/>
        <w:ind w:left="284" w:hanging="284"/>
        <w:rPr>
          <w:rFonts w:ascii="Arial" w:hAnsi="Arial" w:cs="Arial"/>
          <w:sz w:val="16"/>
          <w:szCs w:val="16"/>
        </w:rPr>
      </w:pPr>
      <w:r w:rsidRPr="00EE003D">
        <w:rPr>
          <w:rFonts w:ascii="Arial" w:hAnsi="Arial" w:cs="Arial"/>
          <w:sz w:val="16"/>
          <w:szCs w:val="16"/>
        </w:rPr>
        <w:t xml:space="preserve">The lead entity for measure titled </w:t>
      </w:r>
      <w:proofErr w:type="spellStart"/>
      <w:r w:rsidRPr="006A445E">
        <w:rPr>
          <w:rFonts w:ascii="Arial" w:hAnsi="Arial" w:cs="Arial"/>
          <w:i/>
          <w:sz w:val="16"/>
          <w:szCs w:val="16"/>
        </w:rPr>
        <w:t>myGov</w:t>
      </w:r>
      <w:proofErr w:type="spellEnd"/>
      <w:r w:rsidRPr="006A445E">
        <w:rPr>
          <w:rFonts w:ascii="Arial" w:hAnsi="Arial" w:cs="Arial"/>
          <w:i/>
          <w:sz w:val="16"/>
          <w:szCs w:val="16"/>
        </w:rPr>
        <w:t xml:space="preserve"> User Audit</w:t>
      </w:r>
      <w:r w:rsidRPr="00EE003D">
        <w:rPr>
          <w:rFonts w:ascii="Arial" w:hAnsi="Arial" w:cs="Arial"/>
          <w:sz w:val="16"/>
          <w:szCs w:val="16"/>
        </w:rPr>
        <w:t xml:space="preserve"> is the Department of Social Services. The full measure description and package details appear in the October Budget Paper No. 2 under the Social Services portfolio.</w:t>
      </w:r>
    </w:p>
    <w:p w14:paraId="0293C0BB" w14:textId="582CD203" w:rsidR="001D15C4" w:rsidRPr="00EE003D" w:rsidRDefault="00F030DB" w:rsidP="00C8474A">
      <w:pPr>
        <w:pStyle w:val="ListParagraph"/>
        <w:numPr>
          <w:ilvl w:val="0"/>
          <w:numId w:val="77"/>
        </w:numPr>
        <w:spacing w:before="60" w:after="0" w:line="240" w:lineRule="auto"/>
        <w:ind w:left="284" w:hanging="284"/>
        <w:rPr>
          <w:rFonts w:ascii="Arial" w:hAnsi="Arial" w:cs="Arial"/>
          <w:sz w:val="16"/>
          <w:szCs w:val="16"/>
        </w:rPr>
      </w:pPr>
      <w:r w:rsidRPr="00EE003D">
        <w:rPr>
          <w:rFonts w:ascii="Arial" w:hAnsi="Arial" w:cs="Arial"/>
          <w:sz w:val="16"/>
          <w:szCs w:val="16"/>
        </w:rPr>
        <w:t xml:space="preserve">The lead entity for measure titled </w:t>
      </w:r>
      <w:r w:rsidRPr="006A445E">
        <w:rPr>
          <w:rFonts w:ascii="Arial" w:hAnsi="Arial" w:cs="Arial"/>
          <w:i/>
          <w:sz w:val="16"/>
          <w:szCs w:val="16"/>
        </w:rPr>
        <w:t xml:space="preserve">Savings from External </w:t>
      </w:r>
      <w:proofErr w:type="spellStart"/>
      <w:r w:rsidRPr="006A445E">
        <w:rPr>
          <w:rFonts w:ascii="Arial" w:hAnsi="Arial" w:cs="Arial"/>
          <w:i/>
          <w:sz w:val="16"/>
          <w:szCs w:val="16"/>
        </w:rPr>
        <w:t>Labour</w:t>
      </w:r>
      <w:proofErr w:type="spellEnd"/>
      <w:r w:rsidRPr="006A445E">
        <w:rPr>
          <w:rFonts w:ascii="Arial" w:hAnsi="Arial" w:cs="Arial"/>
          <w:i/>
          <w:sz w:val="16"/>
          <w:szCs w:val="16"/>
        </w:rPr>
        <w:t>, and Savings from Advertising, Travel and Legal Expenses</w:t>
      </w:r>
      <w:r w:rsidRPr="00EE003D">
        <w:rPr>
          <w:rFonts w:ascii="Arial" w:hAnsi="Arial" w:cs="Arial"/>
          <w:sz w:val="16"/>
          <w:szCs w:val="16"/>
        </w:rPr>
        <w:t xml:space="preserve"> is the Department of </w:t>
      </w:r>
      <w:r w:rsidR="001401F1">
        <w:rPr>
          <w:rFonts w:ascii="Arial" w:hAnsi="Arial" w:cs="Arial"/>
          <w:sz w:val="16"/>
          <w:szCs w:val="16"/>
        </w:rPr>
        <w:t xml:space="preserve">the </w:t>
      </w:r>
      <w:r w:rsidRPr="00EE003D">
        <w:rPr>
          <w:rFonts w:ascii="Arial" w:hAnsi="Arial" w:cs="Arial"/>
          <w:sz w:val="16"/>
          <w:szCs w:val="16"/>
        </w:rPr>
        <w:t>Prime Minister and Cabinet. The full measure description and package details appear in the October Budget Paper No. 2 under the Prime Minister and Cabinet portfolio.</w:t>
      </w:r>
    </w:p>
    <w:p w14:paraId="2239E6E6" w14:textId="0C179940" w:rsidR="00BF0558" w:rsidRPr="00810C6A" w:rsidRDefault="00BF0558" w:rsidP="00810C6A">
      <w:pPr>
        <w:pStyle w:val="Heading2"/>
      </w:pPr>
      <w:r>
        <w:br w:type="page"/>
      </w:r>
      <w:bookmarkStart w:id="19" w:name="_Toc116742521"/>
      <w:bookmarkStart w:id="20" w:name="_Toc117070813"/>
      <w:bookmarkStart w:id="21" w:name="_Toc117071068"/>
      <w:bookmarkStart w:id="22" w:name="_Toc117078102"/>
      <w:r w:rsidRPr="00810C6A">
        <w:lastRenderedPageBreak/>
        <w:t>Section 2: Outcomes and planned performance</w:t>
      </w:r>
      <w:bookmarkEnd w:id="19"/>
      <w:bookmarkEnd w:id="20"/>
      <w:bookmarkEnd w:id="21"/>
      <w:bookmarkEnd w:id="22"/>
    </w:p>
    <w:p w14:paraId="647FD635" w14:textId="77777777" w:rsidR="00C772E8" w:rsidRDefault="00C772E8" w:rsidP="00C772E8">
      <w: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2239E6E8" w14:textId="1749954F" w:rsidR="00BF0558" w:rsidRDefault="00C772E8" w:rsidP="00C772E8">
      <w:pPr>
        <w:rPr>
          <w:i/>
          <w:color w:val="FF0000"/>
        </w:rPr>
      </w:pPr>
      <w:r>
        <w:t>Each outcome is described below together with its related programs. The following provides detailed information on expenses for each outcome and program, further broken down by funding source.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BF0558" w:rsidRPr="001C6402" w14:paraId="2239E6ED" w14:textId="77777777" w:rsidTr="00C772E8">
        <w:trPr>
          <w:trHeight w:val="3577"/>
        </w:trPr>
        <w:tc>
          <w:tcPr>
            <w:tcW w:w="7700" w:type="dxa"/>
            <w:shd w:val="clear" w:color="auto" w:fill="auto"/>
          </w:tcPr>
          <w:p w14:paraId="5747E5F3" w14:textId="77777777" w:rsidR="00C772E8" w:rsidRPr="001C6402" w:rsidRDefault="00C772E8" w:rsidP="00C772E8">
            <w:pPr>
              <w:spacing w:before="120" w:after="120" w:line="240" w:lineRule="auto"/>
              <w:jc w:val="both"/>
              <w:rPr>
                <w:b/>
              </w:rPr>
            </w:pPr>
            <w:r w:rsidRPr="001C6402">
              <w:rPr>
                <w:b/>
              </w:rPr>
              <w:t>Note:</w:t>
            </w:r>
          </w:p>
          <w:p w14:paraId="7C4D7184" w14:textId="77777777" w:rsidR="00C772E8" w:rsidRPr="001C6402" w:rsidRDefault="00C772E8" w:rsidP="00C772E8">
            <w:pPr>
              <w:jc w:val="both"/>
            </w:pPr>
            <w:r w:rsidRPr="001C6402">
              <w:t xml:space="preserve">Performance reporting requirements in the Portfolio Budget Statements are part of the Commonwealth performance framework established by the </w:t>
            </w:r>
            <w:r w:rsidRPr="001C6402">
              <w:rPr>
                <w:i/>
              </w:rPr>
              <w:t>Public Governance, Performance and Accountability Act 2013</w:t>
            </w:r>
            <w:r w:rsidRPr="001C6402">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4208D7C7" w14:textId="77777777" w:rsidR="00C772E8" w:rsidRPr="001C6402" w:rsidRDefault="00C772E8" w:rsidP="00C772E8">
            <w:pPr>
              <w:jc w:val="both"/>
            </w:pPr>
            <w:r w:rsidRPr="001C6402">
              <w:t xml:space="preserve">The most recent corporate plan for </w:t>
            </w:r>
            <w:r>
              <w:t>Digital Transformation Agency</w:t>
            </w:r>
            <w:r w:rsidRPr="001C6402">
              <w:t xml:space="preserve">) can be found at: </w:t>
            </w:r>
            <w:hyperlink r:id="rId26" w:history="1">
              <w:r w:rsidRPr="00CA3D45">
                <w:rPr>
                  <w:rStyle w:val="Hyperlink"/>
                  <w:szCs w:val="19"/>
                </w:rPr>
                <w:t>www.dta.gov.au/about-us/reporting-and-plans/corporate-plans</w:t>
              </w:r>
            </w:hyperlink>
            <w:r w:rsidRPr="001C6402">
              <w:t>.</w:t>
            </w:r>
          </w:p>
          <w:p w14:paraId="2239E6EC" w14:textId="18A0AB33" w:rsidR="00BF0558" w:rsidRPr="00C772E8" w:rsidRDefault="00C772E8" w:rsidP="00C772E8">
            <w:pPr>
              <w:jc w:val="both"/>
              <w:rPr>
                <w:b/>
              </w:rPr>
            </w:pPr>
            <w:r w:rsidRPr="001C6402">
              <w:t xml:space="preserve">The most recent annual performance statement can be found at: </w:t>
            </w:r>
            <w:hyperlink r:id="rId27" w:history="1">
              <w:r w:rsidRPr="00CA3D45">
                <w:rPr>
                  <w:rStyle w:val="Hyperlink"/>
                </w:rPr>
                <w:t>www.dta.gov.au/about-us/reporting-and-plans/annual-reports</w:t>
              </w:r>
            </w:hyperlink>
            <w:r w:rsidRPr="001C6402">
              <w:t>.</w:t>
            </w:r>
          </w:p>
        </w:tc>
      </w:tr>
    </w:tbl>
    <w:p w14:paraId="55F0B21D" w14:textId="77777777" w:rsidR="00E92126" w:rsidRDefault="00E92126" w:rsidP="003876AB">
      <w:pPr>
        <w:pStyle w:val="Heading3"/>
      </w:pPr>
      <w:r>
        <w:br w:type="page"/>
      </w:r>
    </w:p>
    <w:p w14:paraId="2239E6F0" w14:textId="7B285924" w:rsidR="00BF0558" w:rsidRPr="006E1CE4" w:rsidRDefault="00BF0558" w:rsidP="003876AB">
      <w:pPr>
        <w:pStyle w:val="Heading3"/>
      </w:pPr>
      <w:bookmarkStart w:id="23" w:name="_Toc116742522"/>
      <w:bookmarkStart w:id="24" w:name="_Toc117070814"/>
      <w:bookmarkStart w:id="25" w:name="_Toc117071069"/>
      <w:bookmarkStart w:id="26" w:name="_Toc117078103"/>
      <w:r w:rsidRPr="006E1CE4">
        <w:lastRenderedPageBreak/>
        <w:t xml:space="preserve">2.1 </w:t>
      </w:r>
      <w:r w:rsidRPr="006E1CE4">
        <w:tab/>
        <w:t>Budgeted expenses and performance for Outcome 1</w:t>
      </w:r>
      <w:bookmarkEnd w:id="23"/>
      <w:bookmarkEnd w:id="24"/>
      <w:bookmarkEnd w:id="25"/>
      <w:bookmarkEnd w:id="2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F0558" w:rsidRPr="006E1CE4" w14:paraId="2239E6F2" w14:textId="77777777" w:rsidTr="009763C1">
        <w:tc>
          <w:tcPr>
            <w:tcW w:w="7713" w:type="dxa"/>
            <w:shd w:val="clear" w:color="auto" w:fill="E6E6E6"/>
          </w:tcPr>
          <w:p w14:paraId="2239E6F1" w14:textId="77A999F8" w:rsidR="00BF0558" w:rsidRPr="006E1CE4" w:rsidRDefault="00C772E8" w:rsidP="003876AB">
            <w:pPr>
              <w:pStyle w:val="TableColumnHeadingLeft"/>
            </w:pPr>
            <w:r w:rsidRPr="00C772E8">
              <w:t xml:space="preserve">Outcome 1: Support the </w:t>
            </w:r>
            <w:r w:rsidR="00E906DF">
              <w:t>Australian G</w:t>
            </w:r>
            <w:r w:rsidRPr="00C772E8">
              <w:t>overnment's digital transformation, and simplify processes, reduce costs and generate reuse opportunities, through strategic and policy leadership, advice, strategic coordination and oversight of digital and ICT investment, and management of whole-of-government digital and ICT procurement</w:t>
            </w:r>
          </w:p>
        </w:tc>
      </w:tr>
    </w:tbl>
    <w:p w14:paraId="2239E6F3" w14:textId="77777777" w:rsidR="00BF0558" w:rsidRPr="006E1CE4" w:rsidRDefault="00BF0558" w:rsidP="00451501">
      <w:pPr>
        <w:pStyle w:val="NoSpacing"/>
      </w:pPr>
    </w:p>
    <w:p w14:paraId="2239E6F4" w14:textId="77777777" w:rsidR="00BF0558" w:rsidRPr="006E1CE4" w:rsidRDefault="00BF0558" w:rsidP="00F00984">
      <w:pPr>
        <w:pStyle w:val="Heading5"/>
      </w:pPr>
      <w:r w:rsidRPr="006E1CE4">
        <w:t>Budgeted expenses for Outcome 1</w:t>
      </w:r>
    </w:p>
    <w:p w14:paraId="2239E6F5" w14:textId="77777777" w:rsidR="00BF0558" w:rsidRPr="006E1CE4" w:rsidRDefault="00BF0558" w:rsidP="00212FAC">
      <w:r w:rsidRPr="006E1CE4">
        <w:t>This table shows how much the DTA intends to spend (on an accrual basis) on achieving the outcome, broken down by program, as well as by Administered and Departmental funding sources.</w:t>
      </w:r>
    </w:p>
    <w:p w14:paraId="3A16AF68" w14:textId="77777777" w:rsidR="00F75C5E" w:rsidRDefault="00BF0558" w:rsidP="00C723E3">
      <w:pPr>
        <w:pStyle w:val="TableHeading"/>
      </w:pPr>
      <w:r w:rsidRPr="006E1CE4">
        <w:t>Table 2.1.1: Budgeted expenses for Outcome 1</w:t>
      </w:r>
    </w:p>
    <w:p w14:paraId="2239E6F7" w14:textId="70149D4D" w:rsidR="00BF0558" w:rsidRDefault="00F75C5E" w:rsidP="00C723E3">
      <w:pPr>
        <w:pStyle w:val="TableHeading"/>
      </w:pPr>
      <w:r w:rsidRPr="00F75C5E">
        <w:rPr>
          <w:noProof/>
        </w:rPr>
        <w:drawing>
          <wp:inline distT="0" distB="0" distL="0" distR="0" wp14:anchorId="6135822C" wp14:editId="0AEDB253">
            <wp:extent cx="4895850" cy="2423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95850" cy="2423380"/>
                    </a:xfrm>
                    <a:prstGeom prst="rect">
                      <a:avLst/>
                    </a:prstGeom>
                    <a:noFill/>
                    <a:ln>
                      <a:noFill/>
                    </a:ln>
                  </pic:spPr>
                </pic:pic>
              </a:graphicData>
            </a:graphic>
          </wp:inline>
        </w:drawing>
      </w:r>
    </w:p>
    <w:p w14:paraId="70E44C18" w14:textId="77777777" w:rsidR="00C772E8" w:rsidRDefault="00C772E8" w:rsidP="00C8474A">
      <w:pPr>
        <w:pStyle w:val="ChartandTableFootnote"/>
        <w:numPr>
          <w:ilvl w:val="0"/>
          <w:numId w:val="51"/>
        </w:numPr>
        <w:spacing w:before="60"/>
        <w:ind w:left="284" w:hanging="284"/>
      </w:pPr>
      <w:r>
        <w:t>Estimated expenses incurred in relation to receipts retained under section 74 of the PGPA Act.</w:t>
      </w:r>
    </w:p>
    <w:p w14:paraId="0148171B" w14:textId="77777777" w:rsidR="00C772E8" w:rsidRDefault="00C772E8" w:rsidP="00C8474A">
      <w:pPr>
        <w:pStyle w:val="ChartandTableFootnote"/>
        <w:numPr>
          <w:ilvl w:val="0"/>
          <w:numId w:val="51"/>
        </w:numPr>
        <w:spacing w:before="60"/>
        <w:ind w:left="284" w:hanging="284"/>
      </w:pPr>
      <w:r>
        <w:t>Expenses not requiring appropriation in the Budget year are made up of depreciation expenses, amortisation expenses, make good expenses, audit fees, and expenses where funding has been previously provided in a prior year.</w:t>
      </w:r>
    </w:p>
    <w:p w14:paraId="4B5A132B" w14:textId="77777777" w:rsidR="009B76AF" w:rsidRDefault="00C772E8" w:rsidP="009B76AF">
      <w:pPr>
        <w:pStyle w:val="ChartandTableFootnote"/>
      </w:pPr>
      <w:r w:rsidRPr="00C772E8">
        <w:t xml:space="preserve">Note: Departmental appropriation splits and totals are indicative estimates and may change in the course of the budget year </w:t>
      </w:r>
      <w:r w:rsidR="007846FE">
        <w:t>as government priorities change.</w:t>
      </w:r>
      <w:bookmarkStart w:id="27" w:name="_Toc116742523"/>
      <w:r w:rsidR="009B76AF">
        <w:br w:type="page"/>
      </w:r>
    </w:p>
    <w:p w14:paraId="2239E6FC" w14:textId="35EFCB61" w:rsidR="00BF0558" w:rsidRPr="009B76AF" w:rsidRDefault="00BF0558" w:rsidP="009B76AF">
      <w:pPr>
        <w:pStyle w:val="ChartandTableFootnote"/>
        <w:rPr>
          <w:b/>
          <w:sz w:val="20"/>
        </w:rPr>
      </w:pPr>
      <w:r w:rsidRPr="009B76AF">
        <w:rPr>
          <w:b/>
          <w:sz w:val="20"/>
        </w:rPr>
        <w:lastRenderedPageBreak/>
        <w:t>Table 2.1.2: Performance measure for Outcome 1</w:t>
      </w:r>
      <w:bookmarkEnd w:id="27"/>
    </w:p>
    <w:p w14:paraId="2239E6FD" w14:textId="542A917B" w:rsidR="00BF0558" w:rsidRPr="00F71634" w:rsidRDefault="009B23AE" w:rsidP="007827A8">
      <w:r w:rsidRPr="009B23AE">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October 2022-23 Budget measures that have created new programs or materially changed existing programs are provided.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60"/>
        <w:gridCol w:w="3118"/>
        <w:gridCol w:w="3118"/>
      </w:tblGrid>
      <w:tr w:rsidR="00114432" w:rsidRPr="00DF15EE" w14:paraId="5902DB33" w14:textId="77777777" w:rsidTr="005C0509">
        <w:trPr>
          <w:trHeight w:val="569"/>
        </w:trPr>
        <w:tc>
          <w:tcPr>
            <w:tcW w:w="7796" w:type="dxa"/>
            <w:gridSpan w:val="3"/>
            <w:shd w:val="clear" w:color="auto" w:fill="F2F2F2"/>
          </w:tcPr>
          <w:p w14:paraId="3999B6B4" w14:textId="77777777" w:rsidR="00114432" w:rsidRPr="00DF15EE" w:rsidRDefault="00114432" w:rsidP="005C0509">
            <w:pPr>
              <w:pStyle w:val="TableColumnHeadingLeft"/>
              <w:spacing w:before="60" w:after="60"/>
              <w:rPr>
                <w:rFonts w:ascii="Arial" w:hAnsi="Arial" w:cs="Arial"/>
              </w:rPr>
            </w:pPr>
            <w:r w:rsidRPr="009B23AE">
              <w:rPr>
                <w:rStyle w:val="TableHeadingChar"/>
                <w:rFonts w:cs="Arial"/>
                <w:b/>
              </w:rPr>
              <w:t>Outcome 1 – Support the Government's digital transformation, and simplify processes, reduce costs and generate reuse opportunities, through strategic and policy leadership, advice, strategic coordination and oversight of digital and ICT investment, and management of whole-of-government digital and ICT procurement</w:t>
            </w:r>
            <w:r>
              <w:rPr>
                <w:rStyle w:val="TableHeadingChar"/>
                <w:rFonts w:cs="Arial"/>
                <w:b/>
              </w:rPr>
              <w:t>.</w:t>
            </w:r>
          </w:p>
        </w:tc>
      </w:tr>
      <w:tr w:rsidR="00114432" w:rsidRPr="006E1CE4" w14:paraId="6263E757" w14:textId="77777777" w:rsidTr="005C0509">
        <w:trPr>
          <w:trHeight w:val="522"/>
        </w:trPr>
        <w:tc>
          <w:tcPr>
            <w:tcW w:w="7796" w:type="dxa"/>
            <w:gridSpan w:val="3"/>
            <w:shd w:val="clear" w:color="auto" w:fill="F2F2F2"/>
          </w:tcPr>
          <w:p w14:paraId="5DA01C20" w14:textId="77777777" w:rsidR="00114432" w:rsidRPr="006E1CE4" w:rsidRDefault="00114432" w:rsidP="005C0509">
            <w:pPr>
              <w:pStyle w:val="TableTextLeft"/>
              <w:spacing w:before="60" w:after="60"/>
            </w:pPr>
            <w:r w:rsidRPr="009B23AE">
              <w:rPr>
                <w:b/>
              </w:rPr>
              <w:t>Program 1.1</w:t>
            </w:r>
            <w:r>
              <w:rPr>
                <w:b/>
              </w:rPr>
              <w:t xml:space="preserve"> </w:t>
            </w:r>
            <w:r w:rsidRPr="009B23AE">
              <w:rPr>
                <w:b/>
              </w:rPr>
              <w:t xml:space="preserve">- </w:t>
            </w:r>
            <w:r w:rsidRPr="009B23AE">
              <w:t>The objective of this program is to provide strategic and policy leadership and investment advice as a trusted advisor on digital and ICT investment decisions through oversight to drive government digital transformation that delivers benefits to all Australians</w:t>
            </w:r>
            <w:r w:rsidRPr="009B23AE">
              <w:rPr>
                <w:b/>
              </w:rPr>
              <w:t>.</w:t>
            </w:r>
          </w:p>
        </w:tc>
      </w:tr>
      <w:tr w:rsidR="00114432" w:rsidRPr="006E1CE4" w14:paraId="39E5C622" w14:textId="77777777" w:rsidTr="005C0509">
        <w:trPr>
          <w:trHeight w:val="694"/>
        </w:trPr>
        <w:tc>
          <w:tcPr>
            <w:tcW w:w="1560" w:type="dxa"/>
            <w:tcBorders>
              <w:bottom w:val="double" w:sz="4" w:space="0" w:color="auto"/>
            </w:tcBorders>
          </w:tcPr>
          <w:p w14:paraId="2DAEEE24" w14:textId="77777777" w:rsidR="00114432" w:rsidRPr="006E1CE4" w:rsidRDefault="00114432" w:rsidP="005C0509">
            <w:pPr>
              <w:pStyle w:val="TableColumnHeadingLeft"/>
              <w:spacing w:before="60" w:after="60"/>
            </w:pPr>
            <w:r w:rsidRPr="006E1CE4">
              <w:t>Key Activities (a)</w:t>
            </w:r>
          </w:p>
        </w:tc>
        <w:tc>
          <w:tcPr>
            <w:tcW w:w="6236" w:type="dxa"/>
            <w:gridSpan w:val="2"/>
            <w:tcBorders>
              <w:bottom w:val="double" w:sz="4" w:space="0" w:color="auto"/>
            </w:tcBorders>
          </w:tcPr>
          <w:p w14:paraId="2AF2A662" w14:textId="77777777" w:rsidR="00114432" w:rsidRPr="006E1CE4" w:rsidRDefault="00114432" w:rsidP="005C0509">
            <w:pPr>
              <w:pStyle w:val="TableTextLeft"/>
              <w:spacing w:before="60" w:after="60"/>
              <w:rPr>
                <w:i/>
              </w:rPr>
            </w:pPr>
            <w:r w:rsidRPr="006E1CE4">
              <w:t>Key activities reported in the current corporate plan that relate to this program.</w:t>
            </w:r>
          </w:p>
        </w:tc>
      </w:tr>
      <w:tr w:rsidR="00114432" w:rsidRPr="006E1CE4" w14:paraId="222552CA" w14:textId="77777777" w:rsidTr="005C0509">
        <w:tblPrEx>
          <w:tblLook w:val="04A0" w:firstRow="1" w:lastRow="0" w:firstColumn="1" w:lastColumn="0" w:noHBand="0" w:noVBand="1"/>
        </w:tblPrEx>
        <w:trPr>
          <w:trHeight w:val="258"/>
          <w:tblHeader/>
        </w:trPr>
        <w:tc>
          <w:tcPr>
            <w:tcW w:w="1560" w:type="dxa"/>
            <w:tcBorders>
              <w:top w:val="double" w:sz="4" w:space="0" w:color="auto"/>
              <w:bottom w:val="single" w:sz="4" w:space="0" w:color="auto"/>
              <w:right w:val="single" w:sz="4" w:space="0" w:color="auto"/>
            </w:tcBorders>
          </w:tcPr>
          <w:p w14:paraId="3EEED999" w14:textId="77777777" w:rsidR="00114432" w:rsidRPr="006E1CE4" w:rsidRDefault="00114432" w:rsidP="005C0509">
            <w:pPr>
              <w:pStyle w:val="TableColumnHeadingLeft"/>
              <w:spacing w:before="60" w:after="60"/>
            </w:pPr>
            <w:r w:rsidRPr="006E1CE4">
              <w:t>Year</w:t>
            </w:r>
          </w:p>
        </w:tc>
        <w:tc>
          <w:tcPr>
            <w:tcW w:w="3118" w:type="dxa"/>
            <w:tcBorders>
              <w:top w:val="double" w:sz="4" w:space="0" w:color="auto"/>
              <w:left w:val="single" w:sz="4" w:space="0" w:color="auto"/>
              <w:bottom w:val="single" w:sz="4" w:space="0" w:color="auto"/>
              <w:right w:val="single" w:sz="4" w:space="0" w:color="auto"/>
            </w:tcBorders>
          </w:tcPr>
          <w:p w14:paraId="6C1E94DA" w14:textId="77777777" w:rsidR="00114432" w:rsidRPr="006E1CE4" w:rsidRDefault="00114432" w:rsidP="005C0509">
            <w:pPr>
              <w:pStyle w:val="TableColumnHeadingLeft"/>
              <w:spacing w:before="60" w:after="60"/>
              <w:rPr>
                <w:rFonts w:cs="Arial"/>
              </w:rPr>
            </w:pPr>
            <w:r w:rsidRPr="006E1CE4">
              <w:rPr>
                <w:rFonts w:cs="Arial"/>
              </w:rPr>
              <w:t>Performance measures</w:t>
            </w:r>
          </w:p>
        </w:tc>
        <w:tc>
          <w:tcPr>
            <w:tcW w:w="3118" w:type="dxa"/>
            <w:tcBorders>
              <w:top w:val="double" w:sz="4" w:space="0" w:color="auto"/>
              <w:left w:val="single" w:sz="4" w:space="0" w:color="auto"/>
              <w:bottom w:val="single" w:sz="4" w:space="0" w:color="auto"/>
            </w:tcBorders>
          </w:tcPr>
          <w:p w14:paraId="6C4159F7" w14:textId="77777777" w:rsidR="00114432" w:rsidRPr="006E1CE4" w:rsidRDefault="00114432" w:rsidP="005C0509">
            <w:pPr>
              <w:pStyle w:val="TableColumnHeadingLeft"/>
              <w:spacing w:before="60" w:after="60"/>
              <w:rPr>
                <w:rFonts w:cs="Arial"/>
              </w:rPr>
            </w:pPr>
            <w:r w:rsidRPr="006E1CE4">
              <w:rPr>
                <w:rFonts w:cs="Arial"/>
              </w:rPr>
              <w:t>Expected Performance Results</w:t>
            </w:r>
          </w:p>
        </w:tc>
      </w:tr>
      <w:tr w:rsidR="00114432" w:rsidRPr="006E1CE4" w14:paraId="5C019678" w14:textId="77777777" w:rsidTr="005C0509">
        <w:tblPrEx>
          <w:tblLook w:val="04A0" w:firstRow="1" w:lastRow="0" w:firstColumn="1" w:lastColumn="0" w:noHBand="0" w:noVBand="1"/>
        </w:tblPrEx>
        <w:trPr>
          <w:trHeight w:val="642"/>
        </w:trPr>
        <w:tc>
          <w:tcPr>
            <w:tcW w:w="1560" w:type="dxa"/>
            <w:vMerge w:val="restart"/>
            <w:tcBorders>
              <w:top w:val="single" w:sz="4" w:space="0" w:color="auto"/>
              <w:left w:val="single" w:sz="4" w:space="0" w:color="auto"/>
              <w:bottom w:val="single" w:sz="4" w:space="0" w:color="auto"/>
              <w:right w:val="single" w:sz="4" w:space="0" w:color="auto"/>
            </w:tcBorders>
          </w:tcPr>
          <w:p w14:paraId="0CE5E52E" w14:textId="77777777" w:rsidR="00114432" w:rsidRPr="006E1CE4" w:rsidRDefault="00114432" w:rsidP="005C0509">
            <w:pPr>
              <w:pStyle w:val="TableTextLeft"/>
              <w:spacing w:before="60" w:after="60"/>
            </w:pPr>
            <w:r w:rsidRPr="006E1CE4">
              <w:t xml:space="preserve">Prior year </w:t>
            </w:r>
          </w:p>
          <w:p w14:paraId="6A95C85C" w14:textId="77777777" w:rsidR="00114432" w:rsidRPr="006E1CE4" w:rsidRDefault="00114432" w:rsidP="005C0509">
            <w:pPr>
              <w:pStyle w:val="TableTextLeft"/>
              <w:spacing w:before="60" w:after="60"/>
            </w:pPr>
          </w:p>
          <w:p w14:paraId="0F346989" w14:textId="77777777" w:rsidR="00114432" w:rsidRPr="006E1CE4" w:rsidRDefault="00114432" w:rsidP="005C0509">
            <w:pPr>
              <w:pStyle w:val="TableTextLeft"/>
              <w:spacing w:before="60" w:after="60"/>
            </w:pPr>
            <w:r w:rsidRPr="006E1CE4">
              <w:t>2021-22</w:t>
            </w:r>
          </w:p>
        </w:tc>
        <w:tc>
          <w:tcPr>
            <w:tcW w:w="3118" w:type="dxa"/>
            <w:tcBorders>
              <w:top w:val="single" w:sz="4" w:space="0" w:color="auto"/>
              <w:left w:val="single" w:sz="4" w:space="0" w:color="auto"/>
              <w:bottom w:val="nil"/>
              <w:right w:val="single" w:sz="4" w:space="0" w:color="auto"/>
            </w:tcBorders>
          </w:tcPr>
          <w:p w14:paraId="68C166C3" w14:textId="77777777" w:rsidR="00114432" w:rsidRPr="006E1CE4" w:rsidRDefault="00114432" w:rsidP="005C0509">
            <w:pPr>
              <w:pStyle w:val="TableTextBase"/>
              <w:spacing w:before="60" w:after="60"/>
              <w:rPr>
                <w:i/>
                <w:color w:val="0070C0"/>
                <w:szCs w:val="16"/>
              </w:rPr>
            </w:pPr>
            <w:r w:rsidRPr="009B23AE">
              <w:rPr>
                <w:rFonts w:cs="Arial"/>
                <w:szCs w:val="16"/>
                <w:bdr w:val="none" w:sz="0" w:space="0" w:color="auto" w:frame="1"/>
              </w:rPr>
              <w:t>Stakeholders and partners receive high quality and timely advice on strategies and policies to facilitate modern, efficient, and joined-up government services.</w:t>
            </w:r>
          </w:p>
        </w:tc>
        <w:tc>
          <w:tcPr>
            <w:tcW w:w="3118" w:type="dxa"/>
            <w:tcBorders>
              <w:top w:val="single" w:sz="4" w:space="0" w:color="auto"/>
              <w:left w:val="single" w:sz="4" w:space="0" w:color="auto"/>
              <w:bottom w:val="nil"/>
              <w:right w:val="single" w:sz="4" w:space="0" w:color="auto"/>
            </w:tcBorders>
          </w:tcPr>
          <w:p w14:paraId="5E90374E" w14:textId="77777777" w:rsidR="00114432" w:rsidRPr="006E1CE4" w:rsidRDefault="00114432" w:rsidP="005C0509">
            <w:pPr>
              <w:pStyle w:val="TableTextBase"/>
              <w:spacing w:before="60" w:after="60"/>
              <w:rPr>
                <w:rFonts w:cs="Arial"/>
                <w:szCs w:val="16"/>
                <w:bdr w:val="none" w:sz="0" w:space="0" w:color="auto" w:frame="1"/>
              </w:rPr>
            </w:pPr>
            <w:r w:rsidRPr="006E1CE4">
              <w:rPr>
                <w:rFonts w:cs="Arial"/>
                <w:szCs w:val="16"/>
                <w:bdr w:val="none" w:sz="0" w:space="0" w:color="auto" w:frame="1"/>
              </w:rPr>
              <w:t>All targets are expected to be achieved.</w:t>
            </w:r>
          </w:p>
          <w:p w14:paraId="5DA69DD3" w14:textId="77777777" w:rsidR="00114432" w:rsidRPr="006E1CE4" w:rsidRDefault="00114432" w:rsidP="00C8474A">
            <w:pPr>
              <w:pStyle w:val="TableTextBase"/>
              <w:numPr>
                <w:ilvl w:val="0"/>
                <w:numId w:val="37"/>
              </w:numPr>
              <w:spacing w:before="60" w:after="60"/>
              <w:ind w:left="527" w:hanging="357"/>
              <w:rPr>
                <w:i/>
                <w:szCs w:val="16"/>
              </w:rPr>
            </w:pPr>
            <w:r w:rsidRPr="009B23AE">
              <w:rPr>
                <w:rFonts w:cs="Arial"/>
                <w:szCs w:val="16"/>
                <w:bdr w:val="none" w:sz="0" w:space="0" w:color="auto" w:frame="1"/>
              </w:rPr>
              <w:t>Our leadership drives digital transformation in government and increased user-focus in digital government service delivery.</w:t>
            </w:r>
          </w:p>
        </w:tc>
      </w:tr>
      <w:tr w:rsidR="00114432" w:rsidRPr="006E1CE4" w14:paraId="575447E2" w14:textId="77777777" w:rsidTr="005C0509">
        <w:tblPrEx>
          <w:tblLook w:val="04A0" w:firstRow="1" w:lastRow="0" w:firstColumn="1" w:lastColumn="0" w:noHBand="0" w:noVBand="1"/>
        </w:tblPrEx>
        <w:trPr>
          <w:trHeight w:val="642"/>
        </w:trPr>
        <w:tc>
          <w:tcPr>
            <w:tcW w:w="1560" w:type="dxa"/>
            <w:vMerge/>
            <w:tcBorders>
              <w:top w:val="nil"/>
              <w:left w:val="single" w:sz="4" w:space="0" w:color="auto"/>
              <w:bottom w:val="single" w:sz="4" w:space="0" w:color="auto"/>
              <w:right w:val="single" w:sz="4" w:space="0" w:color="auto"/>
            </w:tcBorders>
          </w:tcPr>
          <w:p w14:paraId="43F66C3C" w14:textId="77777777" w:rsidR="00114432" w:rsidRPr="006E1CE4" w:rsidRDefault="00114432" w:rsidP="005C0509">
            <w:pPr>
              <w:pStyle w:val="TableTextLeft"/>
              <w:spacing w:before="60" w:after="60"/>
            </w:pPr>
          </w:p>
        </w:tc>
        <w:tc>
          <w:tcPr>
            <w:tcW w:w="3118" w:type="dxa"/>
            <w:tcBorders>
              <w:top w:val="nil"/>
              <w:left w:val="single" w:sz="4" w:space="0" w:color="auto"/>
              <w:bottom w:val="nil"/>
              <w:right w:val="single" w:sz="4" w:space="0" w:color="auto"/>
            </w:tcBorders>
          </w:tcPr>
          <w:p w14:paraId="5FA31030" w14:textId="77777777" w:rsidR="00114432" w:rsidRPr="006E1CE4" w:rsidRDefault="00114432" w:rsidP="005C0509">
            <w:pPr>
              <w:pStyle w:val="TableTextBase"/>
              <w:spacing w:before="60" w:after="60"/>
              <w:rPr>
                <w:rFonts w:cs="Arial"/>
                <w:szCs w:val="16"/>
                <w:bdr w:val="none" w:sz="0" w:space="0" w:color="auto" w:frame="1"/>
              </w:rPr>
            </w:pPr>
            <w:r w:rsidRPr="009B23AE">
              <w:rPr>
                <w:rFonts w:cs="Arial"/>
                <w:szCs w:val="16"/>
                <w:bdr w:val="none" w:sz="0" w:space="0" w:color="auto" w:frame="1"/>
              </w:rPr>
              <w:t>Whole-of-government digital platforms, technologies and services reduce costs and duplication, provide better infrastructure for Commonwealth entities, and enhance the user experience</w:t>
            </w:r>
          </w:p>
        </w:tc>
        <w:tc>
          <w:tcPr>
            <w:tcW w:w="3118" w:type="dxa"/>
            <w:tcBorders>
              <w:top w:val="nil"/>
              <w:left w:val="single" w:sz="4" w:space="0" w:color="auto"/>
              <w:bottom w:val="nil"/>
              <w:right w:val="single" w:sz="4" w:space="0" w:color="auto"/>
            </w:tcBorders>
          </w:tcPr>
          <w:p w14:paraId="0DB0EBD7" w14:textId="77777777" w:rsidR="00114432" w:rsidRPr="006E1CE4" w:rsidRDefault="00114432" w:rsidP="00C8474A">
            <w:pPr>
              <w:pStyle w:val="TableTextBase"/>
              <w:numPr>
                <w:ilvl w:val="0"/>
                <w:numId w:val="37"/>
              </w:numPr>
              <w:spacing w:before="60" w:after="60"/>
              <w:ind w:left="527" w:hanging="357"/>
              <w:rPr>
                <w:rFonts w:cs="Arial"/>
                <w:szCs w:val="16"/>
                <w:bdr w:val="none" w:sz="0" w:space="0" w:color="auto" w:frame="1"/>
              </w:rPr>
            </w:pPr>
            <w:r w:rsidRPr="009B23AE">
              <w:rPr>
                <w:rFonts w:cs="Arial"/>
                <w:szCs w:val="16"/>
                <w:bdr w:val="none" w:sz="0" w:space="0" w:color="auto" w:frame="1"/>
              </w:rPr>
              <w:t>Increase in, or enhancement of, digital platforms, technologies and services that make government simple, clear and fast.</w:t>
            </w:r>
          </w:p>
        </w:tc>
      </w:tr>
      <w:tr w:rsidR="00114432" w:rsidRPr="006E1CE4" w14:paraId="7CA8DC0E" w14:textId="77777777" w:rsidTr="005C0509">
        <w:tblPrEx>
          <w:tblLook w:val="04A0" w:firstRow="1" w:lastRow="0" w:firstColumn="1" w:lastColumn="0" w:noHBand="0" w:noVBand="1"/>
        </w:tblPrEx>
        <w:trPr>
          <w:trHeight w:val="642"/>
        </w:trPr>
        <w:tc>
          <w:tcPr>
            <w:tcW w:w="1560" w:type="dxa"/>
            <w:vMerge/>
            <w:tcBorders>
              <w:top w:val="nil"/>
              <w:left w:val="single" w:sz="4" w:space="0" w:color="auto"/>
              <w:bottom w:val="single" w:sz="4" w:space="0" w:color="auto"/>
              <w:right w:val="single" w:sz="4" w:space="0" w:color="auto"/>
            </w:tcBorders>
          </w:tcPr>
          <w:p w14:paraId="57568C75" w14:textId="77777777" w:rsidR="00114432" w:rsidRPr="006E1CE4" w:rsidRDefault="00114432" w:rsidP="005C0509">
            <w:pPr>
              <w:pStyle w:val="TableTextLeft"/>
              <w:spacing w:before="60" w:after="60"/>
            </w:pPr>
          </w:p>
        </w:tc>
        <w:tc>
          <w:tcPr>
            <w:tcW w:w="3118" w:type="dxa"/>
            <w:tcBorders>
              <w:top w:val="nil"/>
              <w:left w:val="single" w:sz="4" w:space="0" w:color="auto"/>
              <w:bottom w:val="nil"/>
              <w:right w:val="single" w:sz="4" w:space="0" w:color="auto"/>
            </w:tcBorders>
          </w:tcPr>
          <w:p w14:paraId="2E5738CD" w14:textId="77777777" w:rsidR="00114432" w:rsidRPr="006E1CE4" w:rsidRDefault="00114432" w:rsidP="005C0509">
            <w:pPr>
              <w:pStyle w:val="TableTextBase"/>
              <w:spacing w:before="60" w:after="60"/>
              <w:rPr>
                <w:rFonts w:cs="Arial"/>
                <w:szCs w:val="16"/>
                <w:bdr w:val="none" w:sz="0" w:space="0" w:color="auto" w:frame="1"/>
              </w:rPr>
            </w:pPr>
            <w:r w:rsidRPr="009B23AE">
              <w:rPr>
                <w:rFonts w:cs="Arial"/>
                <w:szCs w:val="16"/>
                <w:bdr w:val="none" w:sz="0" w:space="0" w:color="auto" w:frame="1"/>
              </w:rPr>
              <w:t>Sourcing improvements enhance the experience for buyers and sellers of government digital products and services.</w:t>
            </w:r>
          </w:p>
        </w:tc>
        <w:tc>
          <w:tcPr>
            <w:tcW w:w="3118" w:type="dxa"/>
            <w:tcBorders>
              <w:top w:val="nil"/>
              <w:left w:val="single" w:sz="4" w:space="0" w:color="auto"/>
              <w:bottom w:val="nil"/>
              <w:right w:val="single" w:sz="4" w:space="0" w:color="auto"/>
            </w:tcBorders>
          </w:tcPr>
          <w:p w14:paraId="632AD135" w14:textId="77777777" w:rsidR="00114432" w:rsidRPr="006E1CE4" w:rsidRDefault="00114432" w:rsidP="00C8474A">
            <w:pPr>
              <w:pStyle w:val="TableTextBase"/>
              <w:numPr>
                <w:ilvl w:val="0"/>
                <w:numId w:val="37"/>
              </w:numPr>
              <w:spacing w:before="60" w:after="60"/>
              <w:ind w:left="527" w:hanging="357"/>
              <w:rPr>
                <w:rFonts w:cs="Arial"/>
                <w:szCs w:val="16"/>
                <w:bdr w:val="none" w:sz="0" w:space="0" w:color="auto" w:frame="1"/>
              </w:rPr>
            </w:pPr>
            <w:r w:rsidRPr="009B23AE">
              <w:rPr>
                <w:rFonts w:cs="Arial"/>
                <w:szCs w:val="16"/>
                <w:bdr w:val="none" w:sz="0" w:space="0" w:color="auto" w:frame="1"/>
              </w:rPr>
              <w:t>Improvements to sourcing of digital products and services drive greater value for money for the APS and more opportunities for Australian businesses, including Small and Medium-sized Enterprises.</w:t>
            </w:r>
          </w:p>
        </w:tc>
      </w:tr>
      <w:tr w:rsidR="00114432" w:rsidRPr="006E1CE4" w14:paraId="6147C70F" w14:textId="77777777" w:rsidTr="005C0509">
        <w:tblPrEx>
          <w:tblLook w:val="04A0" w:firstRow="1" w:lastRow="0" w:firstColumn="1" w:lastColumn="0" w:noHBand="0" w:noVBand="1"/>
        </w:tblPrEx>
        <w:trPr>
          <w:trHeight w:val="642"/>
        </w:trPr>
        <w:tc>
          <w:tcPr>
            <w:tcW w:w="1560" w:type="dxa"/>
            <w:vMerge/>
            <w:tcBorders>
              <w:top w:val="nil"/>
              <w:left w:val="single" w:sz="4" w:space="0" w:color="auto"/>
              <w:bottom w:val="single" w:sz="4" w:space="0" w:color="auto"/>
              <w:right w:val="single" w:sz="4" w:space="0" w:color="auto"/>
            </w:tcBorders>
          </w:tcPr>
          <w:p w14:paraId="750F0450" w14:textId="77777777" w:rsidR="00114432" w:rsidRPr="006E1CE4" w:rsidRDefault="00114432" w:rsidP="005C0509">
            <w:pPr>
              <w:pStyle w:val="TableTextLeft"/>
              <w:spacing w:before="60" w:after="60"/>
            </w:pPr>
          </w:p>
        </w:tc>
        <w:tc>
          <w:tcPr>
            <w:tcW w:w="3118" w:type="dxa"/>
            <w:tcBorders>
              <w:top w:val="nil"/>
              <w:left w:val="single" w:sz="4" w:space="0" w:color="auto"/>
              <w:bottom w:val="single" w:sz="4" w:space="0" w:color="auto"/>
              <w:right w:val="single" w:sz="4" w:space="0" w:color="auto"/>
            </w:tcBorders>
          </w:tcPr>
          <w:p w14:paraId="5C255B62" w14:textId="77777777" w:rsidR="00114432" w:rsidRPr="006E1CE4" w:rsidRDefault="00114432" w:rsidP="005C0509">
            <w:pPr>
              <w:tabs>
                <w:tab w:val="left" w:pos="709"/>
              </w:tabs>
              <w:spacing w:before="60" w:after="60" w:line="240" w:lineRule="auto"/>
              <w:rPr>
                <w:rFonts w:ascii="Arial" w:hAnsi="Arial" w:cs="Arial"/>
                <w:sz w:val="16"/>
                <w:szCs w:val="16"/>
                <w:bdr w:val="none" w:sz="0" w:space="0" w:color="auto" w:frame="1"/>
              </w:rPr>
            </w:pPr>
            <w:r w:rsidRPr="009B23AE">
              <w:rPr>
                <w:rFonts w:ascii="Arial" w:hAnsi="Arial" w:cs="Arial"/>
                <w:sz w:val="16"/>
                <w:szCs w:val="16"/>
                <w:bdr w:val="none" w:sz="0" w:space="0" w:color="auto" w:frame="1"/>
              </w:rPr>
              <w:t>Collaboration and partnerships nationally and internationally promote digital transformation to improve government services.</w:t>
            </w:r>
          </w:p>
        </w:tc>
        <w:tc>
          <w:tcPr>
            <w:tcW w:w="3118" w:type="dxa"/>
            <w:tcBorders>
              <w:top w:val="nil"/>
              <w:left w:val="single" w:sz="4" w:space="0" w:color="auto"/>
              <w:bottom w:val="single" w:sz="4" w:space="0" w:color="auto"/>
              <w:right w:val="single" w:sz="4" w:space="0" w:color="auto"/>
            </w:tcBorders>
          </w:tcPr>
          <w:p w14:paraId="202FB537" w14:textId="77777777" w:rsidR="00114432" w:rsidRPr="006E1CE4" w:rsidRDefault="00114432" w:rsidP="00C8474A">
            <w:pPr>
              <w:pStyle w:val="TableTextBase"/>
              <w:numPr>
                <w:ilvl w:val="0"/>
                <w:numId w:val="37"/>
              </w:numPr>
              <w:spacing w:before="60" w:after="60"/>
              <w:ind w:left="527" w:hanging="357"/>
              <w:rPr>
                <w:rFonts w:cs="Arial"/>
                <w:szCs w:val="16"/>
                <w:bdr w:val="none" w:sz="0" w:space="0" w:color="auto" w:frame="1"/>
              </w:rPr>
            </w:pPr>
            <w:r w:rsidRPr="009B23AE">
              <w:rPr>
                <w:rFonts w:cs="Arial"/>
                <w:szCs w:val="16"/>
                <w:bdr w:val="none" w:sz="0" w:space="0" w:color="auto" w:frame="1"/>
              </w:rPr>
              <w:t>Our work increases cooperation and consistent approaches across all levels of government, and increases collaboration nationally and internationally, as well as with industry and other stakeholder groups.</w:t>
            </w:r>
          </w:p>
        </w:tc>
      </w:tr>
    </w:tbl>
    <w:p w14:paraId="07A373EF" w14:textId="77777777" w:rsidR="00A023F6" w:rsidRDefault="009068B1" w:rsidP="00C723E3">
      <w:pPr>
        <w:spacing w:before="30" w:after="0" w:line="240" w:lineRule="auto"/>
        <w:rPr>
          <w:rFonts w:ascii="Arial" w:hAnsi="Arial" w:cs="Arial"/>
          <w:sz w:val="16"/>
          <w:szCs w:val="16"/>
        </w:rPr>
      </w:pPr>
      <w:r w:rsidRPr="009068B1">
        <w:rPr>
          <w:rFonts w:ascii="Arial" w:hAnsi="Arial" w:cs="Arial"/>
          <w:sz w:val="16"/>
          <w:szCs w:val="16"/>
        </w:rPr>
        <w:t>Table continues on next page</w:t>
      </w:r>
      <w:r w:rsidR="00A023F6">
        <w:rPr>
          <w:rFonts w:ascii="Arial" w:hAnsi="Arial" w:cs="Arial"/>
          <w:sz w:val="16"/>
          <w:szCs w:val="16"/>
        </w:rPr>
        <w:br w:type="page"/>
      </w:r>
    </w:p>
    <w:p w14:paraId="24BE6387" w14:textId="3A23BA00" w:rsidR="008567E9" w:rsidRPr="009B7530" w:rsidRDefault="00E5279F" w:rsidP="009B7530">
      <w:pPr>
        <w:spacing w:before="0" w:after="0" w:line="240" w:lineRule="auto"/>
        <w:rPr>
          <w:rFonts w:ascii="Arial" w:hAnsi="Arial" w:cs="Arial"/>
          <w:sz w:val="16"/>
          <w:szCs w:val="16"/>
        </w:rPr>
      </w:pPr>
      <w:r w:rsidRPr="00235952">
        <w:rPr>
          <w:rFonts w:ascii="Arial" w:hAnsi="Arial"/>
          <w:b/>
          <w:sz w:val="20"/>
        </w:rPr>
        <w:lastRenderedPageBreak/>
        <w:t>Table 2.1.2: Performance measure for Outcome 1 (continued)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60"/>
        <w:gridCol w:w="3118"/>
        <w:gridCol w:w="3118"/>
      </w:tblGrid>
      <w:tr w:rsidR="008567E9" w:rsidRPr="006E1CE4" w14:paraId="204B61FD" w14:textId="77777777" w:rsidTr="008567E9">
        <w:trPr>
          <w:trHeight w:val="522"/>
        </w:trPr>
        <w:tc>
          <w:tcPr>
            <w:tcW w:w="7796" w:type="dxa"/>
            <w:gridSpan w:val="3"/>
            <w:shd w:val="clear" w:color="auto" w:fill="F2F2F2"/>
          </w:tcPr>
          <w:p w14:paraId="36FCEE36" w14:textId="34AE8232" w:rsidR="008567E9" w:rsidRPr="006E1CE4" w:rsidRDefault="00DA1F6E" w:rsidP="008567E9">
            <w:pPr>
              <w:pStyle w:val="TableTextLeft"/>
            </w:pPr>
            <w:r>
              <w:rPr>
                <w:b/>
              </w:rPr>
              <w:t xml:space="preserve">Program 1.1 </w:t>
            </w:r>
            <w:r w:rsidRPr="00DA1F6E">
              <w:rPr>
                <w:b/>
              </w:rPr>
              <w:t xml:space="preserve">- </w:t>
            </w:r>
            <w:r w:rsidRPr="00DA1F6E">
              <w:t>The objective of this program is to provide strategic and policy leadership and investment advice as a trusted advisor on digital and ICT investment decisions through oversight to drive government digital transformation that delivers benefits to all Australians.</w:t>
            </w:r>
          </w:p>
        </w:tc>
      </w:tr>
      <w:tr w:rsidR="00E5279F" w:rsidRPr="006E1CE4" w14:paraId="2239E729" w14:textId="77777777" w:rsidTr="00C6675C">
        <w:tblPrEx>
          <w:tblLook w:val="04A0" w:firstRow="1" w:lastRow="0" w:firstColumn="1" w:lastColumn="0" w:noHBand="0" w:noVBand="1"/>
        </w:tblPrEx>
        <w:trPr>
          <w:trHeight w:val="261"/>
          <w:tblHeader/>
        </w:trPr>
        <w:tc>
          <w:tcPr>
            <w:tcW w:w="1560" w:type="dxa"/>
            <w:tcBorders>
              <w:top w:val="single" w:sz="4" w:space="0" w:color="auto"/>
              <w:bottom w:val="single" w:sz="4" w:space="0" w:color="auto"/>
              <w:right w:val="single" w:sz="4" w:space="0" w:color="auto"/>
            </w:tcBorders>
          </w:tcPr>
          <w:p w14:paraId="2239E726" w14:textId="77777777" w:rsidR="00E5279F" w:rsidRPr="006E1CE4" w:rsidRDefault="00E5279F" w:rsidP="00C6675C">
            <w:pPr>
              <w:pStyle w:val="TableColumnHeadingLeft"/>
            </w:pPr>
            <w:r w:rsidRPr="006E1CE4">
              <w:t>Year</w:t>
            </w:r>
          </w:p>
        </w:tc>
        <w:tc>
          <w:tcPr>
            <w:tcW w:w="3118" w:type="dxa"/>
            <w:tcBorders>
              <w:top w:val="single" w:sz="4" w:space="0" w:color="auto"/>
              <w:left w:val="single" w:sz="4" w:space="0" w:color="auto"/>
              <w:bottom w:val="single" w:sz="4" w:space="0" w:color="auto"/>
              <w:right w:val="single" w:sz="4" w:space="0" w:color="auto"/>
            </w:tcBorders>
          </w:tcPr>
          <w:p w14:paraId="2239E727" w14:textId="77777777" w:rsidR="00E5279F" w:rsidRPr="006E1CE4" w:rsidRDefault="00E5279F" w:rsidP="00C6675C">
            <w:pPr>
              <w:pStyle w:val="TableColumnHeadingLeft"/>
            </w:pPr>
            <w:r w:rsidRPr="006E1CE4">
              <w:t>Performance measures</w:t>
            </w:r>
          </w:p>
        </w:tc>
        <w:tc>
          <w:tcPr>
            <w:tcW w:w="3118" w:type="dxa"/>
            <w:tcBorders>
              <w:top w:val="single" w:sz="4" w:space="0" w:color="auto"/>
              <w:left w:val="single" w:sz="4" w:space="0" w:color="auto"/>
              <w:bottom w:val="single" w:sz="4" w:space="0" w:color="auto"/>
            </w:tcBorders>
          </w:tcPr>
          <w:p w14:paraId="2239E728" w14:textId="77777777" w:rsidR="00E5279F" w:rsidRPr="006E1CE4" w:rsidRDefault="00E5279F" w:rsidP="00C6675C">
            <w:pPr>
              <w:pStyle w:val="TableColumnHeadingLeft"/>
            </w:pPr>
            <w:r w:rsidRPr="006E1CE4">
              <w:t>Planned Performance Results</w:t>
            </w:r>
          </w:p>
        </w:tc>
      </w:tr>
      <w:tr w:rsidR="00E5279F" w:rsidRPr="006E1CE4" w14:paraId="2239E72E" w14:textId="77777777" w:rsidTr="00C6675C">
        <w:tblPrEx>
          <w:tblLook w:val="04A0" w:firstRow="1" w:lastRow="0" w:firstColumn="1" w:lastColumn="0" w:noHBand="0" w:noVBand="1"/>
        </w:tblPrEx>
        <w:trPr>
          <w:trHeight w:val="100"/>
        </w:trPr>
        <w:tc>
          <w:tcPr>
            <w:tcW w:w="1560" w:type="dxa"/>
            <w:tcBorders>
              <w:top w:val="single" w:sz="4" w:space="0" w:color="auto"/>
              <w:left w:val="single" w:sz="4" w:space="0" w:color="auto"/>
              <w:bottom w:val="nil"/>
              <w:right w:val="single" w:sz="4" w:space="0" w:color="auto"/>
            </w:tcBorders>
          </w:tcPr>
          <w:p w14:paraId="2239E72A" w14:textId="77777777" w:rsidR="00E5279F" w:rsidRPr="006E1CE4" w:rsidRDefault="00E5279F" w:rsidP="00C6675C">
            <w:pPr>
              <w:pStyle w:val="TableTextLeft"/>
            </w:pPr>
            <w:r w:rsidRPr="006E1CE4">
              <w:t xml:space="preserve">Budget Year </w:t>
            </w:r>
          </w:p>
          <w:p w14:paraId="2239E72B" w14:textId="77777777" w:rsidR="00E5279F" w:rsidRPr="006E1CE4" w:rsidRDefault="00E5279F" w:rsidP="00C6675C">
            <w:pPr>
              <w:pStyle w:val="TableTextLeft"/>
            </w:pPr>
            <w:r w:rsidRPr="006E1CE4">
              <w:t>2022-23</w:t>
            </w:r>
          </w:p>
        </w:tc>
        <w:tc>
          <w:tcPr>
            <w:tcW w:w="3118" w:type="dxa"/>
            <w:tcBorders>
              <w:top w:val="single" w:sz="4" w:space="0" w:color="auto"/>
              <w:left w:val="single" w:sz="4" w:space="0" w:color="auto"/>
              <w:bottom w:val="dotted" w:sz="4" w:space="0" w:color="auto"/>
              <w:right w:val="single" w:sz="4" w:space="0" w:color="auto"/>
            </w:tcBorders>
          </w:tcPr>
          <w:p w14:paraId="2239E72C" w14:textId="77777777" w:rsidR="00E5279F" w:rsidRPr="006E1CE4" w:rsidRDefault="00E5279F" w:rsidP="00C8474A">
            <w:pPr>
              <w:numPr>
                <w:ilvl w:val="1"/>
                <w:numId w:val="38"/>
              </w:numPr>
              <w:tabs>
                <w:tab w:val="left" w:pos="426"/>
              </w:tabs>
              <w:spacing w:before="20" w:after="20" w:line="240" w:lineRule="auto"/>
              <w:ind w:left="425" w:hanging="425"/>
              <w:rPr>
                <w:rFonts w:ascii="Arial" w:hAnsi="Arial" w:cs="Arial"/>
                <w:sz w:val="16"/>
                <w:szCs w:val="16"/>
                <w:bdr w:val="none" w:sz="0" w:space="0" w:color="auto" w:frame="1"/>
              </w:rPr>
            </w:pPr>
            <w:r w:rsidRPr="006E1CE4">
              <w:rPr>
                <w:rFonts w:ascii="Arial" w:hAnsi="Arial" w:cs="Arial"/>
                <w:sz w:val="16"/>
                <w:szCs w:val="16"/>
                <w:bdr w:val="none" w:sz="0" w:space="0" w:color="auto" w:frame="1"/>
              </w:rPr>
              <w:t>The Australian Government Architecture is a decision-making and policy construct that helps agencies develop scalable, secure and resilient digital capabilities.</w:t>
            </w:r>
          </w:p>
        </w:tc>
        <w:tc>
          <w:tcPr>
            <w:tcW w:w="3118" w:type="dxa"/>
            <w:tcBorders>
              <w:top w:val="single" w:sz="4" w:space="0" w:color="auto"/>
              <w:left w:val="single" w:sz="4" w:space="0" w:color="auto"/>
              <w:bottom w:val="dotted" w:sz="4" w:space="0" w:color="auto"/>
            </w:tcBorders>
          </w:tcPr>
          <w:p w14:paraId="2239E72D" w14:textId="77777777" w:rsidR="00E5279F" w:rsidRPr="006E1CE4" w:rsidRDefault="00E5279F" w:rsidP="00C6675C">
            <w:pPr>
              <w:pStyle w:val="TableTextBase"/>
              <w:rPr>
                <w:rFonts w:cs="Arial"/>
                <w:szCs w:val="16"/>
                <w:bdr w:val="none" w:sz="0" w:space="0" w:color="auto" w:frame="1"/>
              </w:rPr>
            </w:pPr>
            <w:r w:rsidRPr="006E1CE4">
              <w:rPr>
                <w:rFonts w:cs="Arial"/>
                <w:szCs w:val="16"/>
                <w:bdr w:val="none" w:sz="0" w:space="0" w:color="auto" w:frame="1"/>
              </w:rPr>
              <w:t>Set benchmark for use of/alignment with Australian Government Architecture.</w:t>
            </w:r>
          </w:p>
        </w:tc>
      </w:tr>
      <w:tr w:rsidR="00E5279F" w:rsidRPr="006E1CE4" w14:paraId="2239E733" w14:textId="77777777" w:rsidTr="00C6675C">
        <w:tblPrEx>
          <w:tblLook w:val="04A0" w:firstRow="1" w:lastRow="0" w:firstColumn="1" w:lastColumn="0" w:noHBand="0" w:noVBand="1"/>
        </w:tblPrEx>
        <w:trPr>
          <w:trHeight w:val="491"/>
        </w:trPr>
        <w:tc>
          <w:tcPr>
            <w:tcW w:w="1560" w:type="dxa"/>
            <w:tcBorders>
              <w:top w:val="nil"/>
              <w:left w:val="single" w:sz="4" w:space="0" w:color="auto"/>
              <w:bottom w:val="nil"/>
              <w:right w:val="single" w:sz="4" w:space="0" w:color="auto"/>
            </w:tcBorders>
          </w:tcPr>
          <w:p w14:paraId="2239E72F" w14:textId="77777777" w:rsidR="00E5279F" w:rsidRPr="006E1CE4" w:rsidRDefault="00E5279F" w:rsidP="00C6675C">
            <w:pPr>
              <w:pStyle w:val="TableTextLeft"/>
            </w:pPr>
          </w:p>
        </w:tc>
        <w:tc>
          <w:tcPr>
            <w:tcW w:w="3118" w:type="dxa"/>
            <w:tcBorders>
              <w:top w:val="dotted" w:sz="4" w:space="0" w:color="auto"/>
              <w:left w:val="single" w:sz="4" w:space="0" w:color="auto"/>
              <w:bottom w:val="dotted" w:sz="4" w:space="0" w:color="auto"/>
              <w:right w:val="single" w:sz="4" w:space="0" w:color="auto"/>
            </w:tcBorders>
          </w:tcPr>
          <w:p w14:paraId="2239E730" w14:textId="77777777" w:rsidR="00E5279F" w:rsidRPr="006E1CE4" w:rsidRDefault="00E5279F" w:rsidP="00C8474A">
            <w:pPr>
              <w:numPr>
                <w:ilvl w:val="1"/>
                <w:numId w:val="38"/>
              </w:numPr>
              <w:tabs>
                <w:tab w:val="left" w:pos="426"/>
              </w:tabs>
              <w:spacing w:before="20" w:after="20" w:line="240" w:lineRule="auto"/>
              <w:ind w:left="425" w:hanging="425"/>
              <w:rPr>
                <w:rFonts w:ascii="Arial" w:hAnsi="Arial" w:cs="Arial"/>
                <w:sz w:val="16"/>
                <w:szCs w:val="16"/>
                <w:bdr w:val="none" w:sz="0" w:space="0" w:color="auto" w:frame="1"/>
              </w:rPr>
            </w:pPr>
            <w:r w:rsidRPr="006E1CE4">
              <w:rPr>
                <w:rFonts w:ascii="Arial" w:hAnsi="Arial" w:cs="Arial"/>
                <w:sz w:val="16"/>
                <w:szCs w:val="16"/>
                <w:bdr w:val="none" w:sz="0" w:space="0" w:color="auto" w:frame="1"/>
              </w:rPr>
              <w:t>Stakeholders and partners receive high quality and timely advice on whole-of-government strategies, policies and standards for digital and ICT investments.</w:t>
            </w:r>
          </w:p>
        </w:tc>
        <w:tc>
          <w:tcPr>
            <w:tcW w:w="3118" w:type="dxa"/>
            <w:tcBorders>
              <w:top w:val="dotted" w:sz="4" w:space="0" w:color="auto"/>
              <w:left w:val="single" w:sz="4" w:space="0" w:color="auto"/>
              <w:bottom w:val="dotted" w:sz="4" w:space="0" w:color="auto"/>
            </w:tcBorders>
          </w:tcPr>
          <w:p w14:paraId="2239E731" w14:textId="77777777" w:rsidR="00E5279F" w:rsidRPr="006E1CE4" w:rsidRDefault="00E5279F" w:rsidP="00C6675C">
            <w:pPr>
              <w:pStyle w:val="TableTextBase"/>
              <w:rPr>
                <w:rFonts w:cs="Arial"/>
                <w:szCs w:val="16"/>
                <w:bdr w:val="none" w:sz="0" w:space="0" w:color="auto" w:frame="1"/>
              </w:rPr>
            </w:pPr>
            <w:r w:rsidRPr="006E1CE4">
              <w:rPr>
                <w:rFonts w:cs="Arial"/>
                <w:szCs w:val="16"/>
                <w:bdr w:val="none" w:sz="0" w:space="0" w:color="auto" w:frame="1"/>
              </w:rPr>
              <w:t>Set benchmark for stakeholder feedback on DTA advice.</w:t>
            </w:r>
          </w:p>
          <w:p w14:paraId="2239E732" w14:textId="77777777" w:rsidR="00E5279F" w:rsidRPr="006E1CE4" w:rsidRDefault="00E5279F" w:rsidP="00C6675C">
            <w:pPr>
              <w:pStyle w:val="TableTextBase"/>
              <w:rPr>
                <w:i/>
                <w:color w:val="0070C0"/>
              </w:rPr>
            </w:pPr>
            <w:r w:rsidRPr="006E1CE4">
              <w:rPr>
                <w:rFonts w:cs="Arial"/>
                <w:szCs w:val="16"/>
                <w:bdr w:val="none" w:sz="0" w:space="0" w:color="auto" w:frame="1"/>
              </w:rPr>
              <w:t>Set benchmark for use of/alignment with DTA advice.</w:t>
            </w:r>
          </w:p>
        </w:tc>
      </w:tr>
      <w:tr w:rsidR="00E5279F" w:rsidRPr="006E1CE4" w14:paraId="2239E737" w14:textId="77777777" w:rsidTr="00C6675C">
        <w:tblPrEx>
          <w:tblLook w:val="04A0" w:firstRow="1" w:lastRow="0" w:firstColumn="1" w:lastColumn="0" w:noHBand="0" w:noVBand="1"/>
        </w:tblPrEx>
        <w:trPr>
          <w:trHeight w:val="491"/>
        </w:trPr>
        <w:tc>
          <w:tcPr>
            <w:tcW w:w="1560" w:type="dxa"/>
            <w:tcBorders>
              <w:top w:val="nil"/>
              <w:left w:val="single" w:sz="4" w:space="0" w:color="auto"/>
              <w:bottom w:val="nil"/>
              <w:right w:val="single" w:sz="4" w:space="0" w:color="auto"/>
            </w:tcBorders>
          </w:tcPr>
          <w:p w14:paraId="2239E734" w14:textId="77777777" w:rsidR="00E5279F" w:rsidRPr="006E1CE4" w:rsidRDefault="00E5279F" w:rsidP="00C6675C">
            <w:pPr>
              <w:pStyle w:val="TableTextLeft"/>
            </w:pPr>
          </w:p>
        </w:tc>
        <w:tc>
          <w:tcPr>
            <w:tcW w:w="3118" w:type="dxa"/>
            <w:tcBorders>
              <w:top w:val="dotted" w:sz="4" w:space="0" w:color="auto"/>
              <w:left w:val="single" w:sz="4" w:space="0" w:color="auto"/>
              <w:bottom w:val="dotted" w:sz="4" w:space="0" w:color="auto"/>
              <w:right w:val="single" w:sz="4" w:space="0" w:color="auto"/>
            </w:tcBorders>
          </w:tcPr>
          <w:p w14:paraId="2239E735" w14:textId="77777777" w:rsidR="00E5279F" w:rsidRPr="006E1CE4" w:rsidRDefault="00E5279F" w:rsidP="00C8474A">
            <w:pPr>
              <w:numPr>
                <w:ilvl w:val="1"/>
                <w:numId w:val="38"/>
              </w:numPr>
              <w:tabs>
                <w:tab w:val="left" w:pos="426"/>
              </w:tabs>
              <w:spacing w:before="20" w:after="20" w:line="240" w:lineRule="auto"/>
              <w:ind w:left="425" w:hanging="425"/>
              <w:rPr>
                <w:i/>
                <w:color w:val="0070C0"/>
              </w:rPr>
            </w:pPr>
            <w:r w:rsidRPr="006E1CE4">
              <w:rPr>
                <w:rFonts w:ascii="Arial" w:hAnsi="Arial" w:cs="Arial"/>
                <w:sz w:val="16"/>
                <w:szCs w:val="16"/>
                <w:bdr w:val="none" w:sz="0" w:space="0" w:color="auto" w:frame="1"/>
              </w:rPr>
              <w:t>Local and international digital government maturity and performance rankings.</w:t>
            </w:r>
          </w:p>
        </w:tc>
        <w:tc>
          <w:tcPr>
            <w:tcW w:w="3118" w:type="dxa"/>
            <w:tcBorders>
              <w:top w:val="dotted" w:sz="4" w:space="0" w:color="auto"/>
              <w:left w:val="single" w:sz="4" w:space="0" w:color="auto"/>
              <w:bottom w:val="dotted" w:sz="4" w:space="0" w:color="auto"/>
            </w:tcBorders>
          </w:tcPr>
          <w:p w14:paraId="2239E736" w14:textId="77777777" w:rsidR="00E5279F" w:rsidRPr="006E1CE4" w:rsidRDefault="00E5279F" w:rsidP="00C6675C">
            <w:pPr>
              <w:pStyle w:val="TableTextBase"/>
              <w:rPr>
                <w:i/>
                <w:color w:val="0070C0"/>
              </w:rPr>
            </w:pPr>
            <w:r w:rsidRPr="006E1CE4">
              <w:rPr>
                <w:rFonts w:cs="Arial"/>
                <w:szCs w:val="16"/>
                <w:bdr w:val="none" w:sz="0" w:space="0" w:color="auto" w:frame="1"/>
              </w:rPr>
              <w:t>Set benchmark for Australian Government rankings.</w:t>
            </w:r>
          </w:p>
        </w:tc>
      </w:tr>
      <w:tr w:rsidR="00E5279F" w:rsidRPr="006E1CE4" w14:paraId="2239E73B" w14:textId="77777777" w:rsidTr="00C6675C">
        <w:tblPrEx>
          <w:tblLook w:val="04A0" w:firstRow="1" w:lastRow="0" w:firstColumn="1" w:lastColumn="0" w:noHBand="0" w:noVBand="1"/>
        </w:tblPrEx>
        <w:trPr>
          <w:trHeight w:val="491"/>
        </w:trPr>
        <w:tc>
          <w:tcPr>
            <w:tcW w:w="1560" w:type="dxa"/>
            <w:tcBorders>
              <w:top w:val="nil"/>
              <w:left w:val="single" w:sz="4" w:space="0" w:color="auto"/>
              <w:bottom w:val="nil"/>
              <w:right w:val="single" w:sz="4" w:space="0" w:color="auto"/>
            </w:tcBorders>
          </w:tcPr>
          <w:p w14:paraId="2239E738" w14:textId="77777777" w:rsidR="00E5279F" w:rsidRPr="006E1CE4" w:rsidRDefault="00E5279F" w:rsidP="00C6675C">
            <w:pPr>
              <w:pStyle w:val="TableTextLeft"/>
            </w:pPr>
          </w:p>
        </w:tc>
        <w:tc>
          <w:tcPr>
            <w:tcW w:w="3118" w:type="dxa"/>
            <w:tcBorders>
              <w:top w:val="dotted" w:sz="4" w:space="0" w:color="auto"/>
              <w:left w:val="single" w:sz="4" w:space="0" w:color="auto"/>
              <w:bottom w:val="dotted" w:sz="4" w:space="0" w:color="auto"/>
              <w:right w:val="single" w:sz="4" w:space="0" w:color="auto"/>
            </w:tcBorders>
          </w:tcPr>
          <w:p w14:paraId="2239E739" w14:textId="77777777" w:rsidR="00E5279F" w:rsidRPr="006E1CE4" w:rsidRDefault="00E5279F" w:rsidP="00C8474A">
            <w:pPr>
              <w:numPr>
                <w:ilvl w:val="1"/>
                <w:numId w:val="39"/>
              </w:numPr>
              <w:tabs>
                <w:tab w:val="left" w:pos="426"/>
              </w:tabs>
              <w:spacing w:before="20" w:after="20" w:line="240" w:lineRule="auto"/>
              <w:ind w:left="426" w:hanging="426"/>
              <w:rPr>
                <w:rFonts w:ascii="Arial" w:hAnsi="Arial" w:cs="Arial"/>
                <w:sz w:val="16"/>
                <w:szCs w:val="16"/>
                <w:bdr w:val="none" w:sz="0" w:space="0" w:color="auto" w:frame="1"/>
              </w:rPr>
            </w:pPr>
            <w:r w:rsidRPr="006E1CE4">
              <w:rPr>
                <w:rFonts w:ascii="Arial" w:hAnsi="Arial" w:cs="Arial"/>
                <w:sz w:val="16"/>
                <w:szCs w:val="16"/>
                <w:bdr w:val="none" w:sz="0" w:space="0" w:color="auto" w:frame="1"/>
              </w:rPr>
              <w:t>Quality and timeliness of strategic planning advice to define digital and ICT investment portfolio, its future objectives and capability gaps.</w:t>
            </w:r>
          </w:p>
        </w:tc>
        <w:tc>
          <w:tcPr>
            <w:tcW w:w="3118" w:type="dxa"/>
            <w:tcBorders>
              <w:top w:val="dotted" w:sz="4" w:space="0" w:color="auto"/>
              <w:left w:val="single" w:sz="4" w:space="0" w:color="auto"/>
              <w:bottom w:val="dotted" w:sz="4" w:space="0" w:color="auto"/>
            </w:tcBorders>
          </w:tcPr>
          <w:p w14:paraId="2239E73A" w14:textId="77777777" w:rsidR="00E5279F" w:rsidRPr="006E1CE4" w:rsidRDefault="00E5279F" w:rsidP="00C6675C">
            <w:pPr>
              <w:pStyle w:val="TableTextBase"/>
              <w:rPr>
                <w:rFonts w:cs="Arial"/>
                <w:szCs w:val="16"/>
                <w:bdr w:val="none" w:sz="0" w:space="0" w:color="auto" w:frame="1"/>
              </w:rPr>
            </w:pPr>
            <w:r w:rsidRPr="006E1CE4">
              <w:rPr>
                <w:rFonts w:cs="Arial"/>
                <w:szCs w:val="16"/>
                <w:bdr w:val="none" w:sz="0" w:space="0" w:color="auto" w:frame="1"/>
              </w:rPr>
              <w:t>Set stakeholder satisfaction benchmark %.</w:t>
            </w:r>
          </w:p>
        </w:tc>
      </w:tr>
      <w:tr w:rsidR="00E5279F" w:rsidRPr="006E1CE4" w14:paraId="2239E73F" w14:textId="77777777" w:rsidTr="00C6675C">
        <w:tblPrEx>
          <w:tblLook w:val="04A0" w:firstRow="1" w:lastRow="0" w:firstColumn="1" w:lastColumn="0" w:noHBand="0" w:noVBand="1"/>
        </w:tblPrEx>
        <w:trPr>
          <w:trHeight w:val="491"/>
        </w:trPr>
        <w:tc>
          <w:tcPr>
            <w:tcW w:w="1560" w:type="dxa"/>
            <w:tcBorders>
              <w:top w:val="nil"/>
              <w:left w:val="single" w:sz="4" w:space="0" w:color="auto"/>
              <w:bottom w:val="nil"/>
              <w:right w:val="single" w:sz="4" w:space="0" w:color="auto"/>
            </w:tcBorders>
          </w:tcPr>
          <w:p w14:paraId="2239E73C" w14:textId="77777777" w:rsidR="00E5279F" w:rsidRPr="006E1CE4" w:rsidRDefault="00E5279F" w:rsidP="00C6675C">
            <w:pPr>
              <w:pStyle w:val="TableTextLeft"/>
            </w:pPr>
          </w:p>
        </w:tc>
        <w:tc>
          <w:tcPr>
            <w:tcW w:w="3118" w:type="dxa"/>
            <w:tcBorders>
              <w:top w:val="dotted" w:sz="4" w:space="0" w:color="auto"/>
              <w:left w:val="single" w:sz="4" w:space="0" w:color="auto"/>
              <w:bottom w:val="dotted" w:sz="4" w:space="0" w:color="auto"/>
              <w:right w:val="single" w:sz="4" w:space="0" w:color="auto"/>
            </w:tcBorders>
          </w:tcPr>
          <w:p w14:paraId="2239E73D" w14:textId="77777777" w:rsidR="00E5279F" w:rsidRPr="006E1CE4" w:rsidRDefault="00E5279F" w:rsidP="00C8474A">
            <w:pPr>
              <w:numPr>
                <w:ilvl w:val="1"/>
                <w:numId w:val="39"/>
              </w:numPr>
              <w:tabs>
                <w:tab w:val="left" w:pos="426"/>
              </w:tabs>
              <w:spacing w:before="20" w:after="20" w:line="240" w:lineRule="auto"/>
              <w:ind w:left="426" w:hanging="426"/>
              <w:rPr>
                <w:rFonts w:ascii="Arial" w:hAnsi="Arial" w:cs="Arial"/>
                <w:sz w:val="16"/>
                <w:szCs w:val="16"/>
                <w:bdr w:val="none" w:sz="0" w:space="0" w:color="auto" w:frame="1"/>
              </w:rPr>
            </w:pPr>
            <w:r w:rsidRPr="006E1CE4">
              <w:rPr>
                <w:rFonts w:ascii="Arial" w:hAnsi="Arial" w:cs="Arial"/>
                <w:sz w:val="16"/>
                <w:szCs w:val="16"/>
                <w:bdr w:val="none" w:sz="0" w:space="0" w:color="auto" w:frame="1"/>
              </w:rPr>
              <w:t>Quality and timeliness of prioritisation advice on investments to deliver on government’s digital and ICT objectives.</w:t>
            </w:r>
          </w:p>
        </w:tc>
        <w:tc>
          <w:tcPr>
            <w:tcW w:w="3118" w:type="dxa"/>
            <w:tcBorders>
              <w:top w:val="dotted" w:sz="4" w:space="0" w:color="auto"/>
              <w:left w:val="single" w:sz="4" w:space="0" w:color="auto"/>
              <w:bottom w:val="dotted" w:sz="4" w:space="0" w:color="auto"/>
            </w:tcBorders>
          </w:tcPr>
          <w:p w14:paraId="2239E73E" w14:textId="77777777" w:rsidR="00E5279F" w:rsidRPr="006E1CE4" w:rsidRDefault="00E5279F" w:rsidP="00C6675C">
            <w:pPr>
              <w:pStyle w:val="TableTextBase"/>
              <w:rPr>
                <w:rFonts w:cs="Arial"/>
                <w:szCs w:val="16"/>
                <w:bdr w:val="none" w:sz="0" w:space="0" w:color="auto" w:frame="1"/>
              </w:rPr>
            </w:pPr>
            <w:r w:rsidRPr="006E1CE4">
              <w:rPr>
                <w:rFonts w:cs="Arial"/>
                <w:szCs w:val="16"/>
                <w:bdr w:val="none" w:sz="0" w:space="0" w:color="auto" w:frame="1"/>
              </w:rPr>
              <w:t>Set stakeholder satisfaction benchmark %.</w:t>
            </w:r>
          </w:p>
        </w:tc>
      </w:tr>
      <w:tr w:rsidR="00E5279F" w:rsidRPr="006E1CE4" w14:paraId="2239E745" w14:textId="77777777" w:rsidTr="00C6675C">
        <w:tblPrEx>
          <w:tblLook w:val="04A0" w:firstRow="1" w:lastRow="0" w:firstColumn="1" w:lastColumn="0" w:noHBand="0" w:noVBand="1"/>
        </w:tblPrEx>
        <w:trPr>
          <w:trHeight w:val="491"/>
        </w:trPr>
        <w:tc>
          <w:tcPr>
            <w:tcW w:w="1560" w:type="dxa"/>
            <w:tcBorders>
              <w:top w:val="nil"/>
              <w:left w:val="single" w:sz="4" w:space="0" w:color="auto"/>
              <w:bottom w:val="nil"/>
              <w:right w:val="single" w:sz="4" w:space="0" w:color="auto"/>
            </w:tcBorders>
          </w:tcPr>
          <w:p w14:paraId="2239E740" w14:textId="77777777" w:rsidR="00E5279F" w:rsidRPr="006E1CE4" w:rsidRDefault="00E5279F" w:rsidP="00C6675C">
            <w:pPr>
              <w:pStyle w:val="TableTextLeft"/>
            </w:pPr>
          </w:p>
        </w:tc>
        <w:tc>
          <w:tcPr>
            <w:tcW w:w="3118" w:type="dxa"/>
            <w:tcBorders>
              <w:top w:val="dotted" w:sz="4" w:space="0" w:color="auto"/>
              <w:left w:val="single" w:sz="4" w:space="0" w:color="auto"/>
              <w:bottom w:val="dotted" w:sz="4" w:space="0" w:color="auto"/>
              <w:right w:val="single" w:sz="4" w:space="0" w:color="auto"/>
            </w:tcBorders>
          </w:tcPr>
          <w:p w14:paraId="2239E741" w14:textId="77777777" w:rsidR="00E5279F" w:rsidRPr="006E1CE4" w:rsidRDefault="00E5279F" w:rsidP="00C8474A">
            <w:pPr>
              <w:numPr>
                <w:ilvl w:val="1"/>
                <w:numId w:val="39"/>
              </w:numPr>
              <w:tabs>
                <w:tab w:val="left" w:pos="426"/>
              </w:tabs>
              <w:spacing w:before="20" w:after="20" w:line="240" w:lineRule="auto"/>
              <w:ind w:left="426" w:hanging="426"/>
              <w:rPr>
                <w:rFonts w:ascii="Arial" w:hAnsi="Arial" w:cs="Arial"/>
                <w:sz w:val="16"/>
                <w:szCs w:val="16"/>
                <w:bdr w:val="none" w:sz="0" w:space="0" w:color="auto" w:frame="1"/>
              </w:rPr>
            </w:pPr>
            <w:r w:rsidRPr="006E1CE4">
              <w:rPr>
                <w:rFonts w:ascii="Arial" w:hAnsi="Arial" w:cs="Arial"/>
                <w:sz w:val="16"/>
                <w:szCs w:val="16"/>
                <w:bdr w:val="none" w:sz="0" w:space="0" w:color="auto" w:frame="1"/>
              </w:rPr>
              <w:t>Quality and timeliness of contestability advice to ensure digital and ICT investment proposals are robust and meet whole-of-government digital standards prior to government consideration.</w:t>
            </w:r>
          </w:p>
        </w:tc>
        <w:tc>
          <w:tcPr>
            <w:tcW w:w="3118" w:type="dxa"/>
            <w:tcBorders>
              <w:top w:val="dotted" w:sz="4" w:space="0" w:color="auto"/>
              <w:left w:val="single" w:sz="4" w:space="0" w:color="auto"/>
              <w:bottom w:val="dotted" w:sz="4" w:space="0" w:color="auto"/>
            </w:tcBorders>
          </w:tcPr>
          <w:p w14:paraId="2239E742" w14:textId="77777777" w:rsidR="00E5279F" w:rsidRPr="006E1CE4" w:rsidRDefault="00E5279F" w:rsidP="00C6675C">
            <w:pPr>
              <w:pStyle w:val="TableTextBase"/>
              <w:rPr>
                <w:rFonts w:cs="Arial"/>
                <w:szCs w:val="16"/>
                <w:bdr w:val="none" w:sz="0" w:space="0" w:color="auto" w:frame="1"/>
              </w:rPr>
            </w:pPr>
            <w:r w:rsidRPr="006E1CE4">
              <w:rPr>
                <w:rFonts w:cs="Arial"/>
                <w:szCs w:val="16"/>
                <w:bdr w:val="none" w:sz="0" w:space="0" w:color="auto" w:frame="1"/>
              </w:rPr>
              <w:t>70% of digital investment proposals identified by the DTA as in-scope of the Digital and ICT Investment Oversight Framework are reviewed within Budget timelines.</w:t>
            </w:r>
          </w:p>
          <w:p w14:paraId="2239E743" w14:textId="77777777" w:rsidR="00E5279F" w:rsidRPr="006E1CE4" w:rsidRDefault="00E5279F" w:rsidP="00C6675C">
            <w:pPr>
              <w:pStyle w:val="TableTextBase"/>
              <w:rPr>
                <w:rFonts w:cs="Arial"/>
                <w:szCs w:val="16"/>
                <w:bdr w:val="none" w:sz="0" w:space="0" w:color="auto" w:frame="1"/>
              </w:rPr>
            </w:pPr>
            <w:r w:rsidRPr="006E1CE4">
              <w:rPr>
                <w:rFonts w:cs="Arial"/>
                <w:szCs w:val="16"/>
                <w:bdr w:val="none" w:sz="0" w:space="0" w:color="auto" w:frame="1"/>
              </w:rPr>
              <w:t>70% of digital investment proposals identified by the DTA as in-scope of the Digital and ICT Investment Oversight Framework are assessed with strong alignment to the Digital Capability Standards.</w:t>
            </w:r>
          </w:p>
          <w:p w14:paraId="2239E744" w14:textId="77777777" w:rsidR="00E5279F" w:rsidRPr="006E1CE4" w:rsidRDefault="00E5279F" w:rsidP="00C6675C">
            <w:pPr>
              <w:pStyle w:val="TableTextBase"/>
              <w:rPr>
                <w:rFonts w:cs="Arial"/>
                <w:szCs w:val="16"/>
                <w:bdr w:val="none" w:sz="0" w:space="0" w:color="auto" w:frame="1"/>
              </w:rPr>
            </w:pPr>
            <w:r w:rsidRPr="006E1CE4">
              <w:rPr>
                <w:rFonts w:cs="Arial"/>
                <w:szCs w:val="16"/>
                <w:bdr w:val="none" w:sz="0" w:space="0" w:color="auto" w:frame="1"/>
              </w:rPr>
              <w:t>Average rating of at least 7/10 for the DTA’s communication around the Digital Capability Standards and the requirements on Commonwealth agencies.</w:t>
            </w:r>
          </w:p>
        </w:tc>
      </w:tr>
      <w:tr w:rsidR="00E5279F" w:rsidRPr="006E1CE4" w14:paraId="2239E74B" w14:textId="77777777" w:rsidTr="00C6675C">
        <w:tblPrEx>
          <w:tblLook w:val="04A0" w:firstRow="1" w:lastRow="0" w:firstColumn="1" w:lastColumn="0" w:noHBand="0" w:noVBand="1"/>
        </w:tblPrEx>
        <w:trPr>
          <w:trHeight w:val="491"/>
        </w:trPr>
        <w:tc>
          <w:tcPr>
            <w:tcW w:w="1560" w:type="dxa"/>
            <w:tcBorders>
              <w:top w:val="nil"/>
              <w:left w:val="single" w:sz="4" w:space="0" w:color="auto"/>
              <w:bottom w:val="single" w:sz="4" w:space="0" w:color="auto"/>
              <w:right w:val="single" w:sz="4" w:space="0" w:color="auto"/>
            </w:tcBorders>
          </w:tcPr>
          <w:p w14:paraId="2239E746" w14:textId="77777777" w:rsidR="00E5279F" w:rsidRPr="006E1CE4" w:rsidRDefault="00E5279F" w:rsidP="00C6675C">
            <w:pPr>
              <w:pStyle w:val="TableTextLeft"/>
            </w:pPr>
          </w:p>
        </w:tc>
        <w:tc>
          <w:tcPr>
            <w:tcW w:w="3118" w:type="dxa"/>
            <w:tcBorders>
              <w:top w:val="dotted" w:sz="4" w:space="0" w:color="auto"/>
              <w:left w:val="single" w:sz="4" w:space="0" w:color="auto"/>
              <w:bottom w:val="single" w:sz="4" w:space="0" w:color="auto"/>
              <w:right w:val="single" w:sz="4" w:space="0" w:color="auto"/>
            </w:tcBorders>
          </w:tcPr>
          <w:p w14:paraId="2239E747" w14:textId="77777777" w:rsidR="00E5279F" w:rsidRPr="006E1CE4" w:rsidRDefault="00E5279F" w:rsidP="00C8474A">
            <w:pPr>
              <w:numPr>
                <w:ilvl w:val="1"/>
                <w:numId w:val="39"/>
              </w:numPr>
              <w:tabs>
                <w:tab w:val="left" w:pos="426"/>
              </w:tabs>
              <w:spacing w:before="20" w:after="20" w:line="240" w:lineRule="auto"/>
              <w:ind w:left="426" w:hanging="426"/>
              <w:rPr>
                <w:rFonts w:ascii="Arial" w:hAnsi="Arial" w:cs="Arial"/>
                <w:sz w:val="16"/>
                <w:szCs w:val="16"/>
                <w:bdr w:val="none" w:sz="0" w:space="0" w:color="auto" w:frame="1"/>
              </w:rPr>
            </w:pPr>
            <w:r w:rsidRPr="006E1CE4">
              <w:rPr>
                <w:rFonts w:ascii="Arial" w:hAnsi="Arial" w:cs="Arial"/>
                <w:sz w:val="16"/>
                <w:szCs w:val="16"/>
                <w:bdr w:val="none" w:sz="0" w:space="0" w:color="auto" w:frame="1"/>
              </w:rPr>
              <w:t>Quality and timeliness of delivery assurance advice that investments are on-track to deliver expected benefits.</w:t>
            </w:r>
          </w:p>
        </w:tc>
        <w:tc>
          <w:tcPr>
            <w:tcW w:w="3118" w:type="dxa"/>
            <w:tcBorders>
              <w:top w:val="dotted" w:sz="4" w:space="0" w:color="auto"/>
              <w:left w:val="single" w:sz="4" w:space="0" w:color="auto"/>
              <w:bottom w:val="single" w:sz="4" w:space="0" w:color="auto"/>
            </w:tcBorders>
          </w:tcPr>
          <w:p w14:paraId="2239E748" w14:textId="77777777" w:rsidR="00E5279F" w:rsidRPr="006E1CE4" w:rsidRDefault="00E5279F" w:rsidP="00C6675C">
            <w:pPr>
              <w:pStyle w:val="TableTextBase"/>
              <w:rPr>
                <w:rFonts w:cs="Arial"/>
                <w:szCs w:val="16"/>
                <w:bdr w:val="none" w:sz="0" w:space="0" w:color="auto" w:frame="1"/>
              </w:rPr>
            </w:pPr>
            <w:r w:rsidRPr="006E1CE4">
              <w:rPr>
                <w:rFonts w:cs="Arial"/>
                <w:szCs w:val="16"/>
                <w:bdr w:val="none" w:sz="0" w:space="0" w:color="auto" w:frame="1"/>
              </w:rPr>
              <w:t>100% of new digital investments identified by the DTA as in-scope for the Digital and ICT Investment Oversight Framework have a formal assurance plan in place [measured by value].</w:t>
            </w:r>
          </w:p>
          <w:p w14:paraId="2239E749" w14:textId="77777777" w:rsidR="00E5279F" w:rsidRPr="006E1CE4" w:rsidRDefault="00E5279F" w:rsidP="00C6675C">
            <w:pPr>
              <w:pStyle w:val="TableTextBase"/>
              <w:rPr>
                <w:rFonts w:cs="Arial"/>
                <w:szCs w:val="16"/>
                <w:bdr w:val="none" w:sz="0" w:space="0" w:color="auto" w:frame="1"/>
              </w:rPr>
            </w:pPr>
          </w:p>
          <w:p w14:paraId="2239E74A" w14:textId="77777777" w:rsidR="001F4708" w:rsidRPr="006E1CE4" w:rsidRDefault="00E5279F" w:rsidP="00C6675C">
            <w:pPr>
              <w:pStyle w:val="TableTextBase"/>
              <w:rPr>
                <w:rFonts w:cs="Arial"/>
                <w:szCs w:val="16"/>
                <w:bdr w:val="none" w:sz="0" w:space="0" w:color="auto" w:frame="1"/>
              </w:rPr>
            </w:pPr>
            <w:r w:rsidRPr="006E1CE4">
              <w:rPr>
                <w:rFonts w:cs="Arial"/>
                <w:szCs w:val="16"/>
                <w:bdr w:val="none" w:sz="0" w:space="0" w:color="auto" w:frame="1"/>
              </w:rPr>
              <w:t>70% of in-flight digital projects in-scope for retrospective application of the assurance framework have a formal assurance plan in place [measured by value].</w:t>
            </w:r>
          </w:p>
        </w:tc>
      </w:tr>
    </w:tbl>
    <w:p w14:paraId="211AFCFD" w14:textId="77777777" w:rsidR="009B7530" w:rsidRDefault="00E5279F" w:rsidP="00C723E3">
      <w:pPr>
        <w:spacing w:before="30" w:after="0" w:line="240" w:lineRule="auto"/>
        <w:rPr>
          <w:rFonts w:ascii="Arial" w:hAnsi="Arial" w:cs="Arial"/>
          <w:sz w:val="16"/>
          <w:szCs w:val="16"/>
        </w:rPr>
      </w:pPr>
      <w:r w:rsidRPr="00E5279F">
        <w:rPr>
          <w:rFonts w:ascii="Arial" w:hAnsi="Arial" w:cs="Arial"/>
          <w:sz w:val="16"/>
          <w:szCs w:val="16"/>
        </w:rPr>
        <w:t>Table continues on next page</w:t>
      </w:r>
      <w:r w:rsidR="009B7530">
        <w:rPr>
          <w:rFonts w:ascii="Arial" w:hAnsi="Arial" w:cs="Arial"/>
          <w:sz w:val="16"/>
          <w:szCs w:val="16"/>
        </w:rPr>
        <w:br w:type="page"/>
      </w:r>
    </w:p>
    <w:p w14:paraId="68FAA88B" w14:textId="33D5834D" w:rsidR="008567E9" w:rsidRPr="009B7530" w:rsidRDefault="003276D1" w:rsidP="009B7530">
      <w:pPr>
        <w:spacing w:before="0" w:after="0" w:line="240" w:lineRule="auto"/>
        <w:rPr>
          <w:rFonts w:ascii="Arial" w:hAnsi="Arial" w:cs="Arial"/>
          <w:sz w:val="16"/>
          <w:szCs w:val="16"/>
        </w:rPr>
      </w:pPr>
      <w:r w:rsidRPr="00235952">
        <w:rPr>
          <w:rFonts w:ascii="Arial" w:hAnsi="Arial"/>
          <w:b/>
          <w:sz w:val="20"/>
        </w:rPr>
        <w:lastRenderedPageBreak/>
        <w:t>Table 2.1.2: Performance measure for Outcome 1 (continued)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33"/>
        <w:gridCol w:w="3083"/>
        <w:gridCol w:w="3080"/>
      </w:tblGrid>
      <w:tr w:rsidR="008567E9" w:rsidRPr="006E1CE4" w14:paraId="4B1C3A9A" w14:textId="77777777" w:rsidTr="008567E9">
        <w:trPr>
          <w:trHeight w:val="522"/>
        </w:trPr>
        <w:tc>
          <w:tcPr>
            <w:tcW w:w="7796" w:type="dxa"/>
            <w:gridSpan w:val="3"/>
            <w:shd w:val="clear" w:color="auto" w:fill="F2F2F2"/>
          </w:tcPr>
          <w:p w14:paraId="7320C46B" w14:textId="27F85A19" w:rsidR="008567E9" w:rsidRPr="006E1CE4" w:rsidRDefault="00537F49" w:rsidP="008567E9">
            <w:pPr>
              <w:pStyle w:val="TableTextLeft"/>
            </w:pPr>
            <w:r w:rsidRPr="00537F49">
              <w:rPr>
                <w:b/>
              </w:rPr>
              <w:t>Program 1.1</w:t>
            </w:r>
            <w:r>
              <w:rPr>
                <w:b/>
              </w:rPr>
              <w:t xml:space="preserve"> </w:t>
            </w:r>
            <w:r w:rsidRPr="00537F49">
              <w:rPr>
                <w:b/>
              </w:rPr>
              <w:t xml:space="preserve">- </w:t>
            </w:r>
            <w:r w:rsidRPr="00537F49">
              <w:t>The objective of this program is to provide strategic and policy leadership and investment advice as a trusted advisor on digital and ICT investment decisions through oversight to drive government digital transformation that delivers benefits to all Australians.</w:t>
            </w:r>
          </w:p>
        </w:tc>
      </w:tr>
      <w:tr w:rsidR="003276D1" w:rsidRPr="006E1CE4" w14:paraId="2239E753" w14:textId="77777777" w:rsidTr="00C6675C">
        <w:tblPrEx>
          <w:tblLook w:val="04A0" w:firstRow="1" w:lastRow="0" w:firstColumn="1" w:lastColumn="0" w:noHBand="0" w:noVBand="1"/>
        </w:tblPrEx>
        <w:trPr>
          <w:trHeight w:val="261"/>
        </w:trPr>
        <w:tc>
          <w:tcPr>
            <w:tcW w:w="1633" w:type="dxa"/>
            <w:tcBorders>
              <w:top w:val="single" w:sz="4" w:space="0" w:color="auto"/>
              <w:left w:val="single" w:sz="4" w:space="0" w:color="auto"/>
              <w:bottom w:val="single" w:sz="4" w:space="0" w:color="auto"/>
              <w:right w:val="single" w:sz="4" w:space="0" w:color="auto"/>
            </w:tcBorders>
          </w:tcPr>
          <w:p w14:paraId="2239E750" w14:textId="77777777" w:rsidR="003276D1" w:rsidRPr="006E1CE4" w:rsidRDefault="003276D1" w:rsidP="00C6675C">
            <w:pPr>
              <w:pStyle w:val="TableColumnHeadingLeft"/>
            </w:pPr>
            <w:r w:rsidRPr="006E1CE4">
              <w:t>Year</w:t>
            </w:r>
          </w:p>
        </w:tc>
        <w:tc>
          <w:tcPr>
            <w:tcW w:w="3083" w:type="dxa"/>
            <w:tcBorders>
              <w:top w:val="single" w:sz="4" w:space="0" w:color="auto"/>
              <w:left w:val="single" w:sz="4" w:space="0" w:color="auto"/>
              <w:bottom w:val="single" w:sz="4" w:space="0" w:color="auto"/>
              <w:right w:val="single" w:sz="4" w:space="0" w:color="auto"/>
            </w:tcBorders>
          </w:tcPr>
          <w:p w14:paraId="2239E751" w14:textId="77777777" w:rsidR="003276D1" w:rsidRPr="00F30BCF" w:rsidRDefault="003276D1" w:rsidP="00C6675C">
            <w:pPr>
              <w:pStyle w:val="TableColumnHeadingLeft"/>
            </w:pPr>
            <w:r w:rsidRPr="00F30BCF">
              <w:t>Performance measures</w:t>
            </w:r>
          </w:p>
        </w:tc>
        <w:tc>
          <w:tcPr>
            <w:tcW w:w="3080" w:type="dxa"/>
            <w:tcBorders>
              <w:top w:val="single" w:sz="4" w:space="0" w:color="auto"/>
              <w:left w:val="single" w:sz="4" w:space="0" w:color="auto"/>
              <w:bottom w:val="single" w:sz="4" w:space="0" w:color="auto"/>
              <w:right w:val="single" w:sz="4" w:space="0" w:color="auto"/>
            </w:tcBorders>
          </w:tcPr>
          <w:p w14:paraId="2239E752" w14:textId="77777777" w:rsidR="003276D1" w:rsidRPr="00F30BCF" w:rsidRDefault="003276D1" w:rsidP="00C6675C">
            <w:pPr>
              <w:pStyle w:val="TableColumnHeadingLeft"/>
            </w:pPr>
            <w:r w:rsidRPr="00F30BCF">
              <w:t>Planned Performance Results</w:t>
            </w:r>
          </w:p>
        </w:tc>
      </w:tr>
      <w:tr w:rsidR="003276D1" w:rsidRPr="006E1CE4" w14:paraId="2239E75B" w14:textId="77777777" w:rsidTr="00C6675C">
        <w:tblPrEx>
          <w:tblLook w:val="04A0" w:firstRow="1" w:lastRow="0" w:firstColumn="1" w:lastColumn="0" w:noHBand="0" w:noVBand="1"/>
        </w:tblPrEx>
        <w:trPr>
          <w:trHeight w:val="491"/>
        </w:trPr>
        <w:tc>
          <w:tcPr>
            <w:tcW w:w="1633" w:type="dxa"/>
            <w:tcBorders>
              <w:top w:val="single" w:sz="4" w:space="0" w:color="auto"/>
              <w:left w:val="single" w:sz="4" w:space="0" w:color="auto"/>
              <w:bottom w:val="nil"/>
              <w:right w:val="single" w:sz="4" w:space="0" w:color="auto"/>
            </w:tcBorders>
          </w:tcPr>
          <w:p w14:paraId="2239E754" w14:textId="77777777" w:rsidR="003276D1" w:rsidRPr="006E1CE4" w:rsidRDefault="003276D1" w:rsidP="00C6675C">
            <w:pPr>
              <w:pStyle w:val="TableTextLeft"/>
            </w:pPr>
            <w:r w:rsidRPr="006E1CE4">
              <w:t xml:space="preserve">Budget Year </w:t>
            </w:r>
          </w:p>
          <w:p w14:paraId="2239E755" w14:textId="77777777" w:rsidR="003276D1" w:rsidRDefault="003276D1" w:rsidP="00C6675C">
            <w:pPr>
              <w:pStyle w:val="TableTextLeft"/>
            </w:pPr>
            <w:r w:rsidRPr="006E1CE4">
              <w:t>2022-23</w:t>
            </w:r>
          </w:p>
          <w:p w14:paraId="2239E756" w14:textId="77777777" w:rsidR="003276D1" w:rsidRPr="006E1CE4" w:rsidRDefault="003276D1" w:rsidP="00C6675C">
            <w:pPr>
              <w:pStyle w:val="TableTextLeft"/>
            </w:pPr>
            <w:r>
              <w:t>(continued)</w:t>
            </w:r>
          </w:p>
        </w:tc>
        <w:tc>
          <w:tcPr>
            <w:tcW w:w="3083" w:type="dxa"/>
            <w:tcBorders>
              <w:top w:val="single" w:sz="4" w:space="0" w:color="auto"/>
              <w:left w:val="single" w:sz="4" w:space="0" w:color="auto"/>
              <w:bottom w:val="dotted" w:sz="4" w:space="0" w:color="auto"/>
              <w:right w:val="single" w:sz="4" w:space="0" w:color="auto"/>
            </w:tcBorders>
          </w:tcPr>
          <w:p w14:paraId="2239E757" w14:textId="77777777" w:rsidR="003276D1" w:rsidRPr="006E1CE4" w:rsidRDefault="003276D1" w:rsidP="00C8474A">
            <w:pPr>
              <w:numPr>
                <w:ilvl w:val="1"/>
                <w:numId w:val="39"/>
              </w:numPr>
              <w:tabs>
                <w:tab w:val="left" w:pos="426"/>
              </w:tabs>
              <w:spacing w:before="20" w:after="20" w:line="240" w:lineRule="auto"/>
              <w:ind w:left="426" w:hanging="426"/>
              <w:rPr>
                <w:rFonts w:ascii="Arial" w:hAnsi="Arial" w:cs="Arial"/>
                <w:sz w:val="16"/>
                <w:szCs w:val="16"/>
                <w:bdr w:val="none" w:sz="0" w:space="0" w:color="auto" w:frame="1"/>
              </w:rPr>
            </w:pPr>
            <w:r w:rsidRPr="006E1CE4">
              <w:rPr>
                <w:rFonts w:ascii="Arial" w:hAnsi="Arial" w:cs="Arial"/>
                <w:sz w:val="16"/>
                <w:szCs w:val="16"/>
                <w:bdr w:val="none" w:sz="0" w:space="0" w:color="auto" w:frame="1"/>
              </w:rPr>
              <w:t>Alignment of whole-of-government digital platforms, technologies and services with Australian Government Architecture.</w:t>
            </w:r>
          </w:p>
        </w:tc>
        <w:tc>
          <w:tcPr>
            <w:tcW w:w="3080" w:type="dxa"/>
            <w:tcBorders>
              <w:top w:val="single" w:sz="4" w:space="0" w:color="auto"/>
              <w:left w:val="single" w:sz="4" w:space="0" w:color="auto"/>
              <w:bottom w:val="dotted" w:sz="4" w:space="0" w:color="auto"/>
            </w:tcBorders>
          </w:tcPr>
          <w:p w14:paraId="2239E758" w14:textId="77777777" w:rsidR="003276D1" w:rsidRPr="006E1CE4" w:rsidRDefault="003276D1" w:rsidP="00C6675C">
            <w:pPr>
              <w:pStyle w:val="TableTextBase"/>
              <w:rPr>
                <w:rFonts w:cs="Arial"/>
                <w:szCs w:val="16"/>
                <w:bdr w:val="none" w:sz="0" w:space="0" w:color="auto" w:frame="1"/>
              </w:rPr>
            </w:pPr>
            <w:r w:rsidRPr="006E1CE4">
              <w:rPr>
                <w:rFonts w:cs="Arial"/>
                <w:szCs w:val="16"/>
                <w:bdr w:val="none" w:sz="0" w:space="0" w:color="auto" w:frame="1"/>
              </w:rPr>
              <w:t>Increase in, and enhancement of, digital platforms, technologies and services that are aligned to the Australian Government Architecture and make government services easy to use, accessible and connected.</w:t>
            </w:r>
          </w:p>
          <w:p w14:paraId="2239E759" w14:textId="77777777" w:rsidR="003276D1" w:rsidRPr="006E1CE4" w:rsidRDefault="003276D1" w:rsidP="00C6675C">
            <w:pPr>
              <w:pStyle w:val="TableTextBase"/>
              <w:rPr>
                <w:rFonts w:cs="Arial"/>
                <w:szCs w:val="16"/>
                <w:bdr w:val="none" w:sz="0" w:space="0" w:color="auto" w:frame="1"/>
              </w:rPr>
            </w:pPr>
          </w:p>
          <w:p w14:paraId="2239E75A" w14:textId="77777777" w:rsidR="003276D1" w:rsidRPr="006E1CE4" w:rsidRDefault="003276D1" w:rsidP="00C6675C">
            <w:pPr>
              <w:pStyle w:val="TableTextBase"/>
              <w:rPr>
                <w:rFonts w:cs="Arial"/>
                <w:szCs w:val="16"/>
                <w:bdr w:val="none" w:sz="0" w:space="0" w:color="auto" w:frame="1"/>
              </w:rPr>
            </w:pPr>
            <w:r w:rsidRPr="006E1CE4">
              <w:rPr>
                <w:rFonts w:cs="Arial"/>
                <w:szCs w:val="16"/>
                <w:bdr w:val="none" w:sz="0" w:space="0" w:color="auto" w:frame="1"/>
              </w:rPr>
              <w:t>70% of government users report a customer satisfaction measure of neutral or above.</w:t>
            </w:r>
          </w:p>
        </w:tc>
      </w:tr>
      <w:tr w:rsidR="003276D1" w:rsidRPr="006E1CE4" w14:paraId="2239E767" w14:textId="77777777" w:rsidTr="00C6675C">
        <w:tblPrEx>
          <w:tblLook w:val="04A0" w:firstRow="1" w:lastRow="0" w:firstColumn="1" w:lastColumn="0" w:noHBand="0" w:noVBand="1"/>
        </w:tblPrEx>
        <w:trPr>
          <w:trHeight w:val="491"/>
        </w:trPr>
        <w:tc>
          <w:tcPr>
            <w:tcW w:w="1633" w:type="dxa"/>
            <w:tcBorders>
              <w:top w:val="nil"/>
              <w:left w:val="single" w:sz="4" w:space="0" w:color="auto"/>
              <w:bottom w:val="nil"/>
              <w:right w:val="single" w:sz="4" w:space="0" w:color="auto"/>
            </w:tcBorders>
          </w:tcPr>
          <w:p w14:paraId="2239E75C" w14:textId="77777777" w:rsidR="003276D1" w:rsidRPr="006E1CE4" w:rsidRDefault="003276D1" w:rsidP="00C6675C">
            <w:pPr>
              <w:pStyle w:val="TableTextLeft"/>
            </w:pPr>
          </w:p>
        </w:tc>
        <w:tc>
          <w:tcPr>
            <w:tcW w:w="3083" w:type="dxa"/>
            <w:tcBorders>
              <w:top w:val="dotted" w:sz="4" w:space="0" w:color="auto"/>
              <w:left w:val="single" w:sz="4" w:space="0" w:color="auto"/>
              <w:bottom w:val="dotted" w:sz="4" w:space="0" w:color="auto"/>
              <w:right w:val="single" w:sz="4" w:space="0" w:color="auto"/>
            </w:tcBorders>
          </w:tcPr>
          <w:p w14:paraId="2239E75D" w14:textId="77777777" w:rsidR="003276D1" w:rsidRPr="006E1CE4" w:rsidRDefault="003276D1" w:rsidP="00C8474A">
            <w:pPr>
              <w:numPr>
                <w:ilvl w:val="1"/>
                <w:numId w:val="40"/>
              </w:numPr>
              <w:tabs>
                <w:tab w:val="left" w:pos="426"/>
              </w:tabs>
              <w:spacing w:before="20" w:after="20" w:line="240" w:lineRule="auto"/>
              <w:ind w:left="426" w:hanging="426"/>
              <w:rPr>
                <w:rFonts w:ascii="Arial" w:hAnsi="Arial" w:cs="Arial"/>
                <w:sz w:val="16"/>
                <w:szCs w:val="16"/>
                <w:bdr w:val="none" w:sz="0" w:space="0" w:color="auto" w:frame="1"/>
              </w:rPr>
            </w:pPr>
            <w:r w:rsidRPr="006E1CE4">
              <w:rPr>
                <w:rFonts w:ascii="Arial" w:hAnsi="Arial" w:cs="Arial"/>
                <w:sz w:val="16"/>
                <w:szCs w:val="16"/>
                <w:bdr w:val="none" w:sz="0" w:space="0" w:color="auto" w:frame="1"/>
              </w:rPr>
              <w:t>Management of whole-of-government digital strategic sourcing, contracts and purchasing arrangements and systems.</w:t>
            </w:r>
          </w:p>
        </w:tc>
        <w:tc>
          <w:tcPr>
            <w:tcW w:w="3080" w:type="dxa"/>
            <w:tcBorders>
              <w:top w:val="dotted" w:sz="4" w:space="0" w:color="auto"/>
              <w:left w:val="single" w:sz="4" w:space="0" w:color="auto"/>
              <w:bottom w:val="dotted" w:sz="4" w:space="0" w:color="auto"/>
            </w:tcBorders>
          </w:tcPr>
          <w:p w14:paraId="2239E75E" w14:textId="77777777" w:rsidR="003276D1" w:rsidRPr="006E1CE4" w:rsidRDefault="003276D1" w:rsidP="00C6675C">
            <w:pPr>
              <w:pStyle w:val="TableTextBase"/>
              <w:rPr>
                <w:rFonts w:cs="Arial"/>
                <w:szCs w:val="16"/>
                <w:bdr w:val="none" w:sz="0" w:space="0" w:color="auto" w:frame="1"/>
              </w:rPr>
            </w:pPr>
            <w:r w:rsidRPr="006E1CE4">
              <w:rPr>
                <w:rFonts w:cs="Arial"/>
                <w:szCs w:val="16"/>
                <w:bdr w:val="none" w:sz="0" w:space="0" w:color="auto" w:frame="1"/>
              </w:rPr>
              <w:t>Up-to-date digital procurement arrangements that meet government agencies needs with at least one new or renewed whole-of- government arrangement put in place that delivers improved value.</w:t>
            </w:r>
          </w:p>
          <w:p w14:paraId="2239E75F" w14:textId="77777777" w:rsidR="003276D1" w:rsidRPr="006E1CE4" w:rsidRDefault="003276D1" w:rsidP="00C6675C">
            <w:pPr>
              <w:pStyle w:val="TableTextBase"/>
              <w:rPr>
                <w:rFonts w:cs="Arial"/>
                <w:szCs w:val="16"/>
                <w:bdr w:val="none" w:sz="0" w:space="0" w:color="auto" w:frame="1"/>
              </w:rPr>
            </w:pPr>
          </w:p>
          <w:p w14:paraId="2239E760" w14:textId="77777777" w:rsidR="003276D1" w:rsidRPr="006E1CE4" w:rsidRDefault="003276D1" w:rsidP="00C6675C">
            <w:pPr>
              <w:pStyle w:val="TableTextBase"/>
              <w:rPr>
                <w:rFonts w:cs="Arial"/>
                <w:szCs w:val="16"/>
                <w:bdr w:val="none" w:sz="0" w:space="0" w:color="auto" w:frame="1"/>
              </w:rPr>
            </w:pPr>
            <w:r w:rsidRPr="006E1CE4">
              <w:rPr>
                <w:rFonts w:cs="Arial"/>
                <w:szCs w:val="16"/>
                <w:bdr w:val="none" w:sz="0" w:space="0" w:color="auto" w:frame="1"/>
              </w:rPr>
              <w:t xml:space="preserve">Whole-of-government digital procurement arrangements comply, where relevant, </w:t>
            </w:r>
            <w:proofErr w:type="gramStart"/>
            <w:r w:rsidRPr="006E1CE4">
              <w:rPr>
                <w:rFonts w:cs="Arial"/>
                <w:szCs w:val="16"/>
                <w:bdr w:val="none" w:sz="0" w:space="0" w:color="auto" w:frame="1"/>
              </w:rPr>
              <w:t>to</w:t>
            </w:r>
            <w:proofErr w:type="gramEnd"/>
            <w:r w:rsidRPr="006E1CE4">
              <w:rPr>
                <w:rFonts w:cs="Arial"/>
                <w:szCs w:val="16"/>
                <w:bdr w:val="none" w:sz="0" w:space="0" w:color="auto" w:frame="1"/>
              </w:rPr>
              <w:t xml:space="preserve"> the Australian Government Architecture and Reuse Policy.</w:t>
            </w:r>
          </w:p>
          <w:p w14:paraId="2239E761" w14:textId="77777777" w:rsidR="003276D1" w:rsidRPr="006E1CE4" w:rsidRDefault="003276D1" w:rsidP="00C6675C">
            <w:pPr>
              <w:pStyle w:val="TableTextBase"/>
              <w:rPr>
                <w:rFonts w:cs="Arial"/>
                <w:szCs w:val="16"/>
                <w:bdr w:val="none" w:sz="0" w:space="0" w:color="auto" w:frame="1"/>
              </w:rPr>
            </w:pPr>
          </w:p>
          <w:p w14:paraId="2239E762" w14:textId="77777777" w:rsidR="003276D1" w:rsidRPr="006E1CE4" w:rsidRDefault="003276D1" w:rsidP="00C6675C">
            <w:pPr>
              <w:pStyle w:val="TableTextBase"/>
              <w:rPr>
                <w:rFonts w:cs="Arial"/>
                <w:szCs w:val="16"/>
                <w:bdr w:val="none" w:sz="0" w:space="0" w:color="auto" w:frame="1"/>
              </w:rPr>
            </w:pPr>
            <w:r w:rsidRPr="006E1CE4">
              <w:rPr>
                <w:rFonts w:cs="Arial"/>
                <w:szCs w:val="16"/>
                <w:bdr w:val="none" w:sz="0" w:space="0" w:color="auto" w:frame="1"/>
              </w:rPr>
              <w:t xml:space="preserve">Centrally managed DTA whole-of-government contracts are reported on </w:t>
            </w:r>
            <w:proofErr w:type="spellStart"/>
            <w:r w:rsidRPr="006E1CE4">
              <w:rPr>
                <w:rFonts w:cs="Arial"/>
                <w:szCs w:val="16"/>
                <w:bdr w:val="none" w:sz="0" w:space="0" w:color="auto" w:frame="1"/>
              </w:rPr>
              <w:t>AusTender</w:t>
            </w:r>
            <w:proofErr w:type="spellEnd"/>
            <w:r w:rsidRPr="006E1CE4">
              <w:rPr>
                <w:rFonts w:cs="Arial"/>
                <w:szCs w:val="16"/>
                <w:bdr w:val="none" w:sz="0" w:space="0" w:color="auto" w:frame="1"/>
              </w:rPr>
              <w:t>.</w:t>
            </w:r>
          </w:p>
          <w:p w14:paraId="2239E763" w14:textId="77777777" w:rsidR="003276D1" w:rsidRPr="006E1CE4" w:rsidRDefault="003276D1" w:rsidP="00C6675C">
            <w:pPr>
              <w:pStyle w:val="TableTextBase"/>
              <w:rPr>
                <w:rFonts w:cs="Arial"/>
                <w:szCs w:val="16"/>
                <w:bdr w:val="none" w:sz="0" w:space="0" w:color="auto" w:frame="1"/>
              </w:rPr>
            </w:pPr>
          </w:p>
          <w:p w14:paraId="2239E764" w14:textId="77777777" w:rsidR="003276D1" w:rsidRPr="006E1CE4" w:rsidRDefault="003276D1" w:rsidP="00C6675C">
            <w:pPr>
              <w:pStyle w:val="TableTextBase"/>
              <w:rPr>
                <w:rFonts w:cs="Arial"/>
                <w:szCs w:val="16"/>
                <w:bdr w:val="none" w:sz="0" w:space="0" w:color="auto" w:frame="1"/>
              </w:rPr>
            </w:pPr>
            <w:proofErr w:type="spellStart"/>
            <w:r w:rsidRPr="006E1CE4">
              <w:rPr>
                <w:rFonts w:cs="Arial"/>
                <w:szCs w:val="16"/>
                <w:bdr w:val="none" w:sz="0" w:space="0" w:color="auto" w:frame="1"/>
              </w:rPr>
              <w:t>BuyICT</w:t>
            </w:r>
            <w:proofErr w:type="spellEnd"/>
            <w:r w:rsidRPr="006E1CE4">
              <w:rPr>
                <w:rFonts w:cs="Arial"/>
                <w:szCs w:val="16"/>
                <w:bdr w:val="none" w:sz="0" w:space="0" w:color="auto" w:frame="1"/>
              </w:rPr>
              <w:t xml:space="preserve"> platform including the Reuse Catalogue is available to buyers and sellers 99.5% of the time.</w:t>
            </w:r>
          </w:p>
          <w:p w14:paraId="2239E765" w14:textId="77777777" w:rsidR="003276D1" w:rsidRPr="006E1CE4" w:rsidRDefault="003276D1" w:rsidP="00C6675C">
            <w:pPr>
              <w:pStyle w:val="TableTextBase"/>
              <w:rPr>
                <w:rFonts w:cs="Arial"/>
                <w:szCs w:val="16"/>
                <w:bdr w:val="none" w:sz="0" w:space="0" w:color="auto" w:frame="1"/>
              </w:rPr>
            </w:pPr>
          </w:p>
          <w:p w14:paraId="2239E766" w14:textId="77777777" w:rsidR="003276D1" w:rsidRPr="006E1CE4" w:rsidRDefault="003276D1" w:rsidP="00C6675C">
            <w:pPr>
              <w:pStyle w:val="TableTextBase"/>
              <w:rPr>
                <w:rFonts w:cs="Arial"/>
                <w:szCs w:val="16"/>
                <w:bdr w:val="none" w:sz="0" w:space="0" w:color="auto" w:frame="1"/>
              </w:rPr>
            </w:pPr>
            <w:r w:rsidRPr="006E1CE4">
              <w:rPr>
                <w:rFonts w:cs="Arial"/>
                <w:szCs w:val="16"/>
                <w:bdr w:val="none" w:sz="0" w:space="0" w:color="auto" w:frame="1"/>
              </w:rPr>
              <w:t>The Customer Service Desk for digital procurement is available from 8.30am to 5.00pm Australian Eastern Standard Time (Australian Capital Territory business days).</w:t>
            </w:r>
          </w:p>
        </w:tc>
      </w:tr>
      <w:tr w:rsidR="003276D1" w:rsidRPr="006E1CE4" w14:paraId="2239E76F" w14:textId="77777777" w:rsidTr="00B103E0">
        <w:tblPrEx>
          <w:tblLook w:val="04A0" w:firstRow="1" w:lastRow="0" w:firstColumn="1" w:lastColumn="0" w:noHBand="0" w:noVBand="1"/>
        </w:tblPrEx>
        <w:trPr>
          <w:trHeight w:val="491"/>
        </w:trPr>
        <w:tc>
          <w:tcPr>
            <w:tcW w:w="1633" w:type="dxa"/>
            <w:tcBorders>
              <w:top w:val="nil"/>
              <w:left w:val="single" w:sz="4" w:space="0" w:color="auto"/>
              <w:bottom w:val="single" w:sz="4" w:space="0" w:color="auto"/>
              <w:right w:val="single" w:sz="4" w:space="0" w:color="auto"/>
            </w:tcBorders>
          </w:tcPr>
          <w:p w14:paraId="2239E768" w14:textId="77777777" w:rsidR="003276D1" w:rsidRPr="006E1CE4" w:rsidRDefault="003276D1" w:rsidP="00C6675C">
            <w:pPr>
              <w:pStyle w:val="TableTextLeft"/>
            </w:pPr>
          </w:p>
        </w:tc>
        <w:tc>
          <w:tcPr>
            <w:tcW w:w="3083" w:type="dxa"/>
            <w:tcBorders>
              <w:top w:val="dotted" w:sz="4" w:space="0" w:color="auto"/>
              <w:left w:val="single" w:sz="4" w:space="0" w:color="auto"/>
              <w:bottom w:val="single" w:sz="4" w:space="0" w:color="auto"/>
              <w:right w:val="single" w:sz="4" w:space="0" w:color="auto"/>
            </w:tcBorders>
          </w:tcPr>
          <w:p w14:paraId="2239E769" w14:textId="77777777" w:rsidR="003276D1" w:rsidRPr="006E1CE4" w:rsidRDefault="003276D1" w:rsidP="00C8474A">
            <w:pPr>
              <w:numPr>
                <w:ilvl w:val="1"/>
                <w:numId w:val="40"/>
              </w:numPr>
              <w:tabs>
                <w:tab w:val="left" w:pos="426"/>
              </w:tabs>
              <w:spacing w:before="20" w:after="20" w:line="240" w:lineRule="auto"/>
              <w:ind w:left="426" w:hanging="426"/>
              <w:rPr>
                <w:rFonts w:ascii="Arial" w:hAnsi="Arial" w:cs="Arial"/>
                <w:sz w:val="16"/>
                <w:szCs w:val="16"/>
                <w:bdr w:val="none" w:sz="0" w:space="0" w:color="auto" w:frame="1"/>
              </w:rPr>
            </w:pPr>
            <w:r w:rsidRPr="006E1CE4">
              <w:rPr>
                <w:rFonts w:ascii="Arial" w:hAnsi="Arial" w:cs="Arial"/>
                <w:sz w:val="16"/>
                <w:szCs w:val="16"/>
                <w:bdr w:val="none" w:sz="0" w:space="0" w:color="auto" w:frame="1"/>
              </w:rPr>
              <w:t>Value for money digital and ICT procurements.</w:t>
            </w:r>
          </w:p>
        </w:tc>
        <w:tc>
          <w:tcPr>
            <w:tcW w:w="3080" w:type="dxa"/>
            <w:tcBorders>
              <w:top w:val="dotted" w:sz="4" w:space="0" w:color="auto"/>
              <w:left w:val="single" w:sz="4" w:space="0" w:color="auto"/>
              <w:bottom w:val="single" w:sz="4" w:space="0" w:color="auto"/>
            </w:tcBorders>
          </w:tcPr>
          <w:p w14:paraId="2239E76A" w14:textId="77777777" w:rsidR="003276D1" w:rsidRPr="006E1CE4" w:rsidRDefault="003276D1" w:rsidP="00C6675C">
            <w:pPr>
              <w:pStyle w:val="TableTextBase"/>
              <w:rPr>
                <w:rFonts w:cs="Arial"/>
                <w:szCs w:val="16"/>
                <w:bdr w:val="none" w:sz="0" w:space="0" w:color="auto" w:frame="1"/>
              </w:rPr>
            </w:pPr>
            <w:r w:rsidRPr="006E1CE4">
              <w:rPr>
                <w:rFonts w:cs="Arial"/>
                <w:szCs w:val="16"/>
                <w:bdr w:val="none" w:sz="0" w:space="0" w:color="auto" w:frame="1"/>
              </w:rPr>
              <w:t>Savings and efficiencies for whole-of- government procurement arrangements are considered when they are created or refreshed.</w:t>
            </w:r>
          </w:p>
          <w:p w14:paraId="2239E76B" w14:textId="77777777" w:rsidR="003276D1" w:rsidRPr="006E1CE4" w:rsidRDefault="003276D1" w:rsidP="00C6675C">
            <w:pPr>
              <w:pStyle w:val="TableTextBase"/>
              <w:rPr>
                <w:rFonts w:cs="Arial"/>
                <w:szCs w:val="16"/>
                <w:bdr w:val="none" w:sz="0" w:space="0" w:color="auto" w:frame="1"/>
              </w:rPr>
            </w:pPr>
          </w:p>
          <w:p w14:paraId="2239E76C" w14:textId="77777777" w:rsidR="003276D1" w:rsidRPr="006E1CE4" w:rsidRDefault="003276D1" w:rsidP="00C6675C">
            <w:pPr>
              <w:pStyle w:val="TableTextBase"/>
              <w:rPr>
                <w:rFonts w:cs="Arial"/>
                <w:szCs w:val="16"/>
                <w:bdr w:val="none" w:sz="0" w:space="0" w:color="auto" w:frame="1"/>
              </w:rPr>
            </w:pPr>
            <w:r w:rsidRPr="006E1CE4">
              <w:rPr>
                <w:rFonts w:cs="Arial"/>
                <w:szCs w:val="16"/>
                <w:bdr w:val="none" w:sz="0" w:space="0" w:color="auto" w:frame="1"/>
              </w:rPr>
              <w:t>Consistent or better usage of arrangements annually.</w:t>
            </w:r>
          </w:p>
          <w:p w14:paraId="2239E76D" w14:textId="77777777" w:rsidR="003276D1" w:rsidRPr="006E1CE4" w:rsidRDefault="003276D1" w:rsidP="00C6675C">
            <w:pPr>
              <w:pStyle w:val="TableTextBase"/>
              <w:rPr>
                <w:rFonts w:cs="Arial"/>
                <w:szCs w:val="16"/>
                <w:bdr w:val="none" w:sz="0" w:space="0" w:color="auto" w:frame="1"/>
              </w:rPr>
            </w:pPr>
          </w:p>
          <w:p w14:paraId="2239E76E" w14:textId="77777777" w:rsidR="003276D1" w:rsidRPr="006E1CE4" w:rsidRDefault="003276D1" w:rsidP="00C6675C">
            <w:pPr>
              <w:pStyle w:val="TableTextBase"/>
              <w:rPr>
                <w:rFonts w:cs="Arial"/>
                <w:szCs w:val="16"/>
                <w:bdr w:val="none" w:sz="0" w:space="0" w:color="auto" w:frame="1"/>
              </w:rPr>
            </w:pPr>
            <w:r w:rsidRPr="006E1CE4">
              <w:rPr>
                <w:rFonts w:cs="Arial"/>
                <w:szCs w:val="16"/>
                <w:bdr w:val="none" w:sz="0" w:space="0" w:color="auto" w:frame="1"/>
              </w:rPr>
              <w:t>Comparative benchmarks, where possible, on whole-of-government and panel arrangements demonstrating value for money.</w:t>
            </w:r>
          </w:p>
        </w:tc>
      </w:tr>
    </w:tbl>
    <w:p w14:paraId="1F393A8A" w14:textId="77777777" w:rsidR="009B7530" w:rsidRDefault="00B103E0" w:rsidP="00C723E3">
      <w:pPr>
        <w:pStyle w:val="TableGraphic"/>
        <w:spacing w:before="30"/>
        <w:ind w:right="0"/>
        <w:rPr>
          <w:rFonts w:ascii="Arial" w:hAnsi="Arial" w:cs="Arial"/>
          <w:sz w:val="16"/>
          <w:szCs w:val="16"/>
          <w:lang w:eastAsia="x-none"/>
        </w:rPr>
      </w:pPr>
      <w:r>
        <w:rPr>
          <w:rFonts w:ascii="Arial" w:hAnsi="Arial" w:cs="Arial"/>
          <w:sz w:val="16"/>
          <w:szCs w:val="16"/>
          <w:lang w:eastAsia="x-none"/>
        </w:rPr>
        <w:t>Table continues on next page</w:t>
      </w:r>
      <w:r w:rsidR="009B7530">
        <w:rPr>
          <w:rFonts w:ascii="Arial" w:hAnsi="Arial" w:cs="Arial"/>
          <w:sz w:val="16"/>
          <w:szCs w:val="16"/>
          <w:lang w:eastAsia="x-none"/>
        </w:rPr>
        <w:br w:type="page"/>
      </w:r>
    </w:p>
    <w:p w14:paraId="08812375" w14:textId="1277F686" w:rsidR="008567E9" w:rsidRPr="009B7530" w:rsidRDefault="00E5279F" w:rsidP="009B7530">
      <w:pPr>
        <w:pStyle w:val="TableGraphic"/>
        <w:rPr>
          <w:rFonts w:ascii="Arial" w:hAnsi="Arial" w:cs="Arial"/>
          <w:sz w:val="16"/>
          <w:szCs w:val="16"/>
        </w:rPr>
      </w:pPr>
      <w:r w:rsidRPr="00235952">
        <w:rPr>
          <w:rFonts w:ascii="Arial" w:hAnsi="Arial"/>
          <w:b/>
          <w:sz w:val="20"/>
        </w:rPr>
        <w:lastRenderedPageBreak/>
        <w:t>Table 2.1.2: Performance measure for Outcome 1 (continued)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60"/>
        <w:gridCol w:w="3118"/>
        <w:gridCol w:w="3118"/>
      </w:tblGrid>
      <w:tr w:rsidR="008567E9" w:rsidRPr="006E1CE4" w14:paraId="1200664F" w14:textId="77777777" w:rsidTr="008567E9">
        <w:trPr>
          <w:trHeight w:val="522"/>
        </w:trPr>
        <w:tc>
          <w:tcPr>
            <w:tcW w:w="7796" w:type="dxa"/>
            <w:gridSpan w:val="3"/>
            <w:shd w:val="clear" w:color="auto" w:fill="F2F2F2"/>
          </w:tcPr>
          <w:p w14:paraId="5D39EB30" w14:textId="05945DB1" w:rsidR="008567E9" w:rsidRPr="006E1CE4" w:rsidRDefault="00537F49" w:rsidP="008567E9">
            <w:pPr>
              <w:pStyle w:val="TableTextLeft"/>
            </w:pPr>
            <w:r w:rsidRPr="00537F49">
              <w:rPr>
                <w:b/>
              </w:rPr>
              <w:t>Program 1.1</w:t>
            </w:r>
            <w:r>
              <w:rPr>
                <w:b/>
              </w:rPr>
              <w:t xml:space="preserve"> </w:t>
            </w:r>
            <w:r w:rsidRPr="00537F49">
              <w:rPr>
                <w:b/>
              </w:rPr>
              <w:t xml:space="preserve">- </w:t>
            </w:r>
            <w:r w:rsidRPr="00537F49">
              <w:t>The objective of this program is to provide strategic and policy leadership and investment advice as a trusted advisor on digital and ICT investment decisions through oversight to drive government digital transformation that delivers benefits to all Australians.</w:t>
            </w:r>
          </w:p>
        </w:tc>
      </w:tr>
      <w:tr w:rsidR="00E5279F" w:rsidRPr="0044302D" w14:paraId="2239E77C" w14:textId="77777777" w:rsidTr="00B103E0">
        <w:tblPrEx>
          <w:tblLook w:val="04A0" w:firstRow="1" w:lastRow="0" w:firstColumn="1" w:lastColumn="0" w:noHBand="0" w:noVBand="1"/>
        </w:tblPrEx>
        <w:trPr>
          <w:trHeight w:val="261"/>
        </w:trPr>
        <w:tc>
          <w:tcPr>
            <w:tcW w:w="1560" w:type="dxa"/>
            <w:tcBorders>
              <w:top w:val="single" w:sz="4" w:space="0" w:color="auto"/>
              <w:left w:val="single" w:sz="4" w:space="0" w:color="auto"/>
              <w:bottom w:val="single" w:sz="4" w:space="0" w:color="auto"/>
              <w:right w:val="single" w:sz="4" w:space="0" w:color="auto"/>
            </w:tcBorders>
          </w:tcPr>
          <w:p w14:paraId="2239E779" w14:textId="77777777" w:rsidR="00E5279F" w:rsidRPr="006E1CE4" w:rsidRDefault="00E5279F" w:rsidP="00C6675C">
            <w:pPr>
              <w:pStyle w:val="TableColumnHeadingLeft"/>
            </w:pPr>
            <w:r w:rsidRPr="006E1CE4">
              <w:t>Year</w:t>
            </w:r>
          </w:p>
        </w:tc>
        <w:tc>
          <w:tcPr>
            <w:tcW w:w="3118" w:type="dxa"/>
            <w:tcBorders>
              <w:top w:val="single" w:sz="4" w:space="0" w:color="auto"/>
              <w:left w:val="single" w:sz="4" w:space="0" w:color="auto"/>
              <w:bottom w:val="single" w:sz="4" w:space="0" w:color="auto"/>
              <w:right w:val="single" w:sz="4" w:space="0" w:color="auto"/>
            </w:tcBorders>
          </w:tcPr>
          <w:p w14:paraId="2239E77A" w14:textId="77777777" w:rsidR="00E5279F" w:rsidRPr="0044302D" w:rsidRDefault="00E5279F" w:rsidP="00C6675C">
            <w:pPr>
              <w:pStyle w:val="TableColumnHeadingLeft"/>
            </w:pPr>
            <w:r w:rsidRPr="0044302D">
              <w:t>Performance measures</w:t>
            </w:r>
          </w:p>
        </w:tc>
        <w:tc>
          <w:tcPr>
            <w:tcW w:w="3118" w:type="dxa"/>
            <w:tcBorders>
              <w:top w:val="single" w:sz="4" w:space="0" w:color="auto"/>
              <w:left w:val="single" w:sz="4" w:space="0" w:color="auto"/>
              <w:bottom w:val="single" w:sz="4" w:space="0" w:color="auto"/>
              <w:right w:val="single" w:sz="4" w:space="0" w:color="auto"/>
            </w:tcBorders>
          </w:tcPr>
          <w:p w14:paraId="2239E77B" w14:textId="77777777" w:rsidR="00E5279F" w:rsidRPr="0044302D" w:rsidRDefault="00E5279F" w:rsidP="00C6675C">
            <w:pPr>
              <w:pStyle w:val="TableColumnHeadingLeft"/>
            </w:pPr>
            <w:r w:rsidRPr="0044302D">
              <w:t>Planned Performance Results</w:t>
            </w:r>
          </w:p>
        </w:tc>
      </w:tr>
      <w:tr w:rsidR="00B103E0" w:rsidRPr="006E1CE4" w14:paraId="1CC7BCFD" w14:textId="77777777" w:rsidTr="00B103E0">
        <w:tblPrEx>
          <w:tblLook w:val="04A0" w:firstRow="1" w:lastRow="0" w:firstColumn="1" w:lastColumn="0" w:noHBand="0" w:noVBand="1"/>
        </w:tblPrEx>
        <w:trPr>
          <w:trHeight w:val="491"/>
        </w:trPr>
        <w:tc>
          <w:tcPr>
            <w:tcW w:w="1560" w:type="dxa"/>
            <w:tcBorders>
              <w:top w:val="single" w:sz="4" w:space="0" w:color="auto"/>
              <w:left w:val="single" w:sz="4" w:space="0" w:color="auto"/>
              <w:bottom w:val="single" w:sz="4" w:space="0" w:color="auto"/>
              <w:right w:val="single" w:sz="4" w:space="0" w:color="auto"/>
            </w:tcBorders>
          </w:tcPr>
          <w:p w14:paraId="24F92FC8" w14:textId="77777777" w:rsidR="00B103E0" w:rsidRPr="006E1CE4" w:rsidRDefault="00B103E0" w:rsidP="00333377">
            <w:pPr>
              <w:pStyle w:val="TableTextLeft"/>
            </w:pPr>
            <w:r w:rsidRPr="006E1CE4">
              <w:t xml:space="preserve">Budget Year </w:t>
            </w:r>
          </w:p>
          <w:p w14:paraId="06AABFCF" w14:textId="77777777" w:rsidR="00B103E0" w:rsidRDefault="00B103E0" w:rsidP="00333377">
            <w:pPr>
              <w:pStyle w:val="TableTextLeft"/>
            </w:pPr>
            <w:r w:rsidRPr="006E1CE4">
              <w:t>2022-23</w:t>
            </w:r>
          </w:p>
          <w:p w14:paraId="5F8D2BDC" w14:textId="77777777" w:rsidR="00B103E0" w:rsidRPr="006E1CE4" w:rsidRDefault="00B103E0" w:rsidP="00333377">
            <w:pPr>
              <w:pStyle w:val="TableTextLeft"/>
            </w:pPr>
            <w:r>
              <w:t>(continued)</w:t>
            </w:r>
          </w:p>
        </w:tc>
        <w:tc>
          <w:tcPr>
            <w:tcW w:w="3118" w:type="dxa"/>
            <w:tcBorders>
              <w:top w:val="dotted" w:sz="4" w:space="0" w:color="auto"/>
              <w:left w:val="single" w:sz="4" w:space="0" w:color="auto"/>
              <w:bottom w:val="single" w:sz="4" w:space="0" w:color="auto"/>
              <w:right w:val="single" w:sz="4" w:space="0" w:color="auto"/>
            </w:tcBorders>
          </w:tcPr>
          <w:p w14:paraId="45D87196" w14:textId="77777777" w:rsidR="00B103E0" w:rsidRPr="00761D52" w:rsidRDefault="00B103E0" w:rsidP="00C8474A">
            <w:pPr>
              <w:pStyle w:val="ListParagraph"/>
              <w:numPr>
                <w:ilvl w:val="1"/>
                <w:numId w:val="50"/>
              </w:numPr>
              <w:tabs>
                <w:tab w:val="left" w:pos="426"/>
              </w:tabs>
              <w:spacing w:before="20" w:after="20" w:line="240" w:lineRule="auto"/>
              <w:rPr>
                <w:rFonts w:ascii="Arial" w:hAnsi="Arial" w:cs="Arial"/>
                <w:sz w:val="16"/>
                <w:szCs w:val="16"/>
                <w:bdr w:val="none" w:sz="0" w:space="0" w:color="auto" w:frame="1"/>
              </w:rPr>
            </w:pPr>
            <w:r w:rsidRPr="00761D52">
              <w:rPr>
                <w:rFonts w:ascii="Arial" w:hAnsi="Arial" w:cs="Arial"/>
                <w:sz w:val="16"/>
                <w:szCs w:val="16"/>
                <w:bdr w:val="none" w:sz="0" w:space="0" w:color="auto" w:frame="1"/>
              </w:rPr>
              <w:t>Ability of DTA staff to support strategic objectives.</w:t>
            </w:r>
          </w:p>
        </w:tc>
        <w:tc>
          <w:tcPr>
            <w:tcW w:w="3118" w:type="dxa"/>
            <w:tcBorders>
              <w:top w:val="dotted" w:sz="4" w:space="0" w:color="auto"/>
              <w:left w:val="single" w:sz="4" w:space="0" w:color="auto"/>
              <w:bottom w:val="single" w:sz="4" w:space="0" w:color="auto"/>
            </w:tcBorders>
          </w:tcPr>
          <w:p w14:paraId="1B8A5917" w14:textId="77777777" w:rsidR="00B103E0" w:rsidRPr="006E1CE4" w:rsidRDefault="00B103E0" w:rsidP="00333377">
            <w:pPr>
              <w:pStyle w:val="TableTextBase"/>
              <w:rPr>
                <w:rFonts w:cs="Arial"/>
                <w:szCs w:val="16"/>
                <w:bdr w:val="none" w:sz="0" w:space="0" w:color="auto" w:frame="1"/>
              </w:rPr>
            </w:pPr>
            <w:r w:rsidRPr="006E1CE4">
              <w:rPr>
                <w:rFonts w:cs="Arial"/>
                <w:szCs w:val="16"/>
                <w:bdr w:val="none" w:sz="0" w:space="0" w:color="auto" w:frame="1"/>
              </w:rPr>
              <w:t>Increase in vacancies filled.</w:t>
            </w:r>
          </w:p>
          <w:p w14:paraId="258899C7" w14:textId="77777777" w:rsidR="00B103E0" w:rsidRPr="006E1CE4" w:rsidRDefault="00B103E0" w:rsidP="00333377">
            <w:pPr>
              <w:pStyle w:val="TableTextBase"/>
              <w:rPr>
                <w:rFonts w:cs="Arial"/>
                <w:szCs w:val="16"/>
                <w:bdr w:val="none" w:sz="0" w:space="0" w:color="auto" w:frame="1"/>
              </w:rPr>
            </w:pPr>
          </w:p>
          <w:p w14:paraId="048039A5" w14:textId="77777777" w:rsidR="00B103E0" w:rsidRPr="006E1CE4" w:rsidRDefault="00B103E0" w:rsidP="00333377">
            <w:pPr>
              <w:pStyle w:val="TableTextBase"/>
              <w:rPr>
                <w:rFonts w:cs="Arial"/>
                <w:szCs w:val="16"/>
                <w:bdr w:val="none" w:sz="0" w:space="0" w:color="auto" w:frame="1"/>
              </w:rPr>
            </w:pPr>
            <w:r w:rsidRPr="006E1CE4">
              <w:rPr>
                <w:rFonts w:cs="Arial"/>
                <w:szCs w:val="16"/>
                <w:bdr w:val="none" w:sz="0" w:space="0" w:color="auto" w:frame="1"/>
              </w:rPr>
              <w:t>Reduction in lack of satisfaction/career opportunities as reason for leaving the DTA.</w:t>
            </w:r>
          </w:p>
          <w:p w14:paraId="463013F5" w14:textId="77777777" w:rsidR="00B103E0" w:rsidRPr="006E1CE4" w:rsidRDefault="00B103E0" w:rsidP="00333377">
            <w:pPr>
              <w:pStyle w:val="TableTextBase"/>
              <w:rPr>
                <w:rFonts w:cs="Arial"/>
                <w:szCs w:val="16"/>
                <w:bdr w:val="none" w:sz="0" w:space="0" w:color="auto" w:frame="1"/>
              </w:rPr>
            </w:pPr>
          </w:p>
          <w:p w14:paraId="3D7A6D81" w14:textId="77777777" w:rsidR="00B103E0" w:rsidRPr="006E1CE4" w:rsidRDefault="00B103E0" w:rsidP="00333377">
            <w:pPr>
              <w:pStyle w:val="TableTextBase"/>
              <w:rPr>
                <w:rFonts w:cs="Arial"/>
                <w:szCs w:val="16"/>
                <w:bdr w:val="none" w:sz="0" w:space="0" w:color="auto" w:frame="1"/>
              </w:rPr>
            </w:pPr>
            <w:r w:rsidRPr="006E1CE4">
              <w:rPr>
                <w:rFonts w:cs="Arial"/>
                <w:szCs w:val="16"/>
                <w:bdr w:val="none" w:sz="0" w:space="0" w:color="auto" w:frame="1"/>
              </w:rPr>
              <w:t>Increase in staff satisfaction and wellbeing.</w:t>
            </w:r>
          </w:p>
        </w:tc>
      </w:tr>
      <w:tr w:rsidR="00E5279F" w:rsidRPr="00524E3F" w14:paraId="2239E781" w14:textId="77777777" w:rsidTr="00B103E0">
        <w:tblPrEx>
          <w:tblLook w:val="04A0" w:firstRow="1" w:lastRow="0" w:firstColumn="1" w:lastColumn="0" w:noHBand="0" w:noVBand="1"/>
        </w:tblPrEx>
        <w:trPr>
          <w:trHeight w:val="255"/>
        </w:trPr>
        <w:tc>
          <w:tcPr>
            <w:tcW w:w="1560" w:type="dxa"/>
            <w:tcBorders>
              <w:top w:val="single" w:sz="4" w:space="0" w:color="auto"/>
              <w:left w:val="single" w:sz="4" w:space="0" w:color="auto"/>
              <w:bottom w:val="nil"/>
              <w:right w:val="single" w:sz="4" w:space="0" w:color="auto"/>
            </w:tcBorders>
          </w:tcPr>
          <w:p w14:paraId="2239E77D" w14:textId="77777777" w:rsidR="00E5279F" w:rsidRPr="00524E3F" w:rsidRDefault="00E5279F" w:rsidP="00C6675C">
            <w:pPr>
              <w:pStyle w:val="TableColumnHeadingLeft"/>
              <w:rPr>
                <w:rFonts w:ascii="Arial" w:hAnsi="Arial" w:cs="Arial"/>
                <w:b w:val="0"/>
              </w:rPr>
            </w:pPr>
            <w:r w:rsidRPr="00524E3F">
              <w:rPr>
                <w:rFonts w:ascii="Arial" w:hAnsi="Arial" w:cs="Arial"/>
                <w:b w:val="0"/>
              </w:rPr>
              <w:t xml:space="preserve">Forward Estimates </w:t>
            </w:r>
          </w:p>
          <w:p w14:paraId="2239E77E" w14:textId="77777777" w:rsidR="00E5279F" w:rsidRPr="00524E3F" w:rsidRDefault="00E5279F" w:rsidP="00C6675C">
            <w:pPr>
              <w:pStyle w:val="TableColumnHeadingLeft"/>
              <w:rPr>
                <w:rFonts w:ascii="Arial" w:hAnsi="Arial" w:cs="Arial"/>
                <w:b w:val="0"/>
              </w:rPr>
            </w:pPr>
            <w:r w:rsidRPr="00524E3F">
              <w:rPr>
                <w:rFonts w:ascii="Arial" w:hAnsi="Arial" w:cs="Arial"/>
                <w:b w:val="0"/>
              </w:rPr>
              <w:t>2023-26</w:t>
            </w:r>
          </w:p>
        </w:tc>
        <w:tc>
          <w:tcPr>
            <w:tcW w:w="3118" w:type="dxa"/>
            <w:tcBorders>
              <w:top w:val="single" w:sz="4" w:space="0" w:color="auto"/>
              <w:left w:val="single" w:sz="4" w:space="0" w:color="auto"/>
              <w:bottom w:val="dotted" w:sz="4" w:space="0" w:color="auto"/>
              <w:right w:val="single" w:sz="4" w:space="0" w:color="auto"/>
            </w:tcBorders>
          </w:tcPr>
          <w:p w14:paraId="2239E77F" w14:textId="77777777" w:rsidR="00E5279F" w:rsidRPr="00524E3F" w:rsidRDefault="00E5279F" w:rsidP="00C8474A">
            <w:pPr>
              <w:numPr>
                <w:ilvl w:val="1"/>
                <w:numId w:val="41"/>
              </w:numPr>
              <w:tabs>
                <w:tab w:val="left" w:pos="426"/>
              </w:tabs>
              <w:spacing w:before="20" w:after="20" w:line="240" w:lineRule="auto"/>
              <w:ind w:left="426" w:hanging="426"/>
              <w:rPr>
                <w:rFonts w:ascii="Arial" w:hAnsi="Arial" w:cs="Arial"/>
                <w:sz w:val="16"/>
              </w:rPr>
            </w:pPr>
            <w:r w:rsidRPr="00524E3F">
              <w:rPr>
                <w:rFonts w:ascii="Arial" w:hAnsi="Arial" w:cs="Arial"/>
                <w:sz w:val="16"/>
              </w:rPr>
              <w:t>The Australian Government Architecture is a decision-making and policy construct that helps agencies develop scalable, secure and resilient digital capabilities.</w:t>
            </w:r>
          </w:p>
        </w:tc>
        <w:tc>
          <w:tcPr>
            <w:tcW w:w="3118" w:type="dxa"/>
            <w:tcBorders>
              <w:top w:val="single" w:sz="4" w:space="0" w:color="auto"/>
              <w:left w:val="single" w:sz="4" w:space="0" w:color="auto"/>
              <w:bottom w:val="dotted" w:sz="4" w:space="0" w:color="auto"/>
              <w:right w:val="single" w:sz="4" w:space="0" w:color="auto"/>
            </w:tcBorders>
          </w:tcPr>
          <w:p w14:paraId="2239E780" w14:textId="77777777" w:rsidR="00E5279F" w:rsidRPr="00524E3F" w:rsidRDefault="00E5279F" w:rsidP="00C6675C">
            <w:pPr>
              <w:pStyle w:val="TableColumnHeadingLeft"/>
              <w:rPr>
                <w:rFonts w:ascii="Arial" w:hAnsi="Arial" w:cs="Arial"/>
                <w:b w:val="0"/>
              </w:rPr>
            </w:pPr>
            <w:r w:rsidRPr="00524E3F">
              <w:rPr>
                <w:rFonts w:ascii="Arial" w:hAnsi="Arial" w:cs="Arial"/>
                <w:b w:val="0"/>
              </w:rPr>
              <w:t>Maintain or improve on benchmark.</w:t>
            </w:r>
          </w:p>
        </w:tc>
      </w:tr>
      <w:tr w:rsidR="00E5279F" w:rsidRPr="00524E3F" w14:paraId="2239E785" w14:textId="77777777" w:rsidTr="00B103E0">
        <w:tblPrEx>
          <w:tblLook w:val="04A0" w:firstRow="1" w:lastRow="0" w:firstColumn="1" w:lastColumn="0" w:noHBand="0" w:noVBand="1"/>
        </w:tblPrEx>
        <w:trPr>
          <w:trHeight w:val="255"/>
        </w:trPr>
        <w:tc>
          <w:tcPr>
            <w:tcW w:w="1560" w:type="dxa"/>
            <w:tcBorders>
              <w:top w:val="nil"/>
              <w:left w:val="single" w:sz="4" w:space="0" w:color="auto"/>
              <w:bottom w:val="nil"/>
              <w:right w:val="single" w:sz="4" w:space="0" w:color="auto"/>
            </w:tcBorders>
          </w:tcPr>
          <w:p w14:paraId="2239E782" w14:textId="77777777" w:rsidR="00E5279F" w:rsidRPr="006E1CE4" w:rsidRDefault="00E5279F" w:rsidP="00C6675C">
            <w:pPr>
              <w:pStyle w:val="TableColumnHeadingLeft"/>
            </w:pPr>
          </w:p>
        </w:tc>
        <w:tc>
          <w:tcPr>
            <w:tcW w:w="3118" w:type="dxa"/>
            <w:tcBorders>
              <w:top w:val="dotted" w:sz="4" w:space="0" w:color="auto"/>
              <w:left w:val="single" w:sz="4" w:space="0" w:color="auto"/>
              <w:bottom w:val="dotted" w:sz="4" w:space="0" w:color="auto"/>
              <w:right w:val="single" w:sz="4" w:space="0" w:color="auto"/>
            </w:tcBorders>
          </w:tcPr>
          <w:p w14:paraId="2239E783" w14:textId="77777777" w:rsidR="00E5279F" w:rsidRPr="00524E3F" w:rsidRDefault="00E5279F" w:rsidP="00C8474A">
            <w:pPr>
              <w:numPr>
                <w:ilvl w:val="1"/>
                <w:numId w:val="41"/>
              </w:numPr>
              <w:tabs>
                <w:tab w:val="left" w:pos="426"/>
              </w:tabs>
              <w:spacing w:before="20" w:after="20" w:line="240" w:lineRule="auto"/>
              <w:ind w:left="426" w:hanging="426"/>
              <w:rPr>
                <w:rFonts w:ascii="Arial" w:hAnsi="Arial" w:cs="Arial"/>
                <w:sz w:val="16"/>
              </w:rPr>
            </w:pPr>
            <w:r w:rsidRPr="00524E3F">
              <w:rPr>
                <w:rFonts w:ascii="Arial" w:hAnsi="Arial" w:cs="Arial"/>
                <w:sz w:val="16"/>
              </w:rPr>
              <w:t>Stakeholders and partners receive high quality and timely advice on whole-of-government strategies, policies and standards for digital and ICT investments.</w:t>
            </w:r>
          </w:p>
        </w:tc>
        <w:tc>
          <w:tcPr>
            <w:tcW w:w="3118" w:type="dxa"/>
            <w:tcBorders>
              <w:top w:val="dotted" w:sz="4" w:space="0" w:color="auto"/>
              <w:left w:val="single" w:sz="4" w:space="0" w:color="auto"/>
              <w:bottom w:val="dotted" w:sz="4" w:space="0" w:color="auto"/>
              <w:right w:val="single" w:sz="4" w:space="0" w:color="auto"/>
            </w:tcBorders>
          </w:tcPr>
          <w:p w14:paraId="2239E784" w14:textId="77777777" w:rsidR="00E5279F" w:rsidRPr="00524E3F" w:rsidRDefault="00E5279F" w:rsidP="00C6675C">
            <w:pPr>
              <w:pStyle w:val="TableColumnHeadingLeft"/>
              <w:rPr>
                <w:rFonts w:ascii="Arial" w:hAnsi="Arial" w:cs="Arial"/>
                <w:b w:val="0"/>
              </w:rPr>
            </w:pPr>
            <w:r w:rsidRPr="00524E3F">
              <w:rPr>
                <w:rFonts w:ascii="Arial" w:hAnsi="Arial" w:cs="Arial"/>
                <w:b w:val="0"/>
              </w:rPr>
              <w:t>Maintain or improve on benchmark.</w:t>
            </w:r>
          </w:p>
        </w:tc>
      </w:tr>
      <w:tr w:rsidR="00E5279F" w:rsidRPr="00524E3F" w14:paraId="2239E789" w14:textId="77777777" w:rsidTr="00B103E0">
        <w:tblPrEx>
          <w:tblLook w:val="04A0" w:firstRow="1" w:lastRow="0" w:firstColumn="1" w:lastColumn="0" w:noHBand="0" w:noVBand="1"/>
        </w:tblPrEx>
        <w:trPr>
          <w:trHeight w:val="255"/>
        </w:trPr>
        <w:tc>
          <w:tcPr>
            <w:tcW w:w="1560" w:type="dxa"/>
            <w:tcBorders>
              <w:top w:val="nil"/>
              <w:left w:val="single" w:sz="4" w:space="0" w:color="auto"/>
              <w:bottom w:val="nil"/>
              <w:right w:val="single" w:sz="4" w:space="0" w:color="auto"/>
            </w:tcBorders>
          </w:tcPr>
          <w:p w14:paraId="2239E786" w14:textId="77777777" w:rsidR="00E5279F" w:rsidRPr="006E1CE4" w:rsidRDefault="00E5279F" w:rsidP="00C6675C">
            <w:pPr>
              <w:pStyle w:val="TableColumnHeadingLeft"/>
            </w:pPr>
          </w:p>
        </w:tc>
        <w:tc>
          <w:tcPr>
            <w:tcW w:w="3118" w:type="dxa"/>
            <w:tcBorders>
              <w:top w:val="dotted" w:sz="4" w:space="0" w:color="auto"/>
              <w:left w:val="single" w:sz="4" w:space="0" w:color="auto"/>
              <w:bottom w:val="dotted" w:sz="4" w:space="0" w:color="auto"/>
              <w:right w:val="single" w:sz="4" w:space="0" w:color="auto"/>
            </w:tcBorders>
          </w:tcPr>
          <w:p w14:paraId="2239E787" w14:textId="77777777" w:rsidR="00E5279F" w:rsidRPr="00524E3F" w:rsidRDefault="00E5279F" w:rsidP="00C8474A">
            <w:pPr>
              <w:numPr>
                <w:ilvl w:val="1"/>
                <w:numId w:val="41"/>
              </w:numPr>
              <w:tabs>
                <w:tab w:val="left" w:pos="426"/>
              </w:tabs>
              <w:spacing w:before="20" w:after="20" w:line="240" w:lineRule="auto"/>
              <w:ind w:left="426" w:hanging="426"/>
              <w:rPr>
                <w:rFonts w:ascii="Arial" w:hAnsi="Arial" w:cs="Arial"/>
                <w:sz w:val="16"/>
              </w:rPr>
            </w:pPr>
            <w:r w:rsidRPr="00524E3F">
              <w:rPr>
                <w:rFonts w:ascii="Arial" w:hAnsi="Arial" w:cs="Arial"/>
                <w:sz w:val="16"/>
              </w:rPr>
              <w:t>Local and international digital government maturity and performance rankings.</w:t>
            </w:r>
          </w:p>
        </w:tc>
        <w:tc>
          <w:tcPr>
            <w:tcW w:w="3118" w:type="dxa"/>
            <w:tcBorders>
              <w:top w:val="dotted" w:sz="4" w:space="0" w:color="auto"/>
              <w:left w:val="single" w:sz="4" w:space="0" w:color="auto"/>
              <w:bottom w:val="dotted" w:sz="4" w:space="0" w:color="auto"/>
              <w:right w:val="single" w:sz="4" w:space="0" w:color="auto"/>
            </w:tcBorders>
          </w:tcPr>
          <w:p w14:paraId="2239E788" w14:textId="77777777" w:rsidR="00E5279F" w:rsidRPr="00524E3F" w:rsidRDefault="00E5279F" w:rsidP="00C6675C">
            <w:pPr>
              <w:pStyle w:val="TableColumnHeadingLeft"/>
              <w:rPr>
                <w:rFonts w:ascii="Arial" w:hAnsi="Arial" w:cs="Arial"/>
                <w:b w:val="0"/>
              </w:rPr>
            </w:pPr>
            <w:r w:rsidRPr="00524E3F">
              <w:rPr>
                <w:rFonts w:ascii="Arial" w:hAnsi="Arial" w:cs="Arial"/>
                <w:b w:val="0"/>
              </w:rPr>
              <w:t>Maintain or improve on benchmark.</w:t>
            </w:r>
          </w:p>
        </w:tc>
      </w:tr>
      <w:tr w:rsidR="00E5279F" w:rsidRPr="00524E3F" w14:paraId="2239E78F" w14:textId="77777777" w:rsidTr="00B103E0">
        <w:tblPrEx>
          <w:tblLook w:val="04A0" w:firstRow="1" w:lastRow="0" w:firstColumn="1" w:lastColumn="0" w:noHBand="0" w:noVBand="1"/>
        </w:tblPrEx>
        <w:trPr>
          <w:trHeight w:val="255"/>
        </w:trPr>
        <w:tc>
          <w:tcPr>
            <w:tcW w:w="1560" w:type="dxa"/>
            <w:tcBorders>
              <w:top w:val="nil"/>
              <w:left w:val="single" w:sz="4" w:space="0" w:color="auto"/>
              <w:bottom w:val="nil"/>
              <w:right w:val="single" w:sz="4" w:space="0" w:color="auto"/>
            </w:tcBorders>
          </w:tcPr>
          <w:p w14:paraId="2239E78A" w14:textId="77777777" w:rsidR="00E5279F" w:rsidRPr="006E1CE4" w:rsidRDefault="00E5279F" w:rsidP="00C6675C">
            <w:pPr>
              <w:pStyle w:val="TableColumnHeadingLeft"/>
            </w:pPr>
          </w:p>
        </w:tc>
        <w:tc>
          <w:tcPr>
            <w:tcW w:w="3118" w:type="dxa"/>
            <w:tcBorders>
              <w:top w:val="dotted" w:sz="4" w:space="0" w:color="auto"/>
              <w:left w:val="single" w:sz="4" w:space="0" w:color="auto"/>
              <w:bottom w:val="dotted" w:sz="4" w:space="0" w:color="auto"/>
              <w:right w:val="single" w:sz="4" w:space="0" w:color="auto"/>
            </w:tcBorders>
          </w:tcPr>
          <w:p w14:paraId="2239E78B" w14:textId="77777777" w:rsidR="00E5279F" w:rsidRPr="00524E3F" w:rsidRDefault="00E5279F" w:rsidP="00C8474A">
            <w:pPr>
              <w:numPr>
                <w:ilvl w:val="1"/>
                <w:numId w:val="42"/>
              </w:numPr>
              <w:tabs>
                <w:tab w:val="left" w:pos="426"/>
              </w:tabs>
              <w:spacing w:before="20" w:after="20" w:line="240" w:lineRule="auto"/>
              <w:ind w:left="426" w:hanging="426"/>
              <w:rPr>
                <w:rFonts w:ascii="Arial" w:hAnsi="Arial" w:cs="Arial"/>
                <w:sz w:val="16"/>
              </w:rPr>
            </w:pPr>
            <w:r w:rsidRPr="00524E3F">
              <w:rPr>
                <w:rFonts w:ascii="Arial" w:hAnsi="Arial" w:cs="Arial"/>
                <w:sz w:val="16"/>
              </w:rPr>
              <w:t>Quality and timeliness of strategic planning advice to define digital and ICT investment portfolio, its future objectives and capability gaps.</w:t>
            </w:r>
          </w:p>
        </w:tc>
        <w:tc>
          <w:tcPr>
            <w:tcW w:w="3118" w:type="dxa"/>
            <w:tcBorders>
              <w:top w:val="dotted" w:sz="4" w:space="0" w:color="auto"/>
              <w:left w:val="single" w:sz="4" w:space="0" w:color="auto"/>
              <w:bottom w:val="dotted" w:sz="4" w:space="0" w:color="auto"/>
              <w:right w:val="single" w:sz="4" w:space="0" w:color="auto"/>
            </w:tcBorders>
          </w:tcPr>
          <w:p w14:paraId="2239E78C" w14:textId="77777777" w:rsidR="00E5279F" w:rsidRPr="00524E3F" w:rsidRDefault="00E5279F" w:rsidP="00C6675C">
            <w:pPr>
              <w:pStyle w:val="TableColumnHeadingLeft"/>
              <w:rPr>
                <w:rFonts w:ascii="Arial" w:hAnsi="Arial" w:cs="Arial"/>
                <w:b w:val="0"/>
              </w:rPr>
            </w:pPr>
            <w:r w:rsidRPr="00524E3F">
              <w:rPr>
                <w:rFonts w:ascii="Arial" w:hAnsi="Arial" w:cs="Arial"/>
                <w:b w:val="0"/>
              </w:rPr>
              <w:t>2023-24: 70%</w:t>
            </w:r>
          </w:p>
          <w:p w14:paraId="2239E78D" w14:textId="77777777" w:rsidR="00E5279F" w:rsidRPr="00524E3F" w:rsidRDefault="00E5279F" w:rsidP="00C6675C">
            <w:pPr>
              <w:pStyle w:val="TableColumnHeadingLeft"/>
              <w:rPr>
                <w:rFonts w:ascii="Arial" w:hAnsi="Arial" w:cs="Arial"/>
                <w:b w:val="0"/>
              </w:rPr>
            </w:pPr>
            <w:r w:rsidRPr="00524E3F">
              <w:rPr>
                <w:rFonts w:ascii="Arial" w:hAnsi="Arial" w:cs="Arial"/>
                <w:b w:val="0"/>
              </w:rPr>
              <w:t>2024-25: 75%</w:t>
            </w:r>
          </w:p>
          <w:p w14:paraId="2239E78E" w14:textId="77777777" w:rsidR="00E5279F" w:rsidRPr="00524E3F" w:rsidRDefault="00E5279F" w:rsidP="00C6675C">
            <w:pPr>
              <w:pStyle w:val="TableColumnHeadingLeft"/>
              <w:rPr>
                <w:rFonts w:ascii="Arial" w:hAnsi="Arial" w:cs="Arial"/>
                <w:b w:val="0"/>
              </w:rPr>
            </w:pPr>
            <w:r w:rsidRPr="00524E3F">
              <w:rPr>
                <w:rFonts w:ascii="Arial" w:hAnsi="Arial" w:cs="Arial"/>
                <w:b w:val="0"/>
              </w:rPr>
              <w:t>2025-26: 80%</w:t>
            </w:r>
          </w:p>
        </w:tc>
      </w:tr>
      <w:tr w:rsidR="00E5279F" w:rsidRPr="00524E3F" w14:paraId="2239E795" w14:textId="77777777" w:rsidTr="00B103E0">
        <w:tblPrEx>
          <w:tblLook w:val="04A0" w:firstRow="1" w:lastRow="0" w:firstColumn="1" w:lastColumn="0" w:noHBand="0" w:noVBand="1"/>
        </w:tblPrEx>
        <w:trPr>
          <w:trHeight w:val="255"/>
        </w:trPr>
        <w:tc>
          <w:tcPr>
            <w:tcW w:w="1560" w:type="dxa"/>
            <w:tcBorders>
              <w:top w:val="nil"/>
              <w:left w:val="single" w:sz="4" w:space="0" w:color="auto"/>
              <w:bottom w:val="nil"/>
              <w:right w:val="single" w:sz="4" w:space="0" w:color="auto"/>
            </w:tcBorders>
          </w:tcPr>
          <w:p w14:paraId="2239E790" w14:textId="77777777" w:rsidR="00E5279F" w:rsidRPr="006E1CE4" w:rsidRDefault="00E5279F" w:rsidP="00C6675C">
            <w:pPr>
              <w:pStyle w:val="TableColumnHeadingLeft"/>
            </w:pPr>
          </w:p>
        </w:tc>
        <w:tc>
          <w:tcPr>
            <w:tcW w:w="3118" w:type="dxa"/>
            <w:tcBorders>
              <w:top w:val="dotted" w:sz="4" w:space="0" w:color="auto"/>
              <w:left w:val="single" w:sz="4" w:space="0" w:color="auto"/>
              <w:bottom w:val="dotted" w:sz="4" w:space="0" w:color="auto"/>
              <w:right w:val="single" w:sz="4" w:space="0" w:color="auto"/>
            </w:tcBorders>
          </w:tcPr>
          <w:p w14:paraId="2239E791" w14:textId="77777777" w:rsidR="00E5279F" w:rsidRPr="00524E3F" w:rsidRDefault="00E5279F" w:rsidP="00C8474A">
            <w:pPr>
              <w:numPr>
                <w:ilvl w:val="1"/>
                <w:numId w:val="42"/>
              </w:numPr>
              <w:tabs>
                <w:tab w:val="left" w:pos="426"/>
              </w:tabs>
              <w:spacing w:before="20" w:after="20" w:line="240" w:lineRule="auto"/>
              <w:ind w:left="426" w:hanging="426"/>
              <w:rPr>
                <w:rFonts w:ascii="Arial" w:hAnsi="Arial" w:cs="Arial"/>
                <w:sz w:val="16"/>
              </w:rPr>
            </w:pPr>
            <w:r w:rsidRPr="00524E3F">
              <w:rPr>
                <w:rFonts w:ascii="Arial" w:hAnsi="Arial" w:cs="Arial"/>
                <w:sz w:val="16"/>
              </w:rPr>
              <w:t>Quality and timeliness of prioritisation advice on investments to deliver on government’s digital and ICT objectives.</w:t>
            </w:r>
          </w:p>
        </w:tc>
        <w:tc>
          <w:tcPr>
            <w:tcW w:w="3118" w:type="dxa"/>
            <w:tcBorders>
              <w:top w:val="dotted" w:sz="4" w:space="0" w:color="auto"/>
              <w:left w:val="single" w:sz="4" w:space="0" w:color="auto"/>
              <w:bottom w:val="dotted" w:sz="4" w:space="0" w:color="auto"/>
              <w:right w:val="single" w:sz="4" w:space="0" w:color="auto"/>
            </w:tcBorders>
          </w:tcPr>
          <w:p w14:paraId="2239E792" w14:textId="77777777" w:rsidR="00E5279F" w:rsidRPr="00524E3F" w:rsidRDefault="00E5279F" w:rsidP="00C6675C">
            <w:pPr>
              <w:pStyle w:val="TableColumnHeadingLeft"/>
              <w:rPr>
                <w:rFonts w:ascii="Arial" w:hAnsi="Arial" w:cs="Arial"/>
                <w:b w:val="0"/>
              </w:rPr>
            </w:pPr>
            <w:r w:rsidRPr="00524E3F">
              <w:rPr>
                <w:rFonts w:ascii="Arial" w:hAnsi="Arial" w:cs="Arial"/>
                <w:b w:val="0"/>
              </w:rPr>
              <w:t>2023-24: 70%</w:t>
            </w:r>
          </w:p>
          <w:p w14:paraId="2239E793" w14:textId="77777777" w:rsidR="00E5279F" w:rsidRPr="00524E3F" w:rsidRDefault="00E5279F" w:rsidP="00C6675C">
            <w:pPr>
              <w:pStyle w:val="TableColumnHeadingLeft"/>
              <w:rPr>
                <w:rFonts w:ascii="Arial" w:hAnsi="Arial" w:cs="Arial"/>
                <w:b w:val="0"/>
              </w:rPr>
            </w:pPr>
            <w:r w:rsidRPr="00524E3F">
              <w:rPr>
                <w:rFonts w:ascii="Arial" w:hAnsi="Arial" w:cs="Arial"/>
                <w:b w:val="0"/>
              </w:rPr>
              <w:t>2024-25: 75%</w:t>
            </w:r>
          </w:p>
          <w:p w14:paraId="2239E794" w14:textId="77777777" w:rsidR="00E5279F" w:rsidRPr="00524E3F" w:rsidRDefault="00E5279F" w:rsidP="00C6675C">
            <w:pPr>
              <w:pStyle w:val="TableColumnHeadingLeft"/>
              <w:rPr>
                <w:rFonts w:ascii="Arial" w:hAnsi="Arial" w:cs="Arial"/>
                <w:b w:val="0"/>
              </w:rPr>
            </w:pPr>
            <w:r w:rsidRPr="00524E3F">
              <w:rPr>
                <w:rFonts w:ascii="Arial" w:hAnsi="Arial" w:cs="Arial"/>
                <w:b w:val="0"/>
              </w:rPr>
              <w:t>2025-26: 80%</w:t>
            </w:r>
          </w:p>
        </w:tc>
      </w:tr>
      <w:tr w:rsidR="00E5279F" w:rsidRPr="00524E3F" w14:paraId="2239E79D" w14:textId="77777777" w:rsidTr="00B103E0">
        <w:tblPrEx>
          <w:tblLook w:val="04A0" w:firstRow="1" w:lastRow="0" w:firstColumn="1" w:lastColumn="0" w:noHBand="0" w:noVBand="1"/>
        </w:tblPrEx>
        <w:trPr>
          <w:trHeight w:val="255"/>
        </w:trPr>
        <w:tc>
          <w:tcPr>
            <w:tcW w:w="1560" w:type="dxa"/>
            <w:tcBorders>
              <w:top w:val="nil"/>
              <w:left w:val="single" w:sz="4" w:space="0" w:color="auto"/>
              <w:bottom w:val="single" w:sz="4" w:space="0" w:color="auto"/>
              <w:right w:val="single" w:sz="4" w:space="0" w:color="auto"/>
            </w:tcBorders>
          </w:tcPr>
          <w:p w14:paraId="2239E796" w14:textId="77777777" w:rsidR="00E5279F" w:rsidRPr="006E1CE4" w:rsidRDefault="00E5279F" w:rsidP="00C6675C">
            <w:pPr>
              <w:pStyle w:val="TableColumnHeadingLeft"/>
            </w:pPr>
          </w:p>
        </w:tc>
        <w:tc>
          <w:tcPr>
            <w:tcW w:w="3118" w:type="dxa"/>
            <w:tcBorders>
              <w:top w:val="dotted" w:sz="4" w:space="0" w:color="auto"/>
              <w:left w:val="single" w:sz="4" w:space="0" w:color="auto"/>
              <w:bottom w:val="single" w:sz="4" w:space="0" w:color="auto"/>
              <w:right w:val="single" w:sz="4" w:space="0" w:color="auto"/>
            </w:tcBorders>
          </w:tcPr>
          <w:p w14:paraId="2239E797" w14:textId="77777777" w:rsidR="00E5279F" w:rsidRPr="00524E3F" w:rsidRDefault="00E5279F" w:rsidP="00C8474A">
            <w:pPr>
              <w:numPr>
                <w:ilvl w:val="1"/>
                <w:numId w:val="42"/>
              </w:numPr>
              <w:tabs>
                <w:tab w:val="left" w:pos="426"/>
              </w:tabs>
              <w:spacing w:before="20" w:after="20" w:line="240" w:lineRule="auto"/>
              <w:ind w:left="426" w:hanging="426"/>
              <w:rPr>
                <w:rFonts w:ascii="Arial" w:hAnsi="Arial" w:cs="Arial"/>
                <w:sz w:val="16"/>
              </w:rPr>
            </w:pPr>
            <w:r w:rsidRPr="00524E3F">
              <w:rPr>
                <w:rFonts w:ascii="Arial" w:hAnsi="Arial" w:cs="Arial"/>
                <w:sz w:val="16"/>
              </w:rPr>
              <w:t>Quality and timeliness of contestability advice to ensure digital and ICT investment proposals are robust and meet whole-of-government digital standards prior to government consideration.</w:t>
            </w:r>
          </w:p>
        </w:tc>
        <w:tc>
          <w:tcPr>
            <w:tcW w:w="3118" w:type="dxa"/>
            <w:tcBorders>
              <w:top w:val="dotted" w:sz="4" w:space="0" w:color="auto"/>
              <w:left w:val="single" w:sz="4" w:space="0" w:color="auto"/>
              <w:bottom w:val="single" w:sz="4" w:space="0" w:color="auto"/>
              <w:right w:val="single" w:sz="4" w:space="0" w:color="auto"/>
            </w:tcBorders>
          </w:tcPr>
          <w:p w14:paraId="2239E798" w14:textId="77777777" w:rsidR="00E5279F" w:rsidRPr="00524E3F" w:rsidRDefault="00E5279F" w:rsidP="00C6675C">
            <w:pPr>
              <w:pStyle w:val="TableColumnHeadingLeft"/>
              <w:rPr>
                <w:rFonts w:ascii="Arial" w:hAnsi="Arial" w:cs="Arial"/>
                <w:b w:val="0"/>
              </w:rPr>
            </w:pPr>
            <w:r w:rsidRPr="00524E3F">
              <w:rPr>
                <w:rFonts w:ascii="Arial" w:hAnsi="Arial" w:cs="Arial"/>
                <w:b w:val="0"/>
              </w:rPr>
              <w:t>100% of digital investment proposals identified by the DTA as in-scope of the Digital and ICT Investment Oversight Framework are reviewed within Budget timelines.</w:t>
            </w:r>
          </w:p>
          <w:p w14:paraId="2239E799" w14:textId="77777777" w:rsidR="00E5279F" w:rsidRPr="00524E3F" w:rsidRDefault="00E5279F" w:rsidP="00C6675C">
            <w:pPr>
              <w:pStyle w:val="TableColumnHeadingLeft"/>
              <w:rPr>
                <w:rFonts w:ascii="Arial" w:hAnsi="Arial" w:cs="Arial"/>
                <w:b w:val="0"/>
              </w:rPr>
            </w:pPr>
          </w:p>
          <w:p w14:paraId="2239E79A" w14:textId="77777777" w:rsidR="00E5279F" w:rsidRPr="00524E3F" w:rsidRDefault="00E5279F" w:rsidP="00C6675C">
            <w:pPr>
              <w:pStyle w:val="TableColumnHeadingLeft"/>
              <w:rPr>
                <w:rFonts w:ascii="Arial" w:hAnsi="Arial" w:cs="Arial"/>
                <w:b w:val="0"/>
              </w:rPr>
            </w:pPr>
            <w:r w:rsidRPr="00524E3F">
              <w:rPr>
                <w:rFonts w:ascii="Arial" w:hAnsi="Arial" w:cs="Arial"/>
                <w:b w:val="0"/>
              </w:rPr>
              <w:t>100% of digital investment proposals identified by the DTA as in-scope of the Digital and ICT Investment Oversight Framework are assessed with strong alignment to the Digital Capability Standards.</w:t>
            </w:r>
          </w:p>
          <w:p w14:paraId="2239E79B" w14:textId="77777777" w:rsidR="00E5279F" w:rsidRPr="00524E3F" w:rsidRDefault="00E5279F" w:rsidP="00C6675C">
            <w:pPr>
              <w:pStyle w:val="TableColumnHeadingLeft"/>
              <w:rPr>
                <w:rFonts w:ascii="Arial" w:hAnsi="Arial" w:cs="Arial"/>
                <w:b w:val="0"/>
              </w:rPr>
            </w:pPr>
          </w:p>
          <w:p w14:paraId="2239E79C" w14:textId="77777777" w:rsidR="00E5279F" w:rsidRPr="00524E3F" w:rsidRDefault="00E5279F" w:rsidP="00C6675C">
            <w:pPr>
              <w:pStyle w:val="TableColumnHeadingLeft"/>
              <w:rPr>
                <w:rFonts w:ascii="Arial" w:hAnsi="Arial" w:cs="Arial"/>
                <w:b w:val="0"/>
              </w:rPr>
            </w:pPr>
            <w:r w:rsidRPr="00524E3F">
              <w:rPr>
                <w:rFonts w:ascii="Arial" w:hAnsi="Arial" w:cs="Arial"/>
                <w:b w:val="0"/>
              </w:rPr>
              <w:t>Average rating of at least 8/10 for the DTA’s communication around the Digital Capability Standards and the requirements on Commonwealth agencies.</w:t>
            </w:r>
          </w:p>
        </w:tc>
      </w:tr>
    </w:tbl>
    <w:p w14:paraId="09B48864" w14:textId="77777777" w:rsidR="009B7530" w:rsidRDefault="00046707" w:rsidP="00C723E3">
      <w:pPr>
        <w:pStyle w:val="TableGraphic"/>
        <w:spacing w:before="30"/>
        <w:ind w:right="0"/>
        <w:rPr>
          <w:rFonts w:ascii="Arial" w:hAnsi="Arial" w:cs="Arial"/>
          <w:sz w:val="16"/>
          <w:szCs w:val="16"/>
          <w:lang w:eastAsia="x-none"/>
        </w:rPr>
      </w:pPr>
      <w:r>
        <w:rPr>
          <w:rFonts w:ascii="Arial" w:hAnsi="Arial" w:cs="Arial"/>
          <w:sz w:val="16"/>
          <w:szCs w:val="16"/>
          <w:lang w:eastAsia="x-none"/>
        </w:rPr>
        <w:t>Table continues on next page</w:t>
      </w:r>
      <w:r w:rsidR="009B7530">
        <w:rPr>
          <w:rFonts w:ascii="Arial" w:hAnsi="Arial" w:cs="Arial"/>
          <w:sz w:val="16"/>
          <w:szCs w:val="16"/>
          <w:lang w:eastAsia="x-none"/>
        </w:rPr>
        <w:br w:type="page"/>
      </w:r>
    </w:p>
    <w:p w14:paraId="7F64F147" w14:textId="05077232" w:rsidR="009E6EDF" w:rsidRPr="00814358" w:rsidRDefault="00E5279F" w:rsidP="00814358">
      <w:pPr>
        <w:pStyle w:val="TableGraphic"/>
        <w:rPr>
          <w:rFonts w:ascii="Arial" w:hAnsi="Arial" w:cs="Arial"/>
          <w:sz w:val="16"/>
          <w:szCs w:val="16"/>
          <w:lang w:eastAsia="x-none"/>
        </w:rPr>
      </w:pPr>
      <w:r w:rsidRPr="00235952">
        <w:rPr>
          <w:rFonts w:ascii="Arial" w:hAnsi="Arial"/>
          <w:b/>
          <w:sz w:val="20"/>
        </w:rPr>
        <w:lastRenderedPageBreak/>
        <w:t>Table 2.1.2: Performance measure for Outcome 1 (continued)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60"/>
        <w:gridCol w:w="3118"/>
        <w:gridCol w:w="3118"/>
      </w:tblGrid>
      <w:tr w:rsidR="009E6EDF" w:rsidRPr="006E1CE4" w14:paraId="505A561C" w14:textId="77777777" w:rsidTr="00333377">
        <w:trPr>
          <w:trHeight w:val="522"/>
        </w:trPr>
        <w:tc>
          <w:tcPr>
            <w:tcW w:w="7796" w:type="dxa"/>
            <w:gridSpan w:val="3"/>
            <w:shd w:val="clear" w:color="auto" w:fill="F2F2F2"/>
          </w:tcPr>
          <w:p w14:paraId="5E893244" w14:textId="00AA63F5" w:rsidR="009E6EDF" w:rsidRPr="006E1CE4" w:rsidRDefault="00537F49" w:rsidP="00333377">
            <w:pPr>
              <w:pStyle w:val="TableTextLeft"/>
            </w:pPr>
            <w:r w:rsidRPr="00537F49">
              <w:rPr>
                <w:b/>
              </w:rPr>
              <w:t>Program 1.1</w:t>
            </w:r>
            <w:r>
              <w:rPr>
                <w:b/>
              </w:rPr>
              <w:t xml:space="preserve"> </w:t>
            </w:r>
            <w:r w:rsidRPr="00537F49">
              <w:rPr>
                <w:b/>
              </w:rPr>
              <w:t xml:space="preserve">- </w:t>
            </w:r>
            <w:r w:rsidRPr="00537F49">
              <w:t>The objective of this program is to provide strategic and policy leadership and investment advice as a trusted advisor on digital and ICT investment decisions through oversight to drive government digital transformation that delivers benefits to all Australians.</w:t>
            </w:r>
          </w:p>
        </w:tc>
      </w:tr>
      <w:tr w:rsidR="00E72061" w:rsidRPr="0044302D" w14:paraId="2239E7AD" w14:textId="77777777" w:rsidTr="00D86D0D">
        <w:tblPrEx>
          <w:tblLook w:val="04A0" w:firstRow="1" w:lastRow="0" w:firstColumn="1" w:lastColumn="0" w:noHBand="0" w:noVBand="1"/>
        </w:tblPrEx>
        <w:trPr>
          <w:trHeight w:val="255"/>
        </w:trPr>
        <w:tc>
          <w:tcPr>
            <w:tcW w:w="1560" w:type="dxa"/>
            <w:tcBorders>
              <w:top w:val="single" w:sz="4" w:space="0" w:color="auto"/>
              <w:left w:val="single" w:sz="4" w:space="0" w:color="auto"/>
              <w:bottom w:val="single" w:sz="4" w:space="0" w:color="auto"/>
              <w:right w:val="single" w:sz="4" w:space="0" w:color="auto"/>
            </w:tcBorders>
          </w:tcPr>
          <w:p w14:paraId="2239E7AA" w14:textId="77777777" w:rsidR="00E72061" w:rsidRPr="006E1CE4" w:rsidRDefault="00E72061" w:rsidP="00D46837">
            <w:pPr>
              <w:pStyle w:val="TableColumnHeadingLeft"/>
            </w:pPr>
            <w:r w:rsidRPr="006E1CE4">
              <w:t>Year</w:t>
            </w:r>
          </w:p>
        </w:tc>
        <w:tc>
          <w:tcPr>
            <w:tcW w:w="3118" w:type="dxa"/>
            <w:tcBorders>
              <w:top w:val="single" w:sz="4" w:space="0" w:color="auto"/>
              <w:left w:val="single" w:sz="4" w:space="0" w:color="auto"/>
              <w:bottom w:val="single" w:sz="4" w:space="0" w:color="auto"/>
              <w:right w:val="single" w:sz="4" w:space="0" w:color="auto"/>
            </w:tcBorders>
          </w:tcPr>
          <w:p w14:paraId="2239E7AB" w14:textId="77777777" w:rsidR="00E72061" w:rsidRPr="0044302D" w:rsidRDefault="00E72061" w:rsidP="00D46837">
            <w:pPr>
              <w:pStyle w:val="TableColumnHeadingLeft"/>
            </w:pPr>
            <w:r w:rsidRPr="0044302D">
              <w:t>Performance measures</w:t>
            </w:r>
          </w:p>
        </w:tc>
        <w:tc>
          <w:tcPr>
            <w:tcW w:w="3118" w:type="dxa"/>
            <w:tcBorders>
              <w:top w:val="single" w:sz="4" w:space="0" w:color="auto"/>
              <w:left w:val="single" w:sz="4" w:space="0" w:color="auto"/>
              <w:bottom w:val="single" w:sz="4" w:space="0" w:color="auto"/>
              <w:right w:val="single" w:sz="4" w:space="0" w:color="auto"/>
            </w:tcBorders>
          </w:tcPr>
          <w:p w14:paraId="2239E7AC" w14:textId="77777777" w:rsidR="00E72061" w:rsidRPr="0044302D" w:rsidRDefault="00E72061" w:rsidP="00D46837">
            <w:pPr>
              <w:pStyle w:val="TableColumnHeadingLeft"/>
            </w:pPr>
            <w:r w:rsidRPr="0044302D">
              <w:t>Planned Performance Results</w:t>
            </w:r>
          </w:p>
        </w:tc>
      </w:tr>
      <w:tr w:rsidR="00E72061" w:rsidRPr="006E1CE4" w14:paraId="2239E7BB" w14:textId="77777777" w:rsidTr="00D86D0D">
        <w:tblPrEx>
          <w:tblLook w:val="04A0" w:firstRow="1" w:lastRow="0" w:firstColumn="1" w:lastColumn="0" w:noHBand="0" w:noVBand="1"/>
        </w:tblPrEx>
        <w:trPr>
          <w:trHeight w:val="255"/>
        </w:trPr>
        <w:tc>
          <w:tcPr>
            <w:tcW w:w="1560" w:type="dxa"/>
            <w:tcBorders>
              <w:top w:val="single" w:sz="4" w:space="0" w:color="auto"/>
              <w:left w:val="single" w:sz="4" w:space="0" w:color="auto"/>
              <w:bottom w:val="nil"/>
              <w:right w:val="single" w:sz="4" w:space="0" w:color="auto"/>
            </w:tcBorders>
          </w:tcPr>
          <w:p w14:paraId="2239E7AE" w14:textId="77777777" w:rsidR="0088519A" w:rsidRPr="00524E3F" w:rsidRDefault="0088519A" w:rsidP="0088519A">
            <w:pPr>
              <w:pStyle w:val="TableColumnHeadingLeft"/>
              <w:rPr>
                <w:rFonts w:ascii="Arial" w:hAnsi="Arial" w:cs="Arial"/>
                <w:b w:val="0"/>
              </w:rPr>
            </w:pPr>
            <w:r w:rsidRPr="00524E3F">
              <w:rPr>
                <w:rFonts w:ascii="Arial" w:hAnsi="Arial" w:cs="Arial"/>
                <w:b w:val="0"/>
              </w:rPr>
              <w:t xml:space="preserve">Forward Estimates </w:t>
            </w:r>
          </w:p>
          <w:p w14:paraId="2239E7AF" w14:textId="77777777" w:rsidR="0088519A" w:rsidRPr="0088519A" w:rsidRDefault="0088519A" w:rsidP="0088519A">
            <w:pPr>
              <w:pStyle w:val="TableColumnHeadingLeft"/>
              <w:rPr>
                <w:rFonts w:ascii="Arial" w:hAnsi="Arial" w:cs="Arial"/>
                <w:b w:val="0"/>
              </w:rPr>
            </w:pPr>
            <w:r w:rsidRPr="0088519A">
              <w:rPr>
                <w:rFonts w:ascii="Arial" w:hAnsi="Arial" w:cs="Arial"/>
                <w:b w:val="0"/>
              </w:rPr>
              <w:t>2023-26</w:t>
            </w:r>
          </w:p>
          <w:p w14:paraId="2239E7B0" w14:textId="77777777" w:rsidR="0088519A" w:rsidRPr="0088519A" w:rsidRDefault="0088519A" w:rsidP="0088519A">
            <w:pPr>
              <w:pStyle w:val="TableColumnHeadingLeft"/>
              <w:rPr>
                <w:rFonts w:ascii="Arial" w:hAnsi="Arial" w:cs="Arial"/>
                <w:b w:val="0"/>
              </w:rPr>
            </w:pPr>
            <w:r w:rsidRPr="0088519A">
              <w:rPr>
                <w:rFonts w:ascii="Arial" w:hAnsi="Arial" w:cs="Arial"/>
                <w:b w:val="0"/>
              </w:rPr>
              <w:t>(continued)</w:t>
            </w:r>
          </w:p>
        </w:tc>
        <w:tc>
          <w:tcPr>
            <w:tcW w:w="3118" w:type="dxa"/>
            <w:tcBorders>
              <w:top w:val="single" w:sz="4" w:space="0" w:color="auto"/>
              <w:left w:val="single" w:sz="4" w:space="0" w:color="auto"/>
              <w:bottom w:val="dotted" w:sz="4" w:space="0" w:color="auto"/>
              <w:right w:val="single" w:sz="6" w:space="0" w:color="auto"/>
            </w:tcBorders>
          </w:tcPr>
          <w:p w14:paraId="2239E7B1" w14:textId="77777777" w:rsidR="00E72061" w:rsidRPr="00E72061" w:rsidRDefault="00E72061" w:rsidP="00C8474A">
            <w:pPr>
              <w:numPr>
                <w:ilvl w:val="1"/>
                <w:numId w:val="42"/>
              </w:numPr>
              <w:tabs>
                <w:tab w:val="left" w:pos="426"/>
              </w:tabs>
              <w:spacing w:before="20" w:after="20" w:line="240" w:lineRule="auto"/>
              <w:ind w:left="426" w:hanging="426"/>
              <w:rPr>
                <w:rFonts w:ascii="Arial" w:hAnsi="Arial" w:cs="Arial"/>
                <w:sz w:val="16"/>
              </w:rPr>
            </w:pPr>
            <w:r w:rsidRPr="00E72061">
              <w:rPr>
                <w:rFonts w:ascii="Arial" w:hAnsi="Arial" w:cs="Arial"/>
                <w:sz w:val="16"/>
              </w:rPr>
              <w:t>Quality and timeliness of delivery assurance advice that investments are on-track to deliver expected benefits.</w:t>
            </w:r>
          </w:p>
        </w:tc>
        <w:tc>
          <w:tcPr>
            <w:tcW w:w="3118" w:type="dxa"/>
            <w:tcBorders>
              <w:top w:val="single" w:sz="4" w:space="0" w:color="auto"/>
              <w:left w:val="single" w:sz="6" w:space="0" w:color="auto"/>
              <w:bottom w:val="dotted" w:sz="4" w:space="0" w:color="auto"/>
              <w:right w:val="single" w:sz="4" w:space="0" w:color="auto"/>
            </w:tcBorders>
          </w:tcPr>
          <w:p w14:paraId="2239E7B2" w14:textId="77777777" w:rsidR="00E72061" w:rsidRPr="00E72061" w:rsidRDefault="00E72061" w:rsidP="00E72061">
            <w:pPr>
              <w:pStyle w:val="TableColumnHeadingLeft"/>
              <w:rPr>
                <w:rFonts w:ascii="Arial" w:hAnsi="Arial" w:cs="Arial"/>
                <w:b w:val="0"/>
              </w:rPr>
            </w:pPr>
            <w:r w:rsidRPr="00E72061">
              <w:rPr>
                <w:rFonts w:ascii="Arial" w:hAnsi="Arial" w:cs="Arial"/>
                <w:b w:val="0"/>
              </w:rPr>
              <w:t xml:space="preserve">2023-24: </w:t>
            </w:r>
          </w:p>
          <w:p w14:paraId="2239E7B3" w14:textId="77777777" w:rsidR="00E72061" w:rsidRPr="00E72061" w:rsidRDefault="00E72061" w:rsidP="00E72061">
            <w:pPr>
              <w:pStyle w:val="TableColumnHeadingLeft"/>
              <w:rPr>
                <w:rFonts w:ascii="Arial" w:hAnsi="Arial" w:cs="Arial"/>
                <w:b w:val="0"/>
              </w:rPr>
            </w:pPr>
            <w:r w:rsidRPr="00E72061">
              <w:rPr>
                <w:rFonts w:ascii="Arial" w:hAnsi="Arial" w:cs="Arial"/>
                <w:b w:val="0"/>
              </w:rPr>
              <w:t>100% of new digital investments identified by the DTA as in-scope for the Digital and ICT Investment Oversight Framework have a formal assurance plan in place [measured by value].</w:t>
            </w:r>
          </w:p>
          <w:p w14:paraId="2239E7B4" w14:textId="77777777" w:rsidR="00E72061" w:rsidRPr="00E72061" w:rsidRDefault="00E72061" w:rsidP="00E72061">
            <w:pPr>
              <w:pStyle w:val="TableColumnHeadingLeft"/>
              <w:rPr>
                <w:rFonts w:ascii="Arial" w:hAnsi="Arial" w:cs="Arial"/>
                <w:b w:val="0"/>
              </w:rPr>
            </w:pPr>
          </w:p>
          <w:p w14:paraId="2239E7B5" w14:textId="77777777" w:rsidR="00E72061" w:rsidRPr="00E72061" w:rsidRDefault="00E72061" w:rsidP="00E72061">
            <w:pPr>
              <w:pStyle w:val="TableColumnHeadingLeft"/>
              <w:rPr>
                <w:rFonts w:ascii="Arial" w:hAnsi="Arial" w:cs="Arial"/>
                <w:b w:val="0"/>
              </w:rPr>
            </w:pPr>
            <w:r w:rsidRPr="00E72061">
              <w:rPr>
                <w:rFonts w:ascii="Arial" w:hAnsi="Arial" w:cs="Arial"/>
                <w:b w:val="0"/>
              </w:rPr>
              <w:t>100% of in-flight digital projects in scope for retrospective application of the assurance framework have a formal assurance plan in place [measured by value].</w:t>
            </w:r>
          </w:p>
          <w:p w14:paraId="2239E7B6" w14:textId="77777777" w:rsidR="00E72061" w:rsidRPr="00E72061" w:rsidRDefault="00E72061" w:rsidP="00E72061">
            <w:pPr>
              <w:pStyle w:val="TableColumnHeadingLeft"/>
              <w:rPr>
                <w:rFonts w:ascii="Arial" w:hAnsi="Arial" w:cs="Arial"/>
                <w:b w:val="0"/>
              </w:rPr>
            </w:pPr>
          </w:p>
          <w:p w14:paraId="2239E7B7" w14:textId="77777777" w:rsidR="00E72061" w:rsidRPr="00E72061" w:rsidRDefault="00E72061" w:rsidP="00E72061">
            <w:pPr>
              <w:pStyle w:val="TableColumnHeadingLeft"/>
              <w:rPr>
                <w:rFonts w:ascii="Arial" w:hAnsi="Arial" w:cs="Arial"/>
                <w:b w:val="0"/>
              </w:rPr>
            </w:pPr>
            <w:r w:rsidRPr="00E72061">
              <w:rPr>
                <w:rFonts w:ascii="Arial" w:hAnsi="Arial" w:cs="Arial"/>
                <w:b w:val="0"/>
              </w:rPr>
              <w:t>2024-2026:</w:t>
            </w:r>
          </w:p>
          <w:p w14:paraId="2239E7B8" w14:textId="77777777" w:rsidR="00E72061" w:rsidRPr="00E72061" w:rsidRDefault="00E72061" w:rsidP="00E72061">
            <w:pPr>
              <w:pStyle w:val="TableColumnHeadingLeft"/>
              <w:rPr>
                <w:rFonts w:ascii="Arial" w:hAnsi="Arial" w:cs="Arial"/>
                <w:b w:val="0"/>
              </w:rPr>
            </w:pPr>
            <w:r w:rsidRPr="00E72061">
              <w:rPr>
                <w:rFonts w:ascii="Arial" w:hAnsi="Arial" w:cs="Arial"/>
                <w:b w:val="0"/>
              </w:rPr>
              <w:t>100% of new digital investments identified by the DTA as in-scope for the Digital and ICT Investment Oversight Framework have a formal assurance plan in place [measured by value].</w:t>
            </w:r>
          </w:p>
          <w:p w14:paraId="2239E7B9" w14:textId="77777777" w:rsidR="00E72061" w:rsidRPr="00E72061" w:rsidRDefault="00E72061" w:rsidP="00E72061">
            <w:pPr>
              <w:pStyle w:val="TableColumnHeadingLeft"/>
              <w:rPr>
                <w:rFonts w:ascii="Arial" w:hAnsi="Arial" w:cs="Arial"/>
                <w:b w:val="0"/>
              </w:rPr>
            </w:pPr>
          </w:p>
          <w:p w14:paraId="2239E7BA" w14:textId="77777777" w:rsidR="00E72061" w:rsidRPr="00E72061" w:rsidRDefault="00E72061" w:rsidP="00E72061">
            <w:pPr>
              <w:pStyle w:val="TableColumnHeadingLeft"/>
              <w:rPr>
                <w:rFonts w:ascii="Arial" w:hAnsi="Arial" w:cs="Arial"/>
                <w:b w:val="0"/>
              </w:rPr>
            </w:pPr>
            <w:r w:rsidRPr="00E72061">
              <w:rPr>
                <w:rFonts w:ascii="Arial" w:hAnsi="Arial" w:cs="Arial"/>
                <w:b w:val="0"/>
              </w:rPr>
              <w:t>100% of digital projects (tier 1, 2 and 3) have a formal assurance plan in place [measured by value].</w:t>
            </w:r>
          </w:p>
        </w:tc>
      </w:tr>
      <w:tr w:rsidR="00E72061" w:rsidRPr="006E1CE4" w14:paraId="2239E7BF" w14:textId="77777777" w:rsidTr="00D86D0D">
        <w:tblPrEx>
          <w:tblLook w:val="04A0" w:firstRow="1" w:lastRow="0" w:firstColumn="1" w:lastColumn="0" w:noHBand="0" w:noVBand="1"/>
        </w:tblPrEx>
        <w:trPr>
          <w:trHeight w:val="255"/>
        </w:trPr>
        <w:tc>
          <w:tcPr>
            <w:tcW w:w="1560" w:type="dxa"/>
            <w:tcBorders>
              <w:top w:val="nil"/>
              <w:left w:val="single" w:sz="4" w:space="0" w:color="auto"/>
              <w:bottom w:val="nil"/>
              <w:right w:val="single" w:sz="4" w:space="0" w:color="auto"/>
            </w:tcBorders>
          </w:tcPr>
          <w:p w14:paraId="2239E7BC" w14:textId="77777777" w:rsidR="00E72061" w:rsidRPr="006E1CE4" w:rsidRDefault="00E72061" w:rsidP="00E72061">
            <w:pPr>
              <w:pStyle w:val="TableColumnHeadingLeft"/>
            </w:pPr>
          </w:p>
        </w:tc>
        <w:tc>
          <w:tcPr>
            <w:tcW w:w="3118" w:type="dxa"/>
            <w:tcBorders>
              <w:top w:val="dotted" w:sz="4" w:space="0" w:color="auto"/>
              <w:left w:val="single" w:sz="4" w:space="0" w:color="auto"/>
              <w:bottom w:val="dotted" w:sz="4" w:space="0" w:color="auto"/>
              <w:right w:val="single" w:sz="6" w:space="0" w:color="auto"/>
            </w:tcBorders>
          </w:tcPr>
          <w:p w14:paraId="2239E7BD" w14:textId="77777777" w:rsidR="00E72061" w:rsidRPr="00E72061" w:rsidRDefault="00E72061" w:rsidP="00C8474A">
            <w:pPr>
              <w:numPr>
                <w:ilvl w:val="1"/>
                <w:numId w:val="42"/>
              </w:numPr>
              <w:tabs>
                <w:tab w:val="left" w:pos="426"/>
              </w:tabs>
              <w:spacing w:before="20" w:after="20" w:line="240" w:lineRule="auto"/>
              <w:ind w:left="426" w:hanging="426"/>
              <w:rPr>
                <w:rFonts w:ascii="Arial" w:hAnsi="Arial" w:cs="Arial"/>
                <w:sz w:val="16"/>
              </w:rPr>
            </w:pPr>
            <w:r w:rsidRPr="00E72061">
              <w:rPr>
                <w:rFonts w:ascii="Arial" w:hAnsi="Arial" w:cs="Arial"/>
                <w:sz w:val="16"/>
              </w:rPr>
              <w:t>Alignment of whole-of-government digital platforms, technologies and services with Australian Government Architecture.</w:t>
            </w:r>
          </w:p>
        </w:tc>
        <w:tc>
          <w:tcPr>
            <w:tcW w:w="3118" w:type="dxa"/>
            <w:tcBorders>
              <w:top w:val="dotted" w:sz="4" w:space="0" w:color="auto"/>
              <w:left w:val="single" w:sz="6" w:space="0" w:color="auto"/>
              <w:bottom w:val="dotted" w:sz="4" w:space="0" w:color="auto"/>
              <w:right w:val="single" w:sz="4" w:space="0" w:color="auto"/>
            </w:tcBorders>
          </w:tcPr>
          <w:p w14:paraId="2239E7BE" w14:textId="77777777" w:rsidR="00E72061" w:rsidRPr="00E72061" w:rsidRDefault="00E72061" w:rsidP="00E72061">
            <w:pPr>
              <w:pStyle w:val="TableColumnHeadingLeft"/>
              <w:rPr>
                <w:rFonts w:ascii="Arial" w:hAnsi="Arial" w:cs="Arial"/>
                <w:b w:val="0"/>
              </w:rPr>
            </w:pPr>
            <w:r w:rsidRPr="00E72061">
              <w:rPr>
                <w:rFonts w:ascii="Arial" w:hAnsi="Arial" w:cs="Arial"/>
                <w:b w:val="0"/>
              </w:rPr>
              <w:t>As per 2022-23</w:t>
            </w:r>
          </w:p>
        </w:tc>
      </w:tr>
      <w:tr w:rsidR="00E72061" w:rsidRPr="006E1CE4" w14:paraId="2239E7C3" w14:textId="77777777" w:rsidTr="00D86D0D">
        <w:tblPrEx>
          <w:tblLook w:val="04A0" w:firstRow="1" w:lastRow="0" w:firstColumn="1" w:lastColumn="0" w:noHBand="0" w:noVBand="1"/>
        </w:tblPrEx>
        <w:trPr>
          <w:trHeight w:val="255"/>
        </w:trPr>
        <w:tc>
          <w:tcPr>
            <w:tcW w:w="1560" w:type="dxa"/>
            <w:tcBorders>
              <w:top w:val="nil"/>
              <w:left w:val="single" w:sz="4" w:space="0" w:color="auto"/>
              <w:bottom w:val="nil"/>
              <w:right w:val="single" w:sz="4" w:space="0" w:color="auto"/>
            </w:tcBorders>
          </w:tcPr>
          <w:p w14:paraId="2239E7C0" w14:textId="77777777" w:rsidR="00E72061" w:rsidRPr="006E1CE4" w:rsidRDefault="00E72061" w:rsidP="00E72061">
            <w:pPr>
              <w:pStyle w:val="TableColumnHeadingLeft"/>
            </w:pPr>
          </w:p>
        </w:tc>
        <w:tc>
          <w:tcPr>
            <w:tcW w:w="3118" w:type="dxa"/>
            <w:tcBorders>
              <w:top w:val="dotted" w:sz="4" w:space="0" w:color="auto"/>
              <w:left w:val="single" w:sz="4" w:space="0" w:color="auto"/>
              <w:bottom w:val="dotted" w:sz="4" w:space="0" w:color="auto"/>
              <w:right w:val="single" w:sz="6" w:space="0" w:color="auto"/>
            </w:tcBorders>
          </w:tcPr>
          <w:p w14:paraId="2239E7C1" w14:textId="77777777" w:rsidR="00E72061" w:rsidRPr="00E72061" w:rsidRDefault="00E72061" w:rsidP="00C8474A">
            <w:pPr>
              <w:numPr>
                <w:ilvl w:val="1"/>
                <w:numId w:val="43"/>
              </w:numPr>
              <w:tabs>
                <w:tab w:val="left" w:pos="426"/>
              </w:tabs>
              <w:spacing w:before="20" w:after="20" w:line="240" w:lineRule="auto"/>
              <w:ind w:left="426" w:hanging="426"/>
              <w:rPr>
                <w:rFonts w:ascii="Arial" w:hAnsi="Arial" w:cs="Arial"/>
                <w:sz w:val="16"/>
              </w:rPr>
            </w:pPr>
            <w:r w:rsidRPr="00E72061">
              <w:rPr>
                <w:rFonts w:ascii="Arial" w:hAnsi="Arial" w:cs="Arial"/>
                <w:sz w:val="16"/>
              </w:rPr>
              <w:t>Management of whole-of-government digital strategic sourcing, contracts and purchasing arrangements and systems.</w:t>
            </w:r>
          </w:p>
        </w:tc>
        <w:tc>
          <w:tcPr>
            <w:tcW w:w="3118" w:type="dxa"/>
            <w:tcBorders>
              <w:top w:val="dotted" w:sz="4" w:space="0" w:color="auto"/>
              <w:left w:val="single" w:sz="6" w:space="0" w:color="auto"/>
              <w:bottom w:val="dotted" w:sz="4" w:space="0" w:color="auto"/>
              <w:right w:val="single" w:sz="4" w:space="0" w:color="auto"/>
            </w:tcBorders>
          </w:tcPr>
          <w:p w14:paraId="2239E7C2" w14:textId="77777777" w:rsidR="00E72061" w:rsidRPr="00E72061" w:rsidRDefault="00E72061" w:rsidP="00E72061">
            <w:pPr>
              <w:pStyle w:val="TableColumnHeadingLeft"/>
              <w:rPr>
                <w:rFonts w:ascii="Arial" w:hAnsi="Arial" w:cs="Arial"/>
                <w:b w:val="0"/>
              </w:rPr>
            </w:pPr>
            <w:r w:rsidRPr="00E72061">
              <w:rPr>
                <w:rFonts w:ascii="Arial" w:hAnsi="Arial" w:cs="Arial"/>
                <w:b w:val="0"/>
              </w:rPr>
              <w:t>As per 2022-23</w:t>
            </w:r>
          </w:p>
        </w:tc>
      </w:tr>
      <w:tr w:rsidR="00E72061" w:rsidRPr="006E1CE4" w14:paraId="2239E7C7" w14:textId="77777777" w:rsidTr="00D86D0D">
        <w:tblPrEx>
          <w:tblLook w:val="04A0" w:firstRow="1" w:lastRow="0" w:firstColumn="1" w:lastColumn="0" w:noHBand="0" w:noVBand="1"/>
        </w:tblPrEx>
        <w:trPr>
          <w:trHeight w:val="255"/>
        </w:trPr>
        <w:tc>
          <w:tcPr>
            <w:tcW w:w="1560" w:type="dxa"/>
            <w:tcBorders>
              <w:top w:val="nil"/>
              <w:left w:val="single" w:sz="4" w:space="0" w:color="auto"/>
              <w:bottom w:val="nil"/>
              <w:right w:val="single" w:sz="4" w:space="0" w:color="auto"/>
            </w:tcBorders>
          </w:tcPr>
          <w:p w14:paraId="2239E7C4" w14:textId="77777777" w:rsidR="00E72061" w:rsidRPr="006E1CE4" w:rsidRDefault="00E72061" w:rsidP="00E72061">
            <w:pPr>
              <w:pStyle w:val="TableColumnHeadingLeft"/>
            </w:pPr>
          </w:p>
        </w:tc>
        <w:tc>
          <w:tcPr>
            <w:tcW w:w="3118" w:type="dxa"/>
            <w:tcBorders>
              <w:top w:val="dotted" w:sz="4" w:space="0" w:color="auto"/>
              <w:left w:val="single" w:sz="4" w:space="0" w:color="auto"/>
              <w:bottom w:val="dotted" w:sz="4" w:space="0" w:color="auto"/>
              <w:right w:val="single" w:sz="6" w:space="0" w:color="auto"/>
            </w:tcBorders>
          </w:tcPr>
          <w:p w14:paraId="2239E7C5" w14:textId="77777777" w:rsidR="00E72061" w:rsidRPr="00E72061" w:rsidRDefault="00E72061" w:rsidP="00C8474A">
            <w:pPr>
              <w:numPr>
                <w:ilvl w:val="1"/>
                <w:numId w:val="43"/>
              </w:numPr>
              <w:tabs>
                <w:tab w:val="left" w:pos="426"/>
              </w:tabs>
              <w:spacing w:before="20" w:after="20" w:line="240" w:lineRule="auto"/>
              <w:ind w:left="426" w:hanging="426"/>
              <w:rPr>
                <w:rFonts w:ascii="Arial" w:hAnsi="Arial" w:cs="Arial"/>
                <w:sz w:val="16"/>
              </w:rPr>
            </w:pPr>
            <w:r w:rsidRPr="00E72061">
              <w:rPr>
                <w:rFonts w:ascii="Arial" w:hAnsi="Arial" w:cs="Arial"/>
                <w:sz w:val="16"/>
              </w:rPr>
              <w:t>Value for money digital and ICT procurements.</w:t>
            </w:r>
          </w:p>
        </w:tc>
        <w:tc>
          <w:tcPr>
            <w:tcW w:w="3118" w:type="dxa"/>
            <w:tcBorders>
              <w:top w:val="dotted" w:sz="4" w:space="0" w:color="auto"/>
              <w:left w:val="single" w:sz="6" w:space="0" w:color="auto"/>
              <w:bottom w:val="dotted" w:sz="4" w:space="0" w:color="auto"/>
              <w:right w:val="single" w:sz="4" w:space="0" w:color="auto"/>
            </w:tcBorders>
          </w:tcPr>
          <w:p w14:paraId="2239E7C6" w14:textId="77777777" w:rsidR="00E72061" w:rsidRPr="00E72061" w:rsidRDefault="00E72061" w:rsidP="00E72061">
            <w:pPr>
              <w:pStyle w:val="TableColumnHeadingLeft"/>
              <w:rPr>
                <w:rFonts w:ascii="Arial" w:hAnsi="Arial" w:cs="Arial"/>
                <w:b w:val="0"/>
              </w:rPr>
            </w:pPr>
            <w:r w:rsidRPr="00E72061">
              <w:rPr>
                <w:rFonts w:ascii="Arial" w:hAnsi="Arial" w:cs="Arial"/>
                <w:b w:val="0"/>
              </w:rPr>
              <w:t>As per 2022-23</w:t>
            </w:r>
          </w:p>
        </w:tc>
      </w:tr>
      <w:tr w:rsidR="00E72061" w:rsidRPr="006E1CE4" w14:paraId="2239E7D1" w14:textId="77777777" w:rsidTr="00D86D0D">
        <w:tblPrEx>
          <w:tblLook w:val="04A0" w:firstRow="1" w:lastRow="0" w:firstColumn="1" w:lastColumn="0" w:noHBand="0" w:noVBand="1"/>
        </w:tblPrEx>
        <w:trPr>
          <w:trHeight w:val="255"/>
        </w:trPr>
        <w:tc>
          <w:tcPr>
            <w:tcW w:w="1560" w:type="dxa"/>
            <w:tcBorders>
              <w:top w:val="nil"/>
              <w:left w:val="single" w:sz="4" w:space="0" w:color="auto"/>
              <w:bottom w:val="single" w:sz="4" w:space="0" w:color="auto"/>
              <w:right w:val="single" w:sz="4" w:space="0" w:color="auto"/>
            </w:tcBorders>
          </w:tcPr>
          <w:p w14:paraId="2239E7C8" w14:textId="77777777" w:rsidR="00E72061" w:rsidRPr="006E1CE4" w:rsidRDefault="00E72061" w:rsidP="00E72061">
            <w:pPr>
              <w:pStyle w:val="TableColumnHeadingLeft"/>
            </w:pPr>
          </w:p>
        </w:tc>
        <w:tc>
          <w:tcPr>
            <w:tcW w:w="3118" w:type="dxa"/>
            <w:tcBorders>
              <w:top w:val="dotted" w:sz="4" w:space="0" w:color="auto"/>
              <w:left w:val="single" w:sz="4" w:space="0" w:color="auto"/>
              <w:bottom w:val="dotted" w:sz="4" w:space="0" w:color="auto"/>
              <w:right w:val="single" w:sz="6" w:space="0" w:color="auto"/>
            </w:tcBorders>
          </w:tcPr>
          <w:p w14:paraId="2239E7C9" w14:textId="77777777" w:rsidR="00E72061" w:rsidRPr="00E72061" w:rsidRDefault="00E72061" w:rsidP="00C8474A">
            <w:pPr>
              <w:numPr>
                <w:ilvl w:val="1"/>
                <w:numId w:val="44"/>
              </w:numPr>
              <w:tabs>
                <w:tab w:val="left" w:pos="426"/>
              </w:tabs>
              <w:spacing w:before="20" w:after="20" w:line="240" w:lineRule="auto"/>
              <w:ind w:left="426" w:hanging="426"/>
              <w:rPr>
                <w:rFonts w:ascii="Arial" w:hAnsi="Arial" w:cs="Arial"/>
                <w:sz w:val="16"/>
              </w:rPr>
            </w:pPr>
            <w:r w:rsidRPr="00E72061">
              <w:rPr>
                <w:rFonts w:ascii="Arial" w:hAnsi="Arial" w:cs="Arial"/>
                <w:sz w:val="16"/>
              </w:rPr>
              <w:t>Ability of DTA staff to support strategic objectives.</w:t>
            </w:r>
          </w:p>
        </w:tc>
        <w:tc>
          <w:tcPr>
            <w:tcW w:w="3118" w:type="dxa"/>
            <w:tcBorders>
              <w:top w:val="dotted" w:sz="4" w:space="0" w:color="auto"/>
              <w:left w:val="single" w:sz="6" w:space="0" w:color="auto"/>
              <w:bottom w:val="dotted" w:sz="4" w:space="0" w:color="auto"/>
              <w:right w:val="single" w:sz="4" w:space="0" w:color="auto"/>
            </w:tcBorders>
          </w:tcPr>
          <w:p w14:paraId="2239E7CA" w14:textId="77777777" w:rsidR="00E72061" w:rsidRPr="00E72061" w:rsidRDefault="00E72061" w:rsidP="00E72061">
            <w:pPr>
              <w:pStyle w:val="TableColumnHeadingLeft"/>
              <w:rPr>
                <w:rFonts w:ascii="Arial" w:hAnsi="Arial" w:cs="Arial"/>
                <w:b w:val="0"/>
              </w:rPr>
            </w:pPr>
            <w:r w:rsidRPr="00E72061">
              <w:rPr>
                <w:rFonts w:ascii="Arial" w:hAnsi="Arial" w:cs="Arial"/>
                <w:b w:val="0"/>
              </w:rPr>
              <w:t>Maintenance of, or increase in, staff satisfaction and wellbeing annually.</w:t>
            </w:r>
          </w:p>
          <w:p w14:paraId="2239E7CB" w14:textId="77777777" w:rsidR="00E72061" w:rsidRPr="00E72061" w:rsidRDefault="00E72061" w:rsidP="00E72061">
            <w:pPr>
              <w:pStyle w:val="TableColumnHeadingLeft"/>
              <w:rPr>
                <w:rFonts w:ascii="Arial" w:hAnsi="Arial" w:cs="Arial"/>
                <w:b w:val="0"/>
              </w:rPr>
            </w:pPr>
          </w:p>
          <w:p w14:paraId="2239E7CC" w14:textId="77777777" w:rsidR="00E72061" w:rsidRPr="00E72061" w:rsidRDefault="00E72061" w:rsidP="00E72061">
            <w:pPr>
              <w:pStyle w:val="TableColumnHeadingLeft"/>
              <w:rPr>
                <w:rFonts w:ascii="Arial" w:hAnsi="Arial" w:cs="Arial"/>
                <w:b w:val="0"/>
              </w:rPr>
            </w:pPr>
            <w:r w:rsidRPr="00E72061">
              <w:rPr>
                <w:rFonts w:ascii="Arial" w:hAnsi="Arial" w:cs="Arial"/>
                <w:b w:val="0"/>
              </w:rPr>
              <w:t>Reduction in harassment, bullying and discrimination scores.</w:t>
            </w:r>
          </w:p>
          <w:p w14:paraId="2239E7CD" w14:textId="77777777" w:rsidR="00E72061" w:rsidRPr="00E72061" w:rsidRDefault="00E72061" w:rsidP="00E72061">
            <w:pPr>
              <w:pStyle w:val="TableColumnHeadingLeft"/>
              <w:rPr>
                <w:rFonts w:ascii="Arial" w:hAnsi="Arial" w:cs="Arial"/>
                <w:b w:val="0"/>
              </w:rPr>
            </w:pPr>
          </w:p>
          <w:p w14:paraId="2239E7CE" w14:textId="77777777" w:rsidR="00E72061" w:rsidRPr="00E72061" w:rsidRDefault="00E72061" w:rsidP="00E72061">
            <w:pPr>
              <w:pStyle w:val="TableColumnHeadingLeft"/>
              <w:rPr>
                <w:rFonts w:ascii="Arial" w:hAnsi="Arial" w:cs="Arial"/>
                <w:b w:val="0"/>
              </w:rPr>
            </w:pPr>
            <w:r w:rsidRPr="00E72061">
              <w:rPr>
                <w:rFonts w:ascii="Arial" w:hAnsi="Arial" w:cs="Arial"/>
                <w:b w:val="0"/>
              </w:rPr>
              <w:t>80% APS engagement score.</w:t>
            </w:r>
          </w:p>
          <w:p w14:paraId="2239E7CF" w14:textId="77777777" w:rsidR="00E72061" w:rsidRPr="00E72061" w:rsidRDefault="00E72061" w:rsidP="00E72061">
            <w:pPr>
              <w:pStyle w:val="TableColumnHeadingLeft"/>
              <w:rPr>
                <w:rFonts w:ascii="Arial" w:hAnsi="Arial" w:cs="Arial"/>
                <w:b w:val="0"/>
              </w:rPr>
            </w:pPr>
          </w:p>
          <w:p w14:paraId="2239E7D0" w14:textId="77777777" w:rsidR="00E72061" w:rsidRPr="00E72061" w:rsidRDefault="00E72061" w:rsidP="00E72061">
            <w:pPr>
              <w:pStyle w:val="TableColumnHeadingLeft"/>
              <w:rPr>
                <w:rFonts w:ascii="Arial" w:hAnsi="Arial" w:cs="Arial"/>
                <w:b w:val="0"/>
              </w:rPr>
            </w:pPr>
            <w:r w:rsidRPr="00E72061">
              <w:rPr>
                <w:rFonts w:ascii="Arial" w:hAnsi="Arial" w:cs="Arial"/>
                <w:b w:val="0"/>
              </w:rPr>
              <w:t>100% of development plans agreed.</w:t>
            </w:r>
          </w:p>
        </w:tc>
      </w:tr>
      <w:tr w:rsidR="00E72061" w:rsidRPr="006E1CE4" w14:paraId="2239E7D3" w14:textId="77777777" w:rsidTr="00D46837">
        <w:tblPrEx>
          <w:tblLook w:val="04A0" w:firstRow="1" w:lastRow="0" w:firstColumn="1" w:lastColumn="0" w:noHBand="0" w:noVBand="1"/>
        </w:tblPrEx>
        <w:trPr>
          <w:trHeight w:val="291"/>
        </w:trPr>
        <w:tc>
          <w:tcPr>
            <w:tcW w:w="7796" w:type="dxa"/>
            <w:gridSpan w:val="3"/>
          </w:tcPr>
          <w:p w14:paraId="2239E7D2" w14:textId="77777777" w:rsidR="00E72061" w:rsidRPr="006E1CE4" w:rsidRDefault="00E72061" w:rsidP="00D46837">
            <w:pPr>
              <w:pStyle w:val="TableTextLeft"/>
              <w:rPr>
                <w:rFonts w:eastAsia="Cambria"/>
                <w:bCs/>
                <w:iCs/>
                <w:color w:val="0070C0"/>
                <w:spacing w:val="-6"/>
                <w:lang w:val="x-none"/>
              </w:rPr>
            </w:pPr>
            <w:r w:rsidRPr="006E1CE4">
              <w:t>Material changes to Program 1.1 resulting from October 2022-23 Budget Measures:</w:t>
            </w:r>
            <w:r w:rsidRPr="006E1CE4">
              <w:rPr>
                <w:bCs/>
                <w:iCs/>
                <w:color w:val="2E74B5"/>
                <w:spacing w:val="-6"/>
              </w:rPr>
              <w:t xml:space="preserve"> </w:t>
            </w:r>
            <w:r w:rsidRPr="006E1CE4">
              <w:rPr>
                <w:bCs/>
                <w:iCs/>
                <w:spacing w:val="-6"/>
              </w:rPr>
              <w:t>Nil</w:t>
            </w:r>
          </w:p>
        </w:tc>
      </w:tr>
    </w:tbl>
    <w:p w14:paraId="61DE76E6" w14:textId="67A3BE40" w:rsidR="006C2BE3" w:rsidRDefault="006C2BE3" w:rsidP="00E36F77">
      <w:pPr>
        <w:pStyle w:val="Heading2"/>
      </w:pPr>
      <w:bookmarkStart w:id="28" w:name="_Toc116742524"/>
      <w:r>
        <w:br w:type="page"/>
      </w:r>
    </w:p>
    <w:p w14:paraId="2239E7D7" w14:textId="74E720B3" w:rsidR="00BF0558" w:rsidRPr="00F154A2" w:rsidRDefault="00BF0558" w:rsidP="00F154A2">
      <w:pPr>
        <w:pStyle w:val="Heading2"/>
      </w:pPr>
      <w:bookmarkStart w:id="29" w:name="_Toc117070815"/>
      <w:bookmarkStart w:id="30" w:name="_Toc117071070"/>
      <w:bookmarkStart w:id="31" w:name="_Toc117078104"/>
      <w:r w:rsidRPr="00F154A2">
        <w:lastRenderedPageBreak/>
        <w:t>Section 3: Budgeted financial statements</w:t>
      </w:r>
      <w:bookmarkEnd w:id="28"/>
      <w:bookmarkEnd w:id="29"/>
      <w:bookmarkEnd w:id="30"/>
      <w:bookmarkEnd w:id="31"/>
    </w:p>
    <w:p w14:paraId="019C7DD4" w14:textId="77777777" w:rsidR="002619D5" w:rsidRDefault="002619D5" w:rsidP="00DD7FBC">
      <w:pPr>
        <w:rPr>
          <w:b/>
        </w:rPr>
      </w:pPr>
      <w:bookmarkStart w:id="32" w:name="_Toc116742525"/>
      <w:bookmarkStart w:id="33" w:name="_Toc117070816"/>
      <w:bookmarkStart w:id="34" w:name="_Toc117071071"/>
      <w:r w:rsidRPr="002619D5">
        <w:t>Section 3 presents budgeted financial statements which provide a comprehensive snapshot of entity finances for the 2022-23 budget year, including the impact of budget measures and resourcing on financial statements.</w:t>
      </w:r>
      <w:bookmarkEnd w:id="32"/>
      <w:bookmarkEnd w:id="33"/>
      <w:bookmarkEnd w:id="34"/>
    </w:p>
    <w:p w14:paraId="2239E7D9" w14:textId="521EC5F1" w:rsidR="00BF0558" w:rsidRPr="005328A9" w:rsidRDefault="00BF0558" w:rsidP="005328A9">
      <w:pPr>
        <w:pStyle w:val="Heading3"/>
      </w:pPr>
      <w:bookmarkStart w:id="35" w:name="_Toc116742526"/>
      <w:bookmarkStart w:id="36" w:name="_Toc117070817"/>
      <w:bookmarkStart w:id="37" w:name="_Toc117071072"/>
      <w:bookmarkStart w:id="38" w:name="_Toc117078105"/>
      <w:r w:rsidRPr="005328A9">
        <w:t>3.1</w:t>
      </w:r>
      <w:r w:rsidRPr="005328A9">
        <w:tab/>
        <w:t>Budgeted financial statements</w:t>
      </w:r>
      <w:bookmarkEnd w:id="35"/>
      <w:bookmarkEnd w:id="36"/>
      <w:bookmarkEnd w:id="37"/>
      <w:bookmarkEnd w:id="38"/>
    </w:p>
    <w:p w14:paraId="2239E7DA" w14:textId="77777777" w:rsidR="00BF0558" w:rsidRDefault="00BF0558" w:rsidP="00E4582E">
      <w:pPr>
        <w:pStyle w:val="Heading4"/>
      </w:pPr>
      <w:r>
        <w:t>3.1.1</w:t>
      </w:r>
      <w:r>
        <w:tab/>
        <w:t>Differences between entity resourcing and financial statements</w:t>
      </w:r>
    </w:p>
    <w:p w14:paraId="40BC5F20" w14:textId="77777777" w:rsidR="002619D5" w:rsidRDefault="002619D5" w:rsidP="002619D5">
      <w:pPr>
        <w:pStyle w:val="Heading4"/>
        <w:spacing w:before="240" w:after="240" w:line="240" w:lineRule="exact"/>
        <w:rPr>
          <w:rFonts w:ascii="Book Antiqua" w:hAnsi="Book Antiqua"/>
          <w:b w:val="0"/>
          <w:sz w:val="19"/>
        </w:rPr>
      </w:pPr>
      <w:r w:rsidRPr="002619D5">
        <w:rPr>
          <w:rFonts w:ascii="Book Antiqua" w:hAnsi="Book Antiqua"/>
          <w:b w:val="0"/>
          <w:sz w:val="19"/>
        </w:rPr>
        <w:t>The entity resource statement (Table 1.1) provides a consolidated view of all the resources available to the Digital Transformation Agency in 2022­23. This includes appropriation receivable that is yet to be drawn to cover payables and provisions on the balance sheet. The comprehensive income statement (Table 3.1) shows the operating appropriation provided in 2022­23.</w:t>
      </w:r>
    </w:p>
    <w:p w14:paraId="2239E7DC" w14:textId="6F6CEC91" w:rsidR="00BF0558" w:rsidRDefault="00BF0558" w:rsidP="00E4582E">
      <w:pPr>
        <w:pStyle w:val="Heading4"/>
      </w:pPr>
      <w:r>
        <w:t>3.1.2</w:t>
      </w:r>
      <w:r>
        <w:tab/>
        <w:t>Explanatory notes and analysis of budgeted financial statements</w:t>
      </w:r>
    </w:p>
    <w:p w14:paraId="01250041" w14:textId="77777777" w:rsidR="00DD7FBC" w:rsidRDefault="002619D5" w:rsidP="00DD7FBC">
      <w:pPr>
        <w:rPr>
          <w:bdr w:val="nil"/>
        </w:rPr>
      </w:pPr>
      <w:r w:rsidRPr="002619D5">
        <w:rPr>
          <w:bdr w:val="nil"/>
        </w:rPr>
        <w:t xml:space="preserve">Budgeted revenue from government in 2022­23 is estimated at $76.2 million, an increase of $11.2 million compared to the estimate for 2022­23 reported in the 2021­22 Portfolio Additional Estimates Statements. </w:t>
      </w:r>
    </w:p>
    <w:p w14:paraId="7BE31569" w14:textId="77777777" w:rsidR="00DD7FBC" w:rsidRDefault="002619D5" w:rsidP="00DD7FBC">
      <w:r w:rsidRPr="00DD7FBC">
        <w:t xml:space="preserve">Budgeted sales of goods and rendering of services in 2022­23 is estimated at $9.4 million, consistent with the estimate for 2022­23 reported in the 2021­22 Portfolio </w:t>
      </w:r>
      <w:r w:rsidR="00DD7FBC">
        <w:t>Additional Estimates Statements.</w:t>
      </w:r>
      <w:r w:rsidR="00DD7FBC">
        <w:br w:type="page"/>
      </w:r>
    </w:p>
    <w:p w14:paraId="2239E7DF" w14:textId="38CF1846" w:rsidR="00BF0558" w:rsidRPr="00DD7FBC" w:rsidRDefault="00FA74F9" w:rsidP="00DD7FBC">
      <w:pPr>
        <w:outlineLvl w:val="2"/>
        <w:rPr>
          <w:b/>
          <w:bdr w:val="nil"/>
        </w:rPr>
      </w:pPr>
      <w:bookmarkStart w:id="39" w:name="_Toc117078106"/>
      <w:r w:rsidRPr="00727A26">
        <w:rPr>
          <w:rStyle w:val="Heading3Char"/>
        </w:rPr>
        <w:lastRenderedPageBreak/>
        <w:t>3.2</w:t>
      </w:r>
      <w:r w:rsidR="00BF0558" w:rsidRPr="00727A26">
        <w:rPr>
          <w:rStyle w:val="Heading3Char"/>
        </w:rPr>
        <w:tab/>
        <w:t>Budgeted financial statements tables</w:t>
      </w:r>
      <w:bookmarkEnd w:id="39"/>
    </w:p>
    <w:p w14:paraId="2239E7E0" w14:textId="40988EF9" w:rsidR="00BF0558" w:rsidRDefault="00BF0558" w:rsidP="00146B5E">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r w:rsidR="002730FE" w:rsidRPr="002730FE">
        <w:rPr>
          <w:noProof/>
          <w:snapToGrid w:val="0"/>
        </w:rPr>
        <w:drawing>
          <wp:inline distT="0" distB="0" distL="0" distR="0" wp14:anchorId="230733A1" wp14:editId="7B11302B">
            <wp:extent cx="4895850" cy="4554279"/>
            <wp:effectExtent l="0" t="0" r="0" b="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95850" cy="4554279"/>
                    </a:xfrm>
                    <a:prstGeom prst="rect">
                      <a:avLst/>
                    </a:prstGeom>
                    <a:noFill/>
                    <a:ln>
                      <a:noFill/>
                    </a:ln>
                  </pic:spPr>
                </pic:pic>
              </a:graphicData>
            </a:graphic>
          </wp:inline>
        </w:drawing>
      </w:r>
    </w:p>
    <w:p w14:paraId="4346B2B2" w14:textId="77777777" w:rsidR="00ED602D" w:rsidRDefault="00BF0558" w:rsidP="00ED602D">
      <w:pPr>
        <w:pStyle w:val="Source"/>
        <w:spacing w:after="0"/>
        <w:ind w:left="0" w:firstLine="0"/>
        <w:rPr>
          <w:rFonts w:cs="Arial"/>
        </w:rPr>
      </w:pPr>
      <w:r w:rsidRPr="00D52088">
        <w:rPr>
          <w:noProof/>
        </w:rPr>
        <w:t xml:space="preserve"> </w:t>
      </w:r>
      <w:r w:rsidR="00ED602D" w:rsidRPr="009D54F3">
        <w:rPr>
          <w:rFonts w:cs="Arial"/>
        </w:rPr>
        <w:t>Prepared on Australian Accounting Standards basis.</w:t>
      </w:r>
    </w:p>
    <w:p w14:paraId="2239E7E1" w14:textId="0ECDCDDF" w:rsidR="00BF0558" w:rsidRDefault="00BF0558" w:rsidP="00392DD1">
      <w:pPr>
        <w:pStyle w:val="TableGraphic"/>
      </w:pPr>
    </w:p>
    <w:p w14:paraId="2239E7E2" w14:textId="77777777" w:rsidR="00BF0558" w:rsidRDefault="00BF0558" w:rsidP="00146B5E">
      <w:pPr>
        <w:pStyle w:val="TableHeadingcontinued"/>
        <w:rPr>
          <w:snapToGrid w:val="0"/>
        </w:rPr>
      </w:pPr>
      <w:r>
        <w:br w:type="page"/>
      </w:r>
      <w:r w:rsidRPr="00E855E0">
        <w:lastRenderedPageBreak/>
        <w:t>Table</w:t>
      </w:r>
      <w:r>
        <w:t xml:space="preserve"> 3.</w:t>
      </w:r>
      <w:r w:rsidRPr="00E855E0">
        <w:t>1</w:t>
      </w:r>
      <w:r>
        <w:t>:</w:t>
      </w:r>
      <w:r w:rsidRPr="00E855E0">
        <w:t xml:space="preserve"> Comprehensive income statement (showing net cost of services)</w:t>
      </w:r>
      <w:r>
        <w:t xml:space="preserve"> </w:t>
      </w:r>
      <w:r>
        <w:rPr>
          <w:snapToGrid w:val="0"/>
        </w:rPr>
        <w:t>for the period ended 30 June (continued)</w:t>
      </w:r>
    </w:p>
    <w:p w14:paraId="2239E7E3" w14:textId="77777777" w:rsidR="00BF0558" w:rsidRPr="003819E1" w:rsidRDefault="00BF0558" w:rsidP="00E36F77">
      <w:pPr>
        <w:pStyle w:val="SingleParagraph"/>
      </w:pPr>
    </w:p>
    <w:p w14:paraId="2239E7E5" w14:textId="405EF81C" w:rsidR="00BF0558" w:rsidRPr="002730FE" w:rsidRDefault="00BF0558" w:rsidP="002730FE">
      <w:pPr>
        <w:pStyle w:val="TableHeadingNoTable"/>
        <w:spacing w:after="0"/>
      </w:pPr>
      <w:r w:rsidRPr="003819E1">
        <w:t>Note: Impact of net cash appropriation arrangements</w:t>
      </w:r>
      <w:r w:rsidR="002730FE" w:rsidRPr="002730FE">
        <w:rPr>
          <w:noProof/>
        </w:rPr>
        <w:drawing>
          <wp:inline distT="0" distB="0" distL="0" distR="0" wp14:anchorId="513983D9" wp14:editId="1B9948F4">
            <wp:extent cx="4895850" cy="1965531"/>
            <wp:effectExtent l="0" t="0" r="0"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95850" cy="1965531"/>
                    </a:xfrm>
                    <a:prstGeom prst="rect">
                      <a:avLst/>
                    </a:prstGeom>
                    <a:noFill/>
                    <a:ln>
                      <a:noFill/>
                    </a:ln>
                  </pic:spPr>
                </pic:pic>
              </a:graphicData>
            </a:graphic>
          </wp:inline>
        </w:drawing>
      </w:r>
    </w:p>
    <w:p w14:paraId="2239E7E8" w14:textId="68A507E4" w:rsidR="00BF0558" w:rsidRDefault="00BF0558" w:rsidP="002730FE">
      <w:pPr>
        <w:pStyle w:val="Source"/>
        <w:spacing w:after="0"/>
        <w:ind w:left="0" w:firstLine="0"/>
        <w:rPr>
          <w:rFonts w:cs="Arial"/>
        </w:rPr>
      </w:pPr>
      <w:r w:rsidRPr="009D54F3">
        <w:rPr>
          <w:rFonts w:cs="Arial"/>
        </w:rPr>
        <w:t>Prepared on Australian Accounting Standards basis.</w:t>
      </w:r>
    </w:p>
    <w:p w14:paraId="371551DB" w14:textId="77777777" w:rsidR="00ED602D" w:rsidRPr="000B4E71" w:rsidRDefault="00ED602D" w:rsidP="00C8474A">
      <w:pPr>
        <w:pStyle w:val="Source"/>
        <w:numPr>
          <w:ilvl w:val="0"/>
          <w:numId w:val="52"/>
        </w:numPr>
        <w:spacing w:before="60" w:after="0"/>
        <w:ind w:left="284" w:hanging="284"/>
        <w:rPr>
          <w:rFonts w:cs="Arial"/>
          <w:color w:val="000000"/>
        </w:rPr>
      </w:pPr>
      <w:r w:rsidRPr="000B4E71">
        <w:rPr>
          <w:rFonts w:cs="Arial"/>
          <w:color w:val="000000"/>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47F2194C" w14:textId="77777777" w:rsidR="00ED602D" w:rsidRPr="000B4E71" w:rsidRDefault="00ED602D" w:rsidP="00C8474A">
      <w:pPr>
        <w:pStyle w:val="Source"/>
        <w:numPr>
          <w:ilvl w:val="0"/>
          <w:numId w:val="52"/>
        </w:numPr>
        <w:spacing w:before="60" w:after="0"/>
        <w:ind w:left="284" w:hanging="284"/>
        <w:rPr>
          <w:rFonts w:cs="Arial"/>
          <w:color w:val="000000"/>
        </w:rPr>
      </w:pPr>
      <w:r w:rsidRPr="000B4E71">
        <w:rPr>
          <w:rFonts w:cs="Arial"/>
          <w:color w:val="000000"/>
        </w:rPr>
        <w:t>Applies leases under AASB 16 Leases.</w:t>
      </w:r>
    </w:p>
    <w:p w14:paraId="1E2CB356" w14:textId="77777777" w:rsidR="00ED602D" w:rsidRDefault="00ED602D" w:rsidP="002730FE">
      <w:pPr>
        <w:pStyle w:val="Source"/>
        <w:spacing w:after="0"/>
        <w:ind w:left="0" w:firstLine="0"/>
        <w:rPr>
          <w:rFonts w:cs="Arial"/>
        </w:rPr>
      </w:pPr>
    </w:p>
    <w:p w14:paraId="2239E7EA" w14:textId="23AEDFE6" w:rsidR="00BF0558" w:rsidRDefault="00BF0558" w:rsidP="002730FE">
      <w:pPr>
        <w:pStyle w:val="TableHeading"/>
      </w:pPr>
      <w:r>
        <w:br w:type="page"/>
      </w:r>
      <w:r w:rsidRPr="00E4582E">
        <w:lastRenderedPageBreak/>
        <w:t>Table</w:t>
      </w:r>
      <w:r>
        <w:t xml:space="preserve"> 3.</w:t>
      </w:r>
      <w:r w:rsidRPr="00E4582E">
        <w:t>2: Budg</w:t>
      </w:r>
      <w:r>
        <w:t xml:space="preserve">eted departmental balance sheet </w:t>
      </w:r>
      <w:r w:rsidRPr="00E4582E">
        <w:t>(as at 30 June)</w:t>
      </w:r>
    </w:p>
    <w:p w14:paraId="06D04410" w14:textId="74BAE8B3" w:rsidR="002730FE" w:rsidRPr="002730FE" w:rsidRDefault="002730FE" w:rsidP="002730FE">
      <w:pPr>
        <w:pStyle w:val="TableGraphic"/>
      </w:pPr>
      <w:r w:rsidRPr="002730FE">
        <w:rPr>
          <w:noProof/>
        </w:rPr>
        <w:drawing>
          <wp:inline distT="0" distB="0" distL="0" distR="0" wp14:anchorId="0ACEC363" wp14:editId="4BE25863">
            <wp:extent cx="4895850" cy="4764016"/>
            <wp:effectExtent l="0" t="0" r="0"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95850" cy="4764016"/>
                    </a:xfrm>
                    <a:prstGeom prst="rect">
                      <a:avLst/>
                    </a:prstGeom>
                    <a:noFill/>
                    <a:ln>
                      <a:noFill/>
                    </a:ln>
                  </pic:spPr>
                </pic:pic>
              </a:graphicData>
            </a:graphic>
          </wp:inline>
        </w:drawing>
      </w:r>
    </w:p>
    <w:p w14:paraId="2239E7EB" w14:textId="77777777" w:rsidR="00BF0558" w:rsidRPr="00132F9E" w:rsidRDefault="00BF0558" w:rsidP="002730FE">
      <w:pPr>
        <w:pStyle w:val="ChartandTableFootnote"/>
      </w:pPr>
      <w:r w:rsidRPr="00132F9E">
        <w:t xml:space="preserve">Prepared on </w:t>
      </w:r>
      <w:r w:rsidRPr="00446EE2">
        <w:rPr>
          <w:rStyle w:val="ChartandTableFootnoteChar"/>
        </w:rPr>
        <w:t>Australian</w:t>
      </w:r>
      <w:r w:rsidRPr="00132F9E">
        <w:t xml:space="preserve"> Accounting Standards basis.</w:t>
      </w:r>
    </w:p>
    <w:p w14:paraId="2239E7EC" w14:textId="77777777" w:rsidR="00BF0558" w:rsidRPr="00152B2B" w:rsidRDefault="00BF0558" w:rsidP="002730FE">
      <w:pPr>
        <w:pStyle w:val="ChartandTableFootnote"/>
      </w:pPr>
      <w:r w:rsidRPr="00132F9E">
        <w:rPr>
          <w:rFonts w:cs="Arial"/>
        </w:rPr>
        <w:t>*‘Equity’ is the residual interest in assets after deduction of liabilities.</w:t>
      </w:r>
    </w:p>
    <w:p w14:paraId="2239E7ED" w14:textId="77777777" w:rsidR="00BF0558" w:rsidRDefault="00BF0558" w:rsidP="009763C1">
      <w:pPr>
        <w:pStyle w:val="TableHeading"/>
        <w:rPr>
          <w:rFonts w:ascii="Times New Roman" w:hAnsi="Times New Roman"/>
        </w:rPr>
      </w:pPr>
      <w:r>
        <w:br w:type="page"/>
      </w:r>
      <w:r w:rsidRPr="00AD42E2">
        <w:lastRenderedPageBreak/>
        <w:t>Table 3.3: Departmental statement of changes in equity — summary of</w:t>
      </w:r>
      <w:r>
        <w:t xml:space="preserve"> movement (Budget year 2022-23</w:t>
      </w:r>
      <w:r w:rsidRPr="00D30CBA">
        <w:t>)</w:t>
      </w:r>
      <w:r>
        <w:rPr>
          <w:color w:val="000000"/>
          <w:lang w:val="x-none" w:eastAsia="x-none"/>
        </w:rPr>
        <w:fldChar w:fldCharType="begin" w:fldLock="1"/>
      </w:r>
      <w:r>
        <w:instrText xml:space="preserve"> LINK Excel.Sheet.12 "\\\\romulus\\csg_h$\\MCD\\Publishing\\Graphic Design Services Team\\Projects\\2021\\Budget 2021\\03 PBS\\PBS templates\\Attachment B - 2021-22 PBS Excel Tables.xlsx" "Table 3.3!R3C1:R34C6" \a \f 4 \h </w:instrText>
      </w:r>
      <w:r>
        <w:rPr>
          <w:color w:val="000000"/>
          <w:lang w:val="x-none" w:eastAsia="x-none"/>
        </w:rPr>
        <w:fldChar w:fldCharType="separate"/>
      </w:r>
    </w:p>
    <w:p w14:paraId="2239E7EF" w14:textId="32D5E973" w:rsidR="00BF0558" w:rsidRPr="00744A0B" w:rsidRDefault="00BF0558" w:rsidP="00744A0B">
      <w:pPr>
        <w:pStyle w:val="TableGraphic"/>
        <w:spacing w:before="30"/>
        <w:ind w:right="0"/>
        <w:rPr>
          <w:rFonts w:ascii="Arial" w:hAnsi="Arial" w:cs="Arial"/>
          <w:sz w:val="16"/>
          <w:szCs w:val="16"/>
        </w:rPr>
      </w:pPr>
      <w:r>
        <w:fldChar w:fldCharType="end"/>
      </w:r>
      <w:r w:rsidR="002730FE" w:rsidRPr="002730FE">
        <w:rPr>
          <w:noProof/>
        </w:rPr>
        <w:drawing>
          <wp:inline distT="0" distB="0" distL="0" distR="0" wp14:anchorId="1D964D46" wp14:editId="1D62B1CF">
            <wp:extent cx="4895850" cy="2679646"/>
            <wp:effectExtent l="0" t="0" r="0" b="6985"/>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895850" cy="2679646"/>
                    </a:xfrm>
                    <a:prstGeom prst="rect">
                      <a:avLst/>
                    </a:prstGeom>
                    <a:noFill/>
                    <a:ln>
                      <a:noFill/>
                    </a:ln>
                  </pic:spPr>
                </pic:pic>
              </a:graphicData>
            </a:graphic>
          </wp:inline>
        </w:drawing>
      </w:r>
      <w:r w:rsidRPr="00744A0B">
        <w:rPr>
          <w:rFonts w:ascii="Arial" w:hAnsi="Arial" w:cs="Arial"/>
          <w:sz w:val="16"/>
          <w:szCs w:val="16"/>
        </w:rPr>
        <w:t>Prepared on Australian Accounting Standards basis</w:t>
      </w:r>
      <w:r w:rsidR="00871F92" w:rsidRPr="00744A0B">
        <w:rPr>
          <w:rFonts w:ascii="Arial" w:hAnsi="Arial" w:cs="Arial"/>
          <w:sz w:val="16"/>
          <w:szCs w:val="16"/>
        </w:rPr>
        <w:t>.</w:t>
      </w:r>
    </w:p>
    <w:p w14:paraId="2239E7F0" w14:textId="2700FC78" w:rsidR="00BF0558" w:rsidRDefault="00BF0558">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p w14:paraId="303B6A2D" w14:textId="75597F51" w:rsidR="002730FE" w:rsidRDefault="002730FE" w:rsidP="00744A0B">
      <w:pPr>
        <w:pStyle w:val="TableGraphic"/>
        <w:spacing w:before="30"/>
        <w:ind w:right="0"/>
      </w:pPr>
      <w:r w:rsidRPr="002730FE">
        <w:rPr>
          <w:noProof/>
        </w:rPr>
        <w:drawing>
          <wp:inline distT="0" distB="0" distL="0" distR="0" wp14:anchorId="3C1E0FC3" wp14:editId="4F2CD372">
            <wp:extent cx="4895850" cy="5812698"/>
            <wp:effectExtent l="0" t="0" r="0" b="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95850" cy="5812698"/>
                    </a:xfrm>
                    <a:prstGeom prst="rect">
                      <a:avLst/>
                    </a:prstGeom>
                    <a:noFill/>
                    <a:ln>
                      <a:noFill/>
                    </a:ln>
                  </pic:spPr>
                </pic:pic>
              </a:graphicData>
            </a:graphic>
          </wp:inline>
        </w:drawing>
      </w:r>
      <w:r w:rsidR="00BF0558" w:rsidRPr="00744A0B">
        <w:rPr>
          <w:rFonts w:ascii="Arial" w:hAnsi="Arial" w:cs="Arial"/>
          <w:sz w:val="16"/>
          <w:szCs w:val="16"/>
        </w:rPr>
        <w:t>Prepared on Australian Accounting Standards basis.</w:t>
      </w:r>
      <w:r>
        <w:br w:type="page"/>
      </w:r>
    </w:p>
    <w:p w14:paraId="04C2D62F" w14:textId="77777777" w:rsidR="0046283F" w:rsidRPr="00A00283" w:rsidRDefault="0046283F" w:rsidP="0046283F">
      <w:pPr>
        <w:pStyle w:val="TableHeading"/>
      </w:pPr>
      <w:r w:rsidRPr="00D30CBA">
        <w:lastRenderedPageBreak/>
        <w:t>Table</w:t>
      </w:r>
      <w:r>
        <w:t xml:space="preserve"> 3.5</w:t>
      </w:r>
      <w:r w:rsidRPr="00D30CBA">
        <w:t xml:space="preserve">: </w:t>
      </w:r>
      <w:r>
        <w:t>Departmental capital budget statement (for the period ended 30 June)</w:t>
      </w:r>
    </w:p>
    <w:p w14:paraId="419F85D7" w14:textId="77777777" w:rsidR="0046283F" w:rsidRDefault="0046283F" w:rsidP="0046283F">
      <w:pPr>
        <w:pStyle w:val="TableGraphic"/>
      </w:pPr>
    </w:p>
    <w:p w14:paraId="1FDE6EDC" w14:textId="1A0E0C30" w:rsidR="0046283F" w:rsidRPr="00744A0B" w:rsidRDefault="00744A0B" w:rsidP="00744A0B">
      <w:pPr>
        <w:pStyle w:val="TableGraphic"/>
        <w:spacing w:before="240" w:after="240" w:line="240" w:lineRule="exact"/>
        <w:ind w:right="0"/>
        <w:rPr>
          <w:noProof/>
        </w:rPr>
      </w:pPr>
      <w:r>
        <w:rPr>
          <w:noProof/>
        </w:rPr>
        <w:t xml:space="preserve">DTA has no budgeted </w:t>
      </w:r>
      <w:r w:rsidR="0046283F" w:rsidRPr="00744A0B">
        <w:rPr>
          <w:noProof/>
        </w:rPr>
        <w:t>capital expenditure.</w:t>
      </w:r>
      <w:r w:rsidRPr="00744A0B">
        <w:rPr>
          <w:noProof/>
        </w:rPr>
        <w:t xml:space="preserve"> </w:t>
      </w:r>
    </w:p>
    <w:p w14:paraId="5B9CEA49" w14:textId="77777777" w:rsidR="0046283F" w:rsidRDefault="0046283F" w:rsidP="002730FE">
      <w:pPr>
        <w:pStyle w:val="TableHeading"/>
      </w:pPr>
    </w:p>
    <w:p w14:paraId="2239E7F4" w14:textId="4BAA3415" w:rsidR="00953F3C" w:rsidRDefault="00953F3C" w:rsidP="002730FE">
      <w:pPr>
        <w:pStyle w:val="TableHeading"/>
      </w:pPr>
      <w:r>
        <w:t>Table 3.6: Statement of departmental asset movements (Budget year 2022-23)</w:t>
      </w:r>
    </w:p>
    <w:p w14:paraId="3C4EB7F7" w14:textId="77777777" w:rsidR="00744A0B" w:rsidRDefault="002730FE" w:rsidP="00744A0B">
      <w:pPr>
        <w:pStyle w:val="TableGraphic"/>
        <w:rPr>
          <w:b/>
          <w:sz w:val="16"/>
          <w:szCs w:val="16"/>
        </w:rPr>
      </w:pPr>
      <w:r w:rsidRPr="002730FE">
        <w:rPr>
          <w:noProof/>
        </w:rPr>
        <w:drawing>
          <wp:inline distT="0" distB="0" distL="0" distR="0" wp14:anchorId="275AD933" wp14:editId="4CF60E8E">
            <wp:extent cx="4229100" cy="4425950"/>
            <wp:effectExtent l="0" t="0" r="0"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229100" cy="4425950"/>
                    </a:xfrm>
                    <a:prstGeom prst="rect">
                      <a:avLst/>
                    </a:prstGeom>
                    <a:noFill/>
                    <a:ln>
                      <a:noFill/>
                    </a:ln>
                  </pic:spPr>
                </pic:pic>
              </a:graphicData>
            </a:graphic>
          </wp:inline>
        </w:drawing>
      </w:r>
    </w:p>
    <w:p w14:paraId="098EEFD3" w14:textId="4B028FAD" w:rsidR="00054B77" w:rsidRDefault="004531F2" w:rsidP="00744A0B">
      <w:pPr>
        <w:pStyle w:val="TableGraphic"/>
        <w:spacing w:before="30"/>
        <w:ind w:right="0"/>
      </w:pPr>
      <w:r w:rsidRPr="00744A0B">
        <w:rPr>
          <w:rFonts w:ascii="Arial" w:hAnsi="Arial" w:cs="Arial"/>
          <w:sz w:val="16"/>
          <w:szCs w:val="16"/>
        </w:rPr>
        <w:t>Prepared on Australian Accounting Standards basis.</w:t>
      </w:r>
      <w:bookmarkEnd w:id="2"/>
      <w:r w:rsidR="00054B77" w:rsidRPr="00744A0B">
        <w:rPr>
          <w:b/>
        </w:rPr>
        <w:br w:type="page"/>
      </w:r>
      <w:r w:rsidR="00054B77" w:rsidRPr="0047134B">
        <w:rPr>
          <w:rFonts w:ascii="Arial" w:hAnsi="Arial"/>
          <w:b/>
          <w:sz w:val="20"/>
        </w:rPr>
        <w:lastRenderedPageBreak/>
        <w:t>Table 3.7: Schedule of budgeted income and expenses administered on behalf of Government (for the period ended 30 June)</w:t>
      </w:r>
    </w:p>
    <w:p w14:paraId="4B932B6C" w14:textId="28ABA430" w:rsidR="00054B77" w:rsidRPr="00B7521F" w:rsidRDefault="00054B77" w:rsidP="00054B77">
      <w:pPr>
        <w:pStyle w:val="TableGraphic"/>
        <w:spacing w:before="240" w:after="240" w:line="240" w:lineRule="exact"/>
        <w:ind w:right="0"/>
        <w:rPr>
          <w:rFonts w:ascii="Arial" w:hAnsi="Arial" w:cs="Arial"/>
          <w:sz w:val="16"/>
          <w:szCs w:val="16"/>
        </w:rPr>
      </w:pPr>
      <w:r>
        <w:rPr>
          <w:noProof/>
        </w:rPr>
        <w:t>DTA has no budgeted income and expenses administered on behalf of the Government.</w:t>
      </w:r>
      <w:r w:rsidRPr="00DE7B37">
        <w:rPr>
          <w:rFonts w:ascii="Arial" w:hAnsi="Arial" w:cs="Arial"/>
          <w:sz w:val="16"/>
          <w:szCs w:val="16"/>
        </w:rPr>
        <w:t xml:space="preserve"> </w:t>
      </w:r>
    </w:p>
    <w:p w14:paraId="67F5A9CB" w14:textId="77777777" w:rsidR="00054B77" w:rsidRPr="00502C2F" w:rsidRDefault="00054B77" w:rsidP="00054B77">
      <w:pPr>
        <w:pStyle w:val="TableGraphic"/>
        <w:rPr>
          <w:noProof/>
        </w:rPr>
      </w:pPr>
    </w:p>
    <w:p w14:paraId="567FCF99" w14:textId="77777777" w:rsidR="00054B77" w:rsidRDefault="00054B77" w:rsidP="00054B77">
      <w:pPr>
        <w:pStyle w:val="TableHeading"/>
      </w:pPr>
      <w:r w:rsidRPr="00D30CBA">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p w14:paraId="004C0E48" w14:textId="7A071410" w:rsidR="00054B77" w:rsidRDefault="00054B77" w:rsidP="00054B77">
      <w:pPr>
        <w:pStyle w:val="TableGraphic"/>
        <w:spacing w:before="240" w:after="240" w:line="240" w:lineRule="exact"/>
        <w:ind w:right="0"/>
        <w:rPr>
          <w:noProof/>
        </w:rPr>
      </w:pPr>
      <w:r>
        <w:rPr>
          <w:noProof/>
        </w:rPr>
        <w:t>DTA has no budgeted assets and liabilities administered on behalf of the Government.</w:t>
      </w:r>
    </w:p>
    <w:p w14:paraId="00CC90A4" w14:textId="77777777" w:rsidR="00054B77" w:rsidRPr="00B7521F" w:rsidRDefault="00054B77" w:rsidP="00054B77">
      <w:pPr>
        <w:pStyle w:val="TableGraphic"/>
        <w:rPr>
          <w:rFonts w:ascii="Arial" w:hAnsi="Arial" w:cs="Arial"/>
          <w:sz w:val="16"/>
          <w:szCs w:val="16"/>
        </w:rPr>
      </w:pPr>
    </w:p>
    <w:p w14:paraId="42D584B3" w14:textId="77777777" w:rsidR="00054B77" w:rsidRDefault="00054B77" w:rsidP="00054B77">
      <w:pPr>
        <w:pStyle w:val="TableHeading"/>
      </w:pPr>
      <w:r>
        <w:t xml:space="preserve">Table 3.9: </w:t>
      </w:r>
      <w:r w:rsidRPr="00C41D55">
        <w:t xml:space="preserve">Schedule of </w:t>
      </w:r>
      <w:r>
        <w:t xml:space="preserve">budgeted administered cash flows </w:t>
      </w:r>
      <w:r w:rsidRPr="00C41D55">
        <w:t>(for</w:t>
      </w:r>
      <w:r>
        <w:t> the </w:t>
      </w:r>
      <w:r w:rsidRPr="00C41D55">
        <w:t>period ended 30 June)</w:t>
      </w:r>
    </w:p>
    <w:p w14:paraId="145093D2" w14:textId="5DB7505C" w:rsidR="00054B77" w:rsidRPr="00134ACA" w:rsidRDefault="00054B77" w:rsidP="00054B77">
      <w:pPr>
        <w:pStyle w:val="TableGraphic"/>
        <w:spacing w:before="240" w:after="240" w:line="240" w:lineRule="exact"/>
        <w:ind w:right="0"/>
        <w:rPr>
          <w:noProof/>
        </w:rPr>
      </w:pPr>
      <w:r>
        <w:rPr>
          <w:noProof/>
        </w:rPr>
        <w:t>DTA has no budgetd cash flows administered on behalf of the Government.</w:t>
      </w:r>
      <w:r w:rsidRPr="00134ACA">
        <w:rPr>
          <w:noProof/>
        </w:rPr>
        <w:t xml:space="preserve"> </w:t>
      </w:r>
    </w:p>
    <w:p w14:paraId="72438E57" w14:textId="77777777" w:rsidR="00054B77" w:rsidRPr="0044552A" w:rsidRDefault="00054B77" w:rsidP="00054B77">
      <w:pPr>
        <w:pStyle w:val="TableGraphic"/>
      </w:pPr>
    </w:p>
    <w:p w14:paraId="24B8A282" w14:textId="77777777" w:rsidR="00054B77" w:rsidRDefault="00054B77" w:rsidP="00054B77">
      <w:pPr>
        <w:pStyle w:val="TableHeading"/>
      </w:pPr>
      <w:r w:rsidRPr="00D30CBA">
        <w:t>Table</w:t>
      </w:r>
      <w:r>
        <w:t xml:space="preserve"> 3.10</w:t>
      </w:r>
      <w:r w:rsidRPr="00D30CBA">
        <w:t xml:space="preserve">: </w:t>
      </w:r>
      <w:r>
        <w:t>Schedule of administered capital budget statement (for the period ended 30 June)</w:t>
      </w:r>
    </w:p>
    <w:p w14:paraId="5A3F154A" w14:textId="65165FA5" w:rsidR="00054B77" w:rsidRPr="00134ACA" w:rsidRDefault="00054B77" w:rsidP="00054B77">
      <w:pPr>
        <w:pStyle w:val="TableGraphic"/>
        <w:spacing w:before="240" w:after="240" w:line="240" w:lineRule="exact"/>
        <w:ind w:right="0"/>
        <w:rPr>
          <w:noProof/>
        </w:rPr>
      </w:pPr>
      <w:r>
        <w:rPr>
          <w:noProof/>
        </w:rPr>
        <w:t>DTA has no budgeted capital administered on behalf of the Government.</w:t>
      </w:r>
      <w:r w:rsidRPr="00134ACA">
        <w:rPr>
          <w:noProof/>
        </w:rPr>
        <w:t xml:space="preserve"> </w:t>
      </w:r>
    </w:p>
    <w:p w14:paraId="41209D56" w14:textId="77777777" w:rsidR="00054B77" w:rsidRDefault="00054B77" w:rsidP="00054B77">
      <w:pPr>
        <w:pStyle w:val="TableGraphic"/>
        <w:rPr>
          <w:noProof/>
        </w:rPr>
      </w:pPr>
    </w:p>
    <w:p w14:paraId="1B40C3D6" w14:textId="77777777" w:rsidR="00054B77" w:rsidRPr="00C17B32" w:rsidRDefault="00054B77" w:rsidP="00054B77">
      <w:pPr>
        <w:pStyle w:val="TableHeading"/>
        <w:keepNext w:val="0"/>
        <w:spacing w:after="0" w:line="260" w:lineRule="exact"/>
        <w:jc w:val="both"/>
      </w:pPr>
      <w:r>
        <w:t>Table 3.11: Statement of administered asset movements (Budget year 2022-23)</w:t>
      </w:r>
    </w:p>
    <w:p w14:paraId="1EA5A92F" w14:textId="662DDAF5" w:rsidR="00054B77" w:rsidRDefault="00054B77" w:rsidP="00054B77">
      <w:pPr>
        <w:pStyle w:val="TableGraphic"/>
        <w:spacing w:before="240" w:after="240" w:line="240" w:lineRule="exact"/>
        <w:ind w:right="0"/>
        <w:rPr>
          <w:noProof/>
        </w:rPr>
      </w:pPr>
      <w:r>
        <w:rPr>
          <w:noProof/>
        </w:rPr>
        <w:t>DTA has no budgeted non-financial assets administered on behalf of the Government.</w:t>
      </w:r>
    </w:p>
    <w:p w14:paraId="2239EAFA" w14:textId="77777777" w:rsidR="000C3B86" w:rsidRPr="000C3B86" w:rsidRDefault="000C3B86" w:rsidP="00C836A1"/>
    <w:sectPr w:rsidR="000C3B86" w:rsidRPr="000C3B86" w:rsidSect="00192E80">
      <w:headerReference w:type="even" r:id="rId35"/>
      <w:headerReference w:type="default" r:id="rId36"/>
      <w:headerReference w:type="first" r:id="rId37"/>
      <w:footerReference w:type="first" r:id="rId38"/>
      <w:type w:val="oddPage"/>
      <w:pgSz w:w="11906" w:h="16838" w:code="9"/>
      <w:pgMar w:top="2835" w:right="2098" w:bottom="2466" w:left="2098" w:header="1814" w:footer="1814" w:gutter="0"/>
      <w:pgNumType w:start="12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9EB9D" w14:textId="77777777" w:rsidR="008B04B6" w:rsidRDefault="008B04B6" w:rsidP="00C07DEC">
      <w:r>
        <w:separator/>
      </w:r>
    </w:p>
  </w:endnote>
  <w:endnote w:type="continuationSeparator" w:id="0">
    <w:p w14:paraId="2239EB9E" w14:textId="77777777" w:rsidR="008B04B6" w:rsidRDefault="008B04B6"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0C3A5" w14:textId="61F7ED22" w:rsidR="00C836A1" w:rsidRDefault="00C836A1" w:rsidP="00FD2647">
    <w:pPr>
      <w:pStyle w:val="FooterEven"/>
    </w:pPr>
    <w:r w:rsidRPr="00434130">
      <w:rPr>
        <w:rStyle w:val="PageNumber"/>
        <w:b/>
        <w:bCs/>
        <w:color w:val="000000"/>
      </w:rPr>
      <w:t xml:space="preserve">Page </w:t>
    </w:r>
    <w:r w:rsidRPr="00434130">
      <w:rPr>
        <w:rStyle w:val="PageNumber"/>
        <w:b/>
        <w:bCs/>
        <w:color w:val="000000"/>
      </w:rPr>
      <w:fldChar w:fldCharType="begin"/>
    </w:r>
    <w:r w:rsidRPr="00434130">
      <w:rPr>
        <w:rStyle w:val="PageNumber"/>
        <w:b/>
        <w:bCs/>
        <w:color w:val="000000"/>
      </w:rPr>
      <w:instrText xml:space="preserve"> PAGE </w:instrText>
    </w:r>
    <w:r w:rsidRPr="00434130">
      <w:rPr>
        <w:rStyle w:val="PageNumber"/>
        <w:b/>
        <w:bCs/>
        <w:color w:val="000000"/>
      </w:rPr>
      <w:fldChar w:fldCharType="separate"/>
    </w:r>
    <w:r w:rsidR="00580FFB">
      <w:rPr>
        <w:rStyle w:val="PageNumber"/>
        <w:b/>
        <w:bCs/>
        <w:noProof/>
        <w:color w:val="000000"/>
      </w:rPr>
      <w:t>146</w:t>
    </w:r>
    <w:r w:rsidRPr="00434130">
      <w:rPr>
        <w:rStyle w:val="PageNumber"/>
        <w:b/>
        <w:bCs/>
        <w:color w:val="000000"/>
      </w:rPr>
      <w:fldChar w:fldCharType="end"/>
    </w:r>
    <w:r w:rsidRPr="00434130">
      <w:rPr>
        <w:rStyle w:val="PageNumber"/>
        <w:color w:val="000000"/>
      </w:rPr>
      <w:t xml:space="preserve">  </w:t>
    </w:r>
    <w:proofErr w:type="gramStart"/>
    <w:r w:rsidRPr="00434130">
      <w:rPr>
        <w:rStyle w:val="PageNumber"/>
        <w:color w:val="000000"/>
      </w:rPr>
      <w:t xml:space="preserve">|  </w:t>
    </w:r>
    <w:proofErr w:type="gramEnd"/>
    <w:r w:rsidRPr="00434130">
      <w:rPr>
        <w:rStyle w:val="PageNumber"/>
        <w:color w:val="000000"/>
      </w:rPr>
      <w:fldChar w:fldCharType="begin"/>
    </w:r>
    <w:r w:rsidRPr="00434130">
      <w:rPr>
        <w:rStyle w:val="PageNumber"/>
        <w:color w:val="000000"/>
      </w:rPr>
      <w:instrText xml:space="preserve"> STYLEREF  "Heading 1"  \* MERGEFORMAT </w:instrText>
    </w:r>
    <w:r w:rsidRPr="00434130">
      <w:rPr>
        <w:rStyle w:val="PageNumber"/>
        <w:color w:val="000000"/>
      </w:rPr>
      <w:fldChar w:fldCharType="separate"/>
    </w:r>
    <w:r w:rsidR="00580FFB">
      <w:rPr>
        <w:rStyle w:val="PageNumber"/>
        <w:noProof/>
        <w:color w:val="000000"/>
      </w:rPr>
      <w:t>Digital Transformation Agency</w:t>
    </w:r>
    <w:r w:rsidRPr="00434130">
      <w:rPr>
        <w:rStyle w:val="PageNumbe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C7CD1" w14:textId="77777777" w:rsidR="00D403D1" w:rsidRDefault="00D403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75234" w14:textId="77777777" w:rsidR="00D403D1" w:rsidRDefault="00D403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E87D4" w14:textId="3FE3B3E7" w:rsidR="008B04B6" w:rsidRPr="00FD2647" w:rsidRDefault="00FD2647" w:rsidP="00FD2647">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sidR="00580FFB">
      <w:rPr>
        <w:rStyle w:val="PageNumber"/>
        <w:noProof/>
      </w:rPr>
      <w:t>Digital Transformation Agency</w:t>
    </w:r>
    <w:r>
      <w:rPr>
        <w:rStyle w:val="PageNumber"/>
      </w:rPr>
      <w:fldChar w:fldCharType="end"/>
    </w:r>
    <w:r>
      <w:rPr>
        <w:rStyle w:val="PageNumber"/>
      </w:rPr>
      <w:t xml:space="preserve"> </w:t>
    </w:r>
    <w:r w:rsidRPr="00B628E8">
      <w:rPr>
        <w:rStyle w:val="PageNumber"/>
      </w:rPr>
      <w:t xml:space="preserve">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580FFB">
      <w:rPr>
        <w:rStyle w:val="PageNumber"/>
        <w:b/>
        <w:bCs/>
        <w:noProof/>
      </w:rPr>
      <w:t>145</w:t>
    </w:r>
    <w:r w:rsidRPr="00B628E8">
      <w:rPr>
        <w:rStyle w:val="PageNumbe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C34" w14:textId="5ACB7F68" w:rsidR="008B04B6" w:rsidRPr="005B0955" w:rsidRDefault="008B04B6" w:rsidP="005B09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C9A" w14:textId="766982D1" w:rsidR="008B04B6" w:rsidRPr="00D403D1" w:rsidRDefault="00192E80" w:rsidP="00D403D1">
    <w:pPr>
      <w:pStyle w:val="FooterOdd"/>
      <w:rPr>
        <w:rFonts w:cs="Arial"/>
        <w:color w:val="auto"/>
      </w:rPr>
    </w:pPr>
    <w:r>
      <w:rPr>
        <w:rStyle w:val="PageNumber"/>
      </w:rPr>
      <w:fldChar w:fldCharType="begin"/>
    </w:r>
    <w:r>
      <w:rPr>
        <w:rStyle w:val="PageNumber"/>
      </w:rPr>
      <w:instrText xml:space="preserve"> STYLEREF  "Heading 1"  \* MERGEFORMAT </w:instrText>
    </w:r>
    <w:r>
      <w:rPr>
        <w:rStyle w:val="PageNumber"/>
      </w:rPr>
      <w:fldChar w:fldCharType="separate"/>
    </w:r>
    <w:r w:rsidR="00580FFB">
      <w:rPr>
        <w:rStyle w:val="PageNumber"/>
        <w:noProof/>
      </w:rPr>
      <w:t>Digital Transformation Agency</w:t>
    </w:r>
    <w:r>
      <w:rPr>
        <w:rStyle w:val="PageNumber"/>
      </w:rPr>
      <w:fldChar w:fldCharType="end"/>
    </w:r>
    <w:r>
      <w:rPr>
        <w:rStyle w:val="PageNumber"/>
      </w:rPr>
      <w:t xml:space="preserve"> </w:t>
    </w:r>
    <w:r w:rsidRPr="00B628E8">
      <w:rPr>
        <w:rStyle w:val="PageNumber"/>
      </w:rPr>
      <w:t xml:space="preserve">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580FFB">
      <w:rPr>
        <w:rStyle w:val="PageNumber"/>
        <w:b/>
        <w:bCs/>
        <w:noProof/>
      </w:rPr>
      <w:t>129</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9EB9B" w14:textId="77777777" w:rsidR="008B04B6" w:rsidRDefault="008B04B6" w:rsidP="00C07DEC">
      <w:r>
        <w:separator/>
      </w:r>
    </w:p>
  </w:footnote>
  <w:footnote w:type="continuationSeparator" w:id="0">
    <w:p w14:paraId="2239EB9C" w14:textId="77777777" w:rsidR="008B04B6" w:rsidRDefault="008B04B6"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8018C" w14:textId="77777777" w:rsidR="00D403D1" w:rsidRDefault="00D40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A9404" w14:textId="77777777" w:rsidR="00D403D1" w:rsidRDefault="00D403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797" w:type="dxa"/>
      <w:tblLook w:val="04A0" w:firstRow="1" w:lastRow="0" w:firstColumn="1" w:lastColumn="0" w:noHBand="0" w:noVBand="1"/>
    </w:tblPr>
    <w:tblGrid>
      <w:gridCol w:w="7797"/>
    </w:tblGrid>
    <w:tr w:rsidR="008B04B6" w:rsidRPr="001C6402" w14:paraId="7BC00B1D" w14:textId="77777777" w:rsidTr="008567E9">
      <w:trPr>
        <w:trHeight w:hRule="exact" w:val="340"/>
      </w:trPr>
      <w:tc>
        <w:tcPr>
          <w:tcW w:w="7797" w:type="dxa"/>
          <w:shd w:val="clear" w:color="auto" w:fill="auto"/>
        </w:tcPr>
        <w:p w14:paraId="03269F75" w14:textId="556EC3C3" w:rsidR="008B04B6" w:rsidRPr="00434130" w:rsidRDefault="008B04B6" w:rsidP="002C27BF">
          <w:pPr>
            <w:pStyle w:val="HeaderOdd"/>
            <w:spacing w:after="240" w:line="260" w:lineRule="exact"/>
          </w:pPr>
        </w:p>
      </w:tc>
    </w:tr>
  </w:tbl>
  <w:p w14:paraId="11775FE9" w14:textId="77777777" w:rsidR="008B04B6" w:rsidRPr="002C27BF" w:rsidRDefault="008B04B6" w:rsidP="002C27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C33" w14:textId="77777777" w:rsidR="008B04B6" w:rsidRPr="009D3004" w:rsidRDefault="008B04B6" w:rsidP="009D30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C95" w14:textId="107D497E" w:rsidR="008B04B6" w:rsidRPr="007F2A62" w:rsidRDefault="007F2A62" w:rsidP="007F2A62">
    <w:pPr>
      <w:pStyle w:val="HeaderEven"/>
      <w:spacing w:after="240" w:line="260" w:lineRule="exact"/>
      <w:ind w:left="-113"/>
    </w:pPr>
    <w:r w:rsidRPr="00434130">
      <w:rPr>
        <w:noProof/>
        <w:position w:val="-6"/>
      </w:rPr>
      <w:drawing>
        <wp:inline distT="0" distB="0" distL="0" distR="0" wp14:anchorId="11293BD5" wp14:editId="75E90409">
          <wp:extent cx="1357630" cy="168910"/>
          <wp:effectExtent l="0" t="0" r="0" b="0"/>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68910"/>
                  </a:xfrm>
                  <a:prstGeom prst="rect">
                    <a:avLst/>
                  </a:prstGeom>
                  <a:noFill/>
                  <a:ln>
                    <a:noFill/>
                  </a:ln>
                </pic:spPr>
              </pic:pic>
            </a:graphicData>
          </a:graphic>
        </wp:inline>
      </w:drawing>
    </w:r>
    <w:r>
      <w:t xml:space="preserve">  </w:t>
    </w:r>
    <w:proofErr w:type="gramStart"/>
    <w:r>
      <w:t>|  Portfolio</w:t>
    </w:r>
    <w:proofErr w:type="gramEnd"/>
    <w:r>
      <w:t xml:space="preserve"> Budget Statements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797" w:type="dxa"/>
      <w:tblLook w:val="04A0" w:firstRow="1" w:lastRow="0" w:firstColumn="1" w:lastColumn="0" w:noHBand="0" w:noVBand="1"/>
    </w:tblPr>
    <w:tblGrid>
      <w:gridCol w:w="7797"/>
    </w:tblGrid>
    <w:tr w:rsidR="00FD2647" w:rsidRPr="001C6402" w14:paraId="0F63DBAD" w14:textId="77777777" w:rsidTr="00697DAC">
      <w:trPr>
        <w:trHeight w:hRule="exact" w:val="340"/>
      </w:trPr>
      <w:tc>
        <w:tcPr>
          <w:tcW w:w="7797" w:type="dxa"/>
          <w:shd w:val="clear" w:color="auto" w:fill="auto"/>
        </w:tcPr>
        <w:p w14:paraId="4BB5900B" w14:textId="77777777" w:rsidR="00FD2647" w:rsidRPr="00434130" w:rsidRDefault="00FD2647" w:rsidP="00FD2647">
          <w:pPr>
            <w:pStyle w:val="HeaderOdd"/>
            <w:spacing w:after="240" w:line="260" w:lineRule="exact"/>
          </w:pPr>
          <w:r w:rsidRPr="00434130">
            <w:t xml:space="preserve">Portfolio Budget Statements  |  </w:t>
          </w:r>
          <w:r w:rsidRPr="00434130">
            <w:rPr>
              <w:noProof/>
              <w:position w:val="-6"/>
            </w:rPr>
            <w:drawing>
              <wp:inline distT="0" distB="0" distL="0" distR="0" wp14:anchorId="7BFAFAD0" wp14:editId="667502B5">
                <wp:extent cx="1352550" cy="171450"/>
                <wp:effectExtent l="0" t="0" r="0" b="0"/>
                <wp:docPr id="51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p>
      </w:tc>
    </w:tr>
  </w:tbl>
  <w:p w14:paraId="2239EC98" w14:textId="76170D7C" w:rsidR="008B04B6" w:rsidRPr="00FD2647" w:rsidRDefault="008B04B6" w:rsidP="00FD264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C99" w14:textId="77777777" w:rsidR="008B04B6" w:rsidRPr="00970E65" w:rsidRDefault="008B04B6" w:rsidP="004461A4">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E3D"/>
    <w:multiLevelType w:val="hybridMultilevel"/>
    <w:tmpl w:val="15907DF6"/>
    <w:lvl w:ilvl="0" w:tplc="D02E0BC6">
      <w:start w:val="1"/>
      <w:numFmt w:val="bullet"/>
      <w:lvlText w:val=""/>
      <w:lvlJc w:val="left"/>
      <w:pPr>
        <w:ind w:left="284" w:hanging="284"/>
      </w:pPr>
      <w:rPr>
        <w:rFonts w:ascii="Symbol" w:hAnsi="Symbol" w:hint="default"/>
      </w:rPr>
    </w:lvl>
    <w:lvl w:ilvl="1" w:tplc="89CCF3FC">
      <w:numFmt w:val="bullet"/>
      <w:lvlText w:val="-"/>
      <w:lvlJc w:val="left"/>
      <w:pPr>
        <w:ind w:left="1790" w:hanging="71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F4FD0"/>
    <w:multiLevelType w:val="hybridMultilevel"/>
    <w:tmpl w:val="34563F70"/>
    <w:lvl w:ilvl="0" w:tplc="D02E0BC6">
      <w:start w:val="1"/>
      <w:numFmt w:val="bullet"/>
      <w:lvlText w:val=""/>
      <w:lvlJc w:val="left"/>
      <w:pPr>
        <w:ind w:left="284" w:hanging="284"/>
      </w:pPr>
      <w:rPr>
        <w:rFonts w:ascii="Symbol" w:hAnsi="Symbol" w:hint="default"/>
      </w:rPr>
    </w:lvl>
    <w:lvl w:ilvl="1" w:tplc="5008C590">
      <w:start w:val="1"/>
      <w:numFmt w:val="bullet"/>
      <w:lvlText w:val=""/>
      <w:lvlJc w:val="left"/>
      <w:pPr>
        <w:ind w:left="284" w:hanging="284"/>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5531B4"/>
    <w:multiLevelType w:val="hybridMultilevel"/>
    <w:tmpl w:val="75F01A0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9937DCE"/>
    <w:multiLevelType w:val="hybridMultilevel"/>
    <w:tmpl w:val="37E241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CA1722"/>
    <w:multiLevelType w:val="hybridMultilevel"/>
    <w:tmpl w:val="BD76CA88"/>
    <w:lvl w:ilvl="0" w:tplc="D02E0BC6">
      <w:start w:val="1"/>
      <w:numFmt w:val="bullet"/>
      <w:lvlText w:val=""/>
      <w:lvlJc w:val="left"/>
      <w:pPr>
        <w:ind w:left="284" w:hanging="284"/>
      </w:pPr>
      <w:rPr>
        <w:rFonts w:ascii="Symbol" w:hAnsi="Symbol" w:hint="default"/>
      </w:rPr>
    </w:lvl>
    <w:lvl w:ilvl="1" w:tplc="7110CC52">
      <w:start w:val="1"/>
      <w:numFmt w:val="bullet"/>
      <w:lvlText w:val=""/>
      <w:lvlJc w:val="left"/>
      <w:pPr>
        <w:ind w:left="284" w:hanging="284"/>
      </w:pPr>
      <w:rPr>
        <w:rFonts w:ascii="Symbol" w:hAnsi="Symbol" w:hint="default"/>
      </w:rPr>
    </w:lvl>
    <w:lvl w:ilvl="2" w:tplc="42F4FDB8">
      <w:start w:val="98"/>
      <w:numFmt w:val="bullet"/>
      <w:lvlText w:val="-"/>
      <w:lvlJc w:val="left"/>
      <w:pPr>
        <w:ind w:left="2510" w:hanging="71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A4AEE"/>
    <w:multiLevelType w:val="hybridMultilevel"/>
    <w:tmpl w:val="A9E896D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CE31D0F"/>
    <w:multiLevelType w:val="hybridMultilevel"/>
    <w:tmpl w:val="0884FA8C"/>
    <w:lvl w:ilvl="0" w:tplc="55E25804">
      <w:start w:val="1"/>
      <w:numFmt w:val="bullet"/>
      <w:lvlText w:val=""/>
      <w:lvlJc w:val="left"/>
      <w:pPr>
        <w:ind w:left="284" w:hanging="284"/>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0" w15:restartNumberingAfterBreak="0">
    <w:nsid w:val="15103296"/>
    <w:multiLevelType w:val="hybridMultilevel"/>
    <w:tmpl w:val="18BE70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5DE0C1F"/>
    <w:multiLevelType w:val="multilevel"/>
    <w:tmpl w:val="50901E9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70B2ABC"/>
    <w:multiLevelType w:val="hybridMultilevel"/>
    <w:tmpl w:val="83E0A74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78B6724"/>
    <w:multiLevelType w:val="multilevel"/>
    <w:tmpl w:val="16FADA92"/>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14" w15:restartNumberingAfterBreak="0">
    <w:nsid w:val="19766C04"/>
    <w:multiLevelType w:val="multilevel"/>
    <w:tmpl w:val="36AE30D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5" w15:restartNumberingAfterBreak="0">
    <w:nsid w:val="19866559"/>
    <w:multiLevelType w:val="hybridMultilevel"/>
    <w:tmpl w:val="CE6491C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D185843"/>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7" w15:restartNumberingAfterBreak="0">
    <w:nsid w:val="2277780D"/>
    <w:multiLevelType w:val="hybridMultilevel"/>
    <w:tmpl w:val="9EE2E3C2"/>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8" w15:restartNumberingAfterBreak="0">
    <w:nsid w:val="25BC5A6E"/>
    <w:multiLevelType w:val="hybridMultilevel"/>
    <w:tmpl w:val="EBACE4AA"/>
    <w:lvl w:ilvl="0" w:tplc="BF62B0CE">
      <w:start w:val="1"/>
      <w:numFmt w:val="bullet"/>
      <w:lvlText w:val=""/>
      <w:lvlJc w:val="left"/>
      <w:pPr>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4E4A8F"/>
    <w:multiLevelType w:val="hybridMultilevel"/>
    <w:tmpl w:val="8F7E7818"/>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734E15"/>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6997E42"/>
    <w:multiLevelType w:val="hybridMultilevel"/>
    <w:tmpl w:val="DCC6119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284065F4"/>
    <w:multiLevelType w:val="hybridMultilevel"/>
    <w:tmpl w:val="015A1918"/>
    <w:lvl w:ilvl="0" w:tplc="22F442E8">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8B857E8"/>
    <w:multiLevelType w:val="multilevel"/>
    <w:tmpl w:val="3FE0FEEE"/>
    <w:lvl w:ilvl="0">
      <w:start w:val="1"/>
      <w:numFmt w:val="decimal"/>
      <w:lvlText w:val="%1"/>
      <w:lvlJc w:val="left"/>
      <w:pPr>
        <w:ind w:left="360" w:hanging="360"/>
      </w:pPr>
      <w:rPr>
        <w:rFonts w:hint="default"/>
      </w:rPr>
    </w:lvl>
    <w:lvl w:ilvl="1">
      <w:start w:val="1"/>
      <w:numFmt w:val="decimal"/>
      <w:lvlText w:val="%1.%2"/>
      <w:lvlJc w:val="left"/>
      <w:rPr>
        <w:rFonts w:ascii="Arial" w:hAnsi="Arial" w:cs="Arial" w:hint="default"/>
        <w:i w:val="0"/>
        <w:iCs/>
        <w:color w:val="auto"/>
        <w:sz w:val="16"/>
        <w:szCs w:val="16"/>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A1805E5"/>
    <w:multiLevelType w:val="hybridMultilevel"/>
    <w:tmpl w:val="B27264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C4511D6"/>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8" w15:restartNumberingAfterBreak="0">
    <w:nsid w:val="2F256999"/>
    <w:multiLevelType w:val="multilevel"/>
    <w:tmpl w:val="DC2037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27D201C"/>
    <w:multiLevelType w:val="hybridMultilevel"/>
    <w:tmpl w:val="33966EB6"/>
    <w:lvl w:ilvl="0" w:tplc="E8AA6586">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327F5D4A"/>
    <w:multiLevelType w:val="hybridMultilevel"/>
    <w:tmpl w:val="5F5EF0C2"/>
    <w:lvl w:ilvl="0" w:tplc="086A1FCE">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47817E8"/>
    <w:multiLevelType w:val="hybridMultilevel"/>
    <w:tmpl w:val="A7608A42"/>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34C111E4"/>
    <w:multiLevelType w:val="multilevel"/>
    <w:tmpl w:val="27E85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4F4303B"/>
    <w:multiLevelType w:val="multilevel"/>
    <w:tmpl w:val="0E4E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5303CE7"/>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35"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7FB6309"/>
    <w:multiLevelType w:val="hybridMultilevel"/>
    <w:tmpl w:val="35906312"/>
    <w:lvl w:ilvl="0" w:tplc="00147F72">
      <w:numFmt w:val="bullet"/>
      <w:lvlText w:val=""/>
      <w:lvlJc w:val="left"/>
      <w:pPr>
        <w:ind w:left="465" w:hanging="358"/>
      </w:pPr>
      <w:rPr>
        <w:rFonts w:ascii="Symbol" w:eastAsia="Symbol" w:hAnsi="Symbol" w:cs="Symbol" w:hint="default"/>
        <w:w w:val="100"/>
        <w:sz w:val="16"/>
        <w:szCs w:val="16"/>
        <w:lang w:val="en-AU" w:eastAsia="en-US" w:bidi="ar-SA"/>
      </w:rPr>
    </w:lvl>
    <w:lvl w:ilvl="1" w:tplc="BA5E52C6">
      <w:numFmt w:val="bullet"/>
      <w:lvlText w:val="•"/>
      <w:lvlJc w:val="left"/>
      <w:pPr>
        <w:ind w:left="1017" w:hanging="358"/>
      </w:pPr>
      <w:rPr>
        <w:rFonts w:hint="default"/>
        <w:lang w:val="en-AU" w:eastAsia="en-US" w:bidi="ar-SA"/>
      </w:rPr>
    </w:lvl>
    <w:lvl w:ilvl="2" w:tplc="D0F4A838">
      <w:numFmt w:val="bullet"/>
      <w:lvlText w:val="•"/>
      <w:lvlJc w:val="left"/>
      <w:pPr>
        <w:ind w:left="1574" w:hanging="358"/>
      </w:pPr>
      <w:rPr>
        <w:rFonts w:hint="default"/>
        <w:lang w:val="en-AU" w:eastAsia="en-US" w:bidi="ar-SA"/>
      </w:rPr>
    </w:lvl>
    <w:lvl w:ilvl="3" w:tplc="E3BC2544">
      <w:numFmt w:val="bullet"/>
      <w:lvlText w:val="•"/>
      <w:lvlJc w:val="left"/>
      <w:pPr>
        <w:ind w:left="2131" w:hanging="358"/>
      </w:pPr>
      <w:rPr>
        <w:rFonts w:hint="default"/>
        <w:lang w:val="en-AU" w:eastAsia="en-US" w:bidi="ar-SA"/>
      </w:rPr>
    </w:lvl>
    <w:lvl w:ilvl="4" w:tplc="08C6E67E">
      <w:numFmt w:val="bullet"/>
      <w:lvlText w:val="•"/>
      <w:lvlJc w:val="left"/>
      <w:pPr>
        <w:ind w:left="2688" w:hanging="358"/>
      </w:pPr>
      <w:rPr>
        <w:rFonts w:hint="default"/>
        <w:lang w:val="en-AU" w:eastAsia="en-US" w:bidi="ar-SA"/>
      </w:rPr>
    </w:lvl>
    <w:lvl w:ilvl="5" w:tplc="ED847CB8">
      <w:numFmt w:val="bullet"/>
      <w:lvlText w:val="•"/>
      <w:lvlJc w:val="left"/>
      <w:pPr>
        <w:ind w:left="3245" w:hanging="358"/>
      </w:pPr>
      <w:rPr>
        <w:rFonts w:hint="default"/>
        <w:lang w:val="en-AU" w:eastAsia="en-US" w:bidi="ar-SA"/>
      </w:rPr>
    </w:lvl>
    <w:lvl w:ilvl="6" w:tplc="30EE96E4">
      <w:numFmt w:val="bullet"/>
      <w:lvlText w:val="•"/>
      <w:lvlJc w:val="left"/>
      <w:pPr>
        <w:ind w:left="3802" w:hanging="358"/>
      </w:pPr>
      <w:rPr>
        <w:rFonts w:hint="default"/>
        <w:lang w:val="en-AU" w:eastAsia="en-US" w:bidi="ar-SA"/>
      </w:rPr>
    </w:lvl>
    <w:lvl w:ilvl="7" w:tplc="4B3EF0D4">
      <w:numFmt w:val="bullet"/>
      <w:lvlText w:val="•"/>
      <w:lvlJc w:val="left"/>
      <w:pPr>
        <w:ind w:left="4359" w:hanging="358"/>
      </w:pPr>
      <w:rPr>
        <w:rFonts w:hint="default"/>
        <w:lang w:val="en-AU" w:eastAsia="en-US" w:bidi="ar-SA"/>
      </w:rPr>
    </w:lvl>
    <w:lvl w:ilvl="8" w:tplc="8F60BEE8">
      <w:numFmt w:val="bullet"/>
      <w:lvlText w:val="•"/>
      <w:lvlJc w:val="left"/>
      <w:pPr>
        <w:ind w:left="4916" w:hanging="358"/>
      </w:pPr>
      <w:rPr>
        <w:rFonts w:hint="default"/>
        <w:lang w:val="en-AU" w:eastAsia="en-US" w:bidi="ar-SA"/>
      </w:rPr>
    </w:lvl>
  </w:abstractNum>
  <w:abstractNum w:abstractNumId="37" w15:restartNumberingAfterBreak="0">
    <w:nsid w:val="38A30A68"/>
    <w:multiLevelType w:val="hybridMultilevel"/>
    <w:tmpl w:val="E3A6DDCC"/>
    <w:lvl w:ilvl="0" w:tplc="92D8F7F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AB56C05"/>
    <w:multiLevelType w:val="hybridMultilevel"/>
    <w:tmpl w:val="AFBC560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AD23C76"/>
    <w:multiLevelType w:val="hybridMultilevel"/>
    <w:tmpl w:val="75F01A0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B2E19AC"/>
    <w:multiLevelType w:val="singleLevel"/>
    <w:tmpl w:val="0C090017"/>
    <w:lvl w:ilvl="0">
      <w:start w:val="1"/>
      <w:numFmt w:val="lowerLetter"/>
      <w:lvlText w:val="%1)"/>
      <w:lvlJc w:val="left"/>
      <w:pPr>
        <w:ind w:left="502" w:hanging="360"/>
      </w:pPr>
      <w:rPr>
        <w:b w:val="0"/>
        <w:i w:val="0"/>
        <w:color w:val="000000"/>
        <w:sz w:val="16"/>
      </w:rPr>
    </w:lvl>
  </w:abstractNum>
  <w:abstractNum w:abstractNumId="41" w15:restartNumberingAfterBreak="0">
    <w:nsid w:val="41BD24FD"/>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43" w15:restartNumberingAfterBreak="0">
    <w:nsid w:val="456A47E8"/>
    <w:multiLevelType w:val="multilevel"/>
    <w:tmpl w:val="8D347D66"/>
    <w:lvl w:ilvl="0">
      <w:start w:val="1"/>
      <w:numFmt w:val="decimal"/>
      <w:lvlText w:val="%1"/>
      <w:lvlJc w:val="left"/>
      <w:pPr>
        <w:ind w:left="360" w:hanging="360"/>
      </w:pPr>
      <w:rPr>
        <w:rFonts w:ascii="Arial" w:hAnsi="Arial" w:cs="Arial" w:hint="default"/>
        <w:b w:val="0"/>
        <w:color w:val="auto"/>
        <w:sz w:val="16"/>
      </w:rPr>
    </w:lvl>
    <w:lvl w:ilvl="1">
      <w:start w:val="1"/>
      <w:numFmt w:val="decimal"/>
      <w:lvlText w:val="%1.%2"/>
      <w:lvlJc w:val="left"/>
      <w:pPr>
        <w:ind w:left="360" w:hanging="360"/>
      </w:pPr>
      <w:rPr>
        <w:rFonts w:ascii="Arial" w:hAnsi="Arial" w:cs="Arial" w:hint="default"/>
        <w:b w:val="0"/>
        <w:color w:val="auto"/>
        <w:sz w:val="16"/>
      </w:rPr>
    </w:lvl>
    <w:lvl w:ilvl="2">
      <w:start w:val="1"/>
      <w:numFmt w:val="decimal"/>
      <w:lvlText w:val="%1.%2.%3"/>
      <w:lvlJc w:val="left"/>
      <w:pPr>
        <w:ind w:left="720" w:hanging="720"/>
      </w:pPr>
      <w:rPr>
        <w:rFonts w:ascii="Arial" w:hAnsi="Arial" w:cs="Arial" w:hint="default"/>
        <w:b w:val="0"/>
        <w:color w:val="auto"/>
        <w:sz w:val="16"/>
      </w:rPr>
    </w:lvl>
    <w:lvl w:ilvl="3">
      <w:start w:val="1"/>
      <w:numFmt w:val="decimal"/>
      <w:lvlText w:val="%1.%2.%3.%4"/>
      <w:lvlJc w:val="left"/>
      <w:pPr>
        <w:ind w:left="720" w:hanging="720"/>
      </w:pPr>
      <w:rPr>
        <w:rFonts w:ascii="Arial" w:hAnsi="Arial" w:cs="Arial" w:hint="default"/>
        <w:b w:val="0"/>
        <w:color w:val="auto"/>
        <w:sz w:val="16"/>
      </w:rPr>
    </w:lvl>
    <w:lvl w:ilvl="4">
      <w:start w:val="1"/>
      <w:numFmt w:val="decimal"/>
      <w:lvlText w:val="%1.%2.%3.%4.%5"/>
      <w:lvlJc w:val="left"/>
      <w:pPr>
        <w:ind w:left="1080" w:hanging="1080"/>
      </w:pPr>
      <w:rPr>
        <w:rFonts w:ascii="Arial" w:hAnsi="Arial" w:cs="Arial" w:hint="default"/>
        <w:b w:val="0"/>
        <w:color w:val="auto"/>
        <w:sz w:val="16"/>
      </w:rPr>
    </w:lvl>
    <w:lvl w:ilvl="5">
      <w:start w:val="1"/>
      <w:numFmt w:val="decimal"/>
      <w:lvlText w:val="%1.%2.%3.%4.%5.%6"/>
      <w:lvlJc w:val="left"/>
      <w:pPr>
        <w:ind w:left="1080" w:hanging="1080"/>
      </w:pPr>
      <w:rPr>
        <w:rFonts w:ascii="Arial" w:hAnsi="Arial" w:cs="Arial" w:hint="default"/>
        <w:b w:val="0"/>
        <w:color w:val="auto"/>
        <w:sz w:val="16"/>
      </w:rPr>
    </w:lvl>
    <w:lvl w:ilvl="6">
      <w:start w:val="1"/>
      <w:numFmt w:val="decimal"/>
      <w:lvlText w:val="%1.%2.%3.%4.%5.%6.%7"/>
      <w:lvlJc w:val="left"/>
      <w:pPr>
        <w:ind w:left="1440" w:hanging="1440"/>
      </w:pPr>
      <w:rPr>
        <w:rFonts w:ascii="Arial" w:hAnsi="Arial" w:cs="Arial" w:hint="default"/>
        <w:b w:val="0"/>
        <w:color w:val="auto"/>
        <w:sz w:val="16"/>
      </w:rPr>
    </w:lvl>
    <w:lvl w:ilvl="7">
      <w:start w:val="1"/>
      <w:numFmt w:val="decimal"/>
      <w:lvlText w:val="%1.%2.%3.%4.%5.%6.%7.%8"/>
      <w:lvlJc w:val="left"/>
      <w:pPr>
        <w:ind w:left="1440" w:hanging="1440"/>
      </w:pPr>
      <w:rPr>
        <w:rFonts w:ascii="Arial" w:hAnsi="Arial" w:cs="Arial" w:hint="default"/>
        <w:b w:val="0"/>
        <w:color w:val="auto"/>
        <w:sz w:val="16"/>
      </w:rPr>
    </w:lvl>
    <w:lvl w:ilvl="8">
      <w:start w:val="1"/>
      <w:numFmt w:val="decimal"/>
      <w:lvlText w:val="%1.%2.%3.%4.%5.%6.%7.%8.%9"/>
      <w:lvlJc w:val="left"/>
      <w:pPr>
        <w:ind w:left="1440" w:hanging="1440"/>
      </w:pPr>
      <w:rPr>
        <w:rFonts w:ascii="Arial" w:hAnsi="Arial" w:cs="Arial" w:hint="default"/>
        <w:b w:val="0"/>
        <w:color w:val="auto"/>
        <w:sz w:val="16"/>
      </w:rPr>
    </w:lvl>
  </w:abstractNum>
  <w:abstractNum w:abstractNumId="44" w15:restartNumberingAfterBreak="0">
    <w:nsid w:val="47CC0FBF"/>
    <w:multiLevelType w:val="hybridMultilevel"/>
    <w:tmpl w:val="9FDADD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8DD7E77"/>
    <w:multiLevelType w:val="hybridMultilevel"/>
    <w:tmpl w:val="CE6491C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49644F28"/>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4A6B3810"/>
    <w:multiLevelType w:val="hybridMultilevel"/>
    <w:tmpl w:val="DF46138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4B2A5E22"/>
    <w:multiLevelType w:val="hybridMultilevel"/>
    <w:tmpl w:val="0562EC80"/>
    <w:lvl w:ilvl="0" w:tplc="0C090017">
      <w:start w:val="1"/>
      <w:numFmt w:val="lowerLetter"/>
      <w:lvlText w:val="%1)"/>
      <w:lvlJc w:val="left"/>
      <w:pPr>
        <w:ind w:left="360" w:hanging="360"/>
      </w:pPr>
      <w:rPr>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9" w15:restartNumberingAfterBreak="0">
    <w:nsid w:val="4D9F7F28"/>
    <w:multiLevelType w:val="hybridMultilevel"/>
    <w:tmpl w:val="39B2AC2C"/>
    <w:lvl w:ilvl="0" w:tplc="53F6865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4DD41512"/>
    <w:multiLevelType w:val="multilevel"/>
    <w:tmpl w:val="1E749B6C"/>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51" w15:restartNumberingAfterBreak="0">
    <w:nsid w:val="4EA6730C"/>
    <w:multiLevelType w:val="hybridMultilevel"/>
    <w:tmpl w:val="D4B81D2C"/>
    <w:lvl w:ilvl="0" w:tplc="7F7E978A">
      <w:start w:val="1"/>
      <w:numFmt w:val="lowerLetter"/>
      <w:lvlText w:val="%1)"/>
      <w:lvlJc w:val="left"/>
      <w:pPr>
        <w:ind w:left="360" w:hanging="360"/>
      </w:pPr>
      <w:rPr>
        <w:i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4FB81DDB"/>
    <w:multiLevelType w:val="hybridMultilevel"/>
    <w:tmpl w:val="CC9C08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537D28BC"/>
    <w:multiLevelType w:val="hybridMultilevel"/>
    <w:tmpl w:val="CF1ABD9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54DD65D1"/>
    <w:multiLevelType w:val="multilevel"/>
    <w:tmpl w:val="7E10C2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57DD7823"/>
    <w:multiLevelType w:val="hybridMultilevel"/>
    <w:tmpl w:val="D2BAE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57" w15:restartNumberingAfterBreak="0">
    <w:nsid w:val="5F3705E5"/>
    <w:multiLevelType w:val="hybridMultilevel"/>
    <w:tmpl w:val="8BF22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FE76B57"/>
    <w:multiLevelType w:val="hybridMultilevel"/>
    <w:tmpl w:val="7B807B76"/>
    <w:lvl w:ilvl="0" w:tplc="D1DA16E6">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616D6337"/>
    <w:multiLevelType w:val="hybridMultilevel"/>
    <w:tmpl w:val="E08264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2B8784D"/>
    <w:multiLevelType w:val="hybridMultilevel"/>
    <w:tmpl w:val="0E54EF5A"/>
    <w:lvl w:ilvl="0" w:tplc="07080BA6">
      <w:start w:val="1"/>
      <w:numFmt w:val="bullet"/>
      <w:lvlText w:val=""/>
      <w:lvlJc w:val="left"/>
      <w:pPr>
        <w:ind w:left="360" w:hanging="360"/>
      </w:pPr>
      <w:rPr>
        <w:rFonts w:ascii="Symbol" w:hAnsi="Symbol" w:hint="default"/>
        <w:color w:val="auto"/>
        <w:sz w:val="16"/>
        <w:szCs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63DF1DA9"/>
    <w:multiLevelType w:val="hybridMultilevel"/>
    <w:tmpl w:val="18BE70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65BE6747"/>
    <w:multiLevelType w:val="multilevel"/>
    <w:tmpl w:val="CEB22E32"/>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63" w15:restartNumberingAfterBreak="0">
    <w:nsid w:val="66173AAD"/>
    <w:multiLevelType w:val="hybridMultilevel"/>
    <w:tmpl w:val="18BE70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68206734"/>
    <w:multiLevelType w:val="hybridMultilevel"/>
    <w:tmpl w:val="0BDA21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6" w15:restartNumberingAfterBreak="0">
    <w:nsid w:val="69DF6A2A"/>
    <w:multiLevelType w:val="multilevel"/>
    <w:tmpl w:val="13088A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6A4D6D20"/>
    <w:multiLevelType w:val="hybridMultilevel"/>
    <w:tmpl w:val="5F6ACAC6"/>
    <w:lvl w:ilvl="0" w:tplc="914C8B12">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AF759DD"/>
    <w:multiLevelType w:val="hybridMultilevel"/>
    <w:tmpl w:val="6AA80C9C"/>
    <w:lvl w:ilvl="0" w:tplc="112657A6">
      <w:start w:val="1"/>
      <w:numFmt w:val="bullet"/>
      <w:lvlText w:val=""/>
      <w:lvlJc w:val="left"/>
      <w:pPr>
        <w:ind w:left="284" w:hanging="284"/>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9" w15:restartNumberingAfterBreak="0">
    <w:nsid w:val="6B6957C0"/>
    <w:multiLevelType w:val="hybridMultilevel"/>
    <w:tmpl w:val="F808EADE"/>
    <w:lvl w:ilvl="0" w:tplc="5BBC9562">
      <w:start w:val="1"/>
      <w:numFmt w:val="bullet"/>
      <w:lvlText w:val=""/>
      <w:lvlJc w:val="left"/>
      <w:pPr>
        <w:ind w:left="502" w:hanging="360"/>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0" w15:restartNumberingAfterBreak="0">
    <w:nsid w:val="6C5C48D8"/>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C624117"/>
    <w:multiLevelType w:val="hybridMultilevel"/>
    <w:tmpl w:val="DCC6119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D231ADE"/>
    <w:multiLevelType w:val="hybridMultilevel"/>
    <w:tmpl w:val="CC9C08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F281644"/>
    <w:multiLevelType w:val="multilevel"/>
    <w:tmpl w:val="D22430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02518F4"/>
    <w:multiLevelType w:val="hybridMultilevel"/>
    <w:tmpl w:val="0E82F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16B5BFB"/>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76" w15:restartNumberingAfterBreak="0">
    <w:nsid w:val="72BD1831"/>
    <w:multiLevelType w:val="hybridMultilevel"/>
    <w:tmpl w:val="6AE41D02"/>
    <w:lvl w:ilvl="0" w:tplc="7D1C26F4">
      <w:start w:val="1"/>
      <w:numFmt w:val="bullet"/>
      <w:lvlText w:val=""/>
      <w:lvlJc w:val="left"/>
      <w:pPr>
        <w:ind w:left="284" w:hanging="284"/>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7" w15:restartNumberingAfterBreak="0">
    <w:nsid w:val="74094D2F"/>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78" w15:restartNumberingAfterBreak="0">
    <w:nsid w:val="74CD2EB1"/>
    <w:multiLevelType w:val="multilevel"/>
    <w:tmpl w:val="34589BAE"/>
    <w:name w:val="ExampleTextBullet"/>
    <w:lvl w:ilvl="0">
      <w:start w:val="1"/>
      <w:numFmt w:val="decimal"/>
      <w:lvlRestart w:val="0"/>
      <w:lvlText w:val="•"/>
      <w:lvlJc w:val="left"/>
      <w:pPr>
        <w:tabs>
          <w:tab w:val="num" w:pos="284"/>
        </w:tabs>
        <w:ind w:left="284" w:hanging="284"/>
      </w:pPr>
      <w:rPr>
        <w:rFonts w:ascii="9999999" w:hAnsi="9999999"/>
        <w:b w:val="0"/>
        <w:i w:val="0"/>
        <w:color w:val="FF0000"/>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9" w15:restartNumberingAfterBreak="0">
    <w:nsid w:val="77AD70CD"/>
    <w:multiLevelType w:val="hybridMultilevel"/>
    <w:tmpl w:val="DCC6119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7CA237F6"/>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7D433F8D"/>
    <w:multiLevelType w:val="multilevel"/>
    <w:tmpl w:val="9BD4BC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42"/>
  </w:num>
  <w:num w:numId="2">
    <w:abstractNumId w:val="8"/>
  </w:num>
  <w:num w:numId="3">
    <w:abstractNumId w:val="27"/>
  </w:num>
  <w:num w:numId="4">
    <w:abstractNumId w:val="56"/>
  </w:num>
  <w:num w:numId="5">
    <w:abstractNumId w:val="16"/>
    <w:lvlOverride w:ilvl="0">
      <w:startOverride w:val="1"/>
    </w:lvlOverride>
  </w:num>
  <w:num w:numId="6">
    <w:abstractNumId w:val="22"/>
  </w:num>
  <w:num w:numId="7">
    <w:abstractNumId w:val="9"/>
  </w:num>
  <w:num w:numId="8">
    <w:abstractNumId w:val="7"/>
  </w:num>
  <w:num w:numId="9">
    <w:abstractNumId w:val="12"/>
  </w:num>
  <w:num w:numId="10">
    <w:abstractNumId w:val="61"/>
  </w:num>
  <w:num w:numId="11">
    <w:abstractNumId w:val="5"/>
  </w:num>
  <w:num w:numId="12">
    <w:abstractNumId w:val="31"/>
  </w:num>
  <w:num w:numId="13">
    <w:abstractNumId w:val="80"/>
  </w:num>
  <w:num w:numId="14">
    <w:abstractNumId w:val="38"/>
  </w:num>
  <w:num w:numId="15">
    <w:abstractNumId w:val="53"/>
  </w:num>
  <w:num w:numId="16">
    <w:abstractNumId w:val="63"/>
  </w:num>
  <w:num w:numId="17">
    <w:abstractNumId w:val="10"/>
  </w:num>
  <w:num w:numId="18">
    <w:abstractNumId w:val="48"/>
  </w:num>
  <w:num w:numId="19">
    <w:abstractNumId w:val="45"/>
  </w:num>
  <w:num w:numId="20">
    <w:abstractNumId w:val="15"/>
  </w:num>
  <w:num w:numId="21">
    <w:abstractNumId w:val="14"/>
  </w:num>
  <w:num w:numId="22">
    <w:abstractNumId w:val="39"/>
  </w:num>
  <w:num w:numId="23">
    <w:abstractNumId w:val="2"/>
  </w:num>
  <w:num w:numId="24">
    <w:abstractNumId w:val="51"/>
  </w:num>
  <w:num w:numId="25">
    <w:abstractNumId w:val="21"/>
  </w:num>
  <w:num w:numId="26">
    <w:abstractNumId w:val="79"/>
  </w:num>
  <w:num w:numId="27">
    <w:abstractNumId w:val="71"/>
  </w:num>
  <w:num w:numId="28">
    <w:abstractNumId w:val="49"/>
  </w:num>
  <w:num w:numId="29">
    <w:abstractNumId w:val="69"/>
  </w:num>
  <w:num w:numId="30">
    <w:abstractNumId w:val="47"/>
  </w:num>
  <w:num w:numId="31">
    <w:abstractNumId w:val="19"/>
  </w:num>
  <w:num w:numId="32">
    <w:abstractNumId w:val="60"/>
  </w:num>
  <w:num w:numId="33">
    <w:abstractNumId w:val="36"/>
  </w:num>
  <w:num w:numId="34">
    <w:abstractNumId w:val="55"/>
  </w:num>
  <w:num w:numId="35">
    <w:abstractNumId w:val="40"/>
  </w:num>
  <w:num w:numId="36">
    <w:abstractNumId w:val="33"/>
  </w:num>
  <w:num w:numId="37">
    <w:abstractNumId w:val="74"/>
  </w:num>
  <w:num w:numId="38">
    <w:abstractNumId w:val="24"/>
  </w:num>
  <w:num w:numId="39">
    <w:abstractNumId w:val="32"/>
  </w:num>
  <w:num w:numId="40">
    <w:abstractNumId w:val="73"/>
  </w:num>
  <w:num w:numId="41">
    <w:abstractNumId w:val="43"/>
  </w:num>
  <w:num w:numId="42">
    <w:abstractNumId w:val="54"/>
  </w:num>
  <w:num w:numId="43">
    <w:abstractNumId w:val="81"/>
  </w:num>
  <w:num w:numId="44">
    <w:abstractNumId w:val="28"/>
  </w:num>
  <w:num w:numId="45">
    <w:abstractNumId w:val="77"/>
  </w:num>
  <w:num w:numId="46">
    <w:abstractNumId w:val="75"/>
  </w:num>
  <w:num w:numId="47">
    <w:abstractNumId w:val="26"/>
  </w:num>
  <w:num w:numId="48">
    <w:abstractNumId w:val="50"/>
  </w:num>
  <w:num w:numId="49">
    <w:abstractNumId w:val="34"/>
  </w:num>
  <w:num w:numId="50">
    <w:abstractNumId w:val="66"/>
  </w:num>
  <w:num w:numId="51">
    <w:abstractNumId w:val="59"/>
  </w:num>
  <w:num w:numId="52">
    <w:abstractNumId w:val="44"/>
  </w:num>
  <w:num w:numId="53">
    <w:abstractNumId w:val="64"/>
  </w:num>
  <w:num w:numId="54">
    <w:abstractNumId w:val="57"/>
  </w:num>
  <w:num w:numId="55">
    <w:abstractNumId w:val="30"/>
  </w:num>
  <w:num w:numId="56">
    <w:abstractNumId w:val="58"/>
  </w:num>
  <w:num w:numId="57">
    <w:abstractNumId w:val="67"/>
  </w:num>
  <w:num w:numId="58">
    <w:abstractNumId w:val="23"/>
  </w:num>
  <w:num w:numId="59">
    <w:abstractNumId w:val="0"/>
  </w:num>
  <w:num w:numId="60">
    <w:abstractNumId w:val="4"/>
  </w:num>
  <w:num w:numId="61">
    <w:abstractNumId w:val="1"/>
  </w:num>
  <w:num w:numId="62">
    <w:abstractNumId w:val="11"/>
  </w:num>
  <w:num w:numId="63">
    <w:abstractNumId w:val="29"/>
  </w:num>
  <w:num w:numId="64">
    <w:abstractNumId w:val="72"/>
  </w:num>
  <w:num w:numId="65">
    <w:abstractNumId w:val="18"/>
  </w:num>
  <w:num w:numId="66">
    <w:abstractNumId w:val="6"/>
  </w:num>
  <w:num w:numId="67">
    <w:abstractNumId w:val="76"/>
  </w:num>
  <w:num w:numId="68">
    <w:abstractNumId w:val="68"/>
  </w:num>
  <w:num w:numId="69">
    <w:abstractNumId w:val="62"/>
  </w:num>
  <w:num w:numId="70">
    <w:abstractNumId w:val="13"/>
  </w:num>
  <w:num w:numId="71">
    <w:abstractNumId w:val="17"/>
  </w:num>
  <w:num w:numId="72">
    <w:abstractNumId w:val="52"/>
  </w:num>
  <w:num w:numId="73">
    <w:abstractNumId w:val="46"/>
  </w:num>
  <w:num w:numId="74">
    <w:abstractNumId w:val="20"/>
  </w:num>
  <w:num w:numId="75">
    <w:abstractNumId w:val="70"/>
  </w:num>
  <w:num w:numId="76">
    <w:abstractNumId w:val="41"/>
  </w:num>
  <w:num w:numId="77">
    <w:abstractNumId w:val="3"/>
  </w:num>
  <w:num w:numId="78">
    <w:abstractNumId w:val="25"/>
  </w:num>
  <w:num w:numId="79">
    <w:abstractNumId w:val="3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embedSystemFonts/>
  <w:hideSpellingErrors/>
  <w:hideGrammaticalErrors/>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89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565A95"/>
    <w:rsid w:val="000000C3"/>
    <w:rsid w:val="00000AB8"/>
    <w:rsid w:val="000012EC"/>
    <w:rsid w:val="00001503"/>
    <w:rsid w:val="0000358C"/>
    <w:rsid w:val="0000383B"/>
    <w:rsid w:val="00003AC4"/>
    <w:rsid w:val="00003CA0"/>
    <w:rsid w:val="00003FFA"/>
    <w:rsid w:val="0000462A"/>
    <w:rsid w:val="00006AE4"/>
    <w:rsid w:val="00006B50"/>
    <w:rsid w:val="0000702D"/>
    <w:rsid w:val="0000711B"/>
    <w:rsid w:val="000106CA"/>
    <w:rsid w:val="00011AE8"/>
    <w:rsid w:val="0001294C"/>
    <w:rsid w:val="00012BB0"/>
    <w:rsid w:val="00013D25"/>
    <w:rsid w:val="0001438C"/>
    <w:rsid w:val="000146E1"/>
    <w:rsid w:val="0001615A"/>
    <w:rsid w:val="00016D95"/>
    <w:rsid w:val="0001712E"/>
    <w:rsid w:val="00017619"/>
    <w:rsid w:val="00017840"/>
    <w:rsid w:val="00017ED7"/>
    <w:rsid w:val="00020187"/>
    <w:rsid w:val="00020573"/>
    <w:rsid w:val="00021515"/>
    <w:rsid w:val="000216BF"/>
    <w:rsid w:val="00021DA6"/>
    <w:rsid w:val="000220B0"/>
    <w:rsid w:val="00023CED"/>
    <w:rsid w:val="00024324"/>
    <w:rsid w:val="00025CB2"/>
    <w:rsid w:val="00025EAC"/>
    <w:rsid w:val="000300D7"/>
    <w:rsid w:val="000304FC"/>
    <w:rsid w:val="00030FDA"/>
    <w:rsid w:val="000321DC"/>
    <w:rsid w:val="0003384E"/>
    <w:rsid w:val="00033D79"/>
    <w:rsid w:val="00033F08"/>
    <w:rsid w:val="00034B81"/>
    <w:rsid w:val="00034C41"/>
    <w:rsid w:val="0003503B"/>
    <w:rsid w:val="00036095"/>
    <w:rsid w:val="000364F3"/>
    <w:rsid w:val="000366AE"/>
    <w:rsid w:val="000369AC"/>
    <w:rsid w:val="0003724F"/>
    <w:rsid w:val="00037BA1"/>
    <w:rsid w:val="00040818"/>
    <w:rsid w:val="000408A3"/>
    <w:rsid w:val="000413D4"/>
    <w:rsid w:val="000428E9"/>
    <w:rsid w:val="00042FDD"/>
    <w:rsid w:val="00043835"/>
    <w:rsid w:val="00044CF1"/>
    <w:rsid w:val="0004509D"/>
    <w:rsid w:val="00045667"/>
    <w:rsid w:val="00046707"/>
    <w:rsid w:val="000476D8"/>
    <w:rsid w:val="0005030D"/>
    <w:rsid w:val="00050A97"/>
    <w:rsid w:val="00051A18"/>
    <w:rsid w:val="00051B8D"/>
    <w:rsid w:val="00054A04"/>
    <w:rsid w:val="00054B77"/>
    <w:rsid w:val="00054CC3"/>
    <w:rsid w:val="0005600E"/>
    <w:rsid w:val="00056260"/>
    <w:rsid w:val="00056467"/>
    <w:rsid w:val="0005722F"/>
    <w:rsid w:val="0005753C"/>
    <w:rsid w:val="000606CB"/>
    <w:rsid w:val="00060890"/>
    <w:rsid w:val="00061415"/>
    <w:rsid w:val="0006199A"/>
    <w:rsid w:val="00061FD8"/>
    <w:rsid w:val="000630D9"/>
    <w:rsid w:val="00063C44"/>
    <w:rsid w:val="00063CE1"/>
    <w:rsid w:val="000641DA"/>
    <w:rsid w:val="00065053"/>
    <w:rsid w:val="000655E4"/>
    <w:rsid w:val="000656AD"/>
    <w:rsid w:val="000659D0"/>
    <w:rsid w:val="00065C71"/>
    <w:rsid w:val="00066BBA"/>
    <w:rsid w:val="000671B7"/>
    <w:rsid w:val="000674F9"/>
    <w:rsid w:val="00067B6F"/>
    <w:rsid w:val="00067E1D"/>
    <w:rsid w:val="0007064C"/>
    <w:rsid w:val="000712EE"/>
    <w:rsid w:val="00071794"/>
    <w:rsid w:val="000725C0"/>
    <w:rsid w:val="00074CE6"/>
    <w:rsid w:val="000768A5"/>
    <w:rsid w:val="00077277"/>
    <w:rsid w:val="0007743A"/>
    <w:rsid w:val="00077BC5"/>
    <w:rsid w:val="00080069"/>
    <w:rsid w:val="00080125"/>
    <w:rsid w:val="00080F4F"/>
    <w:rsid w:val="000816F6"/>
    <w:rsid w:val="000819EC"/>
    <w:rsid w:val="00081CBC"/>
    <w:rsid w:val="00082159"/>
    <w:rsid w:val="00082183"/>
    <w:rsid w:val="000832E4"/>
    <w:rsid w:val="0008449F"/>
    <w:rsid w:val="000846ED"/>
    <w:rsid w:val="0008499D"/>
    <w:rsid w:val="00084B16"/>
    <w:rsid w:val="00090681"/>
    <w:rsid w:val="000916A3"/>
    <w:rsid w:val="000924A7"/>
    <w:rsid w:val="00093452"/>
    <w:rsid w:val="00093D79"/>
    <w:rsid w:val="00094B28"/>
    <w:rsid w:val="00094B9A"/>
    <w:rsid w:val="00095805"/>
    <w:rsid w:val="0009630E"/>
    <w:rsid w:val="00096568"/>
    <w:rsid w:val="00096DEE"/>
    <w:rsid w:val="00097063"/>
    <w:rsid w:val="00097336"/>
    <w:rsid w:val="000975DA"/>
    <w:rsid w:val="00097F89"/>
    <w:rsid w:val="000A0D42"/>
    <w:rsid w:val="000A12E3"/>
    <w:rsid w:val="000A1920"/>
    <w:rsid w:val="000A1A89"/>
    <w:rsid w:val="000A1C91"/>
    <w:rsid w:val="000A2424"/>
    <w:rsid w:val="000A24C4"/>
    <w:rsid w:val="000A2CC9"/>
    <w:rsid w:val="000A314F"/>
    <w:rsid w:val="000A345B"/>
    <w:rsid w:val="000A372A"/>
    <w:rsid w:val="000A395D"/>
    <w:rsid w:val="000A5007"/>
    <w:rsid w:val="000A532C"/>
    <w:rsid w:val="000A56A5"/>
    <w:rsid w:val="000A5C86"/>
    <w:rsid w:val="000A64F0"/>
    <w:rsid w:val="000A6897"/>
    <w:rsid w:val="000A6DBE"/>
    <w:rsid w:val="000A7265"/>
    <w:rsid w:val="000A7E1F"/>
    <w:rsid w:val="000B1FC4"/>
    <w:rsid w:val="000B21D6"/>
    <w:rsid w:val="000B2404"/>
    <w:rsid w:val="000B36D8"/>
    <w:rsid w:val="000B3B7D"/>
    <w:rsid w:val="000B4E71"/>
    <w:rsid w:val="000B6E38"/>
    <w:rsid w:val="000C056F"/>
    <w:rsid w:val="000C1442"/>
    <w:rsid w:val="000C1928"/>
    <w:rsid w:val="000C19B3"/>
    <w:rsid w:val="000C19EF"/>
    <w:rsid w:val="000C2D7D"/>
    <w:rsid w:val="000C3B86"/>
    <w:rsid w:val="000C4A46"/>
    <w:rsid w:val="000C4AFE"/>
    <w:rsid w:val="000C4F54"/>
    <w:rsid w:val="000C5237"/>
    <w:rsid w:val="000C5427"/>
    <w:rsid w:val="000C55A6"/>
    <w:rsid w:val="000C6153"/>
    <w:rsid w:val="000C6A39"/>
    <w:rsid w:val="000C6FB8"/>
    <w:rsid w:val="000C7FC1"/>
    <w:rsid w:val="000D0547"/>
    <w:rsid w:val="000D13E5"/>
    <w:rsid w:val="000D28EB"/>
    <w:rsid w:val="000D308C"/>
    <w:rsid w:val="000D378B"/>
    <w:rsid w:val="000D4262"/>
    <w:rsid w:val="000D43DE"/>
    <w:rsid w:val="000D55B5"/>
    <w:rsid w:val="000D58A1"/>
    <w:rsid w:val="000D63AF"/>
    <w:rsid w:val="000D6FA7"/>
    <w:rsid w:val="000D722B"/>
    <w:rsid w:val="000D7E54"/>
    <w:rsid w:val="000E04C6"/>
    <w:rsid w:val="000E072C"/>
    <w:rsid w:val="000E0A5A"/>
    <w:rsid w:val="000E0A85"/>
    <w:rsid w:val="000E2F5F"/>
    <w:rsid w:val="000E367F"/>
    <w:rsid w:val="000E55F6"/>
    <w:rsid w:val="000E5B4D"/>
    <w:rsid w:val="000E68E3"/>
    <w:rsid w:val="000E6DDB"/>
    <w:rsid w:val="000E72AB"/>
    <w:rsid w:val="000E74A6"/>
    <w:rsid w:val="000F03B1"/>
    <w:rsid w:val="000F08AE"/>
    <w:rsid w:val="000F0DA6"/>
    <w:rsid w:val="000F1504"/>
    <w:rsid w:val="000F1AAB"/>
    <w:rsid w:val="000F1AE0"/>
    <w:rsid w:val="000F2D33"/>
    <w:rsid w:val="000F2E1E"/>
    <w:rsid w:val="000F34BA"/>
    <w:rsid w:val="000F3B69"/>
    <w:rsid w:val="000F43F4"/>
    <w:rsid w:val="000F440E"/>
    <w:rsid w:val="000F4A54"/>
    <w:rsid w:val="000F4AED"/>
    <w:rsid w:val="000F6647"/>
    <w:rsid w:val="000F73B7"/>
    <w:rsid w:val="000F771F"/>
    <w:rsid w:val="000F794F"/>
    <w:rsid w:val="000F7E7B"/>
    <w:rsid w:val="001002F8"/>
    <w:rsid w:val="00101A74"/>
    <w:rsid w:val="001020EC"/>
    <w:rsid w:val="001022E8"/>
    <w:rsid w:val="00102654"/>
    <w:rsid w:val="001028CC"/>
    <w:rsid w:val="00102C2B"/>
    <w:rsid w:val="001045F9"/>
    <w:rsid w:val="0010472B"/>
    <w:rsid w:val="00104F95"/>
    <w:rsid w:val="00105698"/>
    <w:rsid w:val="00105C3B"/>
    <w:rsid w:val="00105E1A"/>
    <w:rsid w:val="0010657F"/>
    <w:rsid w:val="001078E6"/>
    <w:rsid w:val="00110332"/>
    <w:rsid w:val="00110C32"/>
    <w:rsid w:val="00111159"/>
    <w:rsid w:val="0011191A"/>
    <w:rsid w:val="00111B51"/>
    <w:rsid w:val="0011221E"/>
    <w:rsid w:val="00112D0F"/>
    <w:rsid w:val="001133E0"/>
    <w:rsid w:val="00114432"/>
    <w:rsid w:val="00115858"/>
    <w:rsid w:val="00115DE5"/>
    <w:rsid w:val="001163D6"/>
    <w:rsid w:val="00116BA2"/>
    <w:rsid w:val="00116C76"/>
    <w:rsid w:val="0011726A"/>
    <w:rsid w:val="0012022D"/>
    <w:rsid w:val="00120B5E"/>
    <w:rsid w:val="00120CE8"/>
    <w:rsid w:val="0012108F"/>
    <w:rsid w:val="00121EB0"/>
    <w:rsid w:val="0012228D"/>
    <w:rsid w:val="00123218"/>
    <w:rsid w:val="001237B7"/>
    <w:rsid w:val="001237BA"/>
    <w:rsid w:val="00123925"/>
    <w:rsid w:val="00123B3A"/>
    <w:rsid w:val="00123E71"/>
    <w:rsid w:val="00126641"/>
    <w:rsid w:val="00126954"/>
    <w:rsid w:val="001304C3"/>
    <w:rsid w:val="00132C16"/>
    <w:rsid w:val="00132F9E"/>
    <w:rsid w:val="00133D3A"/>
    <w:rsid w:val="00134BF4"/>
    <w:rsid w:val="001352EE"/>
    <w:rsid w:val="00135505"/>
    <w:rsid w:val="001364A7"/>
    <w:rsid w:val="001365E0"/>
    <w:rsid w:val="00136827"/>
    <w:rsid w:val="001373A8"/>
    <w:rsid w:val="001375D4"/>
    <w:rsid w:val="00137ADB"/>
    <w:rsid w:val="001401F1"/>
    <w:rsid w:val="0014073C"/>
    <w:rsid w:val="00140885"/>
    <w:rsid w:val="00143750"/>
    <w:rsid w:val="00143E88"/>
    <w:rsid w:val="001455D8"/>
    <w:rsid w:val="00146B5E"/>
    <w:rsid w:val="0014721B"/>
    <w:rsid w:val="0014790A"/>
    <w:rsid w:val="00147F48"/>
    <w:rsid w:val="00150E70"/>
    <w:rsid w:val="00151185"/>
    <w:rsid w:val="0015142E"/>
    <w:rsid w:val="00151609"/>
    <w:rsid w:val="00151975"/>
    <w:rsid w:val="00151ABB"/>
    <w:rsid w:val="00152B2B"/>
    <w:rsid w:val="001531E3"/>
    <w:rsid w:val="0015401E"/>
    <w:rsid w:val="00154447"/>
    <w:rsid w:val="00154503"/>
    <w:rsid w:val="001549BE"/>
    <w:rsid w:val="00154CDE"/>
    <w:rsid w:val="00154F5B"/>
    <w:rsid w:val="001606B8"/>
    <w:rsid w:val="00160C23"/>
    <w:rsid w:val="00161D69"/>
    <w:rsid w:val="00161DAC"/>
    <w:rsid w:val="00162B55"/>
    <w:rsid w:val="00162D8B"/>
    <w:rsid w:val="00163101"/>
    <w:rsid w:val="001638E9"/>
    <w:rsid w:val="00163D0A"/>
    <w:rsid w:val="001642D1"/>
    <w:rsid w:val="00165824"/>
    <w:rsid w:val="001662A6"/>
    <w:rsid w:val="001666EA"/>
    <w:rsid w:val="0016721E"/>
    <w:rsid w:val="00167406"/>
    <w:rsid w:val="00167A69"/>
    <w:rsid w:val="0017111A"/>
    <w:rsid w:val="00171A85"/>
    <w:rsid w:val="00173559"/>
    <w:rsid w:val="00173F5C"/>
    <w:rsid w:val="00174186"/>
    <w:rsid w:val="00174565"/>
    <w:rsid w:val="00174EC9"/>
    <w:rsid w:val="00175574"/>
    <w:rsid w:val="00175BB3"/>
    <w:rsid w:val="00177A9A"/>
    <w:rsid w:val="001808A4"/>
    <w:rsid w:val="00180FF3"/>
    <w:rsid w:val="001815A5"/>
    <w:rsid w:val="00181F30"/>
    <w:rsid w:val="0018265B"/>
    <w:rsid w:val="00182740"/>
    <w:rsid w:val="001835D4"/>
    <w:rsid w:val="00183CFA"/>
    <w:rsid w:val="00184071"/>
    <w:rsid w:val="0018432E"/>
    <w:rsid w:val="001852C5"/>
    <w:rsid w:val="001853D7"/>
    <w:rsid w:val="00185A3B"/>
    <w:rsid w:val="00186721"/>
    <w:rsid w:val="00186850"/>
    <w:rsid w:val="00186B71"/>
    <w:rsid w:val="001900D1"/>
    <w:rsid w:val="001904A5"/>
    <w:rsid w:val="00190FED"/>
    <w:rsid w:val="00191866"/>
    <w:rsid w:val="001923C8"/>
    <w:rsid w:val="001927DD"/>
    <w:rsid w:val="00192DAF"/>
    <w:rsid w:val="00192E80"/>
    <w:rsid w:val="001939FF"/>
    <w:rsid w:val="00193BCA"/>
    <w:rsid w:val="0019494C"/>
    <w:rsid w:val="00194DE8"/>
    <w:rsid w:val="00196223"/>
    <w:rsid w:val="00197990"/>
    <w:rsid w:val="001A0106"/>
    <w:rsid w:val="001A02CB"/>
    <w:rsid w:val="001A02FD"/>
    <w:rsid w:val="001A11DB"/>
    <w:rsid w:val="001A33F4"/>
    <w:rsid w:val="001A3997"/>
    <w:rsid w:val="001A50DE"/>
    <w:rsid w:val="001A53AE"/>
    <w:rsid w:val="001A6256"/>
    <w:rsid w:val="001A65D2"/>
    <w:rsid w:val="001A6F29"/>
    <w:rsid w:val="001A789B"/>
    <w:rsid w:val="001B03CC"/>
    <w:rsid w:val="001B0C75"/>
    <w:rsid w:val="001B1E05"/>
    <w:rsid w:val="001B2010"/>
    <w:rsid w:val="001B25D8"/>
    <w:rsid w:val="001B2A29"/>
    <w:rsid w:val="001B2DEE"/>
    <w:rsid w:val="001B2F47"/>
    <w:rsid w:val="001B368E"/>
    <w:rsid w:val="001B42DC"/>
    <w:rsid w:val="001B44C2"/>
    <w:rsid w:val="001B4EC1"/>
    <w:rsid w:val="001B659F"/>
    <w:rsid w:val="001B7399"/>
    <w:rsid w:val="001B7655"/>
    <w:rsid w:val="001B7BAD"/>
    <w:rsid w:val="001B7F09"/>
    <w:rsid w:val="001C1166"/>
    <w:rsid w:val="001C24E6"/>
    <w:rsid w:val="001C261E"/>
    <w:rsid w:val="001C2899"/>
    <w:rsid w:val="001C3305"/>
    <w:rsid w:val="001C3AC7"/>
    <w:rsid w:val="001C42D0"/>
    <w:rsid w:val="001C6402"/>
    <w:rsid w:val="001C7B78"/>
    <w:rsid w:val="001C7F47"/>
    <w:rsid w:val="001C7FB4"/>
    <w:rsid w:val="001D09FB"/>
    <w:rsid w:val="001D0A25"/>
    <w:rsid w:val="001D0BA6"/>
    <w:rsid w:val="001D0C78"/>
    <w:rsid w:val="001D1354"/>
    <w:rsid w:val="001D15C4"/>
    <w:rsid w:val="001D1903"/>
    <w:rsid w:val="001D1942"/>
    <w:rsid w:val="001D1D2A"/>
    <w:rsid w:val="001D1DDB"/>
    <w:rsid w:val="001D2D04"/>
    <w:rsid w:val="001D3E15"/>
    <w:rsid w:val="001D53EA"/>
    <w:rsid w:val="001D67AC"/>
    <w:rsid w:val="001D6F7C"/>
    <w:rsid w:val="001D777C"/>
    <w:rsid w:val="001E0156"/>
    <w:rsid w:val="001E10D7"/>
    <w:rsid w:val="001E1153"/>
    <w:rsid w:val="001E12A5"/>
    <w:rsid w:val="001E1BF9"/>
    <w:rsid w:val="001E1EDB"/>
    <w:rsid w:val="001E3A18"/>
    <w:rsid w:val="001E6223"/>
    <w:rsid w:val="001E7093"/>
    <w:rsid w:val="001E717D"/>
    <w:rsid w:val="001E71F5"/>
    <w:rsid w:val="001E73DA"/>
    <w:rsid w:val="001E7D86"/>
    <w:rsid w:val="001F1A9F"/>
    <w:rsid w:val="001F203C"/>
    <w:rsid w:val="001F2278"/>
    <w:rsid w:val="001F377B"/>
    <w:rsid w:val="001F3CF9"/>
    <w:rsid w:val="001F4708"/>
    <w:rsid w:val="001F4D2F"/>
    <w:rsid w:val="001F4FEE"/>
    <w:rsid w:val="001F52A9"/>
    <w:rsid w:val="001F55E5"/>
    <w:rsid w:val="001F5689"/>
    <w:rsid w:val="001F5CB9"/>
    <w:rsid w:val="001F63E1"/>
    <w:rsid w:val="001F65D7"/>
    <w:rsid w:val="002003A1"/>
    <w:rsid w:val="002008B3"/>
    <w:rsid w:val="00200DC3"/>
    <w:rsid w:val="002011E2"/>
    <w:rsid w:val="00201BB9"/>
    <w:rsid w:val="002025E5"/>
    <w:rsid w:val="00202618"/>
    <w:rsid w:val="00202925"/>
    <w:rsid w:val="00202C70"/>
    <w:rsid w:val="00203FE6"/>
    <w:rsid w:val="002044F6"/>
    <w:rsid w:val="002050B0"/>
    <w:rsid w:val="00205D80"/>
    <w:rsid w:val="00206401"/>
    <w:rsid w:val="002076B4"/>
    <w:rsid w:val="00210874"/>
    <w:rsid w:val="0021093F"/>
    <w:rsid w:val="00211F31"/>
    <w:rsid w:val="00212FAC"/>
    <w:rsid w:val="002133CA"/>
    <w:rsid w:val="00213592"/>
    <w:rsid w:val="002146B5"/>
    <w:rsid w:val="00214FA2"/>
    <w:rsid w:val="00215783"/>
    <w:rsid w:val="0021644B"/>
    <w:rsid w:val="00216489"/>
    <w:rsid w:val="002167C9"/>
    <w:rsid w:val="00216DC9"/>
    <w:rsid w:val="0021749D"/>
    <w:rsid w:val="00217CA0"/>
    <w:rsid w:val="002202EB"/>
    <w:rsid w:val="00220FCF"/>
    <w:rsid w:val="00221705"/>
    <w:rsid w:val="00221972"/>
    <w:rsid w:val="00222F4D"/>
    <w:rsid w:val="00223038"/>
    <w:rsid w:val="002231C8"/>
    <w:rsid w:val="00224154"/>
    <w:rsid w:val="00224375"/>
    <w:rsid w:val="0022513F"/>
    <w:rsid w:val="00225631"/>
    <w:rsid w:val="00226614"/>
    <w:rsid w:val="00230194"/>
    <w:rsid w:val="0023065B"/>
    <w:rsid w:val="00230B70"/>
    <w:rsid w:val="00230F9E"/>
    <w:rsid w:val="00231923"/>
    <w:rsid w:val="00232354"/>
    <w:rsid w:val="0023262C"/>
    <w:rsid w:val="00232708"/>
    <w:rsid w:val="002329C3"/>
    <w:rsid w:val="002332AE"/>
    <w:rsid w:val="002333C2"/>
    <w:rsid w:val="002339F7"/>
    <w:rsid w:val="00233F2D"/>
    <w:rsid w:val="00234040"/>
    <w:rsid w:val="00234D9C"/>
    <w:rsid w:val="00234DCE"/>
    <w:rsid w:val="0023576C"/>
    <w:rsid w:val="00235D67"/>
    <w:rsid w:val="0023626B"/>
    <w:rsid w:val="0023718E"/>
    <w:rsid w:val="002376AD"/>
    <w:rsid w:val="002379CE"/>
    <w:rsid w:val="00241730"/>
    <w:rsid w:val="00242F07"/>
    <w:rsid w:val="00243020"/>
    <w:rsid w:val="0024498B"/>
    <w:rsid w:val="00244D22"/>
    <w:rsid w:val="00245A23"/>
    <w:rsid w:val="00245FD9"/>
    <w:rsid w:val="00246C09"/>
    <w:rsid w:val="002470E4"/>
    <w:rsid w:val="00247262"/>
    <w:rsid w:val="00247D62"/>
    <w:rsid w:val="0025003E"/>
    <w:rsid w:val="002502C2"/>
    <w:rsid w:val="00250B66"/>
    <w:rsid w:val="00251007"/>
    <w:rsid w:val="002513E4"/>
    <w:rsid w:val="0025144C"/>
    <w:rsid w:val="00254216"/>
    <w:rsid w:val="00255EFF"/>
    <w:rsid w:val="0025616B"/>
    <w:rsid w:val="002567A5"/>
    <w:rsid w:val="002568CD"/>
    <w:rsid w:val="00257285"/>
    <w:rsid w:val="0025755E"/>
    <w:rsid w:val="00257FF4"/>
    <w:rsid w:val="002608CE"/>
    <w:rsid w:val="00261660"/>
    <w:rsid w:val="002619D5"/>
    <w:rsid w:val="0026220C"/>
    <w:rsid w:val="0026279C"/>
    <w:rsid w:val="00262CD3"/>
    <w:rsid w:val="00263BB1"/>
    <w:rsid w:val="00264181"/>
    <w:rsid w:val="00264BB2"/>
    <w:rsid w:val="00265289"/>
    <w:rsid w:val="00265388"/>
    <w:rsid w:val="00266613"/>
    <w:rsid w:val="00266683"/>
    <w:rsid w:val="00266FE9"/>
    <w:rsid w:val="00272396"/>
    <w:rsid w:val="002730FE"/>
    <w:rsid w:val="00273D98"/>
    <w:rsid w:val="00274606"/>
    <w:rsid w:val="00275445"/>
    <w:rsid w:val="00275A4E"/>
    <w:rsid w:val="00275B96"/>
    <w:rsid w:val="0027614D"/>
    <w:rsid w:val="0027651A"/>
    <w:rsid w:val="002768FA"/>
    <w:rsid w:val="002770A1"/>
    <w:rsid w:val="0028001E"/>
    <w:rsid w:val="00280D53"/>
    <w:rsid w:val="002812C9"/>
    <w:rsid w:val="00281CF6"/>
    <w:rsid w:val="00282ABE"/>
    <w:rsid w:val="0028359B"/>
    <w:rsid w:val="00284441"/>
    <w:rsid w:val="00285275"/>
    <w:rsid w:val="002857FE"/>
    <w:rsid w:val="00286427"/>
    <w:rsid w:val="00290416"/>
    <w:rsid w:val="00290933"/>
    <w:rsid w:val="00290B08"/>
    <w:rsid w:val="00291AB9"/>
    <w:rsid w:val="00291E57"/>
    <w:rsid w:val="00292D6A"/>
    <w:rsid w:val="0029312A"/>
    <w:rsid w:val="0029325C"/>
    <w:rsid w:val="00293B2D"/>
    <w:rsid w:val="00293B46"/>
    <w:rsid w:val="00294E5F"/>
    <w:rsid w:val="002960B7"/>
    <w:rsid w:val="00296FCD"/>
    <w:rsid w:val="00297327"/>
    <w:rsid w:val="00297643"/>
    <w:rsid w:val="00297824"/>
    <w:rsid w:val="00297942"/>
    <w:rsid w:val="002A0F2E"/>
    <w:rsid w:val="002A153F"/>
    <w:rsid w:val="002A1705"/>
    <w:rsid w:val="002A1CC2"/>
    <w:rsid w:val="002A2161"/>
    <w:rsid w:val="002A32FD"/>
    <w:rsid w:val="002A40DC"/>
    <w:rsid w:val="002A4534"/>
    <w:rsid w:val="002A5329"/>
    <w:rsid w:val="002A5C2D"/>
    <w:rsid w:val="002A5CB3"/>
    <w:rsid w:val="002A61E5"/>
    <w:rsid w:val="002A637A"/>
    <w:rsid w:val="002A74DD"/>
    <w:rsid w:val="002A79D5"/>
    <w:rsid w:val="002A7C98"/>
    <w:rsid w:val="002A7FC8"/>
    <w:rsid w:val="002B0782"/>
    <w:rsid w:val="002B0A81"/>
    <w:rsid w:val="002B1883"/>
    <w:rsid w:val="002B1CE7"/>
    <w:rsid w:val="002B2CB2"/>
    <w:rsid w:val="002B2F0F"/>
    <w:rsid w:val="002B3C61"/>
    <w:rsid w:val="002B4724"/>
    <w:rsid w:val="002B4844"/>
    <w:rsid w:val="002B569D"/>
    <w:rsid w:val="002B595D"/>
    <w:rsid w:val="002B5F6A"/>
    <w:rsid w:val="002B779E"/>
    <w:rsid w:val="002B7D6F"/>
    <w:rsid w:val="002B7D78"/>
    <w:rsid w:val="002C0552"/>
    <w:rsid w:val="002C0961"/>
    <w:rsid w:val="002C1CF7"/>
    <w:rsid w:val="002C1D11"/>
    <w:rsid w:val="002C25D0"/>
    <w:rsid w:val="002C27BF"/>
    <w:rsid w:val="002C280B"/>
    <w:rsid w:val="002C2DB0"/>
    <w:rsid w:val="002C43BD"/>
    <w:rsid w:val="002C44A0"/>
    <w:rsid w:val="002C4C2F"/>
    <w:rsid w:val="002C4D41"/>
    <w:rsid w:val="002C75B0"/>
    <w:rsid w:val="002C7703"/>
    <w:rsid w:val="002C7A63"/>
    <w:rsid w:val="002C7DA3"/>
    <w:rsid w:val="002C7FA2"/>
    <w:rsid w:val="002D0153"/>
    <w:rsid w:val="002D0985"/>
    <w:rsid w:val="002D1431"/>
    <w:rsid w:val="002D263E"/>
    <w:rsid w:val="002D353C"/>
    <w:rsid w:val="002D403A"/>
    <w:rsid w:val="002D4262"/>
    <w:rsid w:val="002D4600"/>
    <w:rsid w:val="002D46B7"/>
    <w:rsid w:val="002D6163"/>
    <w:rsid w:val="002D65AF"/>
    <w:rsid w:val="002D7BEE"/>
    <w:rsid w:val="002E0163"/>
    <w:rsid w:val="002E0491"/>
    <w:rsid w:val="002E1064"/>
    <w:rsid w:val="002E1E57"/>
    <w:rsid w:val="002E2551"/>
    <w:rsid w:val="002E323F"/>
    <w:rsid w:val="002E3490"/>
    <w:rsid w:val="002E3A30"/>
    <w:rsid w:val="002E46F6"/>
    <w:rsid w:val="002E4BD6"/>
    <w:rsid w:val="002E5144"/>
    <w:rsid w:val="002E5364"/>
    <w:rsid w:val="002E54BE"/>
    <w:rsid w:val="002E5554"/>
    <w:rsid w:val="002E59C4"/>
    <w:rsid w:val="002E5D24"/>
    <w:rsid w:val="002E66AE"/>
    <w:rsid w:val="002E7AE1"/>
    <w:rsid w:val="002F01B5"/>
    <w:rsid w:val="002F0726"/>
    <w:rsid w:val="002F1A28"/>
    <w:rsid w:val="002F1B12"/>
    <w:rsid w:val="002F2256"/>
    <w:rsid w:val="002F50AE"/>
    <w:rsid w:val="002F530C"/>
    <w:rsid w:val="002F591B"/>
    <w:rsid w:val="002F5C70"/>
    <w:rsid w:val="002F6380"/>
    <w:rsid w:val="002F64B8"/>
    <w:rsid w:val="002F673B"/>
    <w:rsid w:val="002F6B19"/>
    <w:rsid w:val="002F7B47"/>
    <w:rsid w:val="00300013"/>
    <w:rsid w:val="0030032D"/>
    <w:rsid w:val="003006F8"/>
    <w:rsid w:val="00300BF2"/>
    <w:rsid w:val="00301411"/>
    <w:rsid w:val="003015EB"/>
    <w:rsid w:val="0030165B"/>
    <w:rsid w:val="003027C1"/>
    <w:rsid w:val="00302A25"/>
    <w:rsid w:val="00303980"/>
    <w:rsid w:val="00304900"/>
    <w:rsid w:val="00304C13"/>
    <w:rsid w:val="00305077"/>
    <w:rsid w:val="003051CE"/>
    <w:rsid w:val="00305718"/>
    <w:rsid w:val="003059F2"/>
    <w:rsid w:val="00305CB2"/>
    <w:rsid w:val="00305D08"/>
    <w:rsid w:val="00305EC5"/>
    <w:rsid w:val="00306107"/>
    <w:rsid w:val="003076D4"/>
    <w:rsid w:val="003077B8"/>
    <w:rsid w:val="003111F8"/>
    <w:rsid w:val="00311622"/>
    <w:rsid w:val="00311B18"/>
    <w:rsid w:val="0031204A"/>
    <w:rsid w:val="0031272B"/>
    <w:rsid w:val="00312D77"/>
    <w:rsid w:val="00313092"/>
    <w:rsid w:val="00313198"/>
    <w:rsid w:val="00315435"/>
    <w:rsid w:val="00316759"/>
    <w:rsid w:val="0031691A"/>
    <w:rsid w:val="00316C2A"/>
    <w:rsid w:val="00317BF9"/>
    <w:rsid w:val="0032038C"/>
    <w:rsid w:val="00321889"/>
    <w:rsid w:val="00321D48"/>
    <w:rsid w:val="00321DEB"/>
    <w:rsid w:val="0032281C"/>
    <w:rsid w:val="00324590"/>
    <w:rsid w:val="00324827"/>
    <w:rsid w:val="003257D7"/>
    <w:rsid w:val="00325C5E"/>
    <w:rsid w:val="003262E0"/>
    <w:rsid w:val="003264CF"/>
    <w:rsid w:val="0032738E"/>
    <w:rsid w:val="003276D1"/>
    <w:rsid w:val="00331B40"/>
    <w:rsid w:val="00331B78"/>
    <w:rsid w:val="00331C5F"/>
    <w:rsid w:val="003325B9"/>
    <w:rsid w:val="00332E95"/>
    <w:rsid w:val="00333074"/>
    <w:rsid w:val="00333223"/>
    <w:rsid w:val="00333377"/>
    <w:rsid w:val="00333A43"/>
    <w:rsid w:val="003344AE"/>
    <w:rsid w:val="00334923"/>
    <w:rsid w:val="00334F7E"/>
    <w:rsid w:val="003364C1"/>
    <w:rsid w:val="00337094"/>
    <w:rsid w:val="00337F82"/>
    <w:rsid w:val="00340640"/>
    <w:rsid w:val="00340810"/>
    <w:rsid w:val="0034100B"/>
    <w:rsid w:val="00341E2E"/>
    <w:rsid w:val="003435D6"/>
    <w:rsid w:val="00345143"/>
    <w:rsid w:val="003458E0"/>
    <w:rsid w:val="00345CCD"/>
    <w:rsid w:val="003471F6"/>
    <w:rsid w:val="0034758C"/>
    <w:rsid w:val="003511CE"/>
    <w:rsid w:val="00351909"/>
    <w:rsid w:val="00352BE0"/>
    <w:rsid w:val="0035333E"/>
    <w:rsid w:val="003538F0"/>
    <w:rsid w:val="00353E62"/>
    <w:rsid w:val="00354798"/>
    <w:rsid w:val="003563DF"/>
    <w:rsid w:val="003575B7"/>
    <w:rsid w:val="00357869"/>
    <w:rsid w:val="00357DAE"/>
    <w:rsid w:val="003602A5"/>
    <w:rsid w:val="003606D1"/>
    <w:rsid w:val="003608D9"/>
    <w:rsid w:val="00360B80"/>
    <w:rsid w:val="00361259"/>
    <w:rsid w:val="00361429"/>
    <w:rsid w:val="003620D8"/>
    <w:rsid w:val="00362AA7"/>
    <w:rsid w:val="003630AD"/>
    <w:rsid w:val="003632BE"/>
    <w:rsid w:val="00363B11"/>
    <w:rsid w:val="00366F6D"/>
    <w:rsid w:val="003672D6"/>
    <w:rsid w:val="00367684"/>
    <w:rsid w:val="003705BF"/>
    <w:rsid w:val="00370935"/>
    <w:rsid w:val="00370E57"/>
    <w:rsid w:val="00370E9E"/>
    <w:rsid w:val="00371C1A"/>
    <w:rsid w:val="003721DB"/>
    <w:rsid w:val="00373CEB"/>
    <w:rsid w:val="00374312"/>
    <w:rsid w:val="00375E44"/>
    <w:rsid w:val="00375E52"/>
    <w:rsid w:val="00376DF7"/>
    <w:rsid w:val="00377981"/>
    <w:rsid w:val="00377BDE"/>
    <w:rsid w:val="00380888"/>
    <w:rsid w:val="00380D9F"/>
    <w:rsid w:val="00381802"/>
    <w:rsid w:val="003819E1"/>
    <w:rsid w:val="00382234"/>
    <w:rsid w:val="00382A0F"/>
    <w:rsid w:val="003842E5"/>
    <w:rsid w:val="003852C0"/>
    <w:rsid w:val="00385A6A"/>
    <w:rsid w:val="0038672F"/>
    <w:rsid w:val="00386A06"/>
    <w:rsid w:val="00386BC9"/>
    <w:rsid w:val="00386F24"/>
    <w:rsid w:val="003876AB"/>
    <w:rsid w:val="00387957"/>
    <w:rsid w:val="0039053D"/>
    <w:rsid w:val="00390C8F"/>
    <w:rsid w:val="00392B8A"/>
    <w:rsid w:val="00392DD1"/>
    <w:rsid w:val="00393668"/>
    <w:rsid w:val="00393799"/>
    <w:rsid w:val="00393FA9"/>
    <w:rsid w:val="0039449C"/>
    <w:rsid w:val="003947B3"/>
    <w:rsid w:val="003959E6"/>
    <w:rsid w:val="00395A77"/>
    <w:rsid w:val="00395E02"/>
    <w:rsid w:val="0039684C"/>
    <w:rsid w:val="003A0290"/>
    <w:rsid w:val="003A1E28"/>
    <w:rsid w:val="003A25BB"/>
    <w:rsid w:val="003A2AE2"/>
    <w:rsid w:val="003A2E7D"/>
    <w:rsid w:val="003A300D"/>
    <w:rsid w:val="003A3529"/>
    <w:rsid w:val="003A3D00"/>
    <w:rsid w:val="003A3E7B"/>
    <w:rsid w:val="003A422E"/>
    <w:rsid w:val="003A4566"/>
    <w:rsid w:val="003A7067"/>
    <w:rsid w:val="003A7F84"/>
    <w:rsid w:val="003B0143"/>
    <w:rsid w:val="003B09F6"/>
    <w:rsid w:val="003B0D03"/>
    <w:rsid w:val="003B1F0A"/>
    <w:rsid w:val="003B2C1F"/>
    <w:rsid w:val="003B329D"/>
    <w:rsid w:val="003B3684"/>
    <w:rsid w:val="003B5533"/>
    <w:rsid w:val="003B5A85"/>
    <w:rsid w:val="003B71EE"/>
    <w:rsid w:val="003B73CF"/>
    <w:rsid w:val="003B759C"/>
    <w:rsid w:val="003B7621"/>
    <w:rsid w:val="003B7843"/>
    <w:rsid w:val="003B7C64"/>
    <w:rsid w:val="003C0593"/>
    <w:rsid w:val="003C13A6"/>
    <w:rsid w:val="003C1615"/>
    <w:rsid w:val="003C1EB4"/>
    <w:rsid w:val="003C2536"/>
    <w:rsid w:val="003C2A44"/>
    <w:rsid w:val="003C4ACA"/>
    <w:rsid w:val="003C4E3A"/>
    <w:rsid w:val="003C7740"/>
    <w:rsid w:val="003D0C7C"/>
    <w:rsid w:val="003D0CC8"/>
    <w:rsid w:val="003D0E1C"/>
    <w:rsid w:val="003D1E47"/>
    <w:rsid w:val="003D3602"/>
    <w:rsid w:val="003D3662"/>
    <w:rsid w:val="003D3C14"/>
    <w:rsid w:val="003D4188"/>
    <w:rsid w:val="003D4557"/>
    <w:rsid w:val="003D4AAF"/>
    <w:rsid w:val="003D4CD3"/>
    <w:rsid w:val="003D5353"/>
    <w:rsid w:val="003D543D"/>
    <w:rsid w:val="003D562D"/>
    <w:rsid w:val="003D59FD"/>
    <w:rsid w:val="003D754B"/>
    <w:rsid w:val="003E10B8"/>
    <w:rsid w:val="003E122D"/>
    <w:rsid w:val="003E13F5"/>
    <w:rsid w:val="003E1978"/>
    <w:rsid w:val="003E1ED0"/>
    <w:rsid w:val="003E29B2"/>
    <w:rsid w:val="003E2B5E"/>
    <w:rsid w:val="003E3105"/>
    <w:rsid w:val="003E3302"/>
    <w:rsid w:val="003E3826"/>
    <w:rsid w:val="003E3AFD"/>
    <w:rsid w:val="003E3FF4"/>
    <w:rsid w:val="003E4AEB"/>
    <w:rsid w:val="003E4E15"/>
    <w:rsid w:val="003E53E8"/>
    <w:rsid w:val="003E5669"/>
    <w:rsid w:val="003E5912"/>
    <w:rsid w:val="003E5AE8"/>
    <w:rsid w:val="003E68C4"/>
    <w:rsid w:val="003F0103"/>
    <w:rsid w:val="003F07EE"/>
    <w:rsid w:val="003F0C8B"/>
    <w:rsid w:val="003F1607"/>
    <w:rsid w:val="003F231A"/>
    <w:rsid w:val="003F29F2"/>
    <w:rsid w:val="003F388C"/>
    <w:rsid w:val="003F3C77"/>
    <w:rsid w:val="003F4566"/>
    <w:rsid w:val="003F458D"/>
    <w:rsid w:val="003F47DF"/>
    <w:rsid w:val="003F4BE5"/>
    <w:rsid w:val="003F6209"/>
    <w:rsid w:val="003F634A"/>
    <w:rsid w:val="003F6675"/>
    <w:rsid w:val="003F7577"/>
    <w:rsid w:val="0040072E"/>
    <w:rsid w:val="00400A8B"/>
    <w:rsid w:val="00401831"/>
    <w:rsid w:val="0040314A"/>
    <w:rsid w:val="00403B87"/>
    <w:rsid w:val="00403BDB"/>
    <w:rsid w:val="00403CB0"/>
    <w:rsid w:val="004042C7"/>
    <w:rsid w:val="00405DAB"/>
    <w:rsid w:val="00405E90"/>
    <w:rsid w:val="0040629D"/>
    <w:rsid w:val="004065CE"/>
    <w:rsid w:val="00406802"/>
    <w:rsid w:val="00407535"/>
    <w:rsid w:val="00407A61"/>
    <w:rsid w:val="004105DD"/>
    <w:rsid w:val="00410DCE"/>
    <w:rsid w:val="00411E4D"/>
    <w:rsid w:val="00411F1A"/>
    <w:rsid w:val="00412C0B"/>
    <w:rsid w:val="0041404E"/>
    <w:rsid w:val="0041429D"/>
    <w:rsid w:val="004147D0"/>
    <w:rsid w:val="00414E1F"/>
    <w:rsid w:val="004157AB"/>
    <w:rsid w:val="0041581E"/>
    <w:rsid w:val="004161E5"/>
    <w:rsid w:val="0041765C"/>
    <w:rsid w:val="00420837"/>
    <w:rsid w:val="00420E05"/>
    <w:rsid w:val="00421EEC"/>
    <w:rsid w:val="0042280C"/>
    <w:rsid w:val="00422933"/>
    <w:rsid w:val="00422F4B"/>
    <w:rsid w:val="00423003"/>
    <w:rsid w:val="00423F0D"/>
    <w:rsid w:val="004248B4"/>
    <w:rsid w:val="00424C66"/>
    <w:rsid w:val="004251E6"/>
    <w:rsid w:val="0042526D"/>
    <w:rsid w:val="004252C3"/>
    <w:rsid w:val="004254A2"/>
    <w:rsid w:val="00426D71"/>
    <w:rsid w:val="004274FC"/>
    <w:rsid w:val="00430256"/>
    <w:rsid w:val="00430303"/>
    <w:rsid w:val="00430E3D"/>
    <w:rsid w:val="0043194D"/>
    <w:rsid w:val="00431B84"/>
    <w:rsid w:val="00431BF1"/>
    <w:rsid w:val="00433D22"/>
    <w:rsid w:val="00434130"/>
    <w:rsid w:val="004342F8"/>
    <w:rsid w:val="00434A2F"/>
    <w:rsid w:val="00434B63"/>
    <w:rsid w:val="00436535"/>
    <w:rsid w:val="004402D5"/>
    <w:rsid w:val="0044083A"/>
    <w:rsid w:val="004408FA"/>
    <w:rsid w:val="00440BBB"/>
    <w:rsid w:val="00441119"/>
    <w:rsid w:val="00442B66"/>
    <w:rsid w:val="00442D9D"/>
    <w:rsid w:val="00442E4B"/>
    <w:rsid w:val="0044302D"/>
    <w:rsid w:val="00443C38"/>
    <w:rsid w:val="00444E4C"/>
    <w:rsid w:val="00444FC8"/>
    <w:rsid w:val="0044552A"/>
    <w:rsid w:val="00445663"/>
    <w:rsid w:val="004461A4"/>
    <w:rsid w:val="00446612"/>
    <w:rsid w:val="00446EE2"/>
    <w:rsid w:val="00450E44"/>
    <w:rsid w:val="00451298"/>
    <w:rsid w:val="00451501"/>
    <w:rsid w:val="0045165E"/>
    <w:rsid w:val="004521E9"/>
    <w:rsid w:val="004528D0"/>
    <w:rsid w:val="004531F2"/>
    <w:rsid w:val="00453C86"/>
    <w:rsid w:val="00454564"/>
    <w:rsid w:val="00454E78"/>
    <w:rsid w:val="004562E5"/>
    <w:rsid w:val="00457BC3"/>
    <w:rsid w:val="00460084"/>
    <w:rsid w:val="0046034D"/>
    <w:rsid w:val="00461801"/>
    <w:rsid w:val="00462272"/>
    <w:rsid w:val="0046283F"/>
    <w:rsid w:val="0046390C"/>
    <w:rsid w:val="004639D7"/>
    <w:rsid w:val="00464569"/>
    <w:rsid w:val="004650DF"/>
    <w:rsid w:val="00465D4E"/>
    <w:rsid w:val="00466381"/>
    <w:rsid w:val="00467393"/>
    <w:rsid w:val="00467BDD"/>
    <w:rsid w:val="0047110B"/>
    <w:rsid w:val="0047134B"/>
    <w:rsid w:val="00471520"/>
    <w:rsid w:val="004717F6"/>
    <w:rsid w:val="0047364D"/>
    <w:rsid w:val="00473E40"/>
    <w:rsid w:val="0047481E"/>
    <w:rsid w:val="00474918"/>
    <w:rsid w:val="00475935"/>
    <w:rsid w:val="00475EAF"/>
    <w:rsid w:val="0047681C"/>
    <w:rsid w:val="00476FA4"/>
    <w:rsid w:val="004815F8"/>
    <w:rsid w:val="00481E32"/>
    <w:rsid w:val="004831ED"/>
    <w:rsid w:val="004831FC"/>
    <w:rsid w:val="004836A7"/>
    <w:rsid w:val="004847B4"/>
    <w:rsid w:val="00484921"/>
    <w:rsid w:val="00485B42"/>
    <w:rsid w:val="00486614"/>
    <w:rsid w:val="00487C0E"/>
    <w:rsid w:val="00487DE2"/>
    <w:rsid w:val="00487E11"/>
    <w:rsid w:val="00487FB8"/>
    <w:rsid w:val="00487FD3"/>
    <w:rsid w:val="004900FE"/>
    <w:rsid w:val="004919D4"/>
    <w:rsid w:val="00491FB2"/>
    <w:rsid w:val="0049200C"/>
    <w:rsid w:val="0049212C"/>
    <w:rsid w:val="0049437D"/>
    <w:rsid w:val="004950CC"/>
    <w:rsid w:val="00495ADC"/>
    <w:rsid w:val="00495C39"/>
    <w:rsid w:val="00496279"/>
    <w:rsid w:val="004975DB"/>
    <w:rsid w:val="004A1224"/>
    <w:rsid w:val="004A1ABD"/>
    <w:rsid w:val="004A247B"/>
    <w:rsid w:val="004A28C5"/>
    <w:rsid w:val="004A2AD1"/>
    <w:rsid w:val="004A2F59"/>
    <w:rsid w:val="004A3731"/>
    <w:rsid w:val="004A3865"/>
    <w:rsid w:val="004A3A82"/>
    <w:rsid w:val="004A5520"/>
    <w:rsid w:val="004A5E53"/>
    <w:rsid w:val="004A64B4"/>
    <w:rsid w:val="004A660C"/>
    <w:rsid w:val="004A6B44"/>
    <w:rsid w:val="004A6E0E"/>
    <w:rsid w:val="004A6E29"/>
    <w:rsid w:val="004B0B19"/>
    <w:rsid w:val="004B1B25"/>
    <w:rsid w:val="004B1E81"/>
    <w:rsid w:val="004B2698"/>
    <w:rsid w:val="004B30EE"/>
    <w:rsid w:val="004B35F0"/>
    <w:rsid w:val="004B37A7"/>
    <w:rsid w:val="004B4426"/>
    <w:rsid w:val="004B44E1"/>
    <w:rsid w:val="004B4901"/>
    <w:rsid w:val="004B4F87"/>
    <w:rsid w:val="004B5360"/>
    <w:rsid w:val="004B5F2A"/>
    <w:rsid w:val="004B63BE"/>
    <w:rsid w:val="004B674E"/>
    <w:rsid w:val="004B74B2"/>
    <w:rsid w:val="004B772F"/>
    <w:rsid w:val="004C103D"/>
    <w:rsid w:val="004C1303"/>
    <w:rsid w:val="004C1399"/>
    <w:rsid w:val="004C16D8"/>
    <w:rsid w:val="004C1C09"/>
    <w:rsid w:val="004C2A17"/>
    <w:rsid w:val="004C2B0E"/>
    <w:rsid w:val="004C45F5"/>
    <w:rsid w:val="004C5507"/>
    <w:rsid w:val="004C63EA"/>
    <w:rsid w:val="004C7D9E"/>
    <w:rsid w:val="004D05D8"/>
    <w:rsid w:val="004D0D6B"/>
    <w:rsid w:val="004D10C4"/>
    <w:rsid w:val="004D11C7"/>
    <w:rsid w:val="004D1E1A"/>
    <w:rsid w:val="004D1EFF"/>
    <w:rsid w:val="004D23A9"/>
    <w:rsid w:val="004D2683"/>
    <w:rsid w:val="004D29F5"/>
    <w:rsid w:val="004D2F90"/>
    <w:rsid w:val="004D3A5D"/>
    <w:rsid w:val="004D3E35"/>
    <w:rsid w:val="004D52F0"/>
    <w:rsid w:val="004D5C6C"/>
    <w:rsid w:val="004D5FDC"/>
    <w:rsid w:val="004D60D6"/>
    <w:rsid w:val="004D660D"/>
    <w:rsid w:val="004D7804"/>
    <w:rsid w:val="004E0308"/>
    <w:rsid w:val="004E2825"/>
    <w:rsid w:val="004E2DFB"/>
    <w:rsid w:val="004E3079"/>
    <w:rsid w:val="004E3276"/>
    <w:rsid w:val="004E3504"/>
    <w:rsid w:val="004E3836"/>
    <w:rsid w:val="004E3B3F"/>
    <w:rsid w:val="004E50A4"/>
    <w:rsid w:val="004E62E4"/>
    <w:rsid w:val="004E6F5D"/>
    <w:rsid w:val="004E7C41"/>
    <w:rsid w:val="004F082C"/>
    <w:rsid w:val="004F0E90"/>
    <w:rsid w:val="004F0F5B"/>
    <w:rsid w:val="004F1212"/>
    <w:rsid w:val="004F12CE"/>
    <w:rsid w:val="004F1672"/>
    <w:rsid w:val="004F187F"/>
    <w:rsid w:val="004F1B48"/>
    <w:rsid w:val="004F22B8"/>
    <w:rsid w:val="004F2437"/>
    <w:rsid w:val="004F2BF9"/>
    <w:rsid w:val="004F38E1"/>
    <w:rsid w:val="004F4624"/>
    <w:rsid w:val="004F5573"/>
    <w:rsid w:val="004F5948"/>
    <w:rsid w:val="004F5D8B"/>
    <w:rsid w:val="004F634F"/>
    <w:rsid w:val="004F7556"/>
    <w:rsid w:val="004F78BF"/>
    <w:rsid w:val="004F7B15"/>
    <w:rsid w:val="00500700"/>
    <w:rsid w:val="00500957"/>
    <w:rsid w:val="0050141B"/>
    <w:rsid w:val="0050230B"/>
    <w:rsid w:val="00502638"/>
    <w:rsid w:val="005029BC"/>
    <w:rsid w:val="00502B87"/>
    <w:rsid w:val="0050346A"/>
    <w:rsid w:val="00503FD8"/>
    <w:rsid w:val="00504472"/>
    <w:rsid w:val="005048E3"/>
    <w:rsid w:val="00505A77"/>
    <w:rsid w:val="00505CB3"/>
    <w:rsid w:val="005067C7"/>
    <w:rsid w:val="00506EB0"/>
    <w:rsid w:val="0050798C"/>
    <w:rsid w:val="00507F26"/>
    <w:rsid w:val="005111D1"/>
    <w:rsid w:val="00511496"/>
    <w:rsid w:val="0051191D"/>
    <w:rsid w:val="0051207B"/>
    <w:rsid w:val="00512A8C"/>
    <w:rsid w:val="005136CD"/>
    <w:rsid w:val="005140FF"/>
    <w:rsid w:val="00514B03"/>
    <w:rsid w:val="00514B1A"/>
    <w:rsid w:val="00514E2B"/>
    <w:rsid w:val="00514E5F"/>
    <w:rsid w:val="005150C5"/>
    <w:rsid w:val="00516415"/>
    <w:rsid w:val="00517351"/>
    <w:rsid w:val="00520FB7"/>
    <w:rsid w:val="0052106A"/>
    <w:rsid w:val="00521860"/>
    <w:rsid w:val="00521D74"/>
    <w:rsid w:val="005222A2"/>
    <w:rsid w:val="005222CC"/>
    <w:rsid w:val="00522622"/>
    <w:rsid w:val="0052262C"/>
    <w:rsid w:val="00523505"/>
    <w:rsid w:val="00523B5E"/>
    <w:rsid w:val="00524E3F"/>
    <w:rsid w:val="005250EE"/>
    <w:rsid w:val="00525151"/>
    <w:rsid w:val="00525AB1"/>
    <w:rsid w:val="005263A9"/>
    <w:rsid w:val="00526B01"/>
    <w:rsid w:val="00526C61"/>
    <w:rsid w:val="00527492"/>
    <w:rsid w:val="005277F5"/>
    <w:rsid w:val="00530311"/>
    <w:rsid w:val="005310C1"/>
    <w:rsid w:val="00531934"/>
    <w:rsid w:val="005328A9"/>
    <w:rsid w:val="00532994"/>
    <w:rsid w:val="005329BE"/>
    <w:rsid w:val="00532CF1"/>
    <w:rsid w:val="005334DE"/>
    <w:rsid w:val="00533515"/>
    <w:rsid w:val="005342DE"/>
    <w:rsid w:val="00534AC0"/>
    <w:rsid w:val="00535272"/>
    <w:rsid w:val="00535557"/>
    <w:rsid w:val="0053606A"/>
    <w:rsid w:val="00536480"/>
    <w:rsid w:val="005369C0"/>
    <w:rsid w:val="00536B92"/>
    <w:rsid w:val="0053714C"/>
    <w:rsid w:val="00537B3A"/>
    <w:rsid w:val="00537F49"/>
    <w:rsid w:val="00540811"/>
    <w:rsid w:val="00540B25"/>
    <w:rsid w:val="00540D82"/>
    <w:rsid w:val="00541254"/>
    <w:rsid w:val="00541AB8"/>
    <w:rsid w:val="005421CC"/>
    <w:rsid w:val="005425B2"/>
    <w:rsid w:val="00542BA5"/>
    <w:rsid w:val="00544718"/>
    <w:rsid w:val="00544841"/>
    <w:rsid w:val="00544869"/>
    <w:rsid w:val="00547058"/>
    <w:rsid w:val="00547111"/>
    <w:rsid w:val="00547CD4"/>
    <w:rsid w:val="00547E34"/>
    <w:rsid w:val="00547EB8"/>
    <w:rsid w:val="0055012F"/>
    <w:rsid w:val="005502F6"/>
    <w:rsid w:val="0055054A"/>
    <w:rsid w:val="005515E5"/>
    <w:rsid w:val="00552FC2"/>
    <w:rsid w:val="005534AF"/>
    <w:rsid w:val="00553A03"/>
    <w:rsid w:val="00553DA2"/>
    <w:rsid w:val="005543FB"/>
    <w:rsid w:val="005545DF"/>
    <w:rsid w:val="00554D5F"/>
    <w:rsid w:val="00555623"/>
    <w:rsid w:val="005562DC"/>
    <w:rsid w:val="00556725"/>
    <w:rsid w:val="00557A85"/>
    <w:rsid w:val="005606B5"/>
    <w:rsid w:val="00560E2D"/>
    <w:rsid w:val="005612F7"/>
    <w:rsid w:val="00562816"/>
    <w:rsid w:val="00562BAD"/>
    <w:rsid w:val="00563199"/>
    <w:rsid w:val="0056365E"/>
    <w:rsid w:val="005636DC"/>
    <w:rsid w:val="00565A95"/>
    <w:rsid w:val="00565C77"/>
    <w:rsid w:val="00566181"/>
    <w:rsid w:val="00567882"/>
    <w:rsid w:val="005708BD"/>
    <w:rsid w:val="00570D58"/>
    <w:rsid w:val="00572A0B"/>
    <w:rsid w:val="0057317E"/>
    <w:rsid w:val="005731D3"/>
    <w:rsid w:val="00573C7D"/>
    <w:rsid w:val="00574377"/>
    <w:rsid w:val="00574906"/>
    <w:rsid w:val="00574E9E"/>
    <w:rsid w:val="005752BC"/>
    <w:rsid w:val="00575A4B"/>
    <w:rsid w:val="0057622F"/>
    <w:rsid w:val="00576B23"/>
    <w:rsid w:val="00577772"/>
    <w:rsid w:val="00577977"/>
    <w:rsid w:val="00577DFB"/>
    <w:rsid w:val="005808E2"/>
    <w:rsid w:val="00580FFB"/>
    <w:rsid w:val="00581719"/>
    <w:rsid w:val="00581D30"/>
    <w:rsid w:val="0058259C"/>
    <w:rsid w:val="00583362"/>
    <w:rsid w:val="00583B0E"/>
    <w:rsid w:val="00584245"/>
    <w:rsid w:val="00584C2D"/>
    <w:rsid w:val="00584D80"/>
    <w:rsid w:val="00585BCF"/>
    <w:rsid w:val="0058649C"/>
    <w:rsid w:val="00586535"/>
    <w:rsid w:val="00586BB5"/>
    <w:rsid w:val="00586DFB"/>
    <w:rsid w:val="00587C83"/>
    <w:rsid w:val="00587E5A"/>
    <w:rsid w:val="005905BC"/>
    <w:rsid w:val="005909A7"/>
    <w:rsid w:val="005909CB"/>
    <w:rsid w:val="00590B75"/>
    <w:rsid w:val="00590DAA"/>
    <w:rsid w:val="0059205C"/>
    <w:rsid w:val="00592349"/>
    <w:rsid w:val="00592CEE"/>
    <w:rsid w:val="00592D49"/>
    <w:rsid w:val="00594F50"/>
    <w:rsid w:val="005955BA"/>
    <w:rsid w:val="0059690A"/>
    <w:rsid w:val="00596F3F"/>
    <w:rsid w:val="00596F9B"/>
    <w:rsid w:val="00597EEF"/>
    <w:rsid w:val="005A02CB"/>
    <w:rsid w:val="005A08ED"/>
    <w:rsid w:val="005A1A25"/>
    <w:rsid w:val="005A1C4E"/>
    <w:rsid w:val="005A2E0C"/>
    <w:rsid w:val="005A3678"/>
    <w:rsid w:val="005A3DAF"/>
    <w:rsid w:val="005A4251"/>
    <w:rsid w:val="005A4A1A"/>
    <w:rsid w:val="005A61D3"/>
    <w:rsid w:val="005A7C0B"/>
    <w:rsid w:val="005A7E70"/>
    <w:rsid w:val="005B0955"/>
    <w:rsid w:val="005B11C1"/>
    <w:rsid w:val="005B1A53"/>
    <w:rsid w:val="005B2AF7"/>
    <w:rsid w:val="005B40E8"/>
    <w:rsid w:val="005B56E0"/>
    <w:rsid w:val="005B589D"/>
    <w:rsid w:val="005B6839"/>
    <w:rsid w:val="005B6A94"/>
    <w:rsid w:val="005B6DAA"/>
    <w:rsid w:val="005B7314"/>
    <w:rsid w:val="005B7C27"/>
    <w:rsid w:val="005B7D8B"/>
    <w:rsid w:val="005C03F6"/>
    <w:rsid w:val="005C0475"/>
    <w:rsid w:val="005C0509"/>
    <w:rsid w:val="005C1569"/>
    <w:rsid w:val="005C224F"/>
    <w:rsid w:val="005C348A"/>
    <w:rsid w:val="005C3C1A"/>
    <w:rsid w:val="005C4604"/>
    <w:rsid w:val="005C460E"/>
    <w:rsid w:val="005C46D8"/>
    <w:rsid w:val="005C4BEE"/>
    <w:rsid w:val="005C6E74"/>
    <w:rsid w:val="005C732E"/>
    <w:rsid w:val="005C781C"/>
    <w:rsid w:val="005D034A"/>
    <w:rsid w:val="005D13ED"/>
    <w:rsid w:val="005D181E"/>
    <w:rsid w:val="005D1E16"/>
    <w:rsid w:val="005D2386"/>
    <w:rsid w:val="005D330E"/>
    <w:rsid w:val="005D48BF"/>
    <w:rsid w:val="005D520F"/>
    <w:rsid w:val="005D5FC6"/>
    <w:rsid w:val="005D645A"/>
    <w:rsid w:val="005D6E07"/>
    <w:rsid w:val="005D7A35"/>
    <w:rsid w:val="005E034F"/>
    <w:rsid w:val="005E09A7"/>
    <w:rsid w:val="005E0F2E"/>
    <w:rsid w:val="005E198B"/>
    <w:rsid w:val="005E19D9"/>
    <w:rsid w:val="005E1D35"/>
    <w:rsid w:val="005E2750"/>
    <w:rsid w:val="005E2A31"/>
    <w:rsid w:val="005E3D2F"/>
    <w:rsid w:val="005E442F"/>
    <w:rsid w:val="005E458D"/>
    <w:rsid w:val="005E480E"/>
    <w:rsid w:val="005E54A3"/>
    <w:rsid w:val="005E5625"/>
    <w:rsid w:val="005E61D8"/>
    <w:rsid w:val="005E6F2B"/>
    <w:rsid w:val="005E7E2C"/>
    <w:rsid w:val="005F190F"/>
    <w:rsid w:val="005F1ADE"/>
    <w:rsid w:val="005F29CD"/>
    <w:rsid w:val="005F3175"/>
    <w:rsid w:val="005F3436"/>
    <w:rsid w:val="005F3506"/>
    <w:rsid w:val="005F41D8"/>
    <w:rsid w:val="005F4739"/>
    <w:rsid w:val="005F6228"/>
    <w:rsid w:val="005F642B"/>
    <w:rsid w:val="005F67FC"/>
    <w:rsid w:val="005F6E70"/>
    <w:rsid w:val="005F72F5"/>
    <w:rsid w:val="00601630"/>
    <w:rsid w:val="00601A28"/>
    <w:rsid w:val="006026E1"/>
    <w:rsid w:val="00603950"/>
    <w:rsid w:val="00603A90"/>
    <w:rsid w:val="006041E9"/>
    <w:rsid w:val="00605163"/>
    <w:rsid w:val="0060523D"/>
    <w:rsid w:val="00606300"/>
    <w:rsid w:val="006065BF"/>
    <w:rsid w:val="00606D21"/>
    <w:rsid w:val="00606F5E"/>
    <w:rsid w:val="006070EA"/>
    <w:rsid w:val="00607ABE"/>
    <w:rsid w:val="00607F53"/>
    <w:rsid w:val="006103D0"/>
    <w:rsid w:val="006104F7"/>
    <w:rsid w:val="0061103A"/>
    <w:rsid w:val="00611EAE"/>
    <w:rsid w:val="00611F29"/>
    <w:rsid w:val="0061364A"/>
    <w:rsid w:val="00613BEA"/>
    <w:rsid w:val="0061402C"/>
    <w:rsid w:val="0061595F"/>
    <w:rsid w:val="00615A79"/>
    <w:rsid w:val="00616179"/>
    <w:rsid w:val="0061675B"/>
    <w:rsid w:val="00616854"/>
    <w:rsid w:val="0062052B"/>
    <w:rsid w:val="00620797"/>
    <w:rsid w:val="006207B7"/>
    <w:rsid w:val="00620F8F"/>
    <w:rsid w:val="00621A86"/>
    <w:rsid w:val="00622DDE"/>
    <w:rsid w:val="00623401"/>
    <w:rsid w:val="00624C95"/>
    <w:rsid w:val="006258B8"/>
    <w:rsid w:val="00625C40"/>
    <w:rsid w:val="0062706E"/>
    <w:rsid w:val="006272D9"/>
    <w:rsid w:val="00627E7C"/>
    <w:rsid w:val="00630B9A"/>
    <w:rsid w:val="00630CFF"/>
    <w:rsid w:val="00631369"/>
    <w:rsid w:val="0063167F"/>
    <w:rsid w:val="00631F9B"/>
    <w:rsid w:val="00632481"/>
    <w:rsid w:val="0063262D"/>
    <w:rsid w:val="0063268B"/>
    <w:rsid w:val="00632788"/>
    <w:rsid w:val="00632AE5"/>
    <w:rsid w:val="00632FF4"/>
    <w:rsid w:val="00633741"/>
    <w:rsid w:val="0063390E"/>
    <w:rsid w:val="00633CA1"/>
    <w:rsid w:val="006342FE"/>
    <w:rsid w:val="00634673"/>
    <w:rsid w:val="00636E1E"/>
    <w:rsid w:val="00637BBD"/>
    <w:rsid w:val="00637D33"/>
    <w:rsid w:val="00640D17"/>
    <w:rsid w:val="00641A99"/>
    <w:rsid w:val="00641CCA"/>
    <w:rsid w:val="00641DA3"/>
    <w:rsid w:val="00642377"/>
    <w:rsid w:val="00642768"/>
    <w:rsid w:val="00642A84"/>
    <w:rsid w:val="00642E92"/>
    <w:rsid w:val="0064411F"/>
    <w:rsid w:val="006449E3"/>
    <w:rsid w:val="00645742"/>
    <w:rsid w:val="00645E69"/>
    <w:rsid w:val="00646130"/>
    <w:rsid w:val="0064681A"/>
    <w:rsid w:val="00646ACE"/>
    <w:rsid w:val="006474C0"/>
    <w:rsid w:val="006475E6"/>
    <w:rsid w:val="00647927"/>
    <w:rsid w:val="00650B2D"/>
    <w:rsid w:val="00651D84"/>
    <w:rsid w:val="00652B9B"/>
    <w:rsid w:val="00652F78"/>
    <w:rsid w:val="00653120"/>
    <w:rsid w:val="00653743"/>
    <w:rsid w:val="00653DD9"/>
    <w:rsid w:val="00654119"/>
    <w:rsid w:val="00654943"/>
    <w:rsid w:val="00654E6A"/>
    <w:rsid w:val="00654EC2"/>
    <w:rsid w:val="006551FC"/>
    <w:rsid w:val="006563F3"/>
    <w:rsid w:val="006575F3"/>
    <w:rsid w:val="00660871"/>
    <w:rsid w:val="006610FF"/>
    <w:rsid w:val="0066176D"/>
    <w:rsid w:val="00661ED7"/>
    <w:rsid w:val="006620CF"/>
    <w:rsid w:val="00662809"/>
    <w:rsid w:val="00663823"/>
    <w:rsid w:val="00664E08"/>
    <w:rsid w:val="006650D0"/>
    <w:rsid w:val="0066774D"/>
    <w:rsid w:val="00667F42"/>
    <w:rsid w:val="00667F67"/>
    <w:rsid w:val="00671284"/>
    <w:rsid w:val="006727FC"/>
    <w:rsid w:val="00673906"/>
    <w:rsid w:val="00673C20"/>
    <w:rsid w:val="00674B58"/>
    <w:rsid w:val="00674BCB"/>
    <w:rsid w:val="006756CD"/>
    <w:rsid w:val="00675F49"/>
    <w:rsid w:val="00676613"/>
    <w:rsid w:val="00676E5B"/>
    <w:rsid w:val="006771AA"/>
    <w:rsid w:val="00677D6B"/>
    <w:rsid w:val="00680496"/>
    <w:rsid w:val="006806D5"/>
    <w:rsid w:val="00680752"/>
    <w:rsid w:val="00680795"/>
    <w:rsid w:val="00681523"/>
    <w:rsid w:val="00682713"/>
    <w:rsid w:val="00683451"/>
    <w:rsid w:val="00683579"/>
    <w:rsid w:val="006843F4"/>
    <w:rsid w:val="00684598"/>
    <w:rsid w:val="006854CE"/>
    <w:rsid w:val="00686B47"/>
    <w:rsid w:val="00686BCE"/>
    <w:rsid w:val="00686D14"/>
    <w:rsid w:val="00686F21"/>
    <w:rsid w:val="006875EA"/>
    <w:rsid w:val="0068790B"/>
    <w:rsid w:val="00690171"/>
    <w:rsid w:val="006906E4"/>
    <w:rsid w:val="006913EB"/>
    <w:rsid w:val="00691C54"/>
    <w:rsid w:val="00691CA6"/>
    <w:rsid w:val="00691E49"/>
    <w:rsid w:val="006922DC"/>
    <w:rsid w:val="006928E4"/>
    <w:rsid w:val="006941DD"/>
    <w:rsid w:val="006943D1"/>
    <w:rsid w:val="0069466B"/>
    <w:rsid w:val="00694795"/>
    <w:rsid w:val="00695014"/>
    <w:rsid w:val="00696AA8"/>
    <w:rsid w:val="006A1BA3"/>
    <w:rsid w:val="006A257C"/>
    <w:rsid w:val="006A2615"/>
    <w:rsid w:val="006A4158"/>
    <w:rsid w:val="006A445E"/>
    <w:rsid w:val="006A447C"/>
    <w:rsid w:val="006A4AA7"/>
    <w:rsid w:val="006A4E15"/>
    <w:rsid w:val="006A4FC0"/>
    <w:rsid w:val="006A5866"/>
    <w:rsid w:val="006A5E4F"/>
    <w:rsid w:val="006A612F"/>
    <w:rsid w:val="006A643C"/>
    <w:rsid w:val="006A7227"/>
    <w:rsid w:val="006A729B"/>
    <w:rsid w:val="006A741F"/>
    <w:rsid w:val="006A76A9"/>
    <w:rsid w:val="006B0431"/>
    <w:rsid w:val="006B0F54"/>
    <w:rsid w:val="006B12C6"/>
    <w:rsid w:val="006B1DD8"/>
    <w:rsid w:val="006B415B"/>
    <w:rsid w:val="006B4C95"/>
    <w:rsid w:val="006B4CBA"/>
    <w:rsid w:val="006B5058"/>
    <w:rsid w:val="006B59AD"/>
    <w:rsid w:val="006B6302"/>
    <w:rsid w:val="006B673D"/>
    <w:rsid w:val="006B6FEB"/>
    <w:rsid w:val="006B7542"/>
    <w:rsid w:val="006C0A59"/>
    <w:rsid w:val="006C19EE"/>
    <w:rsid w:val="006C1D01"/>
    <w:rsid w:val="006C1F6D"/>
    <w:rsid w:val="006C24C7"/>
    <w:rsid w:val="006C2BE3"/>
    <w:rsid w:val="006C2E46"/>
    <w:rsid w:val="006C3B05"/>
    <w:rsid w:val="006C3D4F"/>
    <w:rsid w:val="006C4E45"/>
    <w:rsid w:val="006C579B"/>
    <w:rsid w:val="006C5EE1"/>
    <w:rsid w:val="006C61B1"/>
    <w:rsid w:val="006C6DB8"/>
    <w:rsid w:val="006D0669"/>
    <w:rsid w:val="006D1D4E"/>
    <w:rsid w:val="006D1D63"/>
    <w:rsid w:val="006D261D"/>
    <w:rsid w:val="006D2B96"/>
    <w:rsid w:val="006D3771"/>
    <w:rsid w:val="006D3AA1"/>
    <w:rsid w:val="006D440A"/>
    <w:rsid w:val="006D5599"/>
    <w:rsid w:val="006D592F"/>
    <w:rsid w:val="006D62BE"/>
    <w:rsid w:val="006D6EFE"/>
    <w:rsid w:val="006D728E"/>
    <w:rsid w:val="006D7B71"/>
    <w:rsid w:val="006E0006"/>
    <w:rsid w:val="006E01BB"/>
    <w:rsid w:val="006E0DF6"/>
    <w:rsid w:val="006E0FD3"/>
    <w:rsid w:val="006E1BDE"/>
    <w:rsid w:val="006E2575"/>
    <w:rsid w:val="006E336C"/>
    <w:rsid w:val="006E35A9"/>
    <w:rsid w:val="006E3B9E"/>
    <w:rsid w:val="006E4A27"/>
    <w:rsid w:val="006E4DF1"/>
    <w:rsid w:val="006E5828"/>
    <w:rsid w:val="006E5D8C"/>
    <w:rsid w:val="006E6B92"/>
    <w:rsid w:val="006E6BB9"/>
    <w:rsid w:val="006E784F"/>
    <w:rsid w:val="006F0B4F"/>
    <w:rsid w:val="006F0E97"/>
    <w:rsid w:val="006F1592"/>
    <w:rsid w:val="006F2DF3"/>
    <w:rsid w:val="006F2DF9"/>
    <w:rsid w:val="006F2E99"/>
    <w:rsid w:val="006F2FFE"/>
    <w:rsid w:val="006F3C6F"/>
    <w:rsid w:val="006F41C6"/>
    <w:rsid w:val="006F5DD9"/>
    <w:rsid w:val="006F6648"/>
    <w:rsid w:val="006F6736"/>
    <w:rsid w:val="006F6E9C"/>
    <w:rsid w:val="006F6FA2"/>
    <w:rsid w:val="006F74F4"/>
    <w:rsid w:val="007001D0"/>
    <w:rsid w:val="007009E7"/>
    <w:rsid w:val="00700CE3"/>
    <w:rsid w:val="00701498"/>
    <w:rsid w:val="00701E70"/>
    <w:rsid w:val="00701E82"/>
    <w:rsid w:val="00704BB6"/>
    <w:rsid w:val="00704F47"/>
    <w:rsid w:val="00705001"/>
    <w:rsid w:val="00705BC0"/>
    <w:rsid w:val="0070702A"/>
    <w:rsid w:val="007072C2"/>
    <w:rsid w:val="0070746B"/>
    <w:rsid w:val="007075CA"/>
    <w:rsid w:val="00710C02"/>
    <w:rsid w:val="00710F19"/>
    <w:rsid w:val="0071151E"/>
    <w:rsid w:val="007118AC"/>
    <w:rsid w:val="00711FC7"/>
    <w:rsid w:val="0071482B"/>
    <w:rsid w:val="00714C8F"/>
    <w:rsid w:val="00715A32"/>
    <w:rsid w:val="00716574"/>
    <w:rsid w:val="00716CCB"/>
    <w:rsid w:val="00716F57"/>
    <w:rsid w:val="00717003"/>
    <w:rsid w:val="00717A74"/>
    <w:rsid w:val="00720EA2"/>
    <w:rsid w:val="00721409"/>
    <w:rsid w:val="00721CE0"/>
    <w:rsid w:val="007221A2"/>
    <w:rsid w:val="00722935"/>
    <w:rsid w:val="00723BA8"/>
    <w:rsid w:val="00724257"/>
    <w:rsid w:val="0072448D"/>
    <w:rsid w:val="0072568C"/>
    <w:rsid w:val="00726C35"/>
    <w:rsid w:val="00726FDE"/>
    <w:rsid w:val="007270E4"/>
    <w:rsid w:val="00727815"/>
    <w:rsid w:val="00727A26"/>
    <w:rsid w:val="007301A7"/>
    <w:rsid w:val="00730E31"/>
    <w:rsid w:val="007313A4"/>
    <w:rsid w:val="00731940"/>
    <w:rsid w:val="007320A7"/>
    <w:rsid w:val="007346F8"/>
    <w:rsid w:val="00734D66"/>
    <w:rsid w:val="00734E06"/>
    <w:rsid w:val="00736540"/>
    <w:rsid w:val="00736B8E"/>
    <w:rsid w:val="00736E9D"/>
    <w:rsid w:val="007373FA"/>
    <w:rsid w:val="00737E7D"/>
    <w:rsid w:val="0074063F"/>
    <w:rsid w:val="00740EF1"/>
    <w:rsid w:val="007416A1"/>
    <w:rsid w:val="00741BF8"/>
    <w:rsid w:val="0074249A"/>
    <w:rsid w:val="0074250E"/>
    <w:rsid w:val="0074331B"/>
    <w:rsid w:val="007437BA"/>
    <w:rsid w:val="007444E7"/>
    <w:rsid w:val="00744546"/>
    <w:rsid w:val="00744A0B"/>
    <w:rsid w:val="00744A18"/>
    <w:rsid w:val="00744A76"/>
    <w:rsid w:val="00744DBD"/>
    <w:rsid w:val="00745398"/>
    <w:rsid w:val="00745EE9"/>
    <w:rsid w:val="00746FC3"/>
    <w:rsid w:val="00747491"/>
    <w:rsid w:val="007476F2"/>
    <w:rsid w:val="00747B90"/>
    <w:rsid w:val="00750795"/>
    <w:rsid w:val="00751081"/>
    <w:rsid w:val="0075199B"/>
    <w:rsid w:val="007519F6"/>
    <w:rsid w:val="007529C5"/>
    <w:rsid w:val="00752F3D"/>
    <w:rsid w:val="00754870"/>
    <w:rsid w:val="007561F0"/>
    <w:rsid w:val="00756632"/>
    <w:rsid w:val="00756991"/>
    <w:rsid w:val="0075754A"/>
    <w:rsid w:val="00757602"/>
    <w:rsid w:val="00757E45"/>
    <w:rsid w:val="00757EE6"/>
    <w:rsid w:val="00760554"/>
    <w:rsid w:val="0076083D"/>
    <w:rsid w:val="00760FE3"/>
    <w:rsid w:val="00761DC2"/>
    <w:rsid w:val="00762B1E"/>
    <w:rsid w:val="0076329D"/>
    <w:rsid w:val="00763EA8"/>
    <w:rsid w:val="00764123"/>
    <w:rsid w:val="00764B94"/>
    <w:rsid w:val="007652E2"/>
    <w:rsid w:val="00765791"/>
    <w:rsid w:val="007659E0"/>
    <w:rsid w:val="00765A82"/>
    <w:rsid w:val="00766434"/>
    <w:rsid w:val="00767222"/>
    <w:rsid w:val="00767C19"/>
    <w:rsid w:val="00770E10"/>
    <w:rsid w:val="00771E07"/>
    <w:rsid w:val="00771E5C"/>
    <w:rsid w:val="00772107"/>
    <w:rsid w:val="00772315"/>
    <w:rsid w:val="00772A9B"/>
    <w:rsid w:val="00772BA7"/>
    <w:rsid w:val="00773E30"/>
    <w:rsid w:val="007742FF"/>
    <w:rsid w:val="00774A83"/>
    <w:rsid w:val="00775146"/>
    <w:rsid w:val="007755A1"/>
    <w:rsid w:val="0077566D"/>
    <w:rsid w:val="00775A10"/>
    <w:rsid w:val="00776097"/>
    <w:rsid w:val="0077625F"/>
    <w:rsid w:val="007766A5"/>
    <w:rsid w:val="00776E39"/>
    <w:rsid w:val="00777C3A"/>
    <w:rsid w:val="0078016D"/>
    <w:rsid w:val="00780E97"/>
    <w:rsid w:val="00781778"/>
    <w:rsid w:val="0078188C"/>
    <w:rsid w:val="00782098"/>
    <w:rsid w:val="00782467"/>
    <w:rsid w:val="007827A8"/>
    <w:rsid w:val="00783D75"/>
    <w:rsid w:val="007846FE"/>
    <w:rsid w:val="007857E3"/>
    <w:rsid w:val="00786231"/>
    <w:rsid w:val="00787EA2"/>
    <w:rsid w:val="0079000B"/>
    <w:rsid w:val="007900CB"/>
    <w:rsid w:val="007902F4"/>
    <w:rsid w:val="007905B2"/>
    <w:rsid w:val="00790E9B"/>
    <w:rsid w:val="007917E7"/>
    <w:rsid w:val="0079233F"/>
    <w:rsid w:val="007927C6"/>
    <w:rsid w:val="00792862"/>
    <w:rsid w:val="0079348E"/>
    <w:rsid w:val="00793C28"/>
    <w:rsid w:val="00793EEB"/>
    <w:rsid w:val="0079405B"/>
    <w:rsid w:val="00795679"/>
    <w:rsid w:val="0079797F"/>
    <w:rsid w:val="007A008F"/>
    <w:rsid w:val="007A0406"/>
    <w:rsid w:val="007A05F4"/>
    <w:rsid w:val="007A0BB9"/>
    <w:rsid w:val="007A14E8"/>
    <w:rsid w:val="007A1D73"/>
    <w:rsid w:val="007A28E3"/>
    <w:rsid w:val="007A3FD7"/>
    <w:rsid w:val="007A4023"/>
    <w:rsid w:val="007A5445"/>
    <w:rsid w:val="007A5A94"/>
    <w:rsid w:val="007A5E11"/>
    <w:rsid w:val="007A6C47"/>
    <w:rsid w:val="007B068E"/>
    <w:rsid w:val="007B20B0"/>
    <w:rsid w:val="007B31F7"/>
    <w:rsid w:val="007B347F"/>
    <w:rsid w:val="007B39F6"/>
    <w:rsid w:val="007B4481"/>
    <w:rsid w:val="007B58A3"/>
    <w:rsid w:val="007B5A98"/>
    <w:rsid w:val="007B5E30"/>
    <w:rsid w:val="007B5E45"/>
    <w:rsid w:val="007B747A"/>
    <w:rsid w:val="007C1AD0"/>
    <w:rsid w:val="007C1DB0"/>
    <w:rsid w:val="007C2270"/>
    <w:rsid w:val="007C2613"/>
    <w:rsid w:val="007C27D4"/>
    <w:rsid w:val="007C2B56"/>
    <w:rsid w:val="007C4720"/>
    <w:rsid w:val="007C4CCE"/>
    <w:rsid w:val="007C570A"/>
    <w:rsid w:val="007C6968"/>
    <w:rsid w:val="007C78D3"/>
    <w:rsid w:val="007C7D24"/>
    <w:rsid w:val="007C7D49"/>
    <w:rsid w:val="007C7DE5"/>
    <w:rsid w:val="007D0EEB"/>
    <w:rsid w:val="007D1986"/>
    <w:rsid w:val="007D1D99"/>
    <w:rsid w:val="007D2376"/>
    <w:rsid w:val="007D2C8A"/>
    <w:rsid w:val="007D477A"/>
    <w:rsid w:val="007D4A41"/>
    <w:rsid w:val="007D4D2A"/>
    <w:rsid w:val="007D5B26"/>
    <w:rsid w:val="007D5E52"/>
    <w:rsid w:val="007D5F07"/>
    <w:rsid w:val="007D6F85"/>
    <w:rsid w:val="007D714E"/>
    <w:rsid w:val="007D763D"/>
    <w:rsid w:val="007D77A3"/>
    <w:rsid w:val="007D7E54"/>
    <w:rsid w:val="007D7E8E"/>
    <w:rsid w:val="007E00B1"/>
    <w:rsid w:val="007E0749"/>
    <w:rsid w:val="007E2F87"/>
    <w:rsid w:val="007E334F"/>
    <w:rsid w:val="007E392D"/>
    <w:rsid w:val="007E3AC7"/>
    <w:rsid w:val="007E4155"/>
    <w:rsid w:val="007E57B5"/>
    <w:rsid w:val="007E5D39"/>
    <w:rsid w:val="007E66C8"/>
    <w:rsid w:val="007E67BD"/>
    <w:rsid w:val="007E68F0"/>
    <w:rsid w:val="007E6BBD"/>
    <w:rsid w:val="007E7E5F"/>
    <w:rsid w:val="007F06E1"/>
    <w:rsid w:val="007F0C09"/>
    <w:rsid w:val="007F1383"/>
    <w:rsid w:val="007F2939"/>
    <w:rsid w:val="007F2A62"/>
    <w:rsid w:val="007F3E75"/>
    <w:rsid w:val="007F4540"/>
    <w:rsid w:val="007F517F"/>
    <w:rsid w:val="007F6391"/>
    <w:rsid w:val="007F6CAD"/>
    <w:rsid w:val="007F6FB8"/>
    <w:rsid w:val="007F7051"/>
    <w:rsid w:val="007F7071"/>
    <w:rsid w:val="007F7481"/>
    <w:rsid w:val="007F76FF"/>
    <w:rsid w:val="007F7E83"/>
    <w:rsid w:val="00800490"/>
    <w:rsid w:val="00801491"/>
    <w:rsid w:val="008015A7"/>
    <w:rsid w:val="00801B8F"/>
    <w:rsid w:val="00801EF6"/>
    <w:rsid w:val="0080247B"/>
    <w:rsid w:val="00802AEC"/>
    <w:rsid w:val="00803024"/>
    <w:rsid w:val="00803099"/>
    <w:rsid w:val="0080406C"/>
    <w:rsid w:val="008051ED"/>
    <w:rsid w:val="0080562C"/>
    <w:rsid w:val="008071D0"/>
    <w:rsid w:val="0081037F"/>
    <w:rsid w:val="0081066B"/>
    <w:rsid w:val="00810809"/>
    <w:rsid w:val="00810C6A"/>
    <w:rsid w:val="00810C86"/>
    <w:rsid w:val="008120FC"/>
    <w:rsid w:val="00812350"/>
    <w:rsid w:val="00812369"/>
    <w:rsid w:val="00812741"/>
    <w:rsid w:val="008128E3"/>
    <w:rsid w:val="00812A80"/>
    <w:rsid w:val="00812B12"/>
    <w:rsid w:val="00813049"/>
    <w:rsid w:val="00814358"/>
    <w:rsid w:val="00814407"/>
    <w:rsid w:val="0081472A"/>
    <w:rsid w:val="00815871"/>
    <w:rsid w:val="008179C7"/>
    <w:rsid w:val="00817FE5"/>
    <w:rsid w:val="00821319"/>
    <w:rsid w:val="00821789"/>
    <w:rsid w:val="0082180B"/>
    <w:rsid w:val="00821BC9"/>
    <w:rsid w:val="00821FE7"/>
    <w:rsid w:val="0082434D"/>
    <w:rsid w:val="00825147"/>
    <w:rsid w:val="00825D4F"/>
    <w:rsid w:val="00826482"/>
    <w:rsid w:val="00826F04"/>
    <w:rsid w:val="00830017"/>
    <w:rsid w:val="00830787"/>
    <w:rsid w:val="00830DC9"/>
    <w:rsid w:val="00831489"/>
    <w:rsid w:val="00833A6A"/>
    <w:rsid w:val="00833E2F"/>
    <w:rsid w:val="00834240"/>
    <w:rsid w:val="008343C7"/>
    <w:rsid w:val="00834F9A"/>
    <w:rsid w:val="00835ECC"/>
    <w:rsid w:val="008368F3"/>
    <w:rsid w:val="008376DF"/>
    <w:rsid w:val="008400A8"/>
    <w:rsid w:val="00840B36"/>
    <w:rsid w:val="0084156A"/>
    <w:rsid w:val="008425BD"/>
    <w:rsid w:val="008427B1"/>
    <w:rsid w:val="008449FF"/>
    <w:rsid w:val="00845E77"/>
    <w:rsid w:val="0084601D"/>
    <w:rsid w:val="008462FB"/>
    <w:rsid w:val="00846C73"/>
    <w:rsid w:val="00846E8A"/>
    <w:rsid w:val="00847A5B"/>
    <w:rsid w:val="00847BE3"/>
    <w:rsid w:val="008500CD"/>
    <w:rsid w:val="00850462"/>
    <w:rsid w:val="00850C94"/>
    <w:rsid w:val="0085161D"/>
    <w:rsid w:val="00852EEF"/>
    <w:rsid w:val="00853030"/>
    <w:rsid w:val="00854E65"/>
    <w:rsid w:val="00855597"/>
    <w:rsid w:val="00855780"/>
    <w:rsid w:val="008557AA"/>
    <w:rsid w:val="00855F84"/>
    <w:rsid w:val="00856178"/>
    <w:rsid w:val="008567C0"/>
    <w:rsid w:val="008567E9"/>
    <w:rsid w:val="00856C69"/>
    <w:rsid w:val="008570AB"/>
    <w:rsid w:val="0086011E"/>
    <w:rsid w:val="008603A8"/>
    <w:rsid w:val="00860E16"/>
    <w:rsid w:val="00861133"/>
    <w:rsid w:val="00862222"/>
    <w:rsid w:val="00862545"/>
    <w:rsid w:val="008625DC"/>
    <w:rsid w:val="00862D62"/>
    <w:rsid w:val="00863356"/>
    <w:rsid w:val="0086428A"/>
    <w:rsid w:val="00864544"/>
    <w:rsid w:val="008653B5"/>
    <w:rsid w:val="00865A76"/>
    <w:rsid w:val="00865D8C"/>
    <w:rsid w:val="008663D7"/>
    <w:rsid w:val="00866EF3"/>
    <w:rsid w:val="00866FA7"/>
    <w:rsid w:val="0086730B"/>
    <w:rsid w:val="0086739F"/>
    <w:rsid w:val="008674DC"/>
    <w:rsid w:val="008679E6"/>
    <w:rsid w:val="00867A0F"/>
    <w:rsid w:val="008707F5"/>
    <w:rsid w:val="00871811"/>
    <w:rsid w:val="008718B4"/>
    <w:rsid w:val="00871F92"/>
    <w:rsid w:val="00872B6D"/>
    <w:rsid w:val="00872C22"/>
    <w:rsid w:val="00872E1F"/>
    <w:rsid w:val="008736AE"/>
    <w:rsid w:val="00873942"/>
    <w:rsid w:val="00873995"/>
    <w:rsid w:val="00873B1F"/>
    <w:rsid w:val="0087400E"/>
    <w:rsid w:val="00875189"/>
    <w:rsid w:val="00875E28"/>
    <w:rsid w:val="00876F99"/>
    <w:rsid w:val="00876FBF"/>
    <w:rsid w:val="00880558"/>
    <w:rsid w:val="008807AA"/>
    <w:rsid w:val="00881DD6"/>
    <w:rsid w:val="00882ED0"/>
    <w:rsid w:val="00883257"/>
    <w:rsid w:val="00883894"/>
    <w:rsid w:val="00884C95"/>
    <w:rsid w:val="0088519A"/>
    <w:rsid w:val="00885DA2"/>
    <w:rsid w:val="00885E17"/>
    <w:rsid w:val="00885F75"/>
    <w:rsid w:val="00886342"/>
    <w:rsid w:val="00887143"/>
    <w:rsid w:val="008875DE"/>
    <w:rsid w:val="00887950"/>
    <w:rsid w:val="00887FCE"/>
    <w:rsid w:val="0089074D"/>
    <w:rsid w:val="0089092F"/>
    <w:rsid w:val="008918ED"/>
    <w:rsid w:val="00893032"/>
    <w:rsid w:val="0089325B"/>
    <w:rsid w:val="00893594"/>
    <w:rsid w:val="0089422E"/>
    <w:rsid w:val="008947EA"/>
    <w:rsid w:val="00894ABF"/>
    <w:rsid w:val="00895789"/>
    <w:rsid w:val="00895FFF"/>
    <w:rsid w:val="00896FF4"/>
    <w:rsid w:val="0089725A"/>
    <w:rsid w:val="00897739"/>
    <w:rsid w:val="00897B39"/>
    <w:rsid w:val="008A04C0"/>
    <w:rsid w:val="008A056A"/>
    <w:rsid w:val="008A0B42"/>
    <w:rsid w:val="008A0E85"/>
    <w:rsid w:val="008A0E92"/>
    <w:rsid w:val="008A15CB"/>
    <w:rsid w:val="008A1A50"/>
    <w:rsid w:val="008A1DDE"/>
    <w:rsid w:val="008A2544"/>
    <w:rsid w:val="008A34CE"/>
    <w:rsid w:val="008A371D"/>
    <w:rsid w:val="008A3863"/>
    <w:rsid w:val="008A495A"/>
    <w:rsid w:val="008A5443"/>
    <w:rsid w:val="008A55A8"/>
    <w:rsid w:val="008A5F01"/>
    <w:rsid w:val="008A6B66"/>
    <w:rsid w:val="008A7078"/>
    <w:rsid w:val="008B04B6"/>
    <w:rsid w:val="008B0969"/>
    <w:rsid w:val="008B10FE"/>
    <w:rsid w:val="008B11D0"/>
    <w:rsid w:val="008B286E"/>
    <w:rsid w:val="008B2ABC"/>
    <w:rsid w:val="008B32B6"/>
    <w:rsid w:val="008B43CC"/>
    <w:rsid w:val="008B4464"/>
    <w:rsid w:val="008B4BF2"/>
    <w:rsid w:val="008B56E5"/>
    <w:rsid w:val="008B5AFD"/>
    <w:rsid w:val="008B5B65"/>
    <w:rsid w:val="008B6650"/>
    <w:rsid w:val="008B729C"/>
    <w:rsid w:val="008B7A4E"/>
    <w:rsid w:val="008C0522"/>
    <w:rsid w:val="008C1506"/>
    <w:rsid w:val="008C2D30"/>
    <w:rsid w:val="008C33F2"/>
    <w:rsid w:val="008C444D"/>
    <w:rsid w:val="008C4E36"/>
    <w:rsid w:val="008C5BCB"/>
    <w:rsid w:val="008C6C92"/>
    <w:rsid w:val="008C6E11"/>
    <w:rsid w:val="008C77F7"/>
    <w:rsid w:val="008C79DC"/>
    <w:rsid w:val="008D0262"/>
    <w:rsid w:val="008D0AE4"/>
    <w:rsid w:val="008D1B0D"/>
    <w:rsid w:val="008D20E6"/>
    <w:rsid w:val="008D2A90"/>
    <w:rsid w:val="008D2F52"/>
    <w:rsid w:val="008D3E19"/>
    <w:rsid w:val="008D4DB0"/>
    <w:rsid w:val="008D57A4"/>
    <w:rsid w:val="008D5F06"/>
    <w:rsid w:val="008D6B57"/>
    <w:rsid w:val="008D74C3"/>
    <w:rsid w:val="008D769C"/>
    <w:rsid w:val="008D78AE"/>
    <w:rsid w:val="008D7DFC"/>
    <w:rsid w:val="008D7F82"/>
    <w:rsid w:val="008E00FD"/>
    <w:rsid w:val="008E07C6"/>
    <w:rsid w:val="008E152D"/>
    <w:rsid w:val="008E3214"/>
    <w:rsid w:val="008E33EA"/>
    <w:rsid w:val="008E34C5"/>
    <w:rsid w:val="008E4180"/>
    <w:rsid w:val="008E4ECE"/>
    <w:rsid w:val="008E5BB7"/>
    <w:rsid w:val="008E5F84"/>
    <w:rsid w:val="008E6A1B"/>
    <w:rsid w:val="008E6FAD"/>
    <w:rsid w:val="008E6FF6"/>
    <w:rsid w:val="008E70CC"/>
    <w:rsid w:val="008E72E5"/>
    <w:rsid w:val="008E75D0"/>
    <w:rsid w:val="008E79F9"/>
    <w:rsid w:val="008E7DCC"/>
    <w:rsid w:val="008F0D1E"/>
    <w:rsid w:val="008F0EA9"/>
    <w:rsid w:val="008F1B1E"/>
    <w:rsid w:val="008F1E0E"/>
    <w:rsid w:val="008F2B7E"/>
    <w:rsid w:val="008F31DF"/>
    <w:rsid w:val="008F38F6"/>
    <w:rsid w:val="008F3B8B"/>
    <w:rsid w:val="008F3D85"/>
    <w:rsid w:val="008F411D"/>
    <w:rsid w:val="008F4D31"/>
    <w:rsid w:val="008F53F5"/>
    <w:rsid w:val="008F56A2"/>
    <w:rsid w:val="008F5AA4"/>
    <w:rsid w:val="008F5FF0"/>
    <w:rsid w:val="008F61F2"/>
    <w:rsid w:val="008F63BC"/>
    <w:rsid w:val="008F6485"/>
    <w:rsid w:val="008F710C"/>
    <w:rsid w:val="008F743D"/>
    <w:rsid w:val="008F7B17"/>
    <w:rsid w:val="008F7F78"/>
    <w:rsid w:val="00900316"/>
    <w:rsid w:val="00900A24"/>
    <w:rsid w:val="009010D0"/>
    <w:rsid w:val="0090122A"/>
    <w:rsid w:val="00901F73"/>
    <w:rsid w:val="0090394F"/>
    <w:rsid w:val="00903A53"/>
    <w:rsid w:val="009047AE"/>
    <w:rsid w:val="009053FE"/>
    <w:rsid w:val="009054D3"/>
    <w:rsid w:val="00905587"/>
    <w:rsid w:val="009057D3"/>
    <w:rsid w:val="009064DC"/>
    <w:rsid w:val="00906628"/>
    <w:rsid w:val="009068B1"/>
    <w:rsid w:val="0090696A"/>
    <w:rsid w:val="00907B9D"/>
    <w:rsid w:val="00910CFA"/>
    <w:rsid w:val="00911527"/>
    <w:rsid w:val="009115A0"/>
    <w:rsid w:val="009125D2"/>
    <w:rsid w:val="00912ECB"/>
    <w:rsid w:val="0091330B"/>
    <w:rsid w:val="00914007"/>
    <w:rsid w:val="00914530"/>
    <w:rsid w:val="00914667"/>
    <w:rsid w:val="00915179"/>
    <w:rsid w:val="00915E3F"/>
    <w:rsid w:val="00915F49"/>
    <w:rsid w:val="00915F97"/>
    <w:rsid w:val="009179EB"/>
    <w:rsid w:val="00922633"/>
    <w:rsid w:val="0092273F"/>
    <w:rsid w:val="0092284C"/>
    <w:rsid w:val="009235B5"/>
    <w:rsid w:val="009238F1"/>
    <w:rsid w:val="00924867"/>
    <w:rsid w:val="009249B4"/>
    <w:rsid w:val="00926716"/>
    <w:rsid w:val="00926857"/>
    <w:rsid w:val="009270DB"/>
    <w:rsid w:val="00930BEB"/>
    <w:rsid w:val="009323DF"/>
    <w:rsid w:val="00932AFC"/>
    <w:rsid w:val="00932B96"/>
    <w:rsid w:val="0093389C"/>
    <w:rsid w:val="00933A7D"/>
    <w:rsid w:val="00933DA9"/>
    <w:rsid w:val="0093452F"/>
    <w:rsid w:val="0093491F"/>
    <w:rsid w:val="00935E14"/>
    <w:rsid w:val="0093646D"/>
    <w:rsid w:val="009377A8"/>
    <w:rsid w:val="00940BBE"/>
    <w:rsid w:val="009415D5"/>
    <w:rsid w:val="00941787"/>
    <w:rsid w:val="00941E4F"/>
    <w:rsid w:val="00942454"/>
    <w:rsid w:val="009428F5"/>
    <w:rsid w:val="0094480E"/>
    <w:rsid w:val="009453AF"/>
    <w:rsid w:val="009454C7"/>
    <w:rsid w:val="00945A79"/>
    <w:rsid w:val="00946ADB"/>
    <w:rsid w:val="00946D49"/>
    <w:rsid w:val="00947B5B"/>
    <w:rsid w:val="00950281"/>
    <w:rsid w:val="0095029E"/>
    <w:rsid w:val="00951BD3"/>
    <w:rsid w:val="009529FD"/>
    <w:rsid w:val="00952B8F"/>
    <w:rsid w:val="00953F3C"/>
    <w:rsid w:val="0095496C"/>
    <w:rsid w:val="0095569B"/>
    <w:rsid w:val="009559F2"/>
    <w:rsid w:val="009562CC"/>
    <w:rsid w:val="0095695E"/>
    <w:rsid w:val="00957310"/>
    <w:rsid w:val="0095750D"/>
    <w:rsid w:val="00960B83"/>
    <w:rsid w:val="0096136C"/>
    <w:rsid w:val="00962B8F"/>
    <w:rsid w:val="009637E4"/>
    <w:rsid w:val="00964464"/>
    <w:rsid w:val="00965665"/>
    <w:rsid w:val="0096632E"/>
    <w:rsid w:val="00966D4F"/>
    <w:rsid w:val="00970E65"/>
    <w:rsid w:val="00970F9F"/>
    <w:rsid w:val="0097102C"/>
    <w:rsid w:val="0097133A"/>
    <w:rsid w:val="009716CC"/>
    <w:rsid w:val="00971CBF"/>
    <w:rsid w:val="00971F52"/>
    <w:rsid w:val="0097202E"/>
    <w:rsid w:val="009721A9"/>
    <w:rsid w:val="00972E0B"/>
    <w:rsid w:val="00972E68"/>
    <w:rsid w:val="009742E0"/>
    <w:rsid w:val="0097462D"/>
    <w:rsid w:val="009748F0"/>
    <w:rsid w:val="00974A7C"/>
    <w:rsid w:val="00974AC3"/>
    <w:rsid w:val="0097587B"/>
    <w:rsid w:val="009760D1"/>
    <w:rsid w:val="009763C1"/>
    <w:rsid w:val="009766FE"/>
    <w:rsid w:val="00977715"/>
    <w:rsid w:val="00980439"/>
    <w:rsid w:val="00982444"/>
    <w:rsid w:val="009826B9"/>
    <w:rsid w:val="00982BA7"/>
    <w:rsid w:val="00982CDB"/>
    <w:rsid w:val="00982D92"/>
    <w:rsid w:val="00982F10"/>
    <w:rsid w:val="00983120"/>
    <w:rsid w:val="00983216"/>
    <w:rsid w:val="009834A0"/>
    <w:rsid w:val="009843A8"/>
    <w:rsid w:val="009845DE"/>
    <w:rsid w:val="00984993"/>
    <w:rsid w:val="00984CA2"/>
    <w:rsid w:val="009854F1"/>
    <w:rsid w:val="00986128"/>
    <w:rsid w:val="00987077"/>
    <w:rsid w:val="0098714A"/>
    <w:rsid w:val="009874CF"/>
    <w:rsid w:val="00990428"/>
    <w:rsid w:val="00990686"/>
    <w:rsid w:val="009909B3"/>
    <w:rsid w:val="00993EA1"/>
    <w:rsid w:val="0099496C"/>
    <w:rsid w:val="00995582"/>
    <w:rsid w:val="00995D25"/>
    <w:rsid w:val="009964E1"/>
    <w:rsid w:val="00996569"/>
    <w:rsid w:val="009A057B"/>
    <w:rsid w:val="009A06F0"/>
    <w:rsid w:val="009A14DE"/>
    <w:rsid w:val="009A2294"/>
    <w:rsid w:val="009A301C"/>
    <w:rsid w:val="009A31C4"/>
    <w:rsid w:val="009A40DD"/>
    <w:rsid w:val="009A5F36"/>
    <w:rsid w:val="009A6DED"/>
    <w:rsid w:val="009A72B5"/>
    <w:rsid w:val="009A7450"/>
    <w:rsid w:val="009A7BC2"/>
    <w:rsid w:val="009B011E"/>
    <w:rsid w:val="009B15C3"/>
    <w:rsid w:val="009B180F"/>
    <w:rsid w:val="009B1897"/>
    <w:rsid w:val="009B1BB7"/>
    <w:rsid w:val="009B1C51"/>
    <w:rsid w:val="009B23AE"/>
    <w:rsid w:val="009B3D99"/>
    <w:rsid w:val="009B3EED"/>
    <w:rsid w:val="009B3FA0"/>
    <w:rsid w:val="009B48D4"/>
    <w:rsid w:val="009B751B"/>
    <w:rsid w:val="009B7530"/>
    <w:rsid w:val="009B76AF"/>
    <w:rsid w:val="009C083C"/>
    <w:rsid w:val="009C0992"/>
    <w:rsid w:val="009C0C48"/>
    <w:rsid w:val="009C12EC"/>
    <w:rsid w:val="009C1830"/>
    <w:rsid w:val="009C23DA"/>
    <w:rsid w:val="009C24B3"/>
    <w:rsid w:val="009C2C09"/>
    <w:rsid w:val="009C2E5A"/>
    <w:rsid w:val="009C40A4"/>
    <w:rsid w:val="009C583D"/>
    <w:rsid w:val="009C6214"/>
    <w:rsid w:val="009C645A"/>
    <w:rsid w:val="009C66AA"/>
    <w:rsid w:val="009C672A"/>
    <w:rsid w:val="009C703A"/>
    <w:rsid w:val="009C7B18"/>
    <w:rsid w:val="009C7D55"/>
    <w:rsid w:val="009C7F52"/>
    <w:rsid w:val="009D02FE"/>
    <w:rsid w:val="009D07F2"/>
    <w:rsid w:val="009D12F6"/>
    <w:rsid w:val="009D1884"/>
    <w:rsid w:val="009D24A3"/>
    <w:rsid w:val="009D2FD6"/>
    <w:rsid w:val="009D3004"/>
    <w:rsid w:val="009D3295"/>
    <w:rsid w:val="009D3665"/>
    <w:rsid w:val="009D375A"/>
    <w:rsid w:val="009D3C84"/>
    <w:rsid w:val="009D40C6"/>
    <w:rsid w:val="009D50FC"/>
    <w:rsid w:val="009D5427"/>
    <w:rsid w:val="009D54F3"/>
    <w:rsid w:val="009D5DA3"/>
    <w:rsid w:val="009D6065"/>
    <w:rsid w:val="009D6102"/>
    <w:rsid w:val="009D6969"/>
    <w:rsid w:val="009D6A68"/>
    <w:rsid w:val="009D7470"/>
    <w:rsid w:val="009D7A58"/>
    <w:rsid w:val="009D7E9F"/>
    <w:rsid w:val="009D7FAB"/>
    <w:rsid w:val="009E0483"/>
    <w:rsid w:val="009E0638"/>
    <w:rsid w:val="009E0828"/>
    <w:rsid w:val="009E0CED"/>
    <w:rsid w:val="009E17A2"/>
    <w:rsid w:val="009E2894"/>
    <w:rsid w:val="009E2D23"/>
    <w:rsid w:val="009E4043"/>
    <w:rsid w:val="009E43C1"/>
    <w:rsid w:val="009E4A87"/>
    <w:rsid w:val="009E54AE"/>
    <w:rsid w:val="009E5FC3"/>
    <w:rsid w:val="009E6854"/>
    <w:rsid w:val="009E69CA"/>
    <w:rsid w:val="009E6DF1"/>
    <w:rsid w:val="009E6EDF"/>
    <w:rsid w:val="009E7017"/>
    <w:rsid w:val="009F0195"/>
    <w:rsid w:val="009F0564"/>
    <w:rsid w:val="009F0E1A"/>
    <w:rsid w:val="009F125C"/>
    <w:rsid w:val="009F3BA0"/>
    <w:rsid w:val="009F3F5D"/>
    <w:rsid w:val="009F43CB"/>
    <w:rsid w:val="009F48A0"/>
    <w:rsid w:val="009F4CB9"/>
    <w:rsid w:val="009F5B7F"/>
    <w:rsid w:val="00A00283"/>
    <w:rsid w:val="00A01C02"/>
    <w:rsid w:val="00A023F6"/>
    <w:rsid w:val="00A02D24"/>
    <w:rsid w:val="00A02E16"/>
    <w:rsid w:val="00A05113"/>
    <w:rsid w:val="00A054DC"/>
    <w:rsid w:val="00A055ED"/>
    <w:rsid w:val="00A069AE"/>
    <w:rsid w:val="00A06CC2"/>
    <w:rsid w:val="00A07570"/>
    <w:rsid w:val="00A10389"/>
    <w:rsid w:val="00A1133E"/>
    <w:rsid w:val="00A11888"/>
    <w:rsid w:val="00A11E62"/>
    <w:rsid w:val="00A11E8F"/>
    <w:rsid w:val="00A12369"/>
    <w:rsid w:val="00A13522"/>
    <w:rsid w:val="00A13ED5"/>
    <w:rsid w:val="00A14357"/>
    <w:rsid w:val="00A1524F"/>
    <w:rsid w:val="00A15E63"/>
    <w:rsid w:val="00A167D9"/>
    <w:rsid w:val="00A16DB9"/>
    <w:rsid w:val="00A17672"/>
    <w:rsid w:val="00A2003B"/>
    <w:rsid w:val="00A20A6B"/>
    <w:rsid w:val="00A20C5D"/>
    <w:rsid w:val="00A222CA"/>
    <w:rsid w:val="00A225E3"/>
    <w:rsid w:val="00A22804"/>
    <w:rsid w:val="00A22AD1"/>
    <w:rsid w:val="00A239CC"/>
    <w:rsid w:val="00A23BC2"/>
    <w:rsid w:val="00A248C9"/>
    <w:rsid w:val="00A26B7A"/>
    <w:rsid w:val="00A26F01"/>
    <w:rsid w:val="00A279AC"/>
    <w:rsid w:val="00A27A30"/>
    <w:rsid w:val="00A27A98"/>
    <w:rsid w:val="00A3076F"/>
    <w:rsid w:val="00A30B1C"/>
    <w:rsid w:val="00A30C5D"/>
    <w:rsid w:val="00A310F1"/>
    <w:rsid w:val="00A31C68"/>
    <w:rsid w:val="00A31FFF"/>
    <w:rsid w:val="00A3249C"/>
    <w:rsid w:val="00A325AE"/>
    <w:rsid w:val="00A326A6"/>
    <w:rsid w:val="00A3388B"/>
    <w:rsid w:val="00A33C80"/>
    <w:rsid w:val="00A342D9"/>
    <w:rsid w:val="00A346C2"/>
    <w:rsid w:val="00A35052"/>
    <w:rsid w:val="00A35A91"/>
    <w:rsid w:val="00A35E30"/>
    <w:rsid w:val="00A35FAA"/>
    <w:rsid w:val="00A36EAB"/>
    <w:rsid w:val="00A3727B"/>
    <w:rsid w:val="00A3771C"/>
    <w:rsid w:val="00A3790F"/>
    <w:rsid w:val="00A37A32"/>
    <w:rsid w:val="00A40163"/>
    <w:rsid w:val="00A409BC"/>
    <w:rsid w:val="00A40FC3"/>
    <w:rsid w:val="00A41D7C"/>
    <w:rsid w:val="00A42C22"/>
    <w:rsid w:val="00A42F6D"/>
    <w:rsid w:val="00A438E6"/>
    <w:rsid w:val="00A43C9A"/>
    <w:rsid w:val="00A44088"/>
    <w:rsid w:val="00A4429C"/>
    <w:rsid w:val="00A44612"/>
    <w:rsid w:val="00A446AF"/>
    <w:rsid w:val="00A44720"/>
    <w:rsid w:val="00A44859"/>
    <w:rsid w:val="00A45D11"/>
    <w:rsid w:val="00A46164"/>
    <w:rsid w:val="00A4672E"/>
    <w:rsid w:val="00A46A8E"/>
    <w:rsid w:val="00A46DDB"/>
    <w:rsid w:val="00A46E4E"/>
    <w:rsid w:val="00A47092"/>
    <w:rsid w:val="00A506CC"/>
    <w:rsid w:val="00A50F9F"/>
    <w:rsid w:val="00A51337"/>
    <w:rsid w:val="00A51915"/>
    <w:rsid w:val="00A52246"/>
    <w:rsid w:val="00A522F4"/>
    <w:rsid w:val="00A537E5"/>
    <w:rsid w:val="00A540A5"/>
    <w:rsid w:val="00A54248"/>
    <w:rsid w:val="00A55835"/>
    <w:rsid w:val="00A55B6F"/>
    <w:rsid w:val="00A569DF"/>
    <w:rsid w:val="00A612DB"/>
    <w:rsid w:val="00A61B84"/>
    <w:rsid w:val="00A61BD0"/>
    <w:rsid w:val="00A6388E"/>
    <w:rsid w:val="00A63DC4"/>
    <w:rsid w:val="00A64BC6"/>
    <w:rsid w:val="00A64FD7"/>
    <w:rsid w:val="00A659CB"/>
    <w:rsid w:val="00A67235"/>
    <w:rsid w:val="00A67AF5"/>
    <w:rsid w:val="00A70398"/>
    <w:rsid w:val="00A709AD"/>
    <w:rsid w:val="00A70D03"/>
    <w:rsid w:val="00A70D16"/>
    <w:rsid w:val="00A70D3A"/>
    <w:rsid w:val="00A7110C"/>
    <w:rsid w:val="00A71136"/>
    <w:rsid w:val="00A71441"/>
    <w:rsid w:val="00A715F7"/>
    <w:rsid w:val="00A71793"/>
    <w:rsid w:val="00A7202F"/>
    <w:rsid w:val="00A721F1"/>
    <w:rsid w:val="00A7232E"/>
    <w:rsid w:val="00A725E7"/>
    <w:rsid w:val="00A72DA9"/>
    <w:rsid w:val="00A733CB"/>
    <w:rsid w:val="00A739DF"/>
    <w:rsid w:val="00A740A0"/>
    <w:rsid w:val="00A745EF"/>
    <w:rsid w:val="00A75089"/>
    <w:rsid w:val="00A751AD"/>
    <w:rsid w:val="00A754B9"/>
    <w:rsid w:val="00A76045"/>
    <w:rsid w:val="00A76BB0"/>
    <w:rsid w:val="00A76CC8"/>
    <w:rsid w:val="00A773CD"/>
    <w:rsid w:val="00A775CF"/>
    <w:rsid w:val="00A77853"/>
    <w:rsid w:val="00A77FAF"/>
    <w:rsid w:val="00A80534"/>
    <w:rsid w:val="00A805EB"/>
    <w:rsid w:val="00A80C87"/>
    <w:rsid w:val="00A81EED"/>
    <w:rsid w:val="00A82314"/>
    <w:rsid w:val="00A82EC8"/>
    <w:rsid w:val="00A835F0"/>
    <w:rsid w:val="00A84503"/>
    <w:rsid w:val="00A84E47"/>
    <w:rsid w:val="00A85B57"/>
    <w:rsid w:val="00A867DA"/>
    <w:rsid w:val="00A86F02"/>
    <w:rsid w:val="00A8782F"/>
    <w:rsid w:val="00A900C1"/>
    <w:rsid w:val="00A908FA"/>
    <w:rsid w:val="00A90EB6"/>
    <w:rsid w:val="00A91276"/>
    <w:rsid w:val="00A9167D"/>
    <w:rsid w:val="00A9183C"/>
    <w:rsid w:val="00A91895"/>
    <w:rsid w:val="00A91C50"/>
    <w:rsid w:val="00A92D25"/>
    <w:rsid w:val="00A92DF6"/>
    <w:rsid w:val="00A9401F"/>
    <w:rsid w:val="00A94689"/>
    <w:rsid w:val="00A94DDB"/>
    <w:rsid w:val="00A94F82"/>
    <w:rsid w:val="00A950A1"/>
    <w:rsid w:val="00A9560E"/>
    <w:rsid w:val="00A956D5"/>
    <w:rsid w:val="00A965CD"/>
    <w:rsid w:val="00A96970"/>
    <w:rsid w:val="00AA0155"/>
    <w:rsid w:val="00AA0EC5"/>
    <w:rsid w:val="00AA1BEC"/>
    <w:rsid w:val="00AA2457"/>
    <w:rsid w:val="00AA27AA"/>
    <w:rsid w:val="00AA2DF3"/>
    <w:rsid w:val="00AA2F46"/>
    <w:rsid w:val="00AA4761"/>
    <w:rsid w:val="00AA50BC"/>
    <w:rsid w:val="00AA5B81"/>
    <w:rsid w:val="00AA6AE4"/>
    <w:rsid w:val="00AB0CEC"/>
    <w:rsid w:val="00AB24E7"/>
    <w:rsid w:val="00AB2F59"/>
    <w:rsid w:val="00AB3237"/>
    <w:rsid w:val="00AB36F2"/>
    <w:rsid w:val="00AB3917"/>
    <w:rsid w:val="00AB3A2D"/>
    <w:rsid w:val="00AB456A"/>
    <w:rsid w:val="00AB4AC8"/>
    <w:rsid w:val="00AB4FBC"/>
    <w:rsid w:val="00AB5E21"/>
    <w:rsid w:val="00AB6AD4"/>
    <w:rsid w:val="00AB75AE"/>
    <w:rsid w:val="00AB76EC"/>
    <w:rsid w:val="00AB7933"/>
    <w:rsid w:val="00AB7947"/>
    <w:rsid w:val="00AC0440"/>
    <w:rsid w:val="00AC13C9"/>
    <w:rsid w:val="00AC1657"/>
    <w:rsid w:val="00AC3071"/>
    <w:rsid w:val="00AC37D6"/>
    <w:rsid w:val="00AC3A08"/>
    <w:rsid w:val="00AC3D18"/>
    <w:rsid w:val="00AC5A30"/>
    <w:rsid w:val="00AC6332"/>
    <w:rsid w:val="00AC7924"/>
    <w:rsid w:val="00AD10CF"/>
    <w:rsid w:val="00AD1A4E"/>
    <w:rsid w:val="00AD213D"/>
    <w:rsid w:val="00AD2FC0"/>
    <w:rsid w:val="00AD3581"/>
    <w:rsid w:val="00AD35EA"/>
    <w:rsid w:val="00AD3BC7"/>
    <w:rsid w:val="00AD4154"/>
    <w:rsid w:val="00AD42E2"/>
    <w:rsid w:val="00AD4967"/>
    <w:rsid w:val="00AD562E"/>
    <w:rsid w:val="00AD5B1B"/>
    <w:rsid w:val="00AD5F5E"/>
    <w:rsid w:val="00AD66BE"/>
    <w:rsid w:val="00AD6D16"/>
    <w:rsid w:val="00AD6DB9"/>
    <w:rsid w:val="00AE12A9"/>
    <w:rsid w:val="00AE229D"/>
    <w:rsid w:val="00AE2459"/>
    <w:rsid w:val="00AE28F3"/>
    <w:rsid w:val="00AE29C2"/>
    <w:rsid w:val="00AE2A69"/>
    <w:rsid w:val="00AE3B82"/>
    <w:rsid w:val="00AE3D23"/>
    <w:rsid w:val="00AE3DDE"/>
    <w:rsid w:val="00AE4CEC"/>
    <w:rsid w:val="00AE4EC8"/>
    <w:rsid w:val="00AE517C"/>
    <w:rsid w:val="00AE5960"/>
    <w:rsid w:val="00AE599E"/>
    <w:rsid w:val="00AE5D9F"/>
    <w:rsid w:val="00AE5F15"/>
    <w:rsid w:val="00AE61C0"/>
    <w:rsid w:val="00AE72C2"/>
    <w:rsid w:val="00AE73B6"/>
    <w:rsid w:val="00AE76C9"/>
    <w:rsid w:val="00AE7FB6"/>
    <w:rsid w:val="00AF06B4"/>
    <w:rsid w:val="00AF0ACA"/>
    <w:rsid w:val="00AF0C64"/>
    <w:rsid w:val="00AF0C7E"/>
    <w:rsid w:val="00AF0EB2"/>
    <w:rsid w:val="00AF0F5E"/>
    <w:rsid w:val="00AF2791"/>
    <w:rsid w:val="00AF2EF5"/>
    <w:rsid w:val="00AF3117"/>
    <w:rsid w:val="00AF326B"/>
    <w:rsid w:val="00AF32F0"/>
    <w:rsid w:val="00AF3379"/>
    <w:rsid w:val="00AF3811"/>
    <w:rsid w:val="00AF3A6D"/>
    <w:rsid w:val="00AF3DA8"/>
    <w:rsid w:val="00AF418D"/>
    <w:rsid w:val="00AF4DA4"/>
    <w:rsid w:val="00AF560E"/>
    <w:rsid w:val="00AF5C60"/>
    <w:rsid w:val="00AF6220"/>
    <w:rsid w:val="00AF6C79"/>
    <w:rsid w:val="00AF6F0D"/>
    <w:rsid w:val="00AF70EE"/>
    <w:rsid w:val="00AF7618"/>
    <w:rsid w:val="00AF7C59"/>
    <w:rsid w:val="00B00449"/>
    <w:rsid w:val="00B00B01"/>
    <w:rsid w:val="00B01538"/>
    <w:rsid w:val="00B015C8"/>
    <w:rsid w:val="00B023A0"/>
    <w:rsid w:val="00B02924"/>
    <w:rsid w:val="00B03653"/>
    <w:rsid w:val="00B04550"/>
    <w:rsid w:val="00B04964"/>
    <w:rsid w:val="00B04CBD"/>
    <w:rsid w:val="00B065EF"/>
    <w:rsid w:val="00B102A0"/>
    <w:rsid w:val="00B103E0"/>
    <w:rsid w:val="00B10605"/>
    <w:rsid w:val="00B10E2B"/>
    <w:rsid w:val="00B10F95"/>
    <w:rsid w:val="00B113BB"/>
    <w:rsid w:val="00B11B0A"/>
    <w:rsid w:val="00B12331"/>
    <w:rsid w:val="00B124AD"/>
    <w:rsid w:val="00B1494B"/>
    <w:rsid w:val="00B154B3"/>
    <w:rsid w:val="00B15B71"/>
    <w:rsid w:val="00B15F63"/>
    <w:rsid w:val="00B16085"/>
    <w:rsid w:val="00B166C6"/>
    <w:rsid w:val="00B21941"/>
    <w:rsid w:val="00B21EB4"/>
    <w:rsid w:val="00B22252"/>
    <w:rsid w:val="00B2235C"/>
    <w:rsid w:val="00B22A5B"/>
    <w:rsid w:val="00B24AD2"/>
    <w:rsid w:val="00B26088"/>
    <w:rsid w:val="00B2691D"/>
    <w:rsid w:val="00B269EF"/>
    <w:rsid w:val="00B26C44"/>
    <w:rsid w:val="00B27820"/>
    <w:rsid w:val="00B278FC"/>
    <w:rsid w:val="00B305F8"/>
    <w:rsid w:val="00B306EA"/>
    <w:rsid w:val="00B30944"/>
    <w:rsid w:val="00B30D53"/>
    <w:rsid w:val="00B3104B"/>
    <w:rsid w:val="00B3294A"/>
    <w:rsid w:val="00B32AAC"/>
    <w:rsid w:val="00B33F4D"/>
    <w:rsid w:val="00B34255"/>
    <w:rsid w:val="00B36CFC"/>
    <w:rsid w:val="00B37148"/>
    <w:rsid w:val="00B37AFC"/>
    <w:rsid w:val="00B4084B"/>
    <w:rsid w:val="00B411B3"/>
    <w:rsid w:val="00B41232"/>
    <w:rsid w:val="00B41839"/>
    <w:rsid w:val="00B419CA"/>
    <w:rsid w:val="00B42B56"/>
    <w:rsid w:val="00B436BB"/>
    <w:rsid w:val="00B45864"/>
    <w:rsid w:val="00B460B5"/>
    <w:rsid w:val="00B47998"/>
    <w:rsid w:val="00B47F4C"/>
    <w:rsid w:val="00B50032"/>
    <w:rsid w:val="00B50958"/>
    <w:rsid w:val="00B51526"/>
    <w:rsid w:val="00B51B27"/>
    <w:rsid w:val="00B5601A"/>
    <w:rsid w:val="00B567D8"/>
    <w:rsid w:val="00B60E19"/>
    <w:rsid w:val="00B60F6F"/>
    <w:rsid w:val="00B613C2"/>
    <w:rsid w:val="00B61A52"/>
    <w:rsid w:val="00B6230B"/>
    <w:rsid w:val="00B628E8"/>
    <w:rsid w:val="00B63C3C"/>
    <w:rsid w:val="00B64DE4"/>
    <w:rsid w:val="00B65359"/>
    <w:rsid w:val="00B65561"/>
    <w:rsid w:val="00B676B8"/>
    <w:rsid w:val="00B67D6E"/>
    <w:rsid w:val="00B70250"/>
    <w:rsid w:val="00B70C9E"/>
    <w:rsid w:val="00B70F85"/>
    <w:rsid w:val="00B71222"/>
    <w:rsid w:val="00B7174A"/>
    <w:rsid w:val="00B71767"/>
    <w:rsid w:val="00B72686"/>
    <w:rsid w:val="00B72DC7"/>
    <w:rsid w:val="00B7358B"/>
    <w:rsid w:val="00B7388C"/>
    <w:rsid w:val="00B73E0D"/>
    <w:rsid w:val="00B7521F"/>
    <w:rsid w:val="00B75523"/>
    <w:rsid w:val="00B830A1"/>
    <w:rsid w:val="00B83160"/>
    <w:rsid w:val="00B8365B"/>
    <w:rsid w:val="00B83705"/>
    <w:rsid w:val="00B83B20"/>
    <w:rsid w:val="00B83CA0"/>
    <w:rsid w:val="00B84243"/>
    <w:rsid w:val="00B85C34"/>
    <w:rsid w:val="00B85E30"/>
    <w:rsid w:val="00B86949"/>
    <w:rsid w:val="00B86C78"/>
    <w:rsid w:val="00B86CCD"/>
    <w:rsid w:val="00B876C0"/>
    <w:rsid w:val="00B87806"/>
    <w:rsid w:val="00B878EC"/>
    <w:rsid w:val="00B87E2B"/>
    <w:rsid w:val="00B92B09"/>
    <w:rsid w:val="00B93884"/>
    <w:rsid w:val="00B93D53"/>
    <w:rsid w:val="00B94405"/>
    <w:rsid w:val="00B94A65"/>
    <w:rsid w:val="00B94ADF"/>
    <w:rsid w:val="00B94B09"/>
    <w:rsid w:val="00B94FB4"/>
    <w:rsid w:val="00B9521A"/>
    <w:rsid w:val="00B95D2D"/>
    <w:rsid w:val="00B9607C"/>
    <w:rsid w:val="00B9631B"/>
    <w:rsid w:val="00B9676C"/>
    <w:rsid w:val="00B96D54"/>
    <w:rsid w:val="00BA0966"/>
    <w:rsid w:val="00BA0F2F"/>
    <w:rsid w:val="00BA1132"/>
    <w:rsid w:val="00BA28F3"/>
    <w:rsid w:val="00BA379F"/>
    <w:rsid w:val="00BA6777"/>
    <w:rsid w:val="00BB02E8"/>
    <w:rsid w:val="00BB0F28"/>
    <w:rsid w:val="00BB2119"/>
    <w:rsid w:val="00BB224B"/>
    <w:rsid w:val="00BB2A98"/>
    <w:rsid w:val="00BB3AB5"/>
    <w:rsid w:val="00BB3DA8"/>
    <w:rsid w:val="00BB498B"/>
    <w:rsid w:val="00BB534C"/>
    <w:rsid w:val="00BB5356"/>
    <w:rsid w:val="00BB574D"/>
    <w:rsid w:val="00BB5A84"/>
    <w:rsid w:val="00BB6D23"/>
    <w:rsid w:val="00BB721D"/>
    <w:rsid w:val="00BB7455"/>
    <w:rsid w:val="00BC0DC3"/>
    <w:rsid w:val="00BC1269"/>
    <w:rsid w:val="00BC2C65"/>
    <w:rsid w:val="00BC3472"/>
    <w:rsid w:val="00BC38E6"/>
    <w:rsid w:val="00BC3CAB"/>
    <w:rsid w:val="00BC3F11"/>
    <w:rsid w:val="00BC42CE"/>
    <w:rsid w:val="00BC4422"/>
    <w:rsid w:val="00BC5153"/>
    <w:rsid w:val="00BC5F6E"/>
    <w:rsid w:val="00BC6702"/>
    <w:rsid w:val="00BC6916"/>
    <w:rsid w:val="00BC76B4"/>
    <w:rsid w:val="00BD16BD"/>
    <w:rsid w:val="00BD1DE8"/>
    <w:rsid w:val="00BD210E"/>
    <w:rsid w:val="00BD2257"/>
    <w:rsid w:val="00BD2CB2"/>
    <w:rsid w:val="00BD34C3"/>
    <w:rsid w:val="00BD40CB"/>
    <w:rsid w:val="00BD4954"/>
    <w:rsid w:val="00BD78D5"/>
    <w:rsid w:val="00BE0659"/>
    <w:rsid w:val="00BE0A68"/>
    <w:rsid w:val="00BE0C74"/>
    <w:rsid w:val="00BE1843"/>
    <w:rsid w:val="00BE408C"/>
    <w:rsid w:val="00BE4917"/>
    <w:rsid w:val="00BE537C"/>
    <w:rsid w:val="00BE6D85"/>
    <w:rsid w:val="00BE70B3"/>
    <w:rsid w:val="00BE74EF"/>
    <w:rsid w:val="00BE7D58"/>
    <w:rsid w:val="00BF0029"/>
    <w:rsid w:val="00BF0270"/>
    <w:rsid w:val="00BF0558"/>
    <w:rsid w:val="00BF0E14"/>
    <w:rsid w:val="00BF164E"/>
    <w:rsid w:val="00BF1A33"/>
    <w:rsid w:val="00BF1F41"/>
    <w:rsid w:val="00BF23C3"/>
    <w:rsid w:val="00BF26F7"/>
    <w:rsid w:val="00BF3D35"/>
    <w:rsid w:val="00BF46B7"/>
    <w:rsid w:val="00BF48DF"/>
    <w:rsid w:val="00BF4A6A"/>
    <w:rsid w:val="00BF56B5"/>
    <w:rsid w:val="00BF6D42"/>
    <w:rsid w:val="00BF7194"/>
    <w:rsid w:val="00BF7B5E"/>
    <w:rsid w:val="00BF7ED9"/>
    <w:rsid w:val="00C00AA5"/>
    <w:rsid w:val="00C00B3B"/>
    <w:rsid w:val="00C02450"/>
    <w:rsid w:val="00C02DCC"/>
    <w:rsid w:val="00C037CF"/>
    <w:rsid w:val="00C038D0"/>
    <w:rsid w:val="00C059E7"/>
    <w:rsid w:val="00C0667F"/>
    <w:rsid w:val="00C066AF"/>
    <w:rsid w:val="00C06CE4"/>
    <w:rsid w:val="00C06F4A"/>
    <w:rsid w:val="00C07DEC"/>
    <w:rsid w:val="00C07F1C"/>
    <w:rsid w:val="00C1005F"/>
    <w:rsid w:val="00C107D2"/>
    <w:rsid w:val="00C10B35"/>
    <w:rsid w:val="00C11CE3"/>
    <w:rsid w:val="00C11F05"/>
    <w:rsid w:val="00C11F2F"/>
    <w:rsid w:val="00C124A0"/>
    <w:rsid w:val="00C12D0A"/>
    <w:rsid w:val="00C13491"/>
    <w:rsid w:val="00C13681"/>
    <w:rsid w:val="00C13AF6"/>
    <w:rsid w:val="00C13DA0"/>
    <w:rsid w:val="00C14577"/>
    <w:rsid w:val="00C15DEF"/>
    <w:rsid w:val="00C16863"/>
    <w:rsid w:val="00C17830"/>
    <w:rsid w:val="00C17B32"/>
    <w:rsid w:val="00C20E76"/>
    <w:rsid w:val="00C2237F"/>
    <w:rsid w:val="00C234BA"/>
    <w:rsid w:val="00C23647"/>
    <w:rsid w:val="00C2476F"/>
    <w:rsid w:val="00C24BB1"/>
    <w:rsid w:val="00C259B5"/>
    <w:rsid w:val="00C25C11"/>
    <w:rsid w:val="00C2641F"/>
    <w:rsid w:val="00C27356"/>
    <w:rsid w:val="00C276B1"/>
    <w:rsid w:val="00C3009E"/>
    <w:rsid w:val="00C31227"/>
    <w:rsid w:val="00C31E4C"/>
    <w:rsid w:val="00C31E81"/>
    <w:rsid w:val="00C3236D"/>
    <w:rsid w:val="00C3239B"/>
    <w:rsid w:val="00C3249E"/>
    <w:rsid w:val="00C3303C"/>
    <w:rsid w:val="00C3324A"/>
    <w:rsid w:val="00C342CD"/>
    <w:rsid w:val="00C34390"/>
    <w:rsid w:val="00C34C59"/>
    <w:rsid w:val="00C351F5"/>
    <w:rsid w:val="00C359BA"/>
    <w:rsid w:val="00C35E56"/>
    <w:rsid w:val="00C36775"/>
    <w:rsid w:val="00C36BAB"/>
    <w:rsid w:val="00C36E74"/>
    <w:rsid w:val="00C37BFF"/>
    <w:rsid w:val="00C40689"/>
    <w:rsid w:val="00C41058"/>
    <w:rsid w:val="00C41D55"/>
    <w:rsid w:val="00C41E1F"/>
    <w:rsid w:val="00C42089"/>
    <w:rsid w:val="00C428E6"/>
    <w:rsid w:val="00C42D37"/>
    <w:rsid w:val="00C431A3"/>
    <w:rsid w:val="00C431FB"/>
    <w:rsid w:val="00C43DF8"/>
    <w:rsid w:val="00C44428"/>
    <w:rsid w:val="00C44BE3"/>
    <w:rsid w:val="00C44C1D"/>
    <w:rsid w:val="00C450A9"/>
    <w:rsid w:val="00C45903"/>
    <w:rsid w:val="00C46008"/>
    <w:rsid w:val="00C46399"/>
    <w:rsid w:val="00C46D0E"/>
    <w:rsid w:val="00C5027E"/>
    <w:rsid w:val="00C52888"/>
    <w:rsid w:val="00C53EF2"/>
    <w:rsid w:val="00C54412"/>
    <w:rsid w:val="00C55846"/>
    <w:rsid w:val="00C5691C"/>
    <w:rsid w:val="00C61294"/>
    <w:rsid w:val="00C61B54"/>
    <w:rsid w:val="00C61EA2"/>
    <w:rsid w:val="00C6305B"/>
    <w:rsid w:val="00C63109"/>
    <w:rsid w:val="00C63C1F"/>
    <w:rsid w:val="00C63ED7"/>
    <w:rsid w:val="00C65397"/>
    <w:rsid w:val="00C66319"/>
    <w:rsid w:val="00C6675C"/>
    <w:rsid w:val="00C669CD"/>
    <w:rsid w:val="00C67F8C"/>
    <w:rsid w:val="00C705DA"/>
    <w:rsid w:val="00C715F0"/>
    <w:rsid w:val="00C71CB4"/>
    <w:rsid w:val="00C723E3"/>
    <w:rsid w:val="00C732FB"/>
    <w:rsid w:val="00C7356F"/>
    <w:rsid w:val="00C73F2E"/>
    <w:rsid w:val="00C74126"/>
    <w:rsid w:val="00C74C39"/>
    <w:rsid w:val="00C74DA3"/>
    <w:rsid w:val="00C74DA9"/>
    <w:rsid w:val="00C74E8D"/>
    <w:rsid w:val="00C753BA"/>
    <w:rsid w:val="00C7638D"/>
    <w:rsid w:val="00C763EA"/>
    <w:rsid w:val="00C772E8"/>
    <w:rsid w:val="00C77403"/>
    <w:rsid w:val="00C77417"/>
    <w:rsid w:val="00C8049D"/>
    <w:rsid w:val="00C820EA"/>
    <w:rsid w:val="00C836A1"/>
    <w:rsid w:val="00C8474A"/>
    <w:rsid w:val="00C84DB3"/>
    <w:rsid w:val="00C854F5"/>
    <w:rsid w:val="00C85D5E"/>
    <w:rsid w:val="00C85E77"/>
    <w:rsid w:val="00C86050"/>
    <w:rsid w:val="00C86D90"/>
    <w:rsid w:val="00C872C5"/>
    <w:rsid w:val="00C8748F"/>
    <w:rsid w:val="00C879BA"/>
    <w:rsid w:val="00C87FB8"/>
    <w:rsid w:val="00C90BD1"/>
    <w:rsid w:val="00C90CE5"/>
    <w:rsid w:val="00C91347"/>
    <w:rsid w:val="00C91CF4"/>
    <w:rsid w:val="00C92123"/>
    <w:rsid w:val="00C92E3C"/>
    <w:rsid w:val="00C946DC"/>
    <w:rsid w:val="00C95596"/>
    <w:rsid w:val="00C95850"/>
    <w:rsid w:val="00C95B85"/>
    <w:rsid w:val="00C95E0E"/>
    <w:rsid w:val="00C960D1"/>
    <w:rsid w:val="00C968D8"/>
    <w:rsid w:val="00C96FBC"/>
    <w:rsid w:val="00C97362"/>
    <w:rsid w:val="00C978F2"/>
    <w:rsid w:val="00C97B88"/>
    <w:rsid w:val="00C97F24"/>
    <w:rsid w:val="00C97F3F"/>
    <w:rsid w:val="00CA0B5E"/>
    <w:rsid w:val="00CA0F4F"/>
    <w:rsid w:val="00CA15D7"/>
    <w:rsid w:val="00CA2F21"/>
    <w:rsid w:val="00CA3214"/>
    <w:rsid w:val="00CA450E"/>
    <w:rsid w:val="00CA475B"/>
    <w:rsid w:val="00CA47FB"/>
    <w:rsid w:val="00CA4819"/>
    <w:rsid w:val="00CA49A3"/>
    <w:rsid w:val="00CA57C4"/>
    <w:rsid w:val="00CA600B"/>
    <w:rsid w:val="00CA709C"/>
    <w:rsid w:val="00CB166A"/>
    <w:rsid w:val="00CB1F59"/>
    <w:rsid w:val="00CB2844"/>
    <w:rsid w:val="00CB2AE2"/>
    <w:rsid w:val="00CB2DCA"/>
    <w:rsid w:val="00CB4589"/>
    <w:rsid w:val="00CB46F5"/>
    <w:rsid w:val="00CB4F3C"/>
    <w:rsid w:val="00CB54F0"/>
    <w:rsid w:val="00CB60C9"/>
    <w:rsid w:val="00CB62C0"/>
    <w:rsid w:val="00CB6D24"/>
    <w:rsid w:val="00CB795F"/>
    <w:rsid w:val="00CC0383"/>
    <w:rsid w:val="00CC0486"/>
    <w:rsid w:val="00CC0B67"/>
    <w:rsid w:val="00CC0D15"/>
    <w:rsid w:val="00CC12AE"/>
    <w:rsid w:val="00CC2A06"/>
    <w:rsid w:val="00CC36A5"/>
    <w:rsid w:val="00CC387D"/>
    <w:rsid w:val="00CC445B"/>
    <w:rsid w:val="00CC4867"/>
    <w:rsid w:val="00CC50F0"/>
    <w:rsid w:val="00CC5AB0"/>
    <w:rsid w:val="00CC6371"/>
    <w:rsid w:val="00CC65C0"/>
    <w:rsid w:val="00CC6AF3"/>
    <w:rsid w:val="00CC6AFF"/>
    <w:rsid w:val="00CC6CF9"/>
    <w:rsid w:val="00CC7ED8"/>
    <w:rsid w:val="00CC7F08"/>
    <w:rsid w:val="00CD0244"/>
    <w:rsid w:val="00CD12CE"/>
    <w:rsid w:val="00CD1BF3"/>
    <w:rsid w:val="00CD3382"/>
    <w:rsid w:val="00CD6D33"/>
    <w:rsid w:val="00CD719C"/>
    <w:rsid w:val="00CD73EB"/>
    <w:rsid w:val="00CE0085"/>
    <w:rsid w:val="00CE0472"/>
    <w:rsid w:val="00CE179F"/>
    <w:rsid w:val="00CE2B6C"/>
    <w:rsid w:val="00CE2C1A"/>
    <w:rsid w:val="00CE34DF"/>
    <w:rsid w:val="00CE3744"/>
    <w:rsid w:val="00CE3F53"/>
    <w:rsid w:val="00CE4134"/>
    <w:rsid w:val="00CE44E1"/>
    <w:rsid w:val="00CE4D05"/>
    <w:rsid w:val="00CE558E"/>
    <w:rsid w:val="00CE5774"/>
    <w:rsid w:val="00CE674E"/>
    <w:rsid w:val="00CE6B7E"/>
    <w:rsid w:val="00CE7933"/>
    <w:rsid w:val="00CE7EF0"/>
    <w:rsid w:val="00CF0022"/>
    <w:rsid w:val="00CF0310"/>
    <w:rsid w:val="00CF164C"/>
    <w:rsid w:val="00CF2477"/>
    <w:rsid w:val="00CF2C6F"/>
    <w:rsid w:val="00CF357B"/>
    <w:rsid w:val="00CF4131"/>
    <w:rsid w:val="00CF5085"/>
    <w:rsid w:val="00CF5FDC"/>
    <w:rsid w:val="00CF7370"/>
    <w:rsid w:val="00CF73BC"/>
    <w:rsid w:val="00D00382"/>
    <w:rsid w:val="00D0086A"/>
    <w:rsid w:val="00D0147F"/>
    <w:rsid w:val="00D02837"/>
    <w:rsid w:val="00D02B52"/>
    <w:rsid w:val="00D02C8E"/>
    <w:rsid w:val="00D02EF1"/>
    <w:rsid w:val="00D0327F"/>
    <w:rsid w:val="00D0385D"/>
    <w:rsid w:val="00D05719"/>
    <w:rsid w:val="00D05C46"/>
    <w:rsid w:val="00D06422"/>
    <w:rsid w:val="00D0648F"/>
    <w:rsid w:val="00D07A8D"/>
    <w:rsid w:val="00D1024D"/>
    <w:rsid w:val="00D10AED"/>
    <w:rsid w:val="00D11771"/>
    <w:rsid w:val="00D11F5B"/>
    <w:rsid w:val="00D120BF"/>
    <w:rsid w:val="00D12B3D"/>
    <w:rsid w:val="00D143EC"/>
    <w:rsid w:val="00D1469B"/>
    <w:rsid w:val="00D15792"/>
    <w:rsid w:val="00D16547"/>
    <w:rsid w:val="00D1741D"/>
    <w:rsid w:val="00D174C3"/>
    <w:rsid w:val="00D17C9B"/>
    <w:rsid w:val="00D17D15"/>
    <w:rsid w:val="00D17E55"/>
    <w:rsid w:val="00D20346"/>
    <w:rsid w:val="00D2179B"/>
    <w:rsid w:val="00D21F46"/>
    <w:rsid w:val="00D22699"/>
    <w:rsid w:val="00D228F8"/>
    <w:rsid w:val="00D2316C"/>
    <w:rsid w:val="00D232B7"/>
    <w:rsid w:val="00D23531"/>
    <w:rsid w:val="00D24D0C"/>
    <w:rsid w:val="00D24FF4"/>
    <w:rsid w:val="00D2667B"/>
    <w:rsid w:val="00D27531"/>
    <w:rsid w:val="00D308C9"/>
    <w:rsid w:val="00D30A84"/>
    <w:rsid w:val="00D30CBA"/>
    <w:rsid w:val="00D323B5"/>
    <w:rsid w:val="00D327B7"/>
    <w:rsid w:val="00D34371"/>
    <w:rsid w:val="00D34C73"/>
    <w:rsid w:val="00D3564F"/>
    <w:rsid w:val="00D36333"/>
    <w:rsid w:val="00D37A7B"/>
    <w:rsid w:val="00D37C36"/>
    <w:rsid w:val="00D403D1"/>
    <w:rsid w:val="00D4187B"/>
    <w:rsid w:val="00D428B3"/>
    <w:rsid w:val="00D439DA"/>
    <w:rsid w:val="00D43E58"/>
    <w:rsid w:val="00D44150"/>
    <w:rsid w:val="00D44D21"/>
    <w:rsid w:val="00D452B3"/>
    <w:rsid w:val="00D456C4"/>
    <w:rsid w:val="00D459CF"/>
    <w:rsid w:val="00D46837"/>
    <w:rsid w:val="00D46A7B"/>
    <w:rsid w:val="00D46D74"/>
    <w:rsid w:val="00D470B6"/>
    <w:rsid w:val="00D5073A"/>
    <w:rsid w:val="00D50C9B"/>
    <w:rsid w:val="00D50CDA"/>
    <w:rsid w:val="00D51F89"/>
    <w:rsid w:val="00D52088"/>
    <w:rsid w:val="00D5334A"/>
    <w:rsid w:val="00D5380F"/>
    <w:rsid w:val="00D549BF"/>
    <w:rsid w:val="00D54AD1"/>
    <w:rsid w:val="00D54BA1"/>
    <w:rsid w:val="00D551E1"/>
    <w:rsid w:val="00D55763"/>
    <w:rsid w:val="00D5708A"/>
    <w:rsid w:val="00D576B5"/>
    <w:rsid w:val="00D57849"/>
    <w:rsid w:val="00D579C5"/>
    <w:rsid w:val="00D60439"/>
    <w:rsid w:val="00D606C2"/>
    <w:rsid w:val="00D60D78"/>
    <w:rsid w:val="00D6199A"/>
    <w:rsid w:val="00D62346"/>
    <w:rsid w:val="00D62AB4"/>
    <w:rsid w:val="00D634BA"/>
    <w:rsid w:val="00D63950"/>
    <w:rsid w:val="00D6413A"/>
    <w:rsid w:val="00D64A5F"/>
    <w:rsid w:val="00D66012"/>
    <w:rsid w:val="00D6631A"/>
    <w:rsid w:val="00D6661E"/>
    <w:rsid w:val="00D669B7"/>
    <w:rsid w:val="00D66AAE"/>
    <w:rsid w:val="00D6714F"/>
    <w:rsid w:val="00D70BF5"/>
    <w:rsid w:val="00D70EB2"/>
    <w:rsid w:val="00D715EF"/>
    <w:rsid w:val="00D71DF6"/>
    <w:rsid w:val="00D720BB"/>
    <w:rsid w:val="00D729FE"/>
    <w:rsid w:val="00D740E6"/>
    <w:rsid w:val="00D75924"/>
    <w:rsid w:val="00D75DD0"/>
    <w:rsid w:val="00D7602E"/>
    <w:rsid w:val="00D76996"/>
    <w:rsid w:val="00D77C45"/>
    <w:rsid w:val="00D81071"/>
    <w:rsid w:val="00D821E0"/>
    <w:rsid w:val="00D82879"/>
    <w:rsid w:val="00D835A8"/>
    <w:rsid w:val="00D83B82"/>
    <w:rsid w:val="00D8456D"/>
    <w:rsid w:val="00D85D3F"/>
    <w:rsid w:val="00D86D0D"/>
    <w:rsid w:val="00D86FFD"/>
    <w:rsid w:val="00D87479"/>
    <w:rsid w:val="00D9150D"/>
    <w:rsid w:val="00D92B42"/>
    <w:rsid w:val="00D92D7E"/>
    <w:rsid w:val="00D93254"/>
    <w:rsid w:val="00D9372A"/>
    <w:rsid w:val="00D944EA"/>
    <w:rsid w:val="00D94D28"/>
    <w:rsid w:val="00D952A8"/>
    <w:rsid w:val="00D961F2"/>
    <w:rsid w:val="00D97687"/>
    <w:rsid w:val="00D9775E"/>
    <w:rsid w:val="00DA023C"/>
    <w:rsid w:val="00DA04D7"/>
    <w:rsid w:val="00DA1610"/>
    <w:rsid w:val="00DA1A11"/>
    <w:rsid w:val="00DA1BEF"/>
    <w:rsid w:val="00DA1DE8"/>
    <w:rsid w:val="00DA1F6E"/>
    <w:rsid w:val="00DA28A8"/>
    <w:rsid w:val="00DA3143"/>
    <w:rsid w:val="00DA3208"/>
    <w:rsid w:val="00DA3940"/>
    <w:rsid w:val="00DA4EAE"/>
    <w:rsid w:val="00DA55D4"/>
    <w:rsid w:val="00DA6854"/>
    <w:rsid w:val="00DA6D4F"/>
    <w:rsid w:val="00DA6FB4"/>
    <w:rsid w:val="00DA7AC3"/>
    <w:rsid w:val="00DA7B65"/>
    <w:rsid w:val="00DB0C57"/>
    <w:rsid w:val="00DB0EDF"/>
    <w:rsid w:val="00DB10A8"/>
    <w:rsid w:val="00DB1F26"/>
    <w:rsid w:val="00DB22B0"/>
    <w:rsid w:val="00DB22D8"/>
    <w:rsid w:val="00DB32F6"/>
    <w:rsid w:val="00DB35A1"/>
    <w:rsid w:val="00DB4C98"/>
    <w:rsid w:val="00DB4D7D"/>
    <w:rsid w:val="00DB584E"/>
    <w:rsid w:val="00DB5AF3"/>
    <w:rsid w:val="00DB6511"/>
    <w:rsid w:val="00DB69D9"/>
    <w:rsid w:val="00DB7DCA"/>
    <w:rsid w:val="00DC0642"/>
    <w:rsid w:val="00DC168E"/>
    <w:rsid w:val="00DC16AF"/>
    <w:rsid w:val="00DC32EC"/>
    <w:rsid w:val="00DC4099"/>
    <w:rsid w:val="00DC40CF"/>
    <w:rsid w:val="00DC4790"/>
    <w:rsid w:val="00DC630A"/>
    <w:rsid w:val="00DC6737"/>
    <w:rsid w:val="00DD051E"/>
    <w:rsid w:val="00DD05B3"/>
    <w:rsid w:val="00DD0B93"/>
    <w:rsid w:val="00DD0BA0"/>
    <w:rsid w:val="00DD1046"/>
    <w:rsid w:val="00DD36F4"/>
    <w:rsid w:val="00DD399E"/>
    <w:rsid w:val="00DD460D"/>
    <w:rsid w:val="00DD53A9"/>
    <w:rsid w:val="00DD5856"/>
    <w:rsid w:val="00DD7B40"/>
    <w:rsid w:val="00DD7FBC"/>
    <w:rsid w:val="00DE079D"/>
    <w:rsid w:val="00DE117E"/>
    <w:rsid w:val="00DE1987"/>
    <w:rsid w:val="00DE1B34"/>
    <w:rsid w:val="00DE1EF9"/>
    <w:rsid w:val="00DE2A71"/>
    <w:rsid w:val="00DE2AC1"/>
    <w:rsid w:val="00DE36CF"/>
    <w:rsid w:val="00DE42BA"/>
    <w:rsid w:val="00DE50C2"/>
    <w:rsid w:val="00DE566F"/>
    <w:rsid w:val="00DE5A10"/>
    <w:rsid w:val="00DE5DF9"/>
    <w:rsid w:val="00DE5E0C"/>
    <w:rsid w:val="00DE6150"/>
    <w:rsid w:val="00DE6EDF"/>
    <w:rsid w:val="00DF0728"/>
    <w:rsid w:val="00DF15EE"/>
    <w:rsid w:val="00DF1ADC"/>
    <w:rsid w:val="00DF2249"/>
    <w:rsid w:val="00DF2347"/>
    <w:rsid w:val="00DF2C5D"/>
    <w:rsid w:val="00DF30D5"/>
    <w:rsid w:val="00DF3619"/>
    <w:rsid w:val="00DF363A"/>
    <w:rsid w:val="00DF3ED0"/>
    <w:rsid w:val="00DF4173"/>
    <w:rsid w:val="00DF436A"/>
    <w:rsid w:val="00DF4488"/>
    <w:rsid w:val="00DF53E8"/>
    <w:rsid w:val="00DF61C8"/>
    <w:rsid w:val="00DF6323"/>
    <w:rsid w:val="00DF6B26"/>
    <w:rsid w:val="00DF744E"/>
    <w:rsid w:val="00DF7B9B"/>
    <w:rsid w:val="00E00258"/>
    <w:rsid w:val="00E0068F"/>
    <w:rsid w:val="00E014DB"/>
    <w:rsid w:val="00E01B7C"/>
    <w:rsid w:val="00E04145"/>
    <w:rsid w:val="00E04FD1"/>
    <w:rsid w:val="00E054BA"/>
    <w:rsid w:val="00E05967"/>
    <w:rsid w:val="00E06A4D"/>
    <w:rsid w:val="00E06B3B"/>
    <w:rsid w:val="00E06F9F"/>
    <w:rsid w:val="00E07C0E"/>
    <w:rsid w:val="00E1099E"/>
    <w:rsid w:val="00E10D3F"/>
    <w:rsid w:val="00E1129E"/>
    <w:rsid w:val="00E11615"/>
    <w:rsid w:val="00E120DB"/>
    <w:rsid w:val="00E121DD"/>
    <w:rsid w:val="00E12264"/>
    <w:rsid w:val="00E13D14"/>
    <w:rsid w:val="00E15021"/>
    <w:rsid w:val="00E15A7E"/>
    <w:rsid w:val="00E160CA"/>
    <w:rsid w:val="00E1675C"/>
    <w:rsid w:val="00E16977"/>
    <w:rsid w:val="00E16BE1"/>
    <w:rsid w:val="00E17DAB"/>
    <w:rsid w:val="00E20209"/>
    <w:rsid w:val="00E20329"/>
    <w:rsid w:val="00E20628"/>
    <w:rsid w:val="00E2103B"/>
    <w:rsid w:val="00E21F7C"/>
    <w:rsid w:val="00E223BE"/>
    <w:rsid w:val="00E22A07"/>
    <w:rsid w:val="00E235C3"/>
    <w:rsid w:val="00E23B3F"/>
    <w:rsid w:val="00E24D2D"/>
    <w:rsid w:val="00E253F7"/>
    <w:rsid w:val="00E2593E"/>
    <w:rsid w:val="00E25983"/>
    <w:rsid w:val="00E26003"/>
    <w:rsid w:val="00E26C19"/>
    <w:rsid w:val="00E273FF"/>
    <w:rsid w:val="00E27B91"/>
    <w:rsid w:val="00E27D00"/>
    <w:rsid w:val="00E306E7"/>
    <w:rsid w:val="00E3087C"/>
    <w:rsid w:val="00E30BC5"/>
    <w:rsid w:val="00E30E1D"/>
    <w:rsid w:val="00E30FE2"/>
    <w:rsid w:val="00E335C8"/>
    <w:rsid w:val="00E34C33"/>
    <w:rsid w:val="00E355FD"/>
    <w:rsid w:val="00E359A2"/>
    <w:rsid w:val="00E3664F"/>
    <w:rsid w:val="00E36F77"/>
    <w:rsid w:val="00E37BA9"/>
    <w:rsid w:val="00E37F9B"/>
    <w:rsid w:val="00E419DF"/>
    <w:rsid w:val="00E42411"/>
    <w:rsid w:val="00E42C8A"/>
    <w:rsid w:val="00E42FCE"/>
    <w:rsid w:val="00E436F2"/>
    <w:rsid w:val="00E43965"/>
    <w:rsid w:val="00E43E3B"/>
    <w:rsid w:val="00E44113"/>
    <w:rsid w:val="00E4422C"/>
    <w:rsid w:val="00E4452C"/>
    <w:rsid w:val="00E4582E"/>
    <w:rsid w:val="00E4633C"/>
    <w:rsid w:val="00E46594"/>
    <w:rsid w:val="00E46611"/>
    <w:rsid w:val="00E46AB8"/>
    <w:rsid w:val="00E473B3"/>
    <w:rsid w:val="00E479CE"/>
    <w:rsid w:val="00E50974"/>
    <w:rsid w:val="00E50E8D"/>
    <w:rsid w:val="00E51F1C"/>
    <w:rsid w:val="00E5279F"/>
    <w:rsid w:val="00E53F1A"/>
    <w:rsid w:val="00E54185"/>
    <w:rsid w:val="00E5444F"/>
    <w:rsid w:val="00E5530D"/>
    <w:rsid w:val="00E555C9"/>
    <w:rsid w:val="00E55ABA"/>
    <w:rsid w:val="00E5653C"/>
    <w:rsid w:val="00E57271"/>
    <w:rsid w:val="00E57CA7"/>
    <w:rsid w:val="00E61C5E"/>
    <w:rsid w:val="00E61EC0"/>
    <w:rsid w:val="00E62020"/>
    <w:rsid w:val="00E62415"/>
    <w:rsid w:val="00E62A22"/>
    <w:rsid w:val="00E62B36"/>
    <w:rsid w:val="00E62DF5"/>
    <w:rsid w:val="00E63BDC"/>
    <w:rsid w:val="00E64492"/>
    <w:rsid w:val="00E647C8"/>
    <w:rsid w:val="00E64EFB"/>
    <w:rsid w:val="00E665A4"/>
    <w:rsid w:val="00E67434"/>
    <w:rsid w:val="00E67C82"/>
    <w:rsid w:val="00E702CE"/>
    <w:rsid w:val="00E70F0A"/>
    <w:rsid w:val="00E71844"/>
    <w:rsid w:val="00E71F73"/>
    <w:rsid w:val="00E72061"/>
    <w:rsid w:val="00E731D7"/>
    <w:rsid w:val="00E7371B"/>
    <w:rsid w:val="00E73765"/>
    <w:rsid w:val="00E74ACE"/>
    <w:rsid w:val="00E753DB"/>
    <w:rsid w:val="00E75A0F"/>
    <w:rsid w:val="00E773A1"/>
    <w:rsid w:val="00E77C06"/>
    <w:rsid w:val="00E80107"/>
    <w:rsid w:val="00E807EB"/>
    <w:rsid w:val="00E81619"/>
    <w:rsid w:val="00E82CB9"/>
    <w:rsid w:val="00E831F7"/>
    <w:rsid w:val="00E835D7"/>
    <w:rsid w:val="00E839E5"/>
    <w:rsid w:val="00E83DA4"/>
    <w:rsid w:val="00E8401B"/>
    <w:rsid w:val="00E84594"/>
    <w:rsid w:val="00E84ECA"/>
    <w:rsid w:val="00E84F25"/>
    <w:rsid w:val="00E855E0"/>
    <w:rsid w:val="00E860B7"/>
    <w:rsid w:val="00E86524"/>
    <w:rsid w:val="00E8660F"/>
    <w:rsid w:val="00E8780D"/>
    <w:rsid w:val="00E906DF"/>
    <w:rsid w:val="00E90C98"/>
    <w:rsid w:val="00E92126"/>
    <w:rsid w:val="00E9221F"/>
    <w:rsid w:val="00E92644"/>
    <w:rsid w:val="00E9320C"/>
    <w:rsid w:val="00E9371A"/>
    <w:rsid w:val="00E93C24"/>
    <w:rsid w:val="00E94499"/>
    <w:rsid w:val="00E955DE"/>
    <w:rsid w:val="00E95DB8"/>
    <w:rsid w:val="00E95E3B"/>
    <w:rsid w:val="00E96501"/>
    <w:rsid w:val="00E97527"/>
    <w:rsid w:val="00EA186C"/>
    <w:rsid w:val="00EA1E39"/>
    <w:rsid w:val="00EA46A8"/>
    <w:rsid w:val="00EA46E4"/>
    <w:rsid w:val="00EA5A9E"/>
    <w:rsid w:val="00EA6556"/>
    <w:rsid w:val="00EA6842"/>
    <w:rsid w:val="00EA6916"/>
    <w:rsid w:val="00EA6D1D"/>
    <w:rsid w:val="00EA6D25"/>
    <w:rsid w:val="00EA71F2"/>
    <w:rsid w:val="00EB0624"/>
    <w:rsid w:val="00EB184F"/>
    <w:rsid w:val="00EB1B80"/>
    <w:rsid w:val="00EB2FCB"/>
    <w:rsid w:val="00EB3169"/>
    <w:rsid w:val="00EB32A1"/>
    <w:rsid w:val="00EB4C26"/>
    <w:rsid w:val="00EB5127"/>
    <w:rsid w:val="00EB53F2"/>
    <w:rsid w:val="00EB548C"/>
    <w:rsid w:val="00EB5E0D"/>
    <w:rsid w:val="00EB75B0"/>
    <w:rsid w:val="00EB7803"/>
    <w:rsid w:val="00EC0295"/>
    <w:rsid w:val="00EC0454"/>
    <w:rsid w:val="00EC0A97"/>
    <w:rsid w:val="00EC113D"/>
    <w:rsid w:val="00EC19FA"/>
    <w:rsid w:val="00EC1F39"/>
    <w:rsid w:val="00EC2948"/>
    <w:rsid w:val="00EC3751"/>
    <w:rsid w:val="00EC4415"/>
    <w:rsid w:val="00EC5F86"/>
    <w:rsid w:val="00EC697C"/>
    <w:rsid w:val="00EC7147"/>
    <w:rsid w:val="00ED0403"/>
    <w:rsid w:val="00ED0940"/>
    <w:rsid w:val="00ED0D46"/>
    <w:rsid w:val="00ED15AF"/>
    <w:rsid w:val="00ED25CE"/>
    <w:rsid w:val="00ED3A55"/>
    <w:rsid w:val="00ED3B06"/>
    <w:rsid w:val="00ED3FB1"/>
    <w:rsid w:val="00ED402C"/>
    <w:rsid w:val="00ED4EB2"/>
    <w:rsid w:val="00ED511B"/>
    <w:rsid w:val="00ED5B0C"/>
    <w:rsid w:val="00ED602D"/>
    <w:rsid w:val="00ED7DD7"/>
    <w:rsid w:val="00EE003D"/>
    <w:rsid w:val="00EE0ACF"/>
    <w:rsid w:val="00EE0C14"/>
    <w:rsid w:val="00EE1B89"/>
    <w:rsid w:val="00EE2232"/>
    <w:rsid w:val="00EE22E3"/>
    <w:rsid w:val="00EE2ED0"/>
    <w:rsid w:val="00EE37DE"/>
    <w:rsid w:val="00EE6302"/>
    <w:rsid w:val="00EE67C5"/>
    <w:rsid w:val="00EF18EF"/>
    <w:rsid w:val="00EF1D53"/>
    <w:rsid w:val="00EF24DC"/>
    <w:rsid w:val="00EF348B"/>
    <w:rsid w:val="00EF34C2"/>
    <w:rsid w:val="00EF37E5"/>
    <w:rsid w:val="00EF4031"/>
    <w:rsid w:val="00EF45CE"/>
    <w:rsid w:val="00EF4B6F"/>
    <w:rsid w:val="00EF4C71"/>
    <w:rsid w:val="00EF695C"/>
    <w:rsid w:val="00F00370"/>
    <w:rsid w:val="00F00984"/>
    <w:rsid w:val="00F00D5D"/>
    <w:rsid w:val="00F00E1B"/>
    <w:rsid w:val="00F0167C"/>
    <w:rsid w:val="00F01FF7"/>
    <w:rsid w:val="00F030DB"/>
    <w:rsid w:val="00F04304"/>
    <w:rsid w:val="00F046D8"/>
    <w:rsid w:val="00F05908"/>
    <w:rsid w:val="00F05CF7"/>
    <w:rsid w:val="00F063F2"/>
    <w:rsid w:val="00F0680D"/>
    <w:rsid w:val="00F069E5"/>
    <w:rsid w:val="00F10305"/>
    <w:rsid w:val="00F1076B"/>
    <w:rsid w:val="00F1097E"/>
    <w:rsid w:val="00F10B6E"/>
    <w:rsid w:val="00F10D71"/>
    <w:rsid w:val="00F112B2"/>
    <w:rsid w:val="00F11B9B"/>
    <w:rsid w:val="00F11C4E"/>
    <w:rsid w:val="00F11D20"/>
    <w:rsid w:val="00F120D0"/>
    <w:rsid w:val="00F12F4B"/>
    <w:rsid w:val="00F1363A"/>
    <w:rsid w:val="00F13E0D"/>
    <w:rsid w:val="00F14704"/>
    <w:rsid w:val="00F154A2"/>
    <w:rsid w:val="00F15B4F"/>
    <w:rsid w:val="00F15DFF"/>
    <w:rsid w:val="00F175CA"/>
    <w:rsid w:val="00F207E8"/>
    <w:rsid w:val="00F20B6E"/>
    <w:rsid w:val="00F20FF5"/>
    <w:rsid w:val="00F210AD"/>
    <w:rsid w:val="00F22894"/>
    <w:rsid w:val="00F248EC"/>
    <w:rsid w:val="00F24B20"/>
    <w:rsid w:val="00F24BCF"/>
    <w:rsid w:val="00F24C64"/>
    <w:rsid w:val="00F25700"/>
    <w:rsid w:val="00F2639B"/>
    <w:rsid w:val="00F271F4"/>
    <w:rsid w:val="00F276EE"/>
    <w:rsid w:val="00F30BCF"/>
    <w:rsid w:val="00F3255F"/>
    <w:rsid w:val="00F33271"/>
    <w:rsid w:val="00F3510E"/>
    <w:rsid w:val="00F35311"/>
    <w:rsid w:val="00F35B8D"/>
    <w:rsid w:val="00F35C9F"/>
    <w:rsid w:val="00F373DC"/>
    <w:rsid w:val="00F37568"/>
    <w:rsid w:val="00F37EF3"/>
    <w:rsid w:val="00F403D6"/>
    <w:rsid w:val="00F40782"/>
    <w:rsid w:val="00F422EF"/>
    <w:rsid w:val="00F4256F"/>
    <w:rsid w:val="00F42894"/>
    <w:rsid w:val="00F42F10"/>
    <w:rsid w:val="00F43E26"/>
    <w:rsid w:val="00F43FB5"/>
    <w:rsid w:val="00F44084"/>
    <w:rsid w:val="00F44B17"/>
    <w:rsid w:val="00F4532B"/>
    <w:rsid w:val="00F45412"/>
    <w:rsid w:val="00F45CF2"/>
    <w:rsid w:val="00F470EA"/>
    <w:rsid w:val="00F47B25"/>
    <w:rsid w:val="00F5038E"/>
    <w:rsid w:val="00F5039F"/>
    <w:rsid w:val="00F50569"/>
    <w:rsid w:val="00F506AE"/>
    <w:rsid w:val="00F5087B"/>
    <w:rsid w:val="00F51346"/>
    <w:rsid w:val="00F5235B"/>
    <w:rsid w:val="00F525DB"/>
    <w:rsid w:val="00F52790"/>
    <w:rsid w:val="00F547AB"/>
    <w:rsid w:val="00F54947"/>
    <w:rsid w:val="00F54F7B"/>
    <w:rsid w:val="00F55CD7"/>
    <w:rsid w:val="00F560DC"/>
    <w:rsid w:val="00F56360"/>
    <w:rsid w:val="00F56916"/>
    <w:rsid w:val="00F56AD0"/>
    <w:rsid w:val="00F56CB1"/>
    <w:rsid w:val="00F5734C"/>
    <w:rsid w:val="00F626C2"/>
    <w:rsid w:val="00F630EF"/>
    <w:rsid w:val="00F63F85"/>
    <w:rsid w:val="00F64163"/>
    <w:rsid w:val="00F65819"/>
    <w:rsid w:val="00F65FDF"/>
    <w:rsid w:val="00F66230"/>
    <w:rsid w:val="00F66865"/>
    <w:rsid w:val="00F6694E"/>
    <w:rsid w:val="00F66E2C"/>
    <w:rsid w:val="00F66EA4"/>
    <w:rsid w:val="00F67A6B"/>
    <w:rsid w:val="00F707A2"/>
    <w:rsid w:val="00F70B5B"/>
    <w:rsid w:val="00F70EA1"/>
    <w:rsid w:val="00F71634"/>
    <w:rsid w:val="00F71871"/>
    <w:rsid w:val="00F71C70"/>
    <w:rsid w:val="00F7244F"/>
    <w:rsid w:val="00F72962"/>
    <w:rsid w:val="00F72D23"/>
    <w:rsid w:val="00F743D8"/>
    <w:rsid w:val="00F746E5"/>
    <w:rsid w:val="00F74CB0"/>
    <w:rsid w:val="00F75495"/>
    <w:rsid w:val="00F75C5E"/>
    <w:rsid w:val="00F76359"/>
    <w:rsid w:val="00F7639C"/>
    <w:rsid w:val="00F765EB"/>
    <w:rsid w:val="00F773A0"/>
    <w:rsid w:val="00F81CE4"/>
    <w:rsid w:val="00F822BA"/>
    <w:rsid w:val="00F8293A"/>
    <w:rsid w:val="00F836EA"/>
    <w:rsid w:val="00F837EA"/>
    <w:rsid w:val="00F8673B"/>
    <w:rsid w:val="00F87522"/>
    <w:rsid w:val="00F87A5C"/>
    <w:rsid w:val="00F908F8"/>
    <w:rsid w:val="00F90F00"/>
    <w:rsid w:val="00F92442"/>
    <w:rsid w:val="00F926C8"/>
    <w:rsid w:val="00F93008"/>
    <w:rsid w:val="00F939DB"/>
    <w:rsid w:val="00F948C5"/>
    <w:rsid w:val="00F94E8C"/>
    <w:rsid w:val="00F964B0"/>
    <w:rsid w:val="00F973F0"/>
    <w:rsid w:val="00F9784F"/>
    <w:rsid w:val="00F97B52"/>
    <w:rsid w:val="00F97D2D"/>
    <w:rsid w:val="00FA05A4"/>
    <w:rsid w:val="00FA2F87"/>
    <w:rsid w:val="00FA30C2"/>
    <w:rsid w:val="00FA31D8"/>
    <w:rsid w:val="00FA503C"/>
    <w:rsid w:val="00FA63B6"/>
    <w:rsid w:val="00FA65B7"/>
    <w:rsid w:val="00FA68AC"/>
    <w:rsid w:val="00FA6958"/>
    <w:rsid w:val="00FA7135"/>
    <w:rsid w:val="00FA74F9"/>
    <w:rsid w:val="00FA784C"/>
    <w:rsid w:val="00FB00DA"/>
    <w:rsid w:val="00FB063D"/>
    <w:rsid w:val="00FB06E1"/>
    <w:rsid w:val="00FB0A4B"/>
    <w:rsid w:val="00FB0CA2"/>
    <w:rsid w:val="00FB1A25"/>
    <w:rsid w:val="00FB2091"/>
    <w:rsid w:val="00FB2522"/>
    <w:rsid w:val="00FB253D"/>
    <w:rsid w:val="00FB37E2"/>
    <w:rsid w:val="00FB400A"/>
    <w:rsid w:val="00FB4106"/>
    <w:rsid w:val="00FB4A9E"/>
    <w:rsid w:val="00FB5B69"/>
    <w:rsid w:val="00FB66AB"/>
    <w:rsid w:val="00FB6912"/>
    <w:rsid w:val="00FC00DD"/>
    <w:rsid w:val="00FC031B"/>
    <w:rsid w:val="00FC0A72"/>
    <w:rsid w:val="00FC1247"/>
    <w:rsid w:val="00FC13E2"/>
    <w:rsid w:val="00FC14D9"/>
    <w:rsid w:val="00FC1C66"/>
    <w:rsid w:val="00FC1D6A"/>
    <w:rsid w:val="00FC27D4"/>
    <w:rsid w:val="00FC3CD4"/>
    <w:rsid w:val="00FC4E2A"/>
    <w:rsid w:val="00FC66F0"/>
    <w:rsid w:val="00FC6CF3"/>
    <w:rsid w:val="00FC6F4F"/>
    <w:rsid w:val="00FD1084"/>
    <w:rsid w:val="00FD1B30"/>
    <w:rsid w:val="00FD2647"/>
    <w:rsid w:val="00FD28F1"/>
    <w:rsid w:val="00FD2F32"/>
    <w:rsid w:val="00FD3D3E"/>
    <w:rsid w:val="00FD3EC1"/>
    <w:rsid w:val="00FD4975"/>
    <w:rsid w:val="00FD5051"/>
    <w:rsid w:val="00FD522D"/>
    <w:rsid w:val="00FD5958"/>
    <w:rsid w:val="00FD5A0F"/>
    <w:rsid w:val="00FD756D"/>
    <w:rsid w:val="00FD7972"/>
    <w:rsid w:val="00FD79EA"/>
    <w:rsid w:val="00FE059A"/>
    <w:rsid w:val="00FE0767"/>
    <w:rsid w:val="00FE0781"/>
    <w:rsid w:val="00FE1091"/>
    <w:rsid w:val="00FE1CCA"/>
    <w:rsid w:val="00FE2022"/>
    <w:rsid w:val="00FE29AF"/>
    <w:rsid w:val="00FE2A1F"/>
    <w:rsid w:val="00FE2CF1"/>
    <w:rsid w:val="00FE2DE2"/>
    <w:rsid w:val="00FE362F"/>
    <w:rsid w:val="00FE395C"/>
    <w:rsid w:val="00FE3B19"/>
    <w:rsid w:val="00FE3DE9"/>
    <w:rsid w:val="00FE54AE"/>
    <w:rsid w:val="00FE59E1"/>
    <w:rsid w:val="00FE6FB5"/>
    <w:rsid w:val="00FF0D93"/>
    <w:rsid w:val="00FF1860"/>
    <w:rsid w:val="00FF1E56"/>
    <w:rsid w:val="00FF2122"/>
    <w:rsid w:val="00FF2339"/>
    <w:rsid w:val="00FF2430"/>
    <w:rsid w:val="00FF26B9"/>
    <w:rsid w:val="00FF33AA"/>
    <w:rsid w:val="00FF371D"/>
    <w:rsid w:val="00FF4B33"/>
    <w:rsid w:val="00FF5512"/>
    <w:rsid w:val="00FF581C"/>
    <w:rsid w:val="00FF5BDF"/>
    <w:rsid w:val="00FF61EF"/>
    <w:rsid w:val="00FF637D"/>
    <w:rsid w:val="00FF64CF"/>
    <w:rsid w:val="00FF6B5D"/>
    <w:rsid w:val="00FF7133"/>
    <w:rsid w:val="00FF75B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9793"/>
    <o:shapelayout v:ext="edit">
      <o:idmap v:ext="edit" data="1"/>
    </o:shapelayout>
  </w:shapeDefaults>
  <w:decimalSymbol w:val="."/>
  <w:listSeparator w:val=","/>
  <w14:docId w14:val="2239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065"/>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BE1843"/>
    <w:pPr>
      <w:spacing w:after="240"/>
      <w:outlineLvl w:val="0"/>
    </w:pPr>
    <w:rPr>
      <w:rFonts w:ascii="Arial Bold" w:hAnsi="Arial Bold"/>
      <w:b/>
      <w:kern w:val="34"/>
      <w:sz w:val="36"/>
    </w:rPr>
  </w:style>
  <w:style w:type="paragraph" w:styleId="Heading2">
    <w:name w:val="heading 2"/>
    <w:basedOn w:val="HeadingBase"/>
    <w:next w:val="Normal"/>
    <w:link w:val="Heading2Char"/>
    <w:qFormat/>
    <w:rsid w:val="00BE1843"/>
    <w:pPr>
      <w:spacing w:before="240" w:after="240"/>
      <w:outlineLvl w:val="1"/>
    </w:pPr>
    <w:rPr>
      <w:rFonts w:ascii="Arial Bold" w:hAnsi="Arial Bold"/>
      <w:b/>
      <w:sz w:val="26"/>
    </w:rPr>
  </w:style>
  <w:style w:type="paragraph" w:styleId="Heading3">
    <w:name w:val="heading 3"/>
    <w:basedOn w:val="HeadingBase"/>
    <w:next w:val="Normal"/>
    <w:link w:val="Heading3Char"/>
    <w:qFormat/>
    <w:rsid w:val="00BE1843"/>
    <w:pPr>
      <w:spacing w:before="120" w:after="120"/>
      <w:outlineLvl w:val="2"/>
    </w:pPr>
    <w:rPr>
      <w:rFonts w:ascii="Arial Bold" w:hAnsi="Arial Bold"/>
      <w:b/>
      <w:sz w:val="22"/>
    </w:rPr>
  </w:style>
  <w:style w:type="paragraph" w:styleId="Heading4">
    <w:name w:val="heading 4"/>
    <w:basedOn w:val="HeadingBase"/>
    <w:next w:val="Normal"/>
    <w:link w:val="Heading4Char"/>
    <w:qFormat/>
    <w:rsid w:val="00BE1843"/>
    <w:pPr>
      <w:spacing w:after="120"/>
      <w:outlineLvl w:val="3"/>
    </w:pPr>
    <w:rPr>
      <w:rFonts w:ascii="Arial Bold" w:hAnsi="Arial Bold"/>
      <w:b/>
      <w:sz w:val="20"/>
    </w:rPr>
  </w:style>
  <w:style w:type="paragraph" w:styleId="Heading5">
    <w:name w:val="heading 5"/>
    <w:basedOn w:val="HeadingBase"/>
    <w:next w:val="Normal"/>
    <w:link w:val="Heading5Char"/>
    <w:qFormat/>
    <w:rsid w:val="00BE1843"/>
    <w:pPr>
      <w:spacing w:after="120"/>
      <w:outlineLvl w:val="4"/>
    </w:pPr>
    <w:rPr>
      <w:bCs/>
      <w:i/>
      <w:iCs/>
      <w:sz w:val="20"/>
      <w:szCs w:val="26"/>
    </w:rPr>
  </w:style>
  <w:style w:type="paragraph" w:styleId="Heading6">
    <w:name w:val="heading 6"/>
    <w:basedOn w:val="HeadingBase"/>
    <w:next w:val="Normal"/>
    <w:link w:val="Heading6Char"/>
    <w:qFormat/>
    <w:rsid w:val="00BE1843"/>
    <w:pPr>
      <w:spacing w:after="120"/>
      <w:outlineLvl w:val="5"/>
    </w:pPr>
    <w:rPr>
      <w:bCs/>
      <w:sz w:val="20"/>
      <w:szCs w:val="22"/>
    </w:rPr>
  </w:style>
  <w:style w:type="paragraph" w:styleId="Heading7">
    <w:name w:val="heading 7"/>
    <w:basedOn w:val="HeadingBase"/>
    <w:next w:val="Normal"/>
    <w:link w:val="Heading7Char"/>
    <w:qFormat/>
    <w:rsid w:val="00BE1843"/>
    <w:pPr>
      <w:spacing w:before="120"/>
      <w:outlineLvl w:val="6"/>
    </w:pPr>
    <w:rPr>
      <w:sz w:val="20"/>
      <w:szCs w:val="24"/>
    </w:rPr>
  </w:style>
  <w:style w:type="paragraph" w:styleId="Heading8">
    <w:name w:val="heading 8"/>
    <w:basedOn w:val="HeadingBase"/>
    <w:next w:val="Normal"/>
    <w:link w:val="Heading8Char"/>
    <w:qFormat/>
    <w:rsid w:val="00BE1843"/>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nhideWhenUsed/>
    <w:qFormat/>
    <w:rsid w:val="00BE1843"/>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E1843"/>
    <w:pPr>
      <w:spacing w:before="0" w:after="0" w:line="240" w:lineRule="auto"/>
    </w:pPr>
  </w:style>
  <w:style w:type="paragraph" w:customStyle="1" w:styleId="Exampletext">
    <w:name w:val="Example text"/>
    <w:basedOn w:val="Normal"/>
    <w:link w:val="ExampletextCharChar"/>
    <w:rsid w:val="00BE1843"/>
    <w:rPr>
      <w:i/>
      <w:color w:val="FF0000"/>
      <w:lang w:val="x-none" w:eastAsia="x-none"/>
    </w:rPr>
  </w:style>
  <w:style w:type="paragraph" w:customStyle="1" w:styleId="ChartSecondHeading">
    <w:name w:val="Chart Second Heading"/>
    <w:basedOn w:val="HeadingBase"/>
    <w:next w:val="ChartGraphic"/>
    <w:rsid w:val="00BE1843"/>
    <w:pPr>
      <w:spacing w:after="60"/>
    </w:pPr>
    <w:rPr>
      <w:sz w:val="19"/>
    </w:rPr>
  </w:style>
  <w:style w:type="paragraph" w:customStyle="1" w:styleId="TableHeading">
    <w:name w:val="Table Heading"/>
    <w:basedOn w:val="HeadingBase"/>
    <w:next w:val="TableGraphic"/>
    <w:link w:val="TableHeadingChar"/>
    <w:qFormat/>
    <w:rsid w:val="00BE1843"/>
    <w:pPr>
      <w:spacing w:before="120" w:after="20"/>
    </w:pPr>
    <w:rPr>
      <w:b/>
      <w:sz w:val="20"/>
    </w:rPr>
  </w:style>
  <w:style w:type="paragraph" w:customStyle="1" w:styleId="HeadingBase">
    <w:name w:val="Heading Base"/>
    <w:link w:val="HeadingBaseChar"/>
    <w:rsid w:val="00BE1843"/>
    <w:pPr>
      <w:keepNext/>
    </w:pPr>
    <w:rPr>
      <w:rFonts w:ascii="Arial" w:hAnsi="Arial"/>
      <w:sz w:val="24"/>
    </w:rPr>
  </w:style>
  <w:style w:type="paragraph" w:customStyle="1" w:styleId="AlphaParagraph">
    <w:name w:val="Alpha Paragraph"/>
    <w:basedOn w:val="Normal"/>
    <w:rsid w:val="00BE1843"/>
    <w:pPr>
      <w:numPr>
        <w:numId w:val="1"/>
      </w:numPr>
      <w:tabs>
        <w:tab w:val="clear" w:pos="567"/>
        <w:tab w:val="num" w:pos="360"/>
      </w:tabs>
    </w:pPr>
  </w:style>
  <w:style w:type="paragraph" w:customStyle="1" w:styleId="Bullet">
    <w:name w:val="Bullet"/>
    <w:basedOn w:val="Normal"/>
    <w:link w:val="BulletChar"/>
    <w:qFormat/>
    <w:rsid w:val="00BE1843"/>
    <w:pPr>
      <w:numPr>
        <w:numId w:val="2"/>
      </w:numPr>
      <w:spacing w:after="160"/>
    </w:pPr>
  </w:style>
  <w:style w:type="paragraph" w:customStyle="1" w:styleId="Dash">
    <w:name w:val="Dash"/>
    <w:basedOn w:val="Normal"/>
    <w:qFormat/>
    <w:rsid w:val="00BE1843"/>
    <w:pPr>
      <w:numPr>
        <w:ilvl w:val="1"/>
        <w:numId w:val="2"/>
      </w:numPr>
      <w:tabs>
        <w:tab w:val="left" w:pos="567"/>
      </w:tabs>
    </w:pPr>
  </w:style>
  <w:style w:type="paragraph" w:customStyle="1" w:styleId="DoubleDot">
    <w:name w:val="Double Dot"/>
    <w:basedOn w:val="Normal"/>
    <w:rsid w:val="00BE1843"/>
    <w:pPr>
      <w:numPr>
        <w:ilvl w:val="2"/>
        <w:numId w:val="2"/>
      </w:numPr>
      <w:tabs>
        <w:tab w:val="clear" w:pos="850"/>
        <w:tab w:val="left" w:pos="851"/>
      </w:tabs>
    </w:pPr>
  </w:style>
  <w:style w:type="paragraph" w:customStyle="1" w:styleId="AppendixHeading">
    <w:name w:val="Appendix Heading"/>
    <w:basedOn w:val="HeadingBase"/>
    <w:semiHidden/>
    <w:rsid w:val="00BE1843"/>
    <w:pPr>
      <w:spacing w:after="240"/>
      <w:jc w:val="center"/>
      <w:outlineLvl w:val="3"/>
    </w:pPr>
    <w:rPr>
      <w:b/>
      <w:smallCaps/>
      <w:sz w:val="30"/>
    </w:rPr>
  </w:style>
  <w:style w:type="paragraph" w:customStyle="1" w:styleId="BoxText">
    <w:name w:val="Box Text"/>
    <w:basedOn w:val="Normal"/>
    <w:qFormat/>
    <w:rsid w:val="00BE1843"/>
    <w:pPr>
      <w:spacing w:before="120" w:after="120" w:line="240" w:lineRule="auto"/>
    </w:pPr>
  </w:style>
  <w:style w:type="paragraph" w:customStyle="1" w:styleId="BoxHeading">
    <w:name w:val="Box Heading"/>
    <w:basedOn w:val="HeadingBase"/>
    <w:next w:val="BoxText"/>
    <w:rsid w:val="00BE1843"/>
    <w:pPr>
      <w:spacing w:before="120" w:after="120"/>
    </w:pPr>
    <w:rPr>
      <w:b/>
      <w:sz w:val="20"/>
    </w:rPr>
  </w:style>
  <w:style w:type="paragraph" w:customStyle="1" w:styleId="ChartandTableFootnoteAlpha">
    <w:name w:val="Chart and Table Footnote Alpha"/>
    <w:basedOn w:val="HeadingBase"/>
    <w:next w:val="Normal"/>
    <w:rsid w:val="00BE1843"/>
    <w:pPr>
      <w:keepNext w:val="0"/>
      <w:spacing w:before="30"/>
    </w:pPr>
    <w:rPr>
      <w:color w:val="000000"/>
      <w:sz w:val="16"/>
    </w:rPr>
  </w:style>
  <w:style w:type="paragraph" w:customStyle="1" w:styleId="ChartandTableFootnote">
    <w:name w:val="Chart and Table Footnote"/>
    <w:basedOn w:val="HeadingBase"/>
    <w:next w:val="Normal"/>
    <w:link w:val="ChartandTableFootnoteChar"/>
    <w:rsid w:val="00BE1843"/>
    <w:pPr>
      <w:keepNext w:val="0"/>
      <w:tabs>
        <w:tab w:val="left" w:pos="709"/>
      </w:tabs>
      <w:spacing w:before="30"/>
    </w:pPr>
    <w:rPr>
      <w:color w:val="000000"/>
      <w:sz w:val="16"/>
    </w:rPr>
  </w:style>
  <w:style w:type="paragraph" w:customStyle="1" w:styleId="BoxBullet">
    <w:name w:val="Box Bullet"/>
    <w:basedOn w:val="BoxText"/>
    <w:rsid w:val="00BE1843"/>
    <w:pPr>
      <w:numPr>
        <w:numId w:val="7"/>
      </w:numPr>
    </w:pPr>
  </w:style>
  <w:style w:type="paragraph" w:customStyle="1" w:styleId="ChartGraphic">
    <w:name w:val="Chart Graphic"/>
    <w:basedOn w:val="HeadingBase"/>
    <w:rsid w:val="00BE1843"/>
    <w:pPr>
      <w:jc w:val="center"/>
    </w:pPr>
    <w:rPr>
      <w:sz w:val="20"/>
    </w:rPr>
  </w:style>
  <w:style w:type="paragraph" w:customStyle="1" w:styleId="ContentsHeading">
    <w:name w:val="Contents Heading"/>
    <w:basedOn w:val="HeadingBase"/>
    <w:next w:val="Normal"/>
    <w:rsid w:val="00BE1843"/>
    <w:pPr>
      <w:spacing w:after="720"/>
    </w:pPr>
    <w:rPr>
      <w:b/>
      <w:bCs/>
      <w:sz w:val="36"/>
    </w:rPr>
  </w:style>
  <w:style w:type="paragraph" w:customStyle="1" w:styleId="FigureHeading">
    <w:name w:val="Figure Heading"/>
    <w:basedOn w:val="HeadingBase"/>
    <w:next w:val="ChartGraphic"/>
    <w:rsid w:val="00BE1843"/>
    <w:pPr>
      <w:spacing w:before="120" w:after="20"/>
    </w:pPr>
    <w:rPr>
      <w:b/>
      <w:sz w:val="20"/>
    </w:rPr>
  </w:style>
  <w:style w:type="paragraph" w:customStyle="1" w:styleId="Classification">
    <w:name w:val="Classification"/>
    <w:basedOn w:val="HeadingBase"/>
    <w:rsid w:val="00BE1843"/>
    <w:pPr>
      <w:jc w:val="center"/>
    </w:pPr>
    <w:rPr>
      <w:rFonts w:ascii="Arial Bold" w:hAnsi="Arial Bold"/>
      <w:b/>
      <w:caps/>
      <w:sz w:val="22"/>
    </w:rPr>
  </w:style>
  <w:style w:type="character" w:customStyle="1" w:styleId="HiddenSequenceCode">
    <w:name w:val="Hidden Sequence Code"/>
    <w:rsid w:val="00BE1843"/>
    <w:rPr>
      <w:rFonts w:ascii="Times New Roman" w:hAnsi="Times New Roman"/>
      <w:vanish/>
      <w:sz w:val="16"/>
    </w:rPr>
  </w:style>
  <w:style w:type="paragraph" w:customStyle="1" w:styleId="OverviewParagraph">
    <w:name w:val="Overview Paragraph"/>
    <w:basedOn w:val="Normal"/>
    <w:rsid w:val="00BE1843"/>
    <w:pPr>
      <w:spacing w:before="120" w:after="120" w:line="240" w:lineRule="auto"/>
    </w:pPr>
  </w:style>
  <w:style w:type="paragraph" w:customStyle="1" w:styleId="TableGraphic">
    <w:name w:val="Table Graphic"/>
    <w:basedOn w:val="Normal"/>
    <w:next w:val="Normal"/>
    <w:rsid w:val="00BE1843"/>
    <w:pPr>
      <w:spacing w:before="0" w:after="0" w:line="240" w:lineRule="auto"/>
      <w:ind w:right="-113"/>
    </w:pPr>
  </w:style>
  <w:style w:type="paragraph" w:customStyle="1" w:styleId="NoteTableHeading">
    <w:name w:val="Note Table Heading"/>
    <w:basedOn w:val="HeadingBase"/>
    <w:next w:val="Normal"/>
    <w:rsid w:val="00BE1843"/>
    <w:pPr>
      <w:spacing w:before="240"/>
    </w:pPr>
    <w:rPr>
      <w:b/>
      <w:sz w:val="20"/>
    </w:rPr>
  </w:style>
  <w:style w:type="paragraph" w:customStyle="1" w:styleId="Source">
    <w:name w:val="Source"/>
    <w:basedOn w:val="Normal"/>
    <w:rsid w:val="00BE1843"/>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BE1843"/>
    <w:pPr>
      <w:spacing w:before="20" w:after="20" w:line="240" w:lineRule="auto"/>
    </w:pPr>
    <w:rPr>
      <w:rFonts w:ascii="Arial" w:hAnsi="Arial"/>
      <w:sz w:val="16"/>
    </w:rPr>
  </w:style>
  <w:style w:type="paragraph" w:customStyle="1" w:styleId="TableColumnHeadingBase">
    <w:name w:val="Table Column Heading Base"/>
    <w:basedOn w:val="Normal"/>
    <w:rsid w:val="00BE1843"/>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BE1843"/>
  </w:style>
  <w:style w:type="paragraph" w:customStyle="1" w:styleId="TableTextRight">
    <w:name w:val="Table Text Right"/>
    <w:basedOn w:val="TableTextBase"/>
    <w:rsid w:val="00BE1843"/>
    <w:pPr>
      <w:jc w:val="right"/>
    </w:pPr>
  </w:style>
  <w:style w:type="paragraph" w:customStyle="1" w:styleId="TableTextCentred">
    <w:name w:val="Table Text Centred"/>
    <w:basedOn w:val="TableTextBase"/>
    <w:rsid w:val="00BE1843"/>
    <w:pPr>
      <w:jc w:val="center"/>
    </w:pPr>
  </w:style>
  <w:style w:type="paragraph" w:customStyle="1" w:styleId="TableTextIndented">
    <w:name w:val="Table Text Indented"/>
    <w:basedOn w:val="TableTextBase"/>
    <w:rsid w:val="00BE1843"/>
    <w:pPr>
      <w:ind w:left="284"/>
    </w:pPr>
  </w:style>
  <w:style w:type="paragraph" w:customStyle="1" w:styleId="TableColumnHeadingLeft">
    <w:name w:val="Table Column Heading Left"/>
    <w:basedOn w:val="TableColumnHeadingBase"/>
    <w:next w:val="Normal"/>
    <w:rsid w:val="00BE1843"/>
  </w:style>
  <w:style w:type="paragraph" w:customStyle="1" w:styleId="TableColumnHeadingRight">
    <w:name w:val="Table Column Heading Right"/>
    <w:basedOn w:val="TableColumnHeadingBase"/>
    <w:next w:val="Normal"/>
    <w:rsid w:val="00BE1843"/>
    <w:pPr>
      <w:jc w:val="right"/>
    </w:pPr>
  </w:style>
  <w:style w:type="paragraph" w:customStyle="1" w:styleId="TableColumnHeadingCentred">
    <w:name w:val="Table Column Heading Centred"/>
    <w:basedOn w:val="TableColumnHeadingBase"/>
    <w:next w:val="Normal"/>
    <w:rsid w:val="00BE1843"/>
    <w:pPr>
      <w:jc w:val="center"/>
    </w:pPr>
  </w:style>
  <w:style w:type="paragraph" w:customStyle="1" w:styleId="Exampletextbullet">
    <w:name w:val="Example text bullet"/>
    <w:basedOn w:val="Exampletext"/>
    <w:semiHidden/>
    <w:rsid w:val="00BE1843"/>
  </w:style>
  <w:style w:type="paragraph" w:styleId="Title">
    <w:name w:val="Title"/>
    <w:basedOn w:val="Normal"/>
    <w:link w:val="TitleChar"/>
    <w:uiPriority w:val="10"/>
    <w:qFormat/>
    <w:rsid w:val="00BE1843"/>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E1843"/>
    <w:pPr>
      <w:spacing w:before="120" w:after="20"/>
    </w:pPr>
    <w:rPr>
      <w:rFonts w:ascii="Arial Bold" w:hAnsi="Arial Bold"/>
      <w:b/>
      <w:sz w:val="20"/>
    </w:rPr>
  </w:style>
  <w:style w:type="paragraph" w:customStyle="1" w:styleId="TPHeading1">
    <w:name w:val="TP Heading 1"/>
    <w:basedOn w:val="HeadingBase"/>
    <w:rsid w:val="00BE1843"/>
    <w:pPr>
      <w:spacing w:before="60" w:after="60"/>
      <w:ind w:left="851"/>
    </w:pPr>
    <w:rPr>
      <w:rFonts w:ascii="Arial Bold" w:hAnsi="Arial Bold"/>
      <w:b/>
      <w:caps/>
      <w:spacing w:val="-10"/>
      <w:sz w:val="28"/>
    </w:rPr>
  </w:style>
  <w:style w:type="paragraph" w:customStyle="1" w:styleId="TPHeading2">
    <w:name w:val="TP Heading 2"/>
    <w:basedOn w:val="HeadingBase"/>
    <w:rsid w:val="00BE1843"/>
    <w:pPr>
      <w:ind w:left="851"/>
    </w:pPr>
    <w:rPr>
      <w:caps/>
      <w:spacing w:val="-10"/>
      <w:sz w:val="28"/>
    </w:rPr>
  </w:style>
  <w:style w:type="paragraph" w:customStyle="1" w:styleId="TPHeading3">
    <w:name w:val="TP Heading 3"/>
    <w:basedOn w:val="HeadingBase"/>
    <w:rsid w:val="00BE1843"/>
    <w:pPr>
      <w:ind w:left="851"/>
    </w:pPr>
    <w:rPr>
      <w:caps/>
      <w:spacing w:val="-10"/>
    </w:rPr>
  </w:style>
  <w:style w:type="paragraph" w:customStyle="1" w:styleId="HeaderBase">
    <w:name w:val="Header Base"/>
    <w:rsid w:val="00BE1843"/>
    <w:rPr>
      <w:rFonts w:ascii="Arial" w:hAnsi="Arial"/>
      <w:color w:val="44546A"/>
      <w:sz w:val="18"/>
    </w:rPr>
  </w:style>
  <w:style w:type="paragraph" w:customStyle="1" w:styleId="HeaderEven">
    <w:name w:val="Header Even"/>
    <w:basedOn w:val="HeaderBase"/>
    <w:rsid w:val="00BE1843"/>
    <w:rPr>
      <w:color w:val="auto"/>
    </w:rPr>
  </w:style>
  <w:style w:type="paragraph" w:customStyle="1" w:styleId="HeaderOdd">
    <w:name w:val="Header Odd"/>
    <w:basedOn w:val="HeaderBase"/>
    <w:rsid w:val="00BE1843"/>
    <w:pPr>
      <w:jc w:val="right"/>
    </w:pPr>
    <w:rPr>
      <w:color w:val="000000"/>
    </w:rPr>
  </w:style>
  <w:style w:type="paragraph" w:styleId="Header">
    <w:name w:val="header"/>
    <w:basedOn w:val="HeaderBase"/>
    <w:link w:val="HeaderChar"/>
    <w:uiPriority w:val="99"/>
    <w:qFormat/>
    <w:rsid w:val="00BE1843"/>
    <w:pPr>
      <w:tabs>
        <w:tab w:val="center" w:pos="4153"/>
        <w:tab w:val="right" w:pos="8306"/>
      </w:tabs>
    </w:pPr>
    <w:rPr>
      <w:color w:val="auto"/>
    </w:rPr>
  </w:style>
  <w:style w:type="paragraph" w:customStyle="1" w:styleId="FooterBase">
    <w:name w:val="Footer Base"/>
    <w:rsid w:val="00BE1843"/>
    <w:pPr>
      <w:jc w:val="center"/>
    </w:pPr>
    <w:rPr>
      <w:rFonts w:ascii="Arial" w:hAnsi="Arial"/>
      <w:color w:val="000000"/>
    </w:rPr>
  </w:style>
  <w:style w:type="paragraph" w:styleId="Footer">
    <w:name w:val="footer"/>
    <w:basedOn w:val="FooterBase"/>
    <w:link w:val="FooterChar"/>
    <w:uiPriority w:val="99"/>
    <w:rsid w:val="00BE1843"/>
    <w:pPr>
      <w:tabs>
        <w:tab w:val="center" w:pos="4153"/>
        <w:tab w:val="right" w:pos="8306"/>
      </w:tabs>
    </w:pPr>
  </w:style>
  <w:style w:type="paragraph" w:styleId="BalloonText">
    <w:name w:val="Balloon Text"/>
    <w:basedOn w:val="Normal"/>
    <w:semiHidden/>
    <w:rsid w:val="00BE1843"/>
    <w:rPr>
      <w:rFonts w:ascii="Tahoma" w:hAnsi="Tahoma" w:cs="Tahoma"/>
      <w:sz w:val="16"/>
      <w:szCs w:val="16"/>
    </w:rPr>
  </w:style>
  <w:style w:type="paragraph" w:styleId="Caption">
    <w:name w:val="caption"/>
    <w:basedOn w:val="Normal"/>
    <w:next w:val="Normal"/>
    <w:qFormat/>
    <w:rsid w:val="00BE1843"/>
    <w:rPr>
      <w:b/>
      <w:bCs/>
    </w:rPr>
  </w:style>
  <w:style w:type="character" w:styleId="CommentReference">
    <w:name w:val="annotation reference"/>
    <w:uiPriority w:val="99"/>
    <w:semiHidden/>
    <w:rsid w:val="00BE1843"/>
    <w:rPr>
      <w:sz w:val="16"/>
      <w:szCs w:val="16"/>
    </w:rPr>
  </w:style>
  <w:style w:type="paragraph" w:styleId="CommentText">
    <w:name w:val="annotation text"/>
    <w:basedOn w:val="Normal"/>
    <w:link w:val="CommentTextChar"/>
    <w:uiPriority w:val="99"/>
    <w:qFormat/>
    <w:rsid w:val="00BE1843"/>
  </w:style>
  <w:style w:type="paragraph" w:styleId="CommentSubject">
    <w:name w:val="annotation subject"/>
    <w:basedOn w:val="CommentText"/>
    <w:next w:val="CommentText"/>
    <w:link w:val="CommentSubjectChar"/>
    <w:semiHidden/>
    <w:rsid w:val="00BE1843"/>
    <w:rPr>
      <w:b/>
      <w:bCs/>
    </w:rPr>
  </w:style>
  <w:style w:type="paragraph" w:styleId="DocumentMap">
    <w:name w:val="Document Map"/>
    <w:basedOn w:val="Normal"/>
    <w:link w:val="DocumentMapChar"/>
    <w:semiHidden/>
    <w:rsid w:val="00BE1843"/>
    <w:pPr>
      <w:shd w:val="clear" w:color="auto" w:fill="000080"/>
    </w:pPr>
    <w:rPr>
      <w:rFonts w:ascii="Tahoma" w:hAnsi="Tahoma" w:cs="Tahoma"/>
    </w:rPr>
  </w:style>
  <w:style w:type="character" w:styleId="EndnoteReference">
    <w:name w:val="endnote reference"/>
    <w:unhideWhenUsed/>
    <w:rsid w:val="00BE1843"/>
    <w:rPr>
      <w:vertAlign w:val="superscript"/>
    </w:rPr>
  </w:style>
  <w:style w:type="paragraph" w:styleId="EndnoteText">
    <w:name w:val="endnote text"/>
    <w:basedOn w:val="Normal"/>
    <w:link w:val="EndnoteTextChar"/>
    <w:unhideWhenUsed/>
    <w:rsid w:val="00BE1843"/>
  </w:style>
  <w:style w:type="character" w:styleId="FootnoteReference">
    <w:name w:val="footnote reference"/>
    <w:rsid w:val="00BE1843"/>
    <w:rPr>
      <w:vertAlign w:val="superscript"/>
    </w:rPr>
  </w:style>
  <w:style w:type="paragraph" w:styleId="FootnoteText">
    <w:name w:val="footnote text"/>
    <w:basedOn w:val="Normal"/>
    <w:link w:val="FootnoteTextChar"/>
    <w:rsid w:val="00BE1843"/>
    <w:pPr>
      <w:tabs>
        <w:tab w:val="left" w:pos="284"/>
      </w:tabs>
      <w:spacing w:before="80" w:after="0" w:line="240" w:lineRule="auto"/>
      <w:ind w:left="284" w:hanging="284"/>
      <w:contextualSpacing/>
    </w:pPr>
    <w:rPr>
      <w:sz w:val="18"/>
    </w:rPr>
  </w:style>
  <w:style w:type="paragraph" w:styleId="Index1">
    <w:name w:val="index 1"/>
    <w:basedOn w:val="Normal"/>
    <w:next w:val="Normal"/>
    <w:rsid w:val="00BE1843"/>
    <w:pPr>
      <w:ind w:left="200" w:hanging="200"/>
    </w:pPr>
  </w:style>
  <w:style w:type="paragraph" w:styleId="Index2">
    <w:name w:val="index 2"/>
    <w:basedOn w:val="Normal"/>
    <w:next w:val="Normal"/>
    <w:rsid w:val="00BE1843"/>
    <w:pPr>
      <w:ind w:left="400" w:hanging="200"/>
    </w:pPr>
  </w:style>
  <w:style w:type="paragraph" w:styleId="Index3">
    <w:name w:val="index 3"/>
    <w:basedOn w:val="Normal"/>
    <w:next w:val="Normal"/>
    <w:rsid w:val="00BE1843"/>
    <w:pPr>
      <w:ind w:left="600" w:hanging="200"/>
    </w:pPr>
  </w:style>
  <w:style w:type="paragraph" w:styleId="Index4">
    <w:name w:val="index 4"/>
    <w:basedOn w:val="Normal"/>
    <w:next w:val="Normal"/>
    <w:autoRedefine/>
    <w:semiHidden/>
    <w:rsid w:val="00BE1843"/>
    <w:pPr>
      <w:ind w:left="800" w:hanging="200"/>
    </w:pPr>
  </w:style>
  <w:style w:type="paragraph" w:styleId="Index5">
    <w:name w:val="index 5"/>
    <w:basedOn w:val="Normal"/>
    <w:next w:val="Normal"/>
    <w:autoRedefine/>
    <w:semiHidden/>
    <w:rsid w:val="00BE1843"/>
    <w:pPr>
      <w:ind w:left="1000" w:hanging="200"/>
    </w:pPr>
  </w:style>
  <w:style w:type="paragraph" w:styleId="Index6">
    <w:name w:val="index 6"/>
    <w:basedOn w:val="Normal"/>
    <w:next w:val="Normal"/>
    <w:autoRedefine/>
    <w:semiHidden/>
    <w:rsid w:val="00BE1843"/>
    <w:pPr>
      <w:ind w:left="1200" w:hanging="200"/>
    </w:pPr>
  </w:style>
  <w:style w:type="paragraph" w:styleId="Index7">
    <w:name w:val="index 7"/>
    <w:basedOn w:val="Normal"/>
    <w:next w:val="Normal"/>
    <w:autoRedefine/>
    <w:semiHidden/>
    <w:rsid w:val="00BE1843"/>
    <w:pPr>
      <w:ind w:left="1400" w:hanging="200"/>
    </w:pPr>
  </w:style>
  <w:style w:type="paragraph" w:styleId="Index8">
    <w:name w:val="index 8"/>
    <w:basedOn w:val="Normal"/>
    <w:next w:val="Normal"/>
    <w:autoRedefine/>
    <w:semiHidden/>
    <w:rsid w:val="00BE1843"/>
    <w:pPr>
      <w:ind w:left="1600" w:hanging="200"/>
    </w:pPr>
  </w:style>
  <w:style w:type="paragraph" w:styleId="Index9">
    <w:name w:val="index 9"/>
    <w:basedOn w:val="Normal"/>
    <w:next w:val="Normal"/>
    <w:autoRedefine/>
    <w:semiHidden/>
    <w:rsid w:val="00BE1843"/>
    <w:pPr>
      <w:ind w:left="1800" w:hanging="200"/>
    </w:pPr>
  </w:style>
  <w:style w:type="paragraph" w:styleId="IndexHeading">
    <w:name w:val="index heading"/>
    <w:basedOn w:val="Normal"/>
    <w:next w:val="Index1"/>
    <w:rsid w:val="00BE1843"/>
    <w:rPr>
      <w:rFonts w:ascii="Arial Bold" w:hAnsi="Arial Bold" w:cs="Arial"/>
      <w:b/>
      <w:bCs/>
      <w:color w:val="002B54"/>
    </w:rPr>
  </w:style>
  <w:style w:type="paragraph" w:styleId="MacroText">
    <w:name w:val="macro"/>
    <w:link w:val="MacroTextChar"/>
    <w:unhideWhenUsed/>
    <w:rsid w:val="00BE1843"/>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BE1843"/>
    <w:pPr>
      <w:ind w:left="200" w:hanging="200"/>
    </w:pPr>
  </w:style>
  <w:style w:type="paragraph" w:styleId="TableofFigures">
    <w:name w:val="table of figures"/>
    <w:basedOn w:val="Normal"/>
    <w:next w:val="Normal"/>
    <w:rsid w:val="00BE1843"/>
  </w:style>
  <w:style w:type="paragraph" w:styleId="TOAHeading">
    <w:name w:val="toa heading"/>
    <w:basedOn w:val="Normal"/>
    <w:next w:val="Normal"/>
    <w:rsid w:val="00BE1843"/>
    <w:pPr>
      <w:spacing w:before="120"/>
    </w:pPr>
    <w:rPr>
      <w:rFonts w:ascii="Arial" w:hAnsi="Arial" w:cs="Arial"/>
      <w:b/>
      <w:bCs/>
      <w:sz w:val="24"/>
      <w:szCs w:val="24"/>
    </w:rPr>
  </w:style>
  <w:style w:type="paragraph" w:styleId="TOC1">
    <w:name w:val="toc 1"/>
    <w:basedOn w:val="HeaderBase"/>
    <w:next w:val="Normal"/>
    <w:uiPriority w:val="39"/>
    <w:rsid w:val="00BE1843"/>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39"/>
    <w:rsid w:val="00BE1843"/>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39"/>
    <w:unhideWhenUsed/>
    <w:rsid w:val="00BE1843"/>
    <w:pPr>
      <w:tabs>
        <w:tab w:val="right" w:leader="dot" w:pos="7700"/>
      </w:tabs>
      <w:spacing w:before="40"/>
      <w:ind w:right="851"/>
    </w:pPr>
    <w:rPr>
      <w:sz w:val="20"/>
    </w:rPr>
  </w:style>
  <w:style w:type="paragraph" w:styleId="TOC4">
    <w:name w:val="toc 4"/>
    <w:basedOn w:val="HeadingBase"/>
    <w:next w:val="Normal"/>
    <w:uiPriority w:val="39"/>
    <w:unhideWhenUsed/>
    <w:rsid w:val="00BE1843"/>
    <w:pPr>
      <w:tabs>
        <w:tab w:val="right" w:leader="dot" w:pos="7700"/>
      </w:tabs>
      <w:spacing w:before="40"/>
      <w:ind w:right="851"/>
    </w:pPr>
    <w:rPr>
      <w:sz w:val="20"/>
    </w:rPr>
  </w:style>
  <w:style w:type="paragraph" w:styleId="TOC5">
    <w:name w:val="toc 5"/>
    <w:basedOn w:val="Normal"/>
    <w:next w:val="Normal"/>
    <w:autoRedefine/>
    <w:uiPriority w:val="39"/>
    <w:rsid w:val="00BE1843"/>
    <w:pPr>
      <w:tabs>
        <w:tab w:val="left" w:pos="851"/>
        <w:tab w:val="right" w:leader="dot" w:pos="7700"/>
      </w:tabs>
      <w:ind w:left="896" w:hanging="896"/>
    </w:pPr>
    <w:rPr>
      <w:rFonts w:ascii="Arial" w:hAnsi="Arial"/>
      <w:noProof/>
      <w:color w:val="002B54"/>
    </w:rPr>
  </w:style>
  <w:style w:type="paragraph" w:styleId="TOC6">
    <w:name w:val="toc 6"/>
    <w:basedOn w:val="TOC4"/>
    <w:next w:val="Normal"/>
    <w:semiHidden/>
    <w:rsid w:val="00BE1843"/>
    <w:pPr>
      <w:tabs>
        <w:tab w:val="left" w:pos="851"/>
      </w:tabs>
      <w:ind w:left="851" w:hanging="851"/>
    </w:pPr>
    <w:rPr>
      <w:color w:val="000000"/>
    </w:rPr>
  </w:style>
  <w:style w:type="paragraph" w:styleId="TOC7">
    <w:name w:val="toc 7"/>
    <w:basedOn w:val="Normal"/>
    <w:next w:val="Normal"/>
    <w:autoRedefine/>
    <w:semiHidden/>
    <w:rsid w:val="00BE1843"/>
    <w:pPr>
      <w:ind w:left="1200"/>
    </w:pPr>
  </w:style>
  <w:style w:type="paragraph" w:styleId="TOC8">
    <w:name w:val="toc 8"/>
    <w:basedOn w:val="Normal"/>
    <w:next w:val="Normal"/>
    <w:autoRedefine/>
    <w:semiHidden/>
    <w:rsid w:val="00BE1843"/>
    <w:pPr>
      <w:ind w:left="1400"/>
    </w:pPr>
  </w:style>
  <w:style w:type="paragraph" w:styleId="TOC9">
    <w:name w:val="toc 9"/>
    <w:basedOn w:val="Normal"/>
    <w:next w:val="Normal"/>
    <w:autoRedefine/>
    <w:semiHidden/>
    <w:rsid w:val="00BE1843"/>
    <w:pPr>
      <w:ind w:left="1600"/>
    </w:pPr>
  </w:style>
  <w:style w:type="paragraph" w:customStyle="1" w:styleId="FileProperties">
    <w:name w:val="File Properties"/>
    <w:basedOn w:val="Normal"/>
    <w:rsid w:val="00BE1843"/>
    <w:pPr>
      <w:spacing w:before="0"/>
    </w:pPr>
    <w:rPr>
      <w:i/>
    </w:rPr>
  </w:style>
  <w:style w:type="character" w:styleId="PageNumber">
    <w:name w:val="page number"/>
    <w:rsid w:val="00BE1843"/>
    <w:rPr>
      <w:rFonts w:ascii="Arial" w:hAnsi="Arial" w:cs="Arial"/>
      <w:color w:val="auto"/>
    </w:rPr>
  </w:style>
  <w:style w:type="character" w:customStyle="1" w:styleId="FramedHeader">
    <w:name w:val="Framed Header"/>
    <w:rsid w:val="00BE1843"/>
    <w:rPr>
      <w:rFonts w:ascii="Book Antiqua" w:hAnsi="Book Antiqua"/>
      <w:i/>
      <w:dstrike w:val="0"/>
      <w:color w:val="auto"/>
      <w:sz w:val="20"/>
      <w:vertAlign w:val="baseline"/>
    </w:rPr>
  </w:style>
  <w:style w:type="paragraph" w:styleId="NormalIndent">
    <w:name w:val="Normal Indent"/>
    <w:basedOn w:val="Normal"/>
    <w:rsid w:val="00BE1843"/>
    <w:pPr>
      <w:ind w:left="567"/>
    </w:pPr>
  </w:style>
  <w:style w:type="paragraph" w:customStyle="1" w:styleId="BlockedQuotation">
    <w:name w:val="Blocked Quotation"/>
    <w:basedOn w:val="Normal"/>
    <w:semiHidden/>
    <w:rsid w:val="00BE1843"/>
    <w:pPr>
      <w:ind w:left="567"/>
    </w:pPr>
  </w:style>
  <w:style w:type="paragraph" w:customStyle="1" w:styleId="ChartMainHeading">
    <w:name w:val="Chart Main Heading"/>
    <w:basedOn w:val="ChartHeading"/>
    <w:next w:val="ChartGraphic"/>
    <w:rsid w:val="00BE1843"/>
  </w:style>
  <w:style w:type="table" w:styleId="TableGrid">
    <w:name w:val="Table Grid"/>
    <w:basedOn w:val="TableNormal"/>
    <w:rsid w:val="00BE184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BE1843"/>
    <w:rPr>
      <w:sz w:val="24"/>
    </w:rPr>
  </w:style>
  <w:style w:type="paragraph" w:customStyle="1" w:styleId="Title3rdLevel">
    <w:name w:val="Title 3rd Level"/>
    <w:basedOn w:val="Normal"/>
    <w:next w:val="Title"/>
    <w:rsid w:val="00BE1843"/>
    <w:pPr>
      <w:jc w:val="center"/>
    </w:pPr>
    <w:rPr>
      <w:rFonts w:ascii="Arial" w:hAnsi="Arial"/>
      <w:caps/>
    </w:rPr>
  </w:style>
  <w:style w:type="paragraph" w:customStyle="1" w:styleId="Part">
    <w:name w:val="Part"/>
    <w:basedOn w:val="Title"/>
    <w:next w:val="Normal"/>
    <w:rsid w:val="00BE1843"/>
    <w:rPr>
      <w:caps/>
      <w:smallCaps w:val="0"/>
    </w:rPr>
  </w:style>
  <w:style w:type="paragraph" w:customStyle="1" w:styleId="TableHeadingNoTable">
    <w:name w:val="Table Heading No Table"/>
    <w:basedOn w:val="TableHeading"/>
    <w:next w:val="Normal"/>
    <w:rsid w:val="00BE1843"/>
    <w:pPr>
      <w:spacing w:after="240"/>
    </w:pPr>
  </w:style>
  <w:style w:type="paragraph" w:customStyle="1" w:styleId="TransmittalAddressee">
    <w:name w:val="Transmittal Addressee"/>
    <w:basedOn w:val="Normal"/>
    <w:rsid w:val="00BE1843"/>
    <w:pPr>
      <w:spacing w:before="0" w:after="0"/>
    </w:pPr>
  </w:style>
  <w:style w:type="paragraph" w:customStyle="1" w:styleId="TransmittalStyle1">
    <w:name w:val="Transmittal Style 1"/>
    <w:basedOn w:val="HeadingBase"/>
    <w:rsid w:val="00BE1843"/>
    <w:pPr>
      <w:spacing w:after="60"/>
      <w:jc w:val="right"/>
    </w:pPr>
    <w:rPr>
      <w:b/>
      <w:smallCaps/>
    </w:rPr>
  </w:style>
  <w:style w:type="paragraph" w:customStyle="1" w:styleId="TransmittalStyle2">
    <w:name w:val="Transmittal Style 2"/>
    <w:basedOn w:val="HeadingBase"/>
    <w:rsid w:val="00BE1843"/>
    <w:pPr>
      <w:spacing w:before="60" w:after="60"/>
      <w:jc w:val="right"/>
    </w:pPr>
    <w:rPr>
      <w:rFonts w:ascii="Helvetica" w:hAnsi="Helvetica"/>
      <w:b/>
      <w:caps/>
      <w:sz w:val="16"/>
    </w:rPr>
  </w:style>
  <w:style w:type="paragraph" w:customStyle="1" w:styleId="UserGuidelevelTOC">
    <w:name w:val="UserGuide level TOC"/>
    <w:basedOn w:val="HeadingBase"/>
    <w:next w:val="Normal"/>
    <w:rsid w:val="00BE1843"/>
    <w:pPr>
      <w:spacing w:before="360" w:after="360"/>
    </w:pPr>
    <w:rPr>
      <w:sz w:val="30"/>
    </w:rPr>
  </w:style>
  <w:style w:type="paragraph" w:customStyle="1" w:styleId="TableTextJustified">
    <w:name w:val="Table Text Justified"/>
    <w:basedOn w:val="TableTextBase"/>
    <w:rsid w:val="00BE1843"/>
    <w:pPr>
      <w:jc w:val="both"/>
    </w:pPr>
  </w:style>
  <w:style w:type="paragraph" w:customStyle="1" w:styleId="Department">
    <w:name w:val="Department"/>
    <w:basedOn w:val="Normal"/>
    <w:rsid w:val="00BE1843"/>
    <w:pPr>
      <w:spacing w:after="0" w:line="240" w:lineRule="auto"/>
      <w:jc w:val="center"/>
    </w:pPr>
    <w:rPr>
      <w:rFonts w:ascii="Arial" w:hAnsi="Arial"/>
      <w:b/>
      <w:sz w:val="52"/>
    </w:rPr>
  </w:style>
  <w:style w:type="paragraph" w:customStyle="1" w:styleId="DepartmentSubtitle">
    <w:name w:val="Department Subtitle"/>
    <w:basedOn w:val="Department"/>
    <w:rsid w:val="00BE1843"/>
    <w:rPr>
      <w:sz w:val="44"/>
    </w:rPr>
  </w:style>
  <w:style w:type="character" w:customStyle="1" w:styleId="ExampletextCharChar">
    <w:name w:val="Example text Char Char"/>
    <w:link w:val="Exampletext"/>
    <w:rsid w:val="00BE1843"/>
    <w:rPr>
      <w:rFonts w:ascii="Calibri" w:hAnsi="Calibri"/>
      <w:i/>
      <w:color w:val="FF0000"/>
      <w:sz w:val="19"/>
      <w:lang w:val="x-none" w:eastAsia="x-none"/>
    </w:rPr>
  </w:style>
  <w:style w:type="paragraph" w:customStyle="1" w:styleId="Crest">
    <w:name w:val="Crest"/>
    <w:basedOn w:val="Normal"/>
    <w:next w:val="TransmittalStyle1"/>
    <w:semiHidden/>
    <w:rsid w:val="00BE1843"/>
    <w:pPr>
      <w:spacing w:after="0" w:line="240" w:lineRule="auto"/>
      <w:jc w:val="center"/>
    </w:pPr>
  </w:style>
  <w:style w:type="character" w:styleId="Hyperlink">
    <w:name w:val="Hyperlink"/>
    <w:uiPriority w:val="99"/>
    <w:unhideWhenUsed/>
    <w:rsid w:val="009D6065"/>
    <w:rPr>
      <w:color w:val="auto"/>
      <w:u w:val="single"/>
    </w:rPr>
  </w:style>
  <w:style w:type="paragraph" w:customStyle="1" w:styleId="Heading1noTOC">
    <w:name w:val="Heading 1 no TOC"/>
    <w:basedOn w:val="Heading1"/>
    <w:rsid w:val="00BE1843"/>
  </w:style>
  <w:style w:type="paragraph" w:customStyle="1" w:styleId="TableColumnOutgroupHeading">
    <w:name w:val="Table Column Outgroup Heading"/>
    <w:basedOn w:val="Normal"/>
    <w:rsid w:val="00BE1843"/>
    <w:pPr>
      <w:spacing w:before="60" w:after="120" w:line="240" w:lineRule="auto"/>
    </w:pPr>
    <w:rPr>
      <w:b/>
      <w:sz w:val="22"/>
    </w:rPr>
  </w:style>
  <w:style w:type="paragraph" w:customStyle="1" w:styleId="TableColumnOutgroupSubheading">
    <w:name w:val="Table Column Outgroup Subheading"/>
    <w:basedOn w:val="Normal"/>
    <w:rsid w:val="00BE1843"/>
    <w:pPr>
      <w:spacing w:before="60" w:after="120" w:line="240" w:lineRule="auto"/>
      <w:jc w:val="center"/>
    </w:pPr>
  </w:style>
  <w:style w:type="paragraph" w:customStyle="1" w:styleId="TableTextBullet">
    <w:name w:val="Table Text Bullet"/>
    <w:basedOn w:val="TableTextBase"/>
    <w:rsid w:val="00BE1843"/>
    <w:pPr>
      <w:numPr>
        <w:numId w:val="3"/>
      </w:numPr>
    </w:pPr>
  </w:style>
  <w:style w:type="paragraph" w:customStyle="1" w:styleId="Exampletextdash">
    <w:name w:val="Example text dash"/>
    <w:basedOn w:val="Exampletextbullet"/>
    <w:semiHidden/>
    <w:rsid w:val="00BE1843"/>
    <w:pPr>
      <w:numPr>
        <w:ilvl w:val="1"/>
      </w:numPr>
    </w:pPr>
  </w:style>
  <w:style w:type="character" w:customStyle="1" w:styleId="HeadingBaseChar">
    <w:name w:val="Heading Base Char"/>
    <w:link w:val="HeadingBase"/>
    <w:rsid w:val="00BE1843"/>
    <w:rPr>
      <w:rFonts w:ascii="Arial" w:hAnsi="Arial"/>
      <w:sz w:val="24"/>
    </w:rPr>
  </w:style>
  <w:style w:type="character" w:customStyle="1" w:styleId="TableHeadingChar">
    <w:name w:val="Table Heading Char"/>
    <w:link w:val="TableHeading"/>
    <w:rsid w:val="00BE1843"/>
    <w:rPr>
      <w:rFonts w:ascii="Arial" w:hAnsi="Arial"/>
      <w:b/>
    </w:rPr>
  </w:style>
  <w:style w:type="character" w:customStyle="1" w:styleId="TableTextBaseChar">
    <w:name w:val="Table Text Base Char"/>
    <w:link w:val="TableTextBase"/>
    <w:rsid w:val="00BE1843"/>
    <w:rPr>
      <w:rFonts w:ascii="Arial" w:hAnsi="Arial"/>
      <w:sz w:val="16"/>
    </w:rPr>
  </w:style>
  <w:style w:type="character" w:customStyle="1" w:styleId="TableTextLeftChar">
    <w:name w:val="Table Text Left Char"/>
    <w:link w:val="TableTextLeft"/>
    <w:rsid w:val="00BE1843"/>
    <w:rPr>
      <w:rFonts w:ascii="Arial" w:hAnsi="Arial"/>
      <w:sz w:val="16"/>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qFormat/>
    <w:rsid w:val="00BE1843"/>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BE1843"/>
    <w:pPr>
      <w:numPr>
        <w:ilvl w:val="1"/>
        <w:numId w:val="3"/>
      </w:numPr>
    </w:pPr>
  </w:style>
  <w:style w:type="character" w:customStyle="1" w:styleId="ChartandTableFootnoteChar">
    <w:name w:val="Chart and Table Footnote Char"/>
    <w:link w:val="ChartandTableFootnote"/>
    <w:rsid w:val="00BE1843"/>
    <w:rPr>
      <w:rFonts w:ascii="Arial" w:hAnsi="Arial"/>
      <w:color w:val="000000"/>
      <w:sz w:val="16"/>
    </w:rPr>
  </w:style>
  <w:style w:type="paragraph" w:customStyle="1" w:styleId="PartHeading">
    <w:name w:val="Part Heading"/>
    <w:basedOn w:val="Title"/>
    <w:next w:val="Normal"/>
    <w:rsid w:val="00BE1843"/>
    <w:pPr>
      <w:spacing w:after="480"/>
      <w:outlineLvl w:val="9"/>
    </w:pPr>
    <w:rPr>
      <w:rFonts w:ascii="Arial Bold" w:hAnsi="Arial Bold"/>
      <w:smallCaps w:val="0"/>
    </w:rPr>
  </w:style>
  <w:style w:type="character" w:customStyle="1" w:styleId="BulletChar">
    <w:name w:val="Bullet Char"/>
    <w:link w:val="Bullet"/>
    <w:rsid w:val="00BE1843"/>
    <w:rPr>
      <w:rFonts w:ascii="Book Antiqua" w:hAnsi="Book Antiqua"/>
      <w:sz w:val="19"/>
    </w:rPr>
  </w:style>
  <w:style w:type="paragraph" w:customStyle="1" w:styleId="BoxTextBase">
    <w:name w:val="Box Text Base"/>
    <w:basedOn w:val="Normal"/>
    <w:rsid w:val="00BE1843"/>
    <w:pPr>
      <w:spacing w:after="120"/>
    </w:pPr>
    <w:rPr>
      <w:color w:val="000000"/>
    </w:rPr>
  </w:style>
  <w:style w:type="paragraph" w:customStyle="1" w:styleId="BoxDash">
    <w:name w:val="Box Dash"/>
    <w:basedOn w:val="Normal"/>
    <w:rsid w:val="00BE1843"/>
    <w:pPr>
      <w:numPr>
        <w:ilvl w:val="1"/>
        <w:numId w:val="4"/>
      </w:numPr>
    </w:pPr>
    <w:rPr>
      <w:color w:val="000000"/>
    </w:rPr>
  </w:style>
  <w:style w:type="paragraph" w:customStyle="1" w:styleId="BoxDoubleDot">
    <w:name w:val="Box Double Dot"/>
    <w:basedOn w:val="BoxTextBase"/>
    <w:rsid w:val="00BE1843"/>
    <w:pPr>
      <w:numPr>
        <w:ilvl w:val="2"/>
        <w:numId w:val="4"/>
      </w:numPr>
    </w:pPr>
  </w:style>
  <w:style w:type="paragraph" w:customStyle="1" w:styleId="Outcome">
    <w:name w:val="Outcome"/>
    <w:basedOn w:val="Normal"/>
    <w:rsid w:val="00BE1843"/>
    <w:pPr>
      <w:spacing w:before="120" w:after="120" w:line="280" w:lineRule="exact"/>
    </w:pPr>
    <w:rPr>
      <w:rFonts w:ascii="Arial" w:hAnsi="Arial" w:cs="Arial"/>
      <w:b/>
    </w:rPr>
  </w:style>
  <w:style w:type="paragraph" w:customStyle="1" w:styleId="ProgramHeading">
    <w:name w:val="Program Heading"/>
    <w:basedOn w:val="HeadingBase"/>
    <w:rsid w:val="00BE1843"/>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BE1843"/>
  </w:style>
  <w:style w:type="character" w:customStyle="1" w:styleId="Heading3Char">
    <w:name w:val="Heading 3 Char"/>
    <w:link w:val="Heading3"/>
    <w:rsid w:val="00BE1843"/>
    <w:rPr>
      <w:rFonts w:ascii="Arial Bold" w:hAnsi="Arial Bold"/>
      <w:b/>
      <w:sz w:val="22"/>
    </w:rPr>
  </w:style>
  <w:style w:type="character" w:customStyle="1" w:styleId="CommentTextChar">
    <w:name w:val="Comment Text Char"/>
    <w:link w:val="CommentText"/>
    <w:uiPriority w:val="99"/>
    <w:rsid w:val="00BE1843"/>
    <w:rPr>
      <w:rFonts w:ascii="Calibri" w:hAnsi="Calibri"/>
      <w:sz w:val="19"/>
    </w:rPr>
  </w:style>
  <w:style w:type="paragraph" w:customStyle="1" w:styleId="ExampleText0">
    <w:name w:val="Example Text"/>
    <w:basedOn w:val="Normal"/>
    <w:semiHidden/>
    <w:rsid w:val="00BE1843"/>
    <w:rPr>
      <w:i/>
      <w:color w:val="FF0000"/>
    </w:rPr>
  </w:style>
  <w:style w:type="paragraph" w:styleId="NoSpacing">
    <w:name w:val="No Spacing"/>
    <w:uiPriority w:val="1"/>
    <w:qFormat/>
    <w:rsid w:val="00BE1843"/>
    <w:rPr>
      <w:rFonts w:ascii="Book Antiqua" w:hAnsi="Book Antiqua"/>
      <w:sz w:val="19"/>
    </w:rPr>
  </w:style>
  <w:style w:type="character" w:customStyle="1" w:styleId="A5">
    <w:name w:val="A5"/>
    <w:uiPriority w:val="99"/>
    <w:rsid w:val="00BE1843"/>
    <w:rPr>
      <w:rFonts w:ascii="Swiss 721 BT" w:hAnsi="Swiss 721 BT" w:cs="Swiss 721 BT" w:hint="default"/>
      <w:color w:val="000000"/>
      <w:sz w:val="20"/>
      <w:szCs w:val="20"/>
    </w:rPr>
  </w:style>
  <w:style w:type="character" w:customStyle="1" w:styleId="HeaderChar">
    <w:name w:val="Header Char"/>
    <w:link w:val="Header"/>
    <w:uiPriority w:val="99"/>
    <w:rsid w:val="00BE1843"/>
    <w:rPr>
      <w:rFonts w:ascii="Arial" w:hAnsi="Arial"/>
      <w:sz w:val="18"/>
    </w:rPr>
  </w:style>
  <w:style w:type="character" w:styleId="FollowedHyperlink">
    <w:name w:val="FollowedHyperlink"/>
    <w:rsid w:val="00BE1843"/>
    <w:rPr>
      <w:color w:val="800080"/>
      <w:u w:val="single"/>
    </w:rPr>
  </w:style>
  <w:style w:type="character" w:customStyle="1" w:styleId="FooterChar">
    <w:name w:val="Footer Char"/>
    <w:link w:val="Footer"/>
    <w:uiPriority w:val="99"/>
    <w:rsid w:val="00BE1843"/>
    <w:rPr>
      <w:rFonts w:ascii="Arial" w:hAnsi="Arial"/>
      <w:color w:val="000000"/>
    </w:rPr>
  </w:style>
  <w:style w:type="character" w:styleId="Strong">
    <w:name w:val="Strong"/>
    <w:qFormat/>
    <w:rsid w:val="00BE1843"/>
    <w:rPr>
      <w:b/>
      <w:bCs/>
    </w:rPr>
  </w:style>
  <w:style w:type="paragraph" w:customStyle="1" w:styleId="Heading2NoTOC">
    <w:name w:val="Heading 2 No TOC"/>
    <w:basedOn w:val="Heading2"/>
    <w:qFormat/>
    <w:rsid w:val="00BE1843"/>
    <w:pPr>
      <w:outlineLvl w:val="9"/>
    </w:pPr>
  </w:style>
  <w:style w:type="paragraph" w:customStyle="1" w:styleId="PartHeading-TOC">
    <w:name w:val="Part Heading - TOC"/>
    <w:basedOn w:val="PartHeading"/>
    <w:rsid w:val="00BE1843"/>
  </w:style>
  <w:style w:type="paragraph" w:styleId="Revision">
    <w:name w:val="Revision"/>
    <w:hidden/>
    <w:uiPriority w:val="99"/>
    <w:semiHidden/>
    <w:rsid w:val="00BE1843"/>
    <w:rPr>
      <w:rFonts w:ascii="Book Antiqua" w:hAnsi="Book Antiqua"/>
    </w:rPr>
  </w:style>
  <w:style w:type="paragraph" w:styleId="NoteHeading">
    <w:name w:val="Note Heading"/>
    <w:basedOn w:val="Normal"/>
    <w:next w:val="Normal"/>
    <w:link w:val="NoteHeadingChar"/>
    <w:rsid w:val="00BE1843"/>
  </w:style>
  <w:style w:type="character" w:customStyle="1" w:styleId="NoteHeadingChar">
    <w:name w:val="Note Heading Char"/>
    <w:link w:val="NoteHeading"/>
    <w:rsid w:val="00BE1843"/>
    <w:rPr>
      <w:rFonts w:ascii="Calibri" w:hAnsi="Calibri"/>
      <w:sz w:val="19"/>
    </w:rPr>
  </w:style>
  <w:style w:type="paragraph" w:customStyle="1" w:styleId="SecurityClassificationHeader">
    <w:name w:val="Security Classification Header"/>
    <w:link w:val="SecurityClassificationHeaderChar"/>
    <w:rsid w:val="00BE1843"/>
    <w:pPr>
      <w:spacing w:before="240" w:after="60" w:line="259" w:lineRule="auto"/>
      <w:jc w:val="center"/>
    </w:pPr>
    <w:rPr>
      <w:rFonts w:ascii="Calibri" w:eastAsia="Calibri" w:hAnsi="Calibri" w:cs="Calibri"/>
      <w:b/>
      <w:caps/>
      <w:color w:val="44546A"/>
      <w:sz w:val="24"/>
      <w:szCs w:val="22"/>
      <w:lang w:eastAsia="en-US"/>
    </w:rPr>
  </w:style>
  <w:style w:type="character" w:customStyle="1" w:styleId="SecurityClassificationHeaderChar">
    <w:name w:val="Security Classification Header Char"/>
    <w:link w:val="SecurityClassificationHeader"/>
    <w:rsid w:val="00BE1843"/>
    <w:rPr>
      <w:rFonts w:ascii="Calibri" w:eastAsia="Calibri" w:hAnsi="Calibri" w:cs="Calibri"/>
      <w:b/>
      <w:caps/>
      <w:color w:val="44546A"/>
      <w:sz w:val="24"/>
      <w:szCs w:val="22"/>
      <w:lang w:eastAsia="en-US"/>
    </w:rPr>
  </w:style>
  <w:style w:type="paragraph" w:customStyle="1" w:styleId="SecurityClassificationFooter">
    <w:name w:val="Security Classification Footer"/>
    <w:link w:val="SecurityClassificationFooterChar"/>
    <w:rsid w:val="00BE1843"/>
    <w:pPr>
      <w:spacing w:before="60" w:after="240" w:line="259" w:lineRule="auto"/>
      <w:jc w:val="center"/>
    </w:pPr>
    <w:rPr>
      <w:rFonts w:ascii="Calibri" w:eastAsia="Calibri" w:hAnsi="Calibri" w:cs="Calibri"/>
      <w:b/>
      <w:caps/>
      <w:color w:val="44546A"/>
      <w:sz w:val="24"/>
      <w:szCs w:val="22"/>
      <w:lang w:eastAsia="en-US"/>
    </w:rPr>
  </w:style>
  <w:style w:type="character" w:customStyle="1" w:styleId="SecurityClassificationFooterChar">
    <w:name w:val="Security Classification Footer Char"/>
    <w:link w:val="SecurityClassificationFooter"/>
    <w:rsid w:val="00BE1843"/>
    <w:rPr>
      <w:rFonts w:ascii="Calibri" w:eastAsia="Calibri" w:hAnsi="Calibri" w:cs="Calibri"/>
      <w:b/>
      <w:caps/>
      <w:color w:val="44546A"/>
      <w:sz w:val="24"/>
      <w:szCs w:val="22"/>
      <w:lang w:eastAsia="en-US"/>
    </w:rPr>
  </w:style>
  <w:style w:type="paragraph" w:customStyle="1" w:styleId="DLMSecurityHeader">
    <w:name w:val="DLM Security Header"/>
    <w:link w:val="DLMSecurityHeaderChar"/>
    <w:rsid w:val="00BE1843"/>
    <w:pPr>
      <w:spacing w:before="60" w:after="240" w:line="259" w:lineRule="auto"/>
      <w:jc w:val="center"/>
    </w:pPr>
    <w:rPr>
      <w:rFonts w:ascii="Calibri" w:eastAsia="Calibri" w:hAnsi="Calibri" w:cs="Calibri"/>
      <w:b/>
      <w:caps/>
      <w:color w:val="44546A"/>
      <w:sz w:val="24"/>
      <w:szCs w:val="22"/>
      <w:lang w:eastAsia="en-US"/>
    </w:rPr>
  </w:style>
  <w:style w:type="character" w:customStyle="1" w:styleId="DLMSecurityHeaderChar">
    <w:name w:val="DLM Security Header Char"/>
    <w:link w:val="DLMSecurityHeader"/>
    <w:rsid w:val="00BE1843"/>
    <w:rPr>
      <w:rFonts w:ascii="Calibri" w:eastAsia="Calibri" w:hAnsi="Calibri" w:cs="Calibri"/>
      <w:b/>
      <w:caps/>
      <w:color w:val="44546A"/>
      <w:sz w:val="24"/>
      <w:szCs w:val="22"/>
      <w:lang w:val="x-none" w:eastAsia="en-US"/>
    </w:rPr>
  </w:style>
  <w:style w:type="paragraph" w:customStyle="1" w:styleId="DLMSecurityFooter">
    <w:name w:val="DLM Security Footer"/>
    <w:link w:val="DLMSecurityFooterChar"/>
    <w:rsid w:val="00BE1843"/>
    <w:pPr>
      <w:spacing w:before="240" w:after="60" w:line="259" w:lineRule="auto"/>
      <w:jc w:val="center"/>
    </w:pPr>
    <w:rPr>
      <w:rFonts w:ascii="Calibri" w:eastAsia="Calibri" w:hAnsi="Calibri" w:cs="Calibri"/>
      <w:b/>
      <w:caps/>
      <w:color w:val="44546A"/>
      <w:sz w:val="24"/>
      <w:szCs w:val="22"/>
      <w:lang w:eastAsia="en-US"/>
    </w:rPr>
  </w:style>
  <w:style w:type="character" w:customStyle="1" w:styleId="DLMSecurityFooterChar">
    <w:name w:val="DLM Security Footer Char"/>
    <w:link w:val="DLMSecurityFooter"/>
    <w:rsid w:val="00BE1843"/>
    <w:rPr>
      <w:rFonts w:ascii="Calibri" w:eastAsia="Calibri" w:hAnsi="Calibri" w:cs="Calibri"/>
      <w:b/>
      <w:caps/>
      <w:color w:val="44546A"/>
      <w:sz w:val="24"/>
      <w:szCs w:val="22"/>
      <w:lang w:val="x-none" w:eastAsia="en-US"/>
    </w:rPr>
  </w:style>
  <w:style w:type="paragraph" w:customStyle="1" w:styleId="FooterEven">
    <w:name w:val="Footer Even"/>
    <w:basedOn w:val="Footer"/>
    <w:qFormat/>
    <w:rsid w:val="00BE1843"/>
    <w:pPr>
      <w:pBdr>
        <w:top w:val="single" w:sz="4" w:space="10" w:color="000000"/>
      </w:pBdr>
      <w:jc w:val="left"/>
    </w:pPr>
    <w:rPr>
      <w:color w:val="auto"/>
      <w:sz w:val="18"/>
    </w:rPr>
  </w:style>
  <w:style w:type="paragraph" w:customStyle="1" w:styleId="ChartandTableFootnoteAlpha-Bullet">
    <w:name w:val="Chart and Table Footnote Alpha - Bullet"/>
    <w:basedOn w:val="ChartandTableFootnoteAlpha"/>
    <w:rsid w:val="00BE1843"/>
    <w:pPr>
      <w:numPr>
        <w:numId w:val="6"/>
      </w:numPr>
      <w:tabs>
        <w:tab w:val="left" w:pos="454"/>
      </w:tabs>
      <w:ind w:left="454" w:hanging="170"/>
    </w:pPr>
    <w:rPr>
      <w:rFonts w:cs="Arial"/>
      <w:szCs w:val="16"/>
    </w:rPr>
  </w:style>
  <w:style w:type="character" w:customStyle="1" w:styleId="Heading9Char">
    <w:name w:val="Heading 9 Char"/>
    <w:link w:val="Heading9"/>
    <w:uiPriority w:val="9"/>
    <w:rsid w:val="00BE1843"/>
    <w:rPr>
      <w:rFonts w:ascii="Cambria" w:hAnsi="Cambria"/>
      <w:sz w:val="22"/>
      <w:szCs w:val="22"/>
    </w:rPr>
  </w:style>
  <w:style w:type="paragraph" w:customStyle="1" w:styleId="ChartandTableFootnote-Dash">
    <w:name w:val="Chart and Table Footnote - Dash"/>
    <w:basedOn w:val="Normal"/>
    <w:rsid w:val="00BE1843"/>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BE1843"/>
    <w:pPr>
      <w:pBdr>
        <w:top w:val="single" w:sz="4" w:space="10" w:color="000000"/>
      </w:pBdr>
      <w:jc w:val="right"/>
    </w:pPr>
    <w:rPr>
      <w:sz w:val="18"/>
    </w:rPr>
  </w:style>
  <w:style w:type="paragraph" w:customStyle="1" w:styleId="Box-continuedon">
    <w:name w:val="Box - continued on"/>
    <w:basedOn w:val="Normal"/>
    <w:qFormat/>
    <w:rsid w:val="00BE1843"/>
    <w:pPr>
      <w:jc w:val="right"/>
    </w:pPr>
    <w:rPr>
      <w:rFonts w:ascii="Calibri Light" w:hAnsi="Calibri Light" w:cs="Calibri Light"/>
      <w:i/>
      <w:iCs/>
      <w:sz w:val="22"/>
      <w:szCs w:val="24"/>
    </w:rPr>
  </w:style>
  <w:style w:type="character" w:customStyle="1" w:styleId="BoxHeading-Continued">
    <w:name w:val="Box Heading - Continued"/>
    <w:uiPriority w:val="1"/>
    <w:qFormat/>
    <w:rsid w:val="00BE1843"/>
    <w:rPr>
      <w:sz w:val="22"/>
    </w:rPr>
  </w:style>
  <w:style w:type="character" w:customStyle="1" w:styleId="Heading6Char">
    <w:name w:val="Heading 6 Char"/>
    <w:link w:val="Heading6"/>
    <w:rsid w:val="00BE1843"/>
    <w:rPr>
      <w:rFonts w:ascii="Arial" w:hAnsi="Arial"/>
      <w:bCs/>
      <w:szCs w:val="22"/>
    </w:rPr>
  </w:style>
  <w:style w:type="paragraph" w:customStyle="1" w:styleId="BoxSubHeading">
    <w:name w:val="Box Sub Heading"/>
    <w:basedOn w:val="Heading6"/>
    <w:rsid w:val="00BE1843"/>
    <w:pPr>
      <w:spacing w:before="120" w:after="40"/>
    </w:pPr>
  </w:style>
  <w:style w:type="paragraph" w:customStyle="1" w:styleId="ChartHeading">
    <w:name w:val="Chart Heading"/>
    <w:basedOn w:val="HeadingBase"/>
    <w:next w:val="ChartGraphic"/>
    <w:qFormat/>
    <w:rsid w:val="00BE1843"/>
    <w:pPr>
      <w:spacing w:before="120" w:after="20"/>
    </w:pPr>
    <w:rPr>
      <w:b/>
      <w:sz w:val="20"/>
    </w:rPr>
  </w:style>
  <w:style w:type="paragraph" w:customStyle="1" w:styleId="ChartLine">
    <w:name w:val="Chart Line"/>
    <w:basedOn w:val="NoSpacing"/>
    <w:autoRedefine/>
    <w:qFormat/>
    <w:rsid w:val="00BE1843"/>
    <w:pPr>
      <w:pBdr>
        <w:bottom w:val="single" w:sz="4" w:space="2" w:color="D0CECE"/>
      </w:pBdr>
      <w:spacing w:after="240"/>
    </w:pPr>
    <w:rPr>
      <w:rFonts w:ascii="Calibri" w:hAnsi="Calibri"/>
      <w:noProof/>
      <w:sz w:val="4"/>
      <w:szCs w:val="4"/>
    </w:rPr>
  </w:style>
  <w:style w:type="character" w:customStyle="1" w:styleId="CommentSubjectChar">
    <w:name w:val="Comment Subject Char"/>
    <w:link w:val="CommentSubject"/>
    <w:semiHidden/>
    <w:rsid w:val="00BE1843"/>
    <w:rPr>
      <w:rFonts w:ascii="Calibri" w:hAnsi="Calibri"/>
      <w:b/>
      <w:bCs/>
      <w:sz w:val="19"/>
    </w:rPr>
  </w:style>
  <w:style w:type="character" w:customStyle="1" w:styleId="DocumentMapChar">
    <w:name w:val="Document Map Char"/>
    <w:link w:val="DocumentMap"/>
    <w:semiHidden/>
    <w:rsid w:val="00BE1843"/>
    <w:rPr>
      <w:rFonts w:ascii="Tahoma" w:hAnsi="Tahoma" w:cs="Tahoma"/>
      <w:sz w:val="19"/>
      <w:shd w:val="clear" w:color="auto" w:fill="000080"/>
    </w:rPr>
  </w:style>
  <w:style w:type="character" w:customStyle="1" w:styleId="EndnoteTextChar">
    <w:name w:val="Endnote Text Char"/>
    <w:link w:val="EndnoteText"/>
    <w:rsid w:val="00BE1843"/>
    <w:rPr>
      <w:rFonts w:ascii="Calibri" w:hAnsi="Calibri"/>
      <w:sz w:val="19"/>
    </w:rPr>
  </w:style>
  <w:style w:type="character" w:customStyle="1" w:styleId="FootnoteTextChar">
    <w:name w:val="Footnote Text Char"/>
    <w:link w:val="FootnoteText"/>
    <w:rsid w:val="00BE1843"/>
    <w:rPr>
      <w:rFonts w:ascii="Calibri" w:hAnsi="Calibri"/>
      <w:sz w:val="18"/>
    </w:rPr>
  </w:style>
  <w:style w:type="character" w:customStyle="1" w:styleId="Heading1Char">
    <w:name w:val="Heading 1 Char"/>
    <w:link w:val="Heading1"/>
    <w:rsid w:val="00BE1843"/>
    <w:rPr>
      <w:rFonts w:ascii="Arial Bold" w:hAnsi="Arial Bold"/>
      <w:b/>
      <w:kern w:val="34"/>
      <w:sz w:val="36"/>
    </w:rPr>
  </w:style>
  <w:style w:type="character" w:customStyle="1" w:styleId="Heading2Char">
    <w:name w:val="Heading 2 Char"/>
    <w:link w:val="Heading2"/>
    <w:rsid w:val="00BE1843"/>
    <w:rPr>
      <w:rFonts w:ascii="Arial Bold" w:hAnsi="Arial Bold"/>
      <w:b/>
      <w:sz w:val="26"/>
    </w:rPr>
  </w:style>
  <w:style w:type="paragraph" w:customStyle="1" w:styleId="Heading3noTOC">
    <w:name w:val="Heading 3 no TOC"/>
    <w:basedOn w:val="Heading3"/>
    <w:rsid w:val="00BE1843"/>
    <w:pPr>
      <w:outlineLvl w:val="9"/>
    </w:pPr>
  </w:style>
  <w:style w:type="character" w:customStyle="1" w:styleId="Heading4Char">
    <w:name w:val="Heading 4 Char"/>
    <w:link w:val="Heading4"/>
    <w:rsid w:val="00BE1843"/>
    <w:rPr>
      <w:rFonts w:ascii="Arial Bold" w:hAnsi="Arial Bold"/>
      <w:b/>
    </w:rPr>
  </w:style>
  <w:style w:type="character" w:customStyle="1" w:styleId="Heading5Char">
    <w:name w:val="Heading 5 Char"/>
    <w:link w:val="Heading5"/>
    <w:rsid w:val="00BE1843"/>
    <w:rPr>
      <w:rFonts w:ascii="Arial" w:hAnsi="Arial"/>
      <w:bCs/>
      <w:i/>
      <w:iCs/>
      <w:szCs w:val="26"/>
    </w:rPr>
  </w:style>
  <w:style w:type="character" w:customStyle="1" w:styleId="Heading7Char">
    <w:name w:val="Heading 7 Char"/>
    <w:link w:val="Heading7"/>
    <w:rsid w:val="00BE1843"/>
    <w:rPr>
      <w:rFonts w:ascii="Arial" w:hAnsi="Arial"/>
      <w:szCs w:val="24"/>
    </w:rPr>
  </w:style>
  <w:style w:type="character" w:customStyle="1" w:styleId="Heading8Char">
    <w:name w:val="Heading 8 Char"/>
    <w:link w:val="Heading8"/>
    <w:rsid w:val="00BE1843"/>
    <w:rPr>
      <w:i/>
      <w:iCs/>
      <w:sz w:val="16"/>
      <w:szCs w:val="24"/>
    </w:rPr>
  </w:style>
  <w:style w:type="character" w:customStyle="1" w:styleId="MacroTextChar">
    <w:name w:val="Macro Text Char"/>
    <w:link w:val="MacroText"/>
    <w:rsid w:val="00BE1843"/>
    <w:rPr>
      <w:rFonts w:ascii="Courier New" w:hAnsi="Courier New" w:cs="Courier New"/>
    </w:rPr>
  </w:style>
  <w:style w:type="paragraph" w:customStyle="1" w:styleId="Statement">
    <w:name w:val="Statement"/>
    <w:basedOn w:val="Normal"/>
    <w:autoRedefine/>
    <w:qFormat/>
    <w:rsid w:val="00BE1843"/>
    <w:pPr>
      <w:textboxTightWrap w:val="firstAndLastLine"/>
    </w:pPr>
    <w:rPr>
      <w:rFonts w:cs="Calibri"/>
      <w:kern w:val="18"/>
      <w:sz w:val="18"/>
    </w:rPr>
  </w:style>
  <w:style w:type="paragraph" w:customStyle="1" w:styleId="Statement-Bullet">
    <w:name w:val="Statement - Bullet"/>
    <w:basedOn w:val="Bullet"/>
    <w:qFormat/>
    <w:rsid w:val="00BE1843"/>
    <w:pPr>
      <w:ind w:left="284" w:hanging="284"/>
    </w:pPr>
  </w:style>
  <w:style w:type="paragraph" w:customStyle="1" w:styleId="TableLine">
    <w:name w:val="Table Line"/>
    <w:basedOn w:val="Normal"/>
    <w:next w:val="Normal"/>
    <w:autoRedefine/>
    <w:rsid w:val="00BE1843"/>
    <w:pPr>
      <w:pBdr>
        <w:bottom w:val="single" w:sz="4" w:space="2" w:color="D0CECE"/>
      </w:pBdr>
      <w:spacing w:before="0" w:line="240" w:lineRule="auto"/>
    </w:pPr>
    <w:rPr>
      <w:noProof/>
      <w:sz w:val="4"/>
      <w:szCs w:val="4"/>
    </w:rPr>
  </w:style>
  <w:style w:type="paragraph" w:customStyle="1" w:styleId="TPHeading3bold">
    <w:name w:val="TP Heading 3 bold"/>
    <w:basedOn w:val="TPHeading3"/>
    <w:semiHidden/>
    <w:rsid w:val="00BE1843"/>
    <w:rPr>
      <w:rFonts w:cs="Arial"/>
      <w:b/>
      <w:sz w:val="22"/>
      <w:szCs w:val="22"/>
    </w:rPr>
  </w:style>
  <w:style w:type="paragraph" w:customStyle="1" w:styleId="TPHEADING3boldspace">
    <w:name w:val="TP HEADING 3 bold space"/>
    <w:basedOn w:val="TPHeading3bold"/>
    <w:semiHidden/>
    <w:rsid w:val="00BE1843"/>
    <w:pPr>
      <w:spacing w:after="120"/>
    </w:pPr>
  </w:style>
  <w:style w:type="paragraph" w:customStyle="1" w:styleId="TPHEADING3space">
    <w:name w:val="TP HEADING 3 space"/>
    <w:basedOn w:val="TPHeading3"/>
    <w:semiHidden/>
    <w:rsid w:val="00BE1843"/>
    <w:pPr>
      <w:spacing w:before="120" w:after="120"/>
    </w:pPr>
    <w:rPr>
      <w:rFonts w:cs="Arial"/>
      <w:sz w:val="22"/>
      <w:szCs w:val="22"/>
    </w:rPr>
  </w:style>
  <w:style w:type="paragraph" w:customStyle="1" w:styleId="TPHeading4">
    <w:name w:val="TP Heading 4"/>
    <w:basedOn w:val="TPHeading3"/>
    <w:semiHidden/>
    <w:rsid w:val="00BE1843"/>
    <w:rPr>
      <w:sz w:val="20"/>
    </w:rPr>
  </w:style>
  <w:style w:type="paragraph" w:customStyle="1" w:styleId="TPHEADING4space">
    <w:name w:val="TP HEADING 4 space"/>
    <w:basedOn w:val="TPHEADING3space"/>
    <w:semiHidden/>
    <w:rsid w:val="00BE1843"/>
  </w:style>
  <w:style w:type="paragraph" w:customStyle="1" w:styleId="ChartandTableFootnoteAlphaSmall">
    <w:name w:val="Chart and Table Footnote Alpha Small"/>
    <w:basedOn w:val="HeadingBase"/>
    <w:next w:val="Normal"/>
    <w:rsid w:val="00F0167C"/>
    <w:pPr>
      <w:tabs>
        <w:tab w:val="num" w:pos="284"/>
      </w:tabs>
      <w:ind w:left="284" w:hanging="284"/>
      <w:jc w:val="both"/>
    </w:pPr>
    <w:rPr>
      <w:sz w:val="15"/>
    </w:rPr>
  </w:style>
  <w:style w:type="paragraph" w:customStyle="1" w:styleId="ChartandTableFootnoteSmall">
    <w:name w:val="Chart and Table Footnote Small"/>
    <w:basedOn w:val="HeadingBase"/>
    <w:next w:val="Normal"/>
    <w:rsid w:val="00F0167C"/>
    <w:pPr>
      <w:tabs>
        <w:tab w:val="left" w:pos="284"/>
      </w:tabs>
      <w:jc w:val="both"/>
    </w:pPr>
    <w:rPr>
      <w:sz w:val="15"/>
    </w:rPr>
  </w:style>
  <w:style w:type="paragraph" w:customStyle="1" w:styleId="BoxHeadinglevel2">
    <w:name w:val="Box Heading level 2"/>
    <w:basedOn w:val="BoxHeading"/>
    <w:rsid w:val="00F0167C"/>
    <w:pPr>
      <w:spacing w:before="0"/>
    </w:pPr>
    <w:rPr>
      <w:sz w:val="18"/>
    </w:rPr>
  </w:style>
  <w:style w:type="paragraph" w:styleId="BodyText">
    <w:name w:val="Body Text"/>
    <w:basedOn w:val="Normal"/>
    <w:link w:val="BodyTextChar"/>
    <w:qFormat/>
    <w:rsid w:val="00F0167C"/>
    <w:pPr>
      <w:spacing w:before="0" w:after="120" w:line="240" w:lineRule="auto"/>
    </w:pPr>
    <w:rPr>
      <w:rFonts w:ascii="Cambria" w:eastAsia="Cambria" w:hAnsi="Cambria"/>
      <w:sz w:val="22"/>
      <w:szCs w:val="22"/>
      <w:lang w:val="x-none" w:eastAsia="en-US"/>
    </w:rPr>
  </w:style>
  <w:style w:type="character" w:customStyle="1" w:styleId="BodyTextChar">
    <w:name w:val="Body Text Char"/>
    <w:link w:val="BodyText"/>
    <w:rsid w:val="00F0167C"/>
    <w:rPr>
      <w:rFonts w:ascii="Cambria" w:eastAsia="Cambria" w:hAnsi="Cambria"/>
      <w:sz w:val="22"/>
      <w:szCs w:val="22"/>
      <w:lang w:val="x-none" w:eastAsia="en-US"/>
    </w:rPr>
  </w:style>
  <w:style w:type="paragraph" w:customStyle="1" w:styleId="Heading1-TOC">
    <w:name w:val="Heading 1 - TOC"/>
    <w:basedOn w:val="Heading1"/>
    <w:rsid w:val="00F0167C"/>
    <w:pPr>
      <w:jc w:val="center"/>
    </w:pPr>
  </w:style>
  <w:style w:type="paragraph" w:customStyle="1" w:styleId="Heading4-NoTOC">
    <w:name w:val="Heading 4 - No TOC"/>
    <w:basedOn w:val="Heading4"/>
    <w:rsid w:val="00F0167C"/>
    <w:pPr>
      <w:tabs>
        <w:tab w:val="left" w:pos="709"/>
      </w:tabs>
      <w:outlineLvl w:val="9"/>
    </w:pPr>
  </w:style>
  <w:style w:type="table" w:customStyle="1" w:styleId="TableGrid1">
    <w:name w:val="Table Grid1"/>
    <w:basedOn w:val="TableNormal"/>
    <w:next w:val="TableGrid"/>
    <w:uiPriority w:val="59"/>
    <w:rsid w:val="00F016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167C"/>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link w:val="ListParagraph"/>
    <w:locked/>
    <w:rsid w:val="00F0167C"/>
    <w:rPr>
      <w:rFonts w:ascii="Calibri" w:eastAsia="Calibri" w:hAnsi="Calibri"/>
      <w:sz w:val="22"/>
      <w:szCs w:val="22"/>
      <w:lang w:val="en-US" w:eastAsia="en-US"/>
    </w:rPr>
  </w:style>
  <w:style w:type="character" w:customStyle="1" w:styleId="normaltextrun">
    <w:name w:val="normaltextrun"/>
    <w:rsid w:val="00F0167C"/>
  </w:style>
  <w:style w:type="character" w:customStyle="1" w:styleId="spellingerror">
    <w:name w:val="spellingerror"/>
    <w:rsid w:val="00F0167C"/>
  </w:style>
  <w:style w:type="character" w:customStyle="1" w:styleId="eop">
    <w:name w:val="eop"/>
    <w:rsid w:val="00F0167C"/>
  </w:style>
  <w:style w:type="paragraph" w:customStyle="1" w:styleId="TableParagraph">
    <w:name w:val="Table Paragraph"/>
    <w:basedOn w:val="Normal"/>
    <w:uiPriority w:val="1"/>
    <w:qFormat/>
    <w:rsid w:val="00F0167C"/>
    <w:pPr>
      <w:widowControl w:val="0"/>
      <w:autoSpaceDE w:val="0"/>
      <w:autoSpaceDN w:val="0"/>
      <w:spacing w:before="0" w:after="0" w:line="240" w:lineRule="auto"/>
    </w:pPr>
    <w:rPr>
      <w:rFonts w:ascii="Arial" w:eastAsia="Arial" w:hAnsi="Arial" w:cs="Arial"/>
      <w:sz w:val="22"/>
      <w:szCs w:val="22"/>
      <w:lang w:eastAsia="en-US"/>
    </w:rPr>
  </w:style>
  <w:style w:type="paragraph" w:customStyle="1" w:styleId="Heading1-NoTOC">
    <w:name w:val="Heading 1 - No TOC"/>
    <w:basedOn w:val="Heading1"/>
    <w:rsid w:val="00F0167C"/>
    <w:pPr>
      <w:spacing w:after="360"/>
      <w:jc w:val="center"/>
      <w:outlineLvl w:val="9"/>
    </w:pPr>
    <w:rPr>
      <w:rFonts w:ascii="Arial" w:hAnsi="Arial"/>
      <w:smallCaps/>
      <w:kern w:val="28"/>
      <w:sz w:val="34"/>
      <w:lang w:val="x-none"/>
    </w:rPr>
  </w:style>
  <w:style w:type="character" w:customStyle="1" w:styleId="TitleChar">
    <w:name w:val="Title Char"/>
    <w:basedOn w:val="DefaultParagraphFont"/>
    <w:link w:val="Title"/>
    <w:uiPriority w:val="10"/>
    <w:rsid w:val="00BF0558"/>
    <w:rPr>
      <w:rFonts w:ascii="Arial" w:hAnsi="Arial" w:cs="Arial"/>
      <w:b/>
      <w:bCs/>
      <w:smallCaps/>
      <w:kern w:val="28"/>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1511821">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88108796">
      <w:bodyDiv w:val="1"/>
      <w:marLeft w:val="0"/>
      <w:marRight w:val="0"/>
      <w:marTop w:val="0"/>
      <w:marBottom w:val="0"/>
      <w:divBdr>
        <w:top w:val="none" w:sz="0" w:space="0" w:color="auto"/>
        <w:left w:val="none" w:sz="0" w:space="0" w:color="auto"/>
        <w:bottom w:val="none" w:sz="0" w:space="0" w:color="auto"/>
        <w:right w:val="none" w:sz="0" w:space="0" w:color="auto"/>
      </w:divBdr>
    </w:div>
    <w:div w:id="192234398">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5062853">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578761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8317016">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33327223">
      <w:bodyDiv w:val="1"/>
      <w:marLeft w:val="0"/>
      <w:marRight w:val="0"/>
      <w:marTop w:val="0"/>
      <w:marBottom w:val="0"/>
      <w:divBdr>
        <w:top w:val="none" w:sz="0" w:space="0" w:color="auto"/>
        <w:left w:val="none" w:sz="0" w:space="0" w:color="auto"/>
        <w:bottom w:val="none" w:sz="0" w:space="0" w:color="auto"/>
        <w:right w:val="none" w:sz="0" w:space="0" w:color="auto"/>
      </w:divBdr>
    </w:div>
    <w:div w:id="444155996">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75945262">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6303101">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08607028">
      <w:bodyDiv w:val="1"/>
      <w:marLeft w:val="0"/>
      <w:marRight w:val="0"/>
      <w:marTop w:val="0"/>
      <w:marBottom w:val="0"/>
      <w:divBdr>
        <w:top w:val="none" w:sz="0" w:space="0" w:color="auto"/>
        <w:left w:val="none" w:sz="0" w:space="0" w:color="auto"/>
        <w:bottom w:val="none" w:sz="0" w:space="0" w:color="auto"/>
        <w:right w:val="none" w:sz="0" w:space="0" w:color="auto"/>
      </w:divBdr>
    </w:div>
    <w:div w:id="776222174">
      <w:bodyDiv w:val="1"/>
      <w:marLeft w:val="0"/>
      <w:marRight w:val="0"/>
      <w:marTop w:val="0"/>
      <w:marBottom w:val="0"/>
      <w:divBdr>
        <w:top w:val="none" w:sz="0" w:space="0" w:color="auto"/>
        <w:left w:val="none" w:sz="0" w:space="0" w:color="auto"/>
        <w:bottom w:val="none" w:sz="0" w:space="0" w:color="auto"/>
        <w:right w:val="none" w:sz="0" w:space="0" w:color="auto"/>
      </w:divBdr>
    </w:div>
    <w:div w:id="79019951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3002854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287046">
      <w:bodyDiv w:val="1"/>
      <w:marLeft w:val="0"/>
      <w:marRight w:val="0"/>
      <w:marTop w:val="0"/>
      <w:marBottom w:val="0"/>
      <w:divBdr>
        <w:top w:val="none" w:sz="0" w:space="0" w:color="auto"/>
        <w:left w:val="none" w:sz="0" w:space="0" w:color="auto"/>
        <w:bottom w:val="none" w:sz="0" w:space="0" w:color="auto"/>
        <w:right w:val="none" w:sz="0" w:space="0" w:color="auto"/>
      </w:divBdr>
    </w:div>
    <w:div w:id="930116322">
      <w:bodyDiv w:val="1"/>
      <w:marLeft w:val="0"/>
      <w:marRight w:val="0"/>
      <w:marTop w:val="0"/>
      <w:marBottom w:val="0"/>
      <w:divBdr>
        <w:top w:val="none" w:sz="0" w:space="0" w:color="auto"/>
        <w:left w:val="none" w:sz="0" w:space="0" w:color="auto"/>
        <w:bottom w:val="none" w:sz="0" w:space="0" w:color="auto"/>
        <w:right w:val="none" w:sz="0" w:space="0" w:color="auto"/>
      </w:divBdr>
    </w:div>
    <w:div w:id="931862141">
      <w:bodyDiv w:val="1"/>
      <w:marLeft w:val="0"/>
      <w:marRight w:val="0"/>
      <w:marTop w:val="0"/>
      <w:marBottom w:val="0"/>
      <w:divBdr>
        <w:top w:val="none" w:sz="0" w:space="0" w:color="auto"/>
        <w:left w:val="none" w:sz="0" w:space="0" w:color="auto"/>
        <w:bottom w:val="none" w:sz="0" w:space="0" w:color="auto"/>
        <w:right w:val="none" w:sz="0" w:space="0" w:color="auto"/>
      </w:divBdr>
    </w:div>
    <w:div w:id="933634321">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51656991">
      <w:bodyDiv w:val="1"/>
      <w:marLeft w:val="0"/>
      <w:marRight w:val="0"/>
      <w:marTop w:val="0"/>
      <w:marBottom w:val="0"/>
      <w:divBdr>
        <w:top w:val="none" w:sz="0" w:space="0" w:color="auto"/>
        <w:left w:val="none" w:sz="0" w:space="0" w:color="auto"/>
        <w:bottom w:val="none" w:sz="0" w:space="0" w:color="auto"/>
        <w:right w:val="none" w:sz="0" w:space="0" w:color="auto"/>
      </w:divBdr>
    </w:div>
    <w:div w:id="107146431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38759865">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0339905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16957102">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22990118">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486133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4397205">
      <w:bodyDiv w:val="1"/>
      <w:marLeft w:val="0"/>
      <w:marRight w:val="0"/>
      <w:marTop w:val="0"/>
      <w:marBottom w:val="0"/>
      <w:divBdr>
        <w:top w:val="none" w:sz="0" w:space="0" w:color="auto"/>
        <w:left w:val="none" w:sz="0" w:space="0" w:color="auto"/>
        <w:bottom w:val="none" w:sz="0" w:space="0" w:color="auto"/>
        <w:right w:val="none" w:sz="0" w:space="0" w:color="auto"/>
      </w:divBdr>
    </w:div>
    <w:div w:id="1894731770">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0503395">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51282270">
      <w:bodyDiv w:val="1"/>
      <w:marLeft w:val="0"/>
      <w:marRight w:val="0"/>
      <w:marTop w:val="0"/>
      <w:marBottom w:val="0"/>
      <w:divBdr>
        <w:top w:val="none" w:sz="0" w:space="0" w:color="auto"/>
        <w:left w:val="none" w:sz="0" w:space="0" w:color="auto"/>
        <w:bottom w:val="none" w:sz="0" w:space="0" w:color="auto"/>
        <w:right w:val="none" w:sz="0" w:space="0" w:color="auto"/>
      </w:divBdr>
    </w:div>
    <w:div w:id="1953511041">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9448540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3675300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www.dta.gov.au/about-us/reporting-and-plans/corporate-plans"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image" Target="media/image10.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image" Target="media/image3.emf"/><Relationship Id="rId33" Type="http://schemas.openxmlformats.org/officeDocument/2006/relationships/image" Target="media/image9.emf"/><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emf"/><Relationship Id="rId32" Type="http://schemas.openxmlformats.org/officeDocument/2006/relationships/image" Target="media/image8.emf"/><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1.emf"/><Relationship Id="rId28" Type="http://schemas.openxmlformats.org/officeDocument/2006/relationships/image" Target="media/image4.emf"/><Relationship Id="rId36"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yperlink" Target="https://www.dta.gov.au/about-us/reporting-and-plans/annual-reports" TargetMode="External"/><Relationship Id="rId30" Type="http://schemas.openxmlformats.org/officeDocument/2006/relationships/image" Target="media/image6.emf"/><Relationship Id="rId35" Type="http://schemas.openxmlformats.org/officeDocument/2006/relationships/header" Target="header5.xml"/></Relationships>
</file>

<file path=word/_rels/header5.xml.rels><?xml version="1.0" encoding="UTF-8" standalone="yes"?>
<Relationships xmlns="http://schemas.openxmlformats.org/package/2006/relationships"><Relationship Id="rId1" Type="http://schemas.openxmlformats.org/officeDocument/2006/relationships/image" Target="media/image11.png"/></Relationships>
</file>

<file path=word/_rels/header6.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PB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kb73b3df24114868a21db4ce3ca83710>
    <TaxCatchAll xmlns="82ff9d9b-d3fc-4aad-bc42-9949ee83b815"/>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k710d1823c744f64b20abec111d3c509>
    <RelatedItems xmlns="http://schemas.microsoft.com/sharepoint/v3" xsi:nil="true"/>
    <_dlc_DocId xmlns="41381e76-744a-4e4b-b609-0f774dbc893f">FIN33691-208614078-2582</_dlc_DocId>
    <_dlc_DocIdUrl xmlns="41381e76-744a-4e4b-b609-0f774dbc893f">
      <Url>https://f1.prdmgd.finance.gov.au/sites/50033691/_layouts/15/DocIdRedir.aspx?ID=FIN33691-208614078-2582</Url>
      <Description>FIN33691-208614078-2582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897FAFD4E9FB2F48B7915612E1634A86" ma:contentTypeVersion="108" ma:contentTypeDescription="Create a new document." ma:contentTypeScope="" ma:versionID="e11d8671f3609da109f951f9218f5c6a">
  <xsd:schema xmlns:xsd="http://www.w3.org/2001/XMLSchema" xmlns:xs="http://www.w3.org/2001/XMLSchema" xmlns:p="http://schemas.microsoft.com/office/2006/metadata/properties" xmlns:ns1="http://schemas.microsoft.com/sharepoint/v3" xmlns:ns2="82ff9d9b-d3fc-4aad-bc42-9949ee83b815" xmlns:ns3="41381e76-744a-4e4b-b609-0f774dbc893f" targetNamespace="http://schemas.microsoft.com/office/2006/metadata/properties" ma:root="true" ma:fieldsID="e9154d8170ee14aa388c1329be229e59" ns1:_="" ns2:_="" ns3:_="">
    <xsd:import namespace="http://schemas.microsoft.com/sharepoint/v3"/>
    <xsd:import namespace="82ff9d9b-d3fc-4aad-bc42-9949ee83b815"/>
    <xsd:import namespace="41381e76-744a-4e4b-b609-0f774dbc893f"/>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1b07d73-50d0-4380-93b2-14b88234ee23}" ma:internalName="TaxCatchAll" ma:showField="CatchAllData" ma:web="41381e76-744a-4e4b-b609-0f774dbc893f">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1b07d73-50d0-4380-93b2-14b88234ee23}" ma:internalName="TaxCatchAllLabel" ma:readOnly="true" ma:showField="CatchAllDataLabel" ma:web="41381e76-744a-4e4b-b609-0f774dbc893f">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1381e76-744a-4e4b-b609-0f774dbc893f"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A4458-67FE-4D53-B6C9-4E6F27A7CCD5}">
  <ds:schemaRefs>
    <ds:schemaRef ds:uri="http://schemas.microsoft.com/sharepoint/events"/>
  </ds:schemaRefs>
</ds:datastoreItem>
</file>

<file path=customXml/itemProps2.xml><?xml version="1.0" encoding="utf-8"?>
<ds:datastoreItem xmlns:ds="http://schemas.openxmlformats.org/officeDocument/2006/customXml" ds:itemID="{EF0B5A09-78AF-493C-BB5B-ABE6AB859E38}">
  <ds:schemaRefs>
    <ds:schemaRef ds:uri="Microsoft.SharePoint.Taxonomy.ContentTypeSync"/>
  </ds:schemaRefs>
</ds:datastoreItem>
</file>

<file path=customXml/itemProps3.xml><?xml version="1.0" encoding="utf-8"?>
<ds:datastoreItem xmlns:ds="http://schemas.openxmlformats.org/officeDocument/2006/customXml" ds:itemID="{F233B632-0AB7-4080-A581-A28BC5B8A0B8}">
  <ds:schemaRefs>
    <ds:schemaRef ds:uri="http://schemas.microsoft.com/office/2006/metadata/properties"/>
    <ds:schemaRef ds:uri="41381e76-744a-4e4b-b609-0f774dbc893f"/>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82ff9d9b-d3fc-4aad-bc42-9949ee83b815"/>
    <ds:schemaRef ds:uri="http://www.w3.org/XML/1998/namespace"/>
  </ds:schemaRefs>
</ds:datastoreItem>
</file>

<file path=customXml/itemProps4.xml><?xml version="1.0" encoding="utf-8"?>
<ds:datastoreItem xmlns:ds="http://schemas.openxmlformats.org/officeDocument/2006/customXml" ds:itemID="{4E0FC283-598D-43FD-AA1D-651ED24578EA}">
  <ds:schemaRefs>
    <ds:schemaRef ds:uri="http://schemas.microsoft.com/sharepoint/v3/contenttype/forms"/>
  </ds:schemaRefs>
</ds:datastoreItem>
</file>

<file path=customXml/itemProps5.xml><?xml version="1.0" encoding="utf-8"?>
<ds:datastoreItem xmlns:ds="http://schemas.openxmlformats.org/officeDocument/2006/customXml" ds:itemID="{6756A354-C485-4199-9F9C-2439D79AB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41381e76-744a-4e4b-b609-0f774dbc8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F817195-3998-4905-98D7-240A62184A77}">
  <ds:schemaRefs>
    <ds:schemaRef ds:uri="http://schemas.microsoft.com/office/2006/metadata/longProperties"/>
  </ds:schemaRefs>
</ds:datastoreItem>
</file>

<file path=customXml/itemProps7.xml><?xml version="1.0" encoding="utf-8"?>
<ds:datastoreItem xmlns:ds="http://schemas.openxmlformats.org/officeDocument/2006/customXml" ds:itemID="{C73774EA-8355-41A4-A30A-484CE2FF5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PBS Template</Template>
  <TotalTime>0</TotalTime>
  <Pages>23</Pages>
  <Words>3198</Words>
  <Characters>20552</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23703</CharactersWithSpaces>
  <SharedDoc>false</SharedDoc>
  <HLinks>
    <vt:vector size="144" baseType="variant">
      <vt:variant>
        <vt:i4>1114166</vt:i4>
      </vt:variant>
      <vt:variant>
        <vt:i4>125</vt:i4>
      </vt:variant>
      <vt:variant>
        <vt:i4>0</vt:i4>
      </vt:variant>
      <vt:variant>
        <vt:i4>5</vt:i4>
      </vt:variant>
      <vt:variant>
        <vt:lpwstr/>
      </vt:variant>
      <vt:variant>
        <vt:lpwstr>_Toc65243512</vt:lpwstr>
      </vt:variant>
      <vt:variant>
        <vt:i4>1179702</vt:i4>
      </vt:variant>
      <vt:variant>
        <vt:i4>119</vt:i4>
      </vt:variant>
      <vt:variant>
        <vt:i4>0</vt:i4>
      </vt:variant>
      <vt:variant>
        <vt:i4>5</vt:i4>
      </vt:variant>
      <vt:variant>
        <vt:lpwstr/>
      </vt:variant>
      <vt:variant>
        <vt:lpwstr>_Toc65243511</vt:lpwstr>
      </vt:variant>
      <vt:variant>
        <vt:i4>1245238</vt:i4>
      </vt:variant>
      <vt:variant>
        <vt:i4>113</vt:i4>
      </vt:variant>
      <vt:variant>
        <vt:i4>0</vt:i4>
      </vt:variant>
      <vt:variant>
        <vt:i4>5</vt:i4>
      </vt:variant>
      <vt:variant>
        <vt:lpwstr/>
      </vt:variant>
      <vt:variant>
        <vt:lpwstr>_Toc65243510</vt:lpwstr>
      </vt:variant>
      <vt:variant>
        <vt:i4>1703991</vt:i4>
      </vt:variant>
      <vt:variant>
        <vt:i4>107</vt:i4>
      </vt:variant>
      <vt:variant>
        <vt:i4>0</vt:i4>
      </vt:variant>
      <vt:variant>
        <vt:i4>5</vt:i4>
      </vt:variant>
      <vt:variant>
        <vt:lpwstr/>
      </vt:variant>
      <vt:variant>
        <vt:lpwstr>_Toc65243509</vt:lpwstr>
      </vt:variant>
      <vt:variant>
        <vt:i4>1769527</vt:i4>
      </vt:variant>
      <vt:variant>
        <vt:i4>101</vt:i4>
      </vt:variant>
      <vt:variant>
        <vt:i4>0</vt:i4>
      </vt:variant>
      <vt:variant>
        <vt:i4>5</vt:i4>
      </vt:variant>
      <vt:variant>
        <vt:lpwstr/>
      </vt:variant>
      <vt:variant>
        <vt:lpwstr>_Toc65243508</vt:lpwstr>
      </vt:variant>
      <vt:variant>
        <vt:i4>1310775</vt:i4>
      </vt:variant>
      <vt:variant>
        <vt:i4>95</vt:i4>
      </vt:variant>
      <vt:variant>
        <vt:i4>0</vt:i4>
      </vt:variant>
      <vt:variant>
        <vt:i4>5</vt:i4>
      </vt:variant>
      <vt:variant>
        <vt:lpwstr/>
      </vt:variant>
      <vt:variant>
        <vt:lpwstr>_Toc65243507</vt:lpwstr>
      </vt:variant>
      <vt:variant>
        <vt:i4>1376311</vt:i4>
      </vt:variant>
      <vt:variant>
        <vt:i4>89</vt:i4>
      </vt:variant>
      <vt:variant>
        <vt:i4>0</vt:i4>
      </vt:variant>
      <vt:variant>
        <vt:i4>5</vt:i4>
      </vt:variant>
      <vt:variant>
        <vt:lpwstr/>
      </vt:variant>
      <vt:variant>
        <vt:lpwstr>_Toc65243506</vt:lpwstr>
      </vt:variant>
      <vt:variant>
        <vt:i4>1441847</vt:i4>
      </vt:variant>
      <vt:variant>
        <vt:i4>83</vt:i4>
      </vt:variant>
      <vt:variant>
        <vt:i4>0</vt:i4>
      </vt:variant>
      <vt:variant>
        <vt:i4>5</vt:i4>
      </vt:variant>
      <vt:variant>
        <vt:lpwstr/>
      </vt:variant>
      <vt:variant>
        <vt:lpwstr>_Toc65243505</vt:lpwstr>
      </vt:variant>
      <vt:variant>
        <vt:i4>1048635</vt:i4>
      </vt:variant>
      <vt:variant>
        <vt:i4>74</vt:i4>
      </vt:variant>
      <vt:variant>
        <vt:i4>0</vt:i4>
      </vt:variant>
      <vt:variant>
        <vt:i4>5</vt:i4>
      </vt:variant>
      <vt:variant>
        <vt:lpwstr/>
      </vt:variant>
      <vt:variant>
        <vt:lpwstr>_Toc115190673</vt:lpwstr>
      </vt:variant>
      <vt:variant>
        <vt:i4>1048635</vt:i4>
      </vt:variant>
      <vt:variant>
        <vt:i4>68</vt:i4>
      </vt:variant>
      <vt:variant>
        <vt:i4>0</vt:i4>
      </vt:variant>
      <vt:variant>
        <vt:i4>5</vt:i4>
      </vt:variant>
      <vt:variant>
        <vt:lpwstr/>
      </vt:variant>
      <vt:variant>
        <vt:lpwstr>_Toc115190672</vt:lpwstr>
      </vt:variant>
      <vt:variant>
        <vt:i4>1048635</vt:i4>
      </vt:variant>
      <vt:variant>
        <vt:i4>62</vt:i4>
      </vt:variant>
      <vt:variant>
        <vt:i4>0</vt:i4>
      </vt:variant>
      <vt:variant>
        <vt:i4>5</vt:i4>
      </vt:variant>
      <vt:variant>
        <vt:lpwstr/>
      </vt:variant>
      <vt:variant>
        <vt:lpwstr>_Toc115190672</vt:lpwstr>
      </vt:variant>
      <vt:variant>
        <vt:i4>1048635</vt:i4>
      </vt:variant>
      <vt:variant>
        <vt:i4>56</vt:i4>
      </vt:variant>
      <vt:variant>
        <vt:i4>0</vt:i4>
      </vt:variant>
      <vt:variant>
        <vt:i4>5</vt:i4>
      </vt:variant>
      <vt:variant>
        <vt:lpwstr/>
      </vt:variant>
      <vt:variant>
        <vt:lpwstr>_Toc115190672</vt:lpwstr>
      </vt:variant>
      <vt:variant>
        <vt:i4>1048635</vt:i4>
      </vt:variant>
      <vt:variant>
        <vt:i4>50</vt:i4>
      </vt:variant>
      <vt:variant>
        <vt:i4>0</vt:i4>
      </vt:variant>
      <vt:variant>
        <vt:i4>5</vt:i4>
      </vt:variant>
      <vt:variant>
        <vt:lpwstr/>
      </vt:variant>
      <vt:variant>
        <vt:lpwstr>_Toc115190672</vt:lpwstr>
      </vt:variant>
      <vt:variant>
        <vt:i4>1048635</vt:i4>
      </vt:variant>
      <vt:variant>
        <vt:i4>44</vt:i4>
      </vt:variant>
      <vt:variant>
        <vt:i4>0</vt:i4>
      </vt:variant>
      <vt:variant>
        <vt:i4>5</vt:i4>
      </vt:variant>
      <vt:variant>
        <vt:lpwstr/>
      </vt:variant>
      <vt:variant>
        <vt:lpwstr>_Toc115190672</vt:lpwstr>
      </vt:variant>
      <vt:variant>
        <vt:i4>1048635</vt:i4>
      </vt:variant>
      <vt:variant>
        <vt:i4>38</vt:i4>
      </vt:variant>
      <vt:variant>
        <vt:i4>0</vt:i4>
      </vt:variant>
      <vt:variant>
        <vt:i4>5</vt:i4>
      </vt:variant>
      <vt:variant>
        <vt:lpwstr/>
      </vt:variant>
      <vt:variant>
        <vt:lpwstr>_Toc115190672</vt:lpwstr>
      </vt:variant>
      <vt:variant>
        <vt:i4>1048635</vt:i4>
      </vt:variant>
      <vt:variant>
        <vt:i4>32</vt:i4>
      </vt:variant>
      <vt:variant>
        <vt:i4>0</vt:i4>
      </vt:variant>
      <vt:variant>
        <vt:i4>5</vt:i4>
      </vt:variant>
      <vt:variant>
        <vt:lpwstr/>
      </vt:variant>
      <vt:variant>
        <vt:lpwstr>_Toc115190671</vt:lpwstr>
      </vt:variant>
      <vt:variant>
        <vt:i4>1048635</vt:i4>
      </vt:variant>
      <vt:variant>
        <vt:i4>26</vt:i4>
      </vt:variant>
      <vt:variant>
        <vt:i4>0</vt:i4>
      </vt:variant>
      <vt:variant>
        <vt:i4>5</vt:i4>
      </vt:variant>
      <vt:variant>
        <vt:lpwstr/>
      </vt:variant>
      <vt:variant>
        <vt:lpwstr>_Toc115190670</vt:lpwstr>
      </vt:variant>
      <vt:variant>
        <vt:i4>1114171</vt:i4>
      </vt:variant>
      <vt:variant>
        <vt:i4>20</vt:i4>
      </vt:variant>
      <vt:variant>
        <vt:i4>0</vt:i4>
      </vt:variant>
      <vt:variant>
        <vt:i4>5</vt:i4>
      </vt:variant>
      <vt:variant>
        <vt:lpwstr/>
      </vt:variant>
      <vt:variant>
        <vt:lpwstr>_Toc115190669</vt:lpwstr>
      </vt:variant>
      <vt:variant>
        <vt:i4>5374022</vt:i4>
      </vt:variant>
      <vt:variant>
        <vt:i4>15</vt:i4>
      </vt:variant>
      <vt:variant>
        <vt:i4>0</vt:i4>
      </vt:variant>
      <vt:variant>
        <vt:i4>5</vt:i4>
      </vt:variant>
      <vt:variant>
        <vt:lpwstr>http://www.budget.gov.au/</vt:lpwstr>
      </vt:variant>
      <vt:variant>
        <vt:lpwstr/>
      </vt:variant>
      <vt:variant>
        <vt:i4>1114222</vt:i4>
      </vt:variant>
      <vt:variant>
        <vt:i4>12</vt:i4>
      </vt:variant>
      <vt:variant>
        <vt:i4>0</vt:i4>
      </vt:variant>
      <vt:variant>
        <vt:i4>5</vt:i4>
      </vt:variant>
      <vt:variant>
        <vt:lpwstr>mailto:publicatins@finance.gov.au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2022-10-24T04:21:00Z</dcterms:created>
  <dcterms:modified xsi:type="dcterms:W3CDTF">2022-10-26T00:38:00Z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0x010100B321FEA60C5BA343A52BC94EC00ABC9E0700897FAFD4E9FB2F48B7915612E1634A86</vt:lpwstr>
  </property>
  <property fmtid="{D5CDD505-2E9C-101B-9397-08002B2CF9AE}" pid="3" name="TaxKeyword">
    <vt:lpwstr/>
  </property>
  <property fmtid="{D5CDD505-2E9C-101B-9397-08002B2CF9AE}" pid="4" name="AbtEntity">
    <vt:lpwstr/>
  </property>
  <property fmtid="{D5CDD505-2E9C-101B-9397-08002B2CF9AE}" pid="5" name="InitiatingEntity">
    <vt:lpwstr/>
  </property>
  <property fmtid="{D5CDD505-2E9C-101B-9397-08002B2CF9AE}" pid="6" name="Function and Activity">
    <vt:lpwstr/>
  </property>
  <property fmtid="{D5CDD505-2E9C-101B-9397-08002B2CF9AE}" pid="7" name="OrgUnit">
    <vt:lpwstr/>
  </property>
  <property fmtid="{D5CDD505-2E9C-101B-9397-08002B2CF9AE}" pid="8" name="_dlc_DocIdItemGuid">
    <vt:lpwstr>b6d882b0-3499-4a67-ab35-8217a188b696</vt:lpwstr>
  </property>
  <property fmtid="{D5CDD505-2E9C-101B-9397-08002B2CF9AE}" pid="9" name="_dlc_DocId">
    <vt:lpwstr>FIN33506-1658115890-276306</vt:lpwstr>
  </property>
  <property fmtid="{D5CDD505-2E9C-101B-9397-08002B2CF9AE}" pid="10" name="_dlc_DocIdUrl">
    <vt:lpwstr>https://f1.prdmgd.finance.gov.au/sites/50033506/_layouts/15/DocIdRedir.aspx?ID=FIN33506-1658115890-276306, FIN33506-1658115890-276306</vt:lpwstr>
  </property>
</Properties>
</file>